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D039" w14:textId="797FFEFA" w:rsidR="00FA4B5C" w:rsidRPr="00B252E8" w:rsidRDefault="00D75001" w:rsidP="00FA4B5C">
      <w:pPr>
        <w:rPr>
          <w:rFonts w:ascii="Arial" w:hAnsi="Arial" w:cs="Arial"/>
          <w:b/>
          <w:bCs/>
          <w:sz w:val="20"/>
          <w:szCs w:val="20"/>
        </w:rPr>
      </w:pPr>
      <w:r w:rsidRPr="00B252E8">
        <w:rPr>
          <w:rFonts w:ascii="Arial" w:hAnsi="Arial" w:cs="Arial"/>
          <w:b/>
          <w:bCs/>
          <w:sz w:val="20"/>
          <w:szCs w:val="20"/>
        </w:rPr>
        <w:t xml:space="preserve">B&amp;Q, </w:t>
      </w:r>
      <w:r w:rsidR="00010098" w:rsidRPr="00B252E8">
        <w:rPr>
          <w:rFonts w:ascii="Arial" w:hAnsi="Arial" w:cs="Arial"/>
          <w:b/>
          <w:bCs/>
          <w:sz w:val="20"/>
          <w:szCs w:val="20"/>
        </w:rPr>
        <w:t>Cricklewood Lane</w:t>
      </w:r>
      <w:r w:rsidRPr="00B252E8">
        <w:rPr>
          <w:rFonts w:ascii="Arial" w:hAnsi="Arial" w:cs="Arial"/>
          <w:b/>
          <w:bCs/>
          <w:sz w:val="20"/>
          <w:szCs w:val="20"/>
        </w:rPr>
        <w:t xml:space="preserve"> - </w:t>
      </w:r>
      <w:r w:rsidR="00641A7E" w:rsidRPr="00B252E8">
        <w:rPr>
          <w:rFonts w:ascii="Arial" w:hAnsi="Arial" w:cs="Arial"/>
          <w:b/>
          <w:bCs/>
          <w:sz w:val="20"/>
          <w:szCs w:val="20"/>
        </w:rPr>
        <w:t>Call-in</w:t>
      </w:r>
      <w:r w:rsidRPr="00B252E8">
        <w:rPr>
          <w:rFonts w:ascii="Arial" w:hAnsi="Arial" w:cs="Arial"/>
          <w:b/>
          <w:bCs/>
          <w:sz w:val="20"/>
          <w:szCs w:val="20"/>
        </w:rPr>
        <w:t xml:space="preserve"> Inquiry </w:t>
      </w:r>
    </w:p>
    <w:p w14:paraId="6CB74B17" w14:textId="60D25AA0" w:rsidR="00DD1AF7" w:rsidRPr="00B252E8" w:rsidRDefault="00DD1AF7" w:rsidP="00DD1AF7">
      <w:pPr>
        <w:rPr>
          <w:rFonts w:ascii="Arial" w:hAnsi="Arial" w:cs="Arial"/>
          <w:b/>
          <w:bCs/>
          <w:sz w:val="20"/>
          <w:szCs w:val="20"/>
        </w:rPr>
      </w:pPr>
      <w:bookmarkStart w:id="0" w:name="_Hlk125454906"/>
      <w:r w:rsidRPr="00B252E8">
        <w:rPr>
          <w:rFonts w:ascii="Arial" w:hAnsi="Arial" w:cs="Arial"/>
          <w:b/>
          <w:bCs/>
          <w:sz w:val="20"/>
          <w:szCs w:val="20"/>
        </w:rPr>
        <w:t xml:space="preserve">LPA Ref. </w:t>
      </w:r>
      <w:r w:rsidR="00733DF5" w:rsidRPr="00B252E8">
        <w:rPr>
          <w:rFonts w:ascii="Arial" w:hAnsi="Arial" w:cs="Arial"/>
          <w:b/>
          <w:bCs/>
          <w:sz w:val="20"/>
          <w:szCs w:val="20"/>
        </w:rPr>
        <w:t>20/3564/OUT</w:t>
      </w:r>
    </w:p>
    <w:p w14:paraId="6A9A811A" w14:textId="35C7862B" w:rsidR="00DD1AF7" w:rsidRPr="00B252E8" w:rsidRDefault="00DD1AF7" w:rsidP="00DD1AF7">
      <w:pPr>
        <w:rPr>
          <w:rFonts w:ascii="Arial" w:hAnsi="Arial" w:cs="Arial"/>
          <w:b/>
          <w:bCs/>
          <w:sz w:val="20"/>
          <w:szCs w:val="20"/>
        </w:rPr>
      </w:pPr>
      <w:r w:rsidRPr="00B252E8">
        <w:rPr>
          <w:rFonts w:ascii="Arial" w:hAnsi="Arial" w:cs="Arial"/>
          <w:b/>
          <w:bCs/>
          <w:sz w:val="20"/>
          <w:szCs w:val="20"/>
        </w:rPr>
        <w:t xml:space="preserve">PINS Ref. </w:t>
      </w:r>
      <w:r w:rsidR="00733DF5" w:rsidRPr="00B252E8">
        <w:rPr>
          <w:rFonts w:ascii="Arial" w:hAnsi="Arial" w:cs="Arial"/>
          <w:b/>
          <w:bCs/>
          <w:sz w:val="20"/>
          <w:szCs w:val="20"/>
        </w:rPr>
        <w:t>APP/N5090/V/22/3307073</w:t>
      </w:r>
    </w:p>
    <w:bookmarkEnd w:id="0"/>
    <w:p w14:paraId="61AF6576" w14:textId="77777777" w:rsidR="00D75001" w:rsidRPr="00B252E8" w:rsidRDefault="00D75001">
      <w:pPr>
        <w:rPr>
          <w:rFonts w:ascii="Arial" w:hAnsi="Arial" w:cs="Arial"/>
          <w:b/>
          <w:bCs/>
          <w:sz w:val="20"/>
          <w:szCs w:val="20"/>
        </w:rPr>
      </w:pPr>
    </w:p>
    <w:p w14:paraId="6A164DBD" w14:textId="55B6D252" w:rsidR="00DD1AF7" w:rsidRPr="00B252E8" w:rsidRDefault="00FA4B5C">
      <w:pPr>
        <w:rPr>
          <w:rFonts w:ascii="Arial" w:hAnsi="Arial" w:cs="Arial"/>
          <w:b/>
          <w:bCs/>
          <w:sz w:val="20"/>
          <w:szCs w:val="20"/>
        </w:rPr>
      </w:pPr>
      <w:r w:rsidRPr="00B252E8">
        <w:rPr>
          <w:rFonts w:ascii="Arial" w:hAnsi="Arial" w:cs="Arial"/>
          <w:b/>
          <w:bCs/>
          <w:sz w:val="20"/>
          <w:szCs w:val="20"/>
        </w:rPr>
        <w:t xml:space="preserve">Note </w:t>
      </w:r>
      <w:r w:rsidR="005541A5" w:rsidRPr="00B252E8">
        <w:rPr>
          <w:rFonts w:ascii="Arial" w:hAnsi="Arial" w:cs="Arial"/>
          <w:b/>
          <w:bCs/>
          <w:sz w:val="20"/>
          <w:szCs w:val="20"/>
        </w:rPr>
        <w:t xml:space="preserve">in relation to </w:t>
      </w:r>
      <w:r w:rsidR="00010098" w:rsidRPr="00B252E8">
        <w:rPr>
          <w:rFonts w:ascii="Arial" w:hAnsi="Arial" w:cs="Arial"/>
          <w:b/>
          <w:bCs/>
          <w:sz w:val="20"/>
          <w:szCs w:val="20"/>
        </w:rPr>
        <w:t>James Evans</w:t>
      </w:r>
      <w:r w:rsidR="00641A7E" w:rsidRPr="00B252E8">
        <w:rPr>
          <w:rFonts w:ascii="Arial" w:hAnsi="Arial" w:cs="Arial"/>
          <w:b/>
          <w:bCs/>
          <w:sz w:val="20"/>
          <w:szCs w:val="20"/>
        </w:rPr>
        <w:t>’</w:t>
      </w:r>
      <w:r w:rsidR="000B6326" w:rsidRPr="00B252E8">
        <w:rPr>
          <w:rFonts w:ascii="Arial" w:hAnsi="Arial" w:cs="Arial"/>
          <w:b/>
          <w:bCs/>
          <w:sz w:val="20"/>
          <w:szCs w:val="20"/>
        </w:rPr>
        <w:t xml:space="preserve"> </w:t>
      </w:r>
      <w:r w:rsidR="005541A5" w:rsidRPr="00B252E8">
        <w:rPr>
          <w:rFonts w:ascii="Arial" w:hAnsi="Arial" w:cs="Arial"/>
          <w:b/>
          <w:bCs/>
          <w:sz w:val="20"/>
          <w:szCs w:val="20"/>
        </w:rPr>
        <w:t xml:space="preserve">Evidence </w:t>
      </w:r>
      <w:r w:rsidR="0083365E" w:rsidRPr="00B252E8">
        <w:rPr>
          <w:rFonts w:ascii="Arial" w:hAnsi="Arial" w:cs="Arial"/>
          <w:b/>
          <w:bCs/>
          <w:sz w:val="20"/>
          <w:szCs w:val="20"/>
        </w:rPr>
        <w:t xml:space="preserve">- </w:t>
      </w:r>
      <w:r w:rsidR="005541A5" w:rsidRPr="00B252E8">
        <w:rPr>
          <w:rFonts w:ascii="Arial" w:hAnsi="Arial" w:cs="Arial"/>
          <w:b/>
          <w:bCs/>
          <w:sz w:val="20"/>
          <w:szCs w:val="20"/>
        </w:rPr>
        <w:t>historic environment</w:t>
      </w:r>
      <w:r w:rsidR="008A7CD4" w:rsidRPr="00B252E8">
        <w:rPr>
          <w:rFonts w:ascii="Arial" w:hAnsi="Arial" w:cs="Arial"/>
          <w:b/>
          <w:bCs/>
          <w:sz w:val="20"/>
          <w:szCs w:val="20"/>
        </w:rPr>
        <w:t xml:space="preserve"> and design</w:t>
      </w:r>
      <w:r w:rsidR="005541A5" w:rsidRPr="00B252E8">
        <w:rPr>
          <w:rFonts w:ascii="Arial" w:hAnsi="Arial" w:cs="Arial"/>
          <w:b/>
          <w:bCs/>
          <w:sz w:val="20"/>
          <w:szCs w:val="20"/>
        </w:rPr>
        <w:t xml:space="preserve"> </w:t>
      </w:r>
      <w:r w:rsidR="0083365E" w:rsidRPr="00B252E8">
        <w:rPr>
          <w:rFonts w:ascii="Arial" w:hAnsi="Arial" w:cs="Arial"/>
          <w:b/>
          <w:bCs/>
          <w:sz w:val="20"/>
          <w:szCs w:val="20"/>
        </w:rPr>
        <w:t xml:space="preserve">matters </w:t>
      </w:r>
    </w:p>
    <w:p w14:paraId="4B7CE1AF" w14:textId="555A200A" w:rsidR="00D75001" w:rsidRPr="00B252E8" w:rsidRDefault="00D75001">
      <w:pPr>
        <w:rPr>
          <w:rFonts w:ascii="Arial" w:hAnsi="Arial" w:cs="Arial"/>
          <w:b/>
          <w:bCs/>
          <w:sz w:val="20"/>
          <w:szCs w:val="20"/>
        </w:rPr>
      </w:pPr>
      <w:r w:rsidRPr="00B252E8">
        <w:rPr>
          <w:rFonts w:ascii="Arial" w:hAnsi="Arial" w:cs="Arial"/>
          <w:b/>
          <w:bCs/>
          <w:sz w:val="20"/>
          <w:szCs w:val="20"/>
        </w:rPr>
        <w:t>APP/2/E</w:t>
      </w:r>
    </w:p>
    <w:p w14:paraId="49A9E543" w14:textId="77777777" w:rsidR="00B252E8" w:rsidRPr="00B252E8" w:rsidRDefault="00010098" w:rsidP="00B252E8">
      <w:pPr>
        <w:rPr>
          <w:rFonts w:ascii="Arial" w:hAnsi="Arial" w:cs="Arial"/>
          <w:sz w:val="20"/>
          <w:szCs w:val="20"/>
        </w:rPr>
      </w:pPr>
      <w:r w:rsidRPr="00B252E8">
        <w:rPr>
          <w:rFonts w:ascii="Arial" w:hAnsi="Arial" w:cs="Arial"/>
          <w:sz w:val="20"/>
          <w:szCs w:val="20"/>
        </w:rPr>
        <w:t>I write in relation to Mr Evans</w:t>
      </w:r>
      <w:r w:rsidR="00641A7E" w:rsidRPr="00B252E8">
        <w:rPr>
          <w:rFonts w:ascii="Arial" w:hAnsi="Arial" w:cs="Arial"/>
          <w:sz w:val="20"/>
          <w:szCs w:val="20"/>
        </w:rPr>
        <w:t>’</w:t>
      </w:r>
      <w:r w:rsidR="00D46A34" w:rsidRPr="00B252E8">
        <w:rPr>
          <w:rFonts w:ascii="Arial" w:hAnsi="Arial" w:cs="Arial"/>
          <w:sz w:val="20"/>
          <w:szCs w:val="20"/>
        </w:rPr>
        <w:t xml:space="preserve"> Proof of</w:t>
      </w:r>
      <w:r w:rsidRPr="00B252E8">
        <w:rPr>
          <w:rFonts w:ascii="Arial" w:hAnsi="Arial" w:cs="Arial"/>
          <w:sz w:val="20"/>
          <w:szCs w:val="20"/>
        </w:rPr>
        <w:t xml:space="preserve"> Evidence</w:t>
      </w:r>
      <w:r w:rsidR="00D46A34" w:rsidRPr="00B252E8">
        <w:rPr>
          <w:rFonts w:ascii="Arial" w:hAnsi="Arial" w:cs="Arial"/>
          <w:sz w:val="20"/>
          <w:szCs w:val="20"/>
        </w:rPr>
        <w:t xml:space="preserve">. </w:t>
      </w:r>
    </w:p>
    <w:p w14:paraId="24DD3FEF" w14:textId="15CD1FF9" w:rsidR="00530C0C" w:rsidRPr="00B252E8" w:rsidRDefault="004F1782" w:rsidP="00B252E8">
      <w:pPr>
        <w:rPr>
          <w:rFonts w:ascii="Arial" w:hAnsi="Arial" w:cs="Arial"/>
          <w:sz w:val="20"/>
          <w:szCs w:val="20"/>
        </w:rPr>
      </w:pPr>
      <w:r w:rsidRPr="00B252E8">
        <w:rPr>
          <w:rFonts w:ascii="Arial" w:hAnsi="Arial" w:cs="Arial"/>
          <w:sz w:val="20"/>
          <w:szCs w:val="20"/>
        </w:rPr>
        <w:t xml:space="preserve">At paragraph </w:t>
      </w:r>
      <w:r w:rsidR="00530C0C" w:rsidRPr="00B252E8">
        <w:rPr>
          <w:rFonts w:ascii="Arial" w:hAnsi="Arial" w:cs="Arial"/>
          <w:sz w:val="20"/>
          <w:szCs w:val="20"/>
        </w:rPr>
        <w:t>4.10 and 4.11</w:t>
      </w:r>
      <w:r w:rsidRPr="00B252E8">
        <w:rPr>
          <w:rFonts w:ascii="Arial" w:hAnsi="Arial" w:cs="Arial"/>
          <w:sz w:val="20"/>
          <w:szCs w:val="20"/>
        </w:rPr>
        <w:t xml:space="preserve">, </w:t>
      </w:r>
      <w:r w:rsidR="00530C0C" w:rsidRPr="00B252E8">
        <w:rPr>
          <w:rFonts w:ascii="Arial" w:hAnsi="Arial" w:cs="Arial"/>
          <w:sz w:val="20"/>
          <w:szCs w:val="20"/>
        </w:rPr>
        <w:t>M</w:t>
      </w:r>
      <w:r w:rsidR="00641A7E" w:rsidRPr="00B252E8">
        <w:rPr>
          <w:rFonts w:ascii="Arial" w:hAnsi="Arial" w:cs="Arial"/>
          <w:sz w:val="20"/>
          <w:szCs w:val="20"/>
        </w:rPr>
        <w:t>r</w:t>
      </w:r>
      <w:r w:rsidR="00530C0C" w:rsidRPr="00B252E8">
        <w:rPr>
          <w:rFonts w:ascii="Arial" w:hAnsi="Arial" w:cs="Arial"/>
          <w:sz w:val="20"/>
          <w:szCs w:val="20"/>
        </w:rPr>
        <w:t xml:space="preserve"> Evans</w:t>
      </w:r>
      <w:r w:rsidRPr="00B252E8">
        <w:rPr>
          <w:rFonts w:ascii="Arial" w:hAnsi="Arial" w:cs="Arial"/>
          <w:sz w:val="20"/>
          <w:szCs w:val="20"/>
        </w:rPr>
        <w:t xml:space="preserve"> state</w:t>
      </w:r>
      <w:r w:rsidR="00530C0C" w:rsidRPr="00B252E8">
        <w:rPr>
          <w:rFonts w:ascii="Arial" w:hAnsi="Arial" w:cs="Arial"/>
          <w:sz w:val="20"/>
          <w:szCs w:val="20"/>
        </w:rPr>
        <w:t>s</w:t>
      </w:r>
      <w:r w:rsidR="00CA371A" w:rsidRPr="00B252E8">
        <w:rPr>
          <w:rFonts w:ascii="Arial" w:hAnsi="Arial" w:cs="Arial"/>
          <w:sz w:val="20"/>
          <w:szCs w:val="20"/>
        </w:rPr>
        <w:t xml:space="preserve"> that</w:t>
      </w:r>
      <w:r w:rsidRPr="00B252E8">
        <w:rPr>
          <w:rFonts w:ascii="Arial" w:hAnsi="Arial" w:cs="Arial"/>
          <w:sz w:val="20"/>
          <w:szCs w:val="20"/>
        </w:rPr>
        <w:t xml:space="preserve">: </w:t>
      </w:r>
    </w:p>
    <w:p w14:paraId="7D5DFA8A" w14:textId="77777777" w:rsidR="00530C0C" w:rsidRPr="00B252E8" w:rsidRDefault="00530C0C" w:rsidP="00530C0C">
      <w:pPr>
        <w:pStyle w:val="ListParagraph"/>
        <w:ind w:left="360"/>
      </w:pPr>
    </w:p>
    <w:p w14:paraId="6B53508C" w14:textId="77777777" w:rsidR="00530C0C" w:rsidRPr="00B252E8" w:rsidRDefault="00530C0C" w:rsidP="00530C0C">
      <w:pPr>
        <w:pStyle w:val="ListParagraph"/>
        <w:ind w:left="360"/>
        <w:rPr>
          <w:rFonts w:eastAsiaTheme="minorHAnsi"/>
          <w:i/>
          <w:iCs/>
        </w:rPr>
      </w:pPr>
      <w:r w:rsidRPr="00B252E8">
        <w:rPr>
          <w:rFonts w:eastAsiaTheme="minorHAnsi"/>
          <w:i/>
          <w:iCs/>
        </w:rPr>
        <w:t>4:10: The applicant’s HTVIA part 2 clearly shows in view 08 that due to the height of the proposed main tower, this block would be clearly visible in views from the public realm looking north. Another smaller block would then be seen to “fill in” the existing space between the pub and its neighbour to the north.</w:t>
      </w:r>
    </w:p>
    <w:p w14:paraId="7499BF38" w14:textId="77777777" w:rsidR="00530C0C" w:rsidRPr="00B252E8" w:rsidRDefault="00530C0C" w:rsidP="00530C0C">
      <w:pPr>
        <w:pStyle w:val="ListParagraph"/>
        <w:ind w:left="360"/>
        <w:rPr>
          <w:rFonts w:eastAsiaTheme="minorHAnsi"/>
          <w:i/>
          <w:iCs/>
        </w:rPr>
      </w:pPr>
    </w:p>
    <w:p w14:paraId="049C1244" w14:textId="77777777" w:rsidR="00530C0C" w:rsidRPr="00B252E8" w:rsidRDefault="00530C0C" w:rsidP="00530C0C">
      <w:pPr>
        <w:pStyle w:val="ListParagraph"/>
        <w:ind w:left="360"/>
        <w:rPr>
          <w:rFonts w:eastAsiaTheme="minorHAnsi"/>
          <w:i/>
          <w:iCs/>
        </w:rPr>
      </w:pPr>
      <w:r w:rsidRPr="00B252E8">
        <w:rPr>
          <w:rFonts w:eastAsiaTheme="minorHAnsi"/>
          <w:i/>
          <w:iCs/>
        </w:rPr>
        <w:t>4.11: Whilst no direct harm would be done to the heritage asset itself, I consider that its setting would be harmed and therefore that its significance within the streetscape and Cricklewood town Centre would be diminished by the visual intrusiveness of the proposal. The harm would be less than substantial under the NPPF.</w:t>
      </w:r>
    </w:p>
    <w:p w14:paraId="19896C27" w14:textId="77777777" w:rsidR="00B252E8" w:rsidRPr="00B252E8" w:rsidRDefault="00B252E8" w:rsidP="00B252E8">
      <w:pPr>
        <w:rPr>
          <w:rFonts w:ascii="Arial" w:hAnsi="Arial" w:cs="Arial"/>
          <w:sz w:val="20"/>
          <w:szCs w:val="20"/>
        </w:rPr>
      </w:pPr>
    </w:p>
    <w:p w14:paraId="0163CE86" w14:textId="1FF85405" w:rsidR="00530C0C" w:rsidRPr="00B252E8" w:rsidRDefault="00530C0C" w:rsidP="00B252E8">
      <w:pPr>
        <w:rPr>
          <w:rFonts w:ascii="Arial" w:hAnsi="Arial" w:cs="Arial"/>
          <w:sz w:val="20"/>
          <w:szCs w:val="20"/>
        </w:rPr>
      </w:pPr>
      <w:r w:rsidRPr="00B252E8">
        <w:rPr>
          <w:rFonts w:ascii="Arial" w:hAnsi="Arial" w:cs="Arial"/>
          <w:sz w:val="20"/>
          <w:szCs w:val="20"/>
        </w:rPr>
        <w:t>I would like to bring to the attention of Mr Evans the revised visuals that have been prepared and submitted with the appeal documentation</w:t>
      </w:r>
      <w:r w:rsidR="00D46A34" w:rsidRPr="00B252E8">
        <w:rPr>
          <w:rFonts w:ascii="Arial" w:hAnsi="Arial" w:cs="Arial"/>
          <w:sz w:val="20"/>
          <w:szCs w:val="20"/>
        </w:rPr>
        <w:t>.</w:t>
      </w:r>
    </w:p>
    <w:p w14:paraId="65D63C55" w14:textId="14BBF5CC" w:rsidR="00530C0C" w:rsidRPr="00B252E8" w:rsidRDefault="00530C0C" w:rsidP="00B252E8">
      <w:pPr>
        <w:rPr>
          <w:rFonts w:ascii="Arial" w:hAnsi="Arial" w:cs="Arial"/>
          <w:sz w:val="20"/>
          <w:szCs w:val="20"/>
        </w:rPr>
      </w:pPr>
      <w:r w:rsidRPr="00B252E8">
        <w:rPr>
          <w:rFonts w:ascii="Arial" w:hAnsi="Arial" w:cs="Arial"/>
          <w:sz w:val="20"/>
          <w:szCs w:val="20"/>
        </w:rPr>
        <w:t>The revised visuals, prepared according to methodology supplied by Cityscape, were included with the</w:t>
      </w:r>
      <w:r w:rsidR="00D75001" w:rsidRPr="00B252E8">
        <w:rPr>
          <w:rFonts w:ascii="Arial" w:hAnsi="Arial" w:cs="Arial"/>
          <w:sz w:val="20"/>
          <w:szCs w:val="20"/>
        </w:rPr>
        <w:t xml:space="preserve"> Applicant’s</w:t>
      </w:r>
      <w:r w:rsidRPr="00B252E8">
        <w:rPr>
          <w:rFonts w:ascii="Arial" w:hAnsi="Arial" w:cs="Arial"/>
          <w:sz w:val="20"/>
          <w:szCs w:val="20"/>
        </w:rPr>
        <w:t xml:space="preserve"> Statement of Case </w:t>
      </w:r>
      <w:r w:rsidR="00D75001" w:rsidRPr="00B252E8">
        <w:rPr>
          <w:rFonts w:ascii="Arial" w:hAnsi="Arial" w:cs="Arial"/>
          <w:sz w:val="20"/>
          <w:szCs w:val="20"/>
        </w:rPr>
        <w:t>[</w:t>
      </w:r>
      <w:r w:rsidR="00D75001" w:rsidRPr="00B252E8">
        <w:rPr>
          <w:rFonts w:ascii="Arial" w:hAnsi="Arial" w:cs="Arial"/>
          <w:b/>
          <w:bCs/>
          <w:sz w:val="20"/>
          <w:szCs w:val="20"/>
        </w:rPr>
        <w:t>CD1.01</w:t>
      </w:r>
      <w:r w:rsidR="00D75001" w:rsidRPr="00B252E8">
        <w:rPr>
          <w:rFonts w:ascii="Arial" w:hAnsi="Arial" w:cs="Arial"/>
          <w:sz w:val="20"/>
          <w:szCs w:val="20"/>
        </w:rPr>
        <w:t xml:space="preserve">] </w:t>
      </w:r>
      <w:r w:rsidRPr="00B252E8">
        <w:rPr>
          <w:rFonts w:ascii="Arial" w:hAnsi="Arial" w:cs="Arial"/>
          <w:sz w:val="20"/>
          <w:szCs w:val="20"/>
        </w:rPr>
        <w:t>as Appendix</w:t>
      </w:r>
      <w:r w:rsidR="005B7C1B" w:rsidRPr="00B252E8">
        <w:rPr>
          <w:rFonts w:ascii="Arial" w:hAnsi="Arial" w:cs="Arial"/>
          <w:sz w:val="20"/>
          <w:szCs w:val="20"/>
        </w:rPr>
        <w:t xml:space="preserve"> 8</w:t>
      </w:r>
      <w:r w:rsidR="007F046C" w:rsidRPr="00B252E8">
        <w:rPr>
          <w:rFonts w:ascii="Arial" w:hAnsi="Arial" w:cs="Arial"/>
          <w:sz w:val="20"/>
          <w:szCs w:val="20"/>
        </w:rPr>
        <w:t xml:space="preserve"> on 10 November 2022.</w:t>
      </w:r>
      <w:r w:rsidR="00D46A34" w:rsidRPr="00B252E8">
        <w:rPr>
          <w:rFonts w:ascii="Arial" w:hAnsi="Arial" w:cs="Arial"/>
          <w:sz w:val="20"/>
          <w:szCs w:val="20"/>
        </w:rPr>
        <w:t xml:space="preserve"> These revised visuals reflect the changes in height that were made to Building Plots A and C in July 2021 as presented before the members of your Council’s Planning Committee on 9 September 2021</w:t>
      </w:r>
      <w:r w:rsidR="00B252E8" w:rsidRPr="00B252E8">
        <w:rPr>
          <w:rFonts w:ascii="Arial" w:hAnsi="Arial" w:cs="Arial"/>
          <w:sz w:val="20"/>
          <w:szCs w:val="20"/>
        </w:rPr>
        <w:t>.</w:t>
      </w:r>
    </w:p>
    <w:p w14:paraId="716FD237" w14:textId="0B268446" w:rsidR="00530C0C" w:rsidRPr="00B252E8" w:rsidRDefault="00530C0C" w:rsidP="00B252E8">
      <w:pPr>
        <w:rPr>
          <w:rFonts w:ascii="Arial" w:hAnsi="Arial" w:cs="Arial"/>
          <w:sz w:val="20"/>
          <w:szCs w:val="20"/>
        </w:rPr>
      </w:pPr>
      <w:r w:rsidRPr="00B252E8">
        <w:rPr>
          <w:rFonts w:ascii="Arial" w:hAnsi="Arial" w:cs="Arial"/>
          <w:sz w:val="20"/>
          <w:szCs w:val="20"/>
        </w:rPr>
        <w:t xml:space="preserve">The visuals </w:t>
      </w:r>
      <w:r w:rsidR="007F046C" w:rsidRPr="00B252E8">
        <w:rPr>
          <w:rFonts w:ascii="Arial" w:hAnsi="Arial" w:cs="Arial"/>
          <w:sz w:val="20"/>
          <w:szCs w:val="20"/>
        </w:rPr>
        <w:t xml:space="preserve">included with the Statement of Case </w:t>
      </w:r>
      <w:r w:rsidRPr="00B252E8">
        <w:rPr>
          <w:rFonts w:ascii="Arial" w:hAnsi="Arial" w:cs="Arial"/>
          <w:sz w:val="20"/>
          <w:szCs w:val="20"/>
        </w:rPr>
        <w:t>show the appeal scheme modelled a</w:t>
      </w:r>
      <w:r w:rsidR="007F046C" w:rsidRPr="00B252E8">
        <w:rPr>
          <w:rFonts w:ascii="Arial" w:hAnsi="Arial" w:cs="Arial"/>
          <w:sz w:val="20"/>
          <w:szCs w:val="20"/>
        </w:rPr>
        <w:t xml:space="preserve">s verified views in wireline (AVR1). </w:t>
      </w:r>
    </w:p>
    <w:p w14:paraId="3317B762" w14:textId="77777777" w:rsidR="00B252E8" w:rsidRPr="00B252E8" w:rsidRDefault="007F046C" w:rsidP="00B252E8">
      <w:pPr>
        <w:rPr>
          <w:rFonts w:ascii="Arial" w:hAnsi="Arial" w:cs="Arial"/>
          <w:sz w:val="20"/>
          <w:szCs w:val="20"/>
        </w:rPr>
      </w:pPr>
      <w:r w:rsidRPr="00B252E8">
        <w:rPr>
          <w:rFonts w:ascii="Arial" w:hAnsi="Arial" w:cs="Arial"/>
          <w:sz w:val="20"/>
          <w:szCs w:val="20"/>
        </w:rPr>
        <w:t>The</w:t>
      </w:r>
      <w:r w:rsidR="00BF178A" w:rsidRPr="00B252E8">
        <w:rPr>
          <w:rFonts w:ascii="Arial" w:hAnsi="Arial" w:cs="Arial"/>
          <w:sz w:val="20"/>
          <w:szCs w:val="20"/>
        </w:rPr>
        <w:t>se</w:t>
      </w:r>
      <w:r w:rsidRPr="00B252E8">
        <w:rPr>
          <w:rFonts w:ascii="Arial" w:hAnsi="Arial" w:cs="Arial"/>
          <w:sz w:val="20"/>
          <w:szCs w:val="20"/>
        </w:rPr>
        <w:t xml:space="preserve"> visuals have also been updated as</w:t>
      </w:r>
      <w:r w:rsidR="00BF178A" w:rsidRPr="00B252E8">
        <w:rPr>
          <w:rFonts w:ascii="Arial" w:hAnsi="Arial" w:cs="Arial"/>
          <w:sz w:val="20"/>
          <w:szCs w:val="20"/>
        </w:rPr>
        <w:t xml:space="preserve"> full</w:t>
      </w:r>
      <w:r w:rsidRPr="00B252E8">
        <w:rPr>
          <w:rFonts w:ascii="Arial" w:hAnsi="Arial" w:cs="Arial"/>
          <w:sz w:val="20"/>
          <w:szCs w:val="20"/>
        </w:rPr>
        <w:t xml:space="preserve"> renders (AVR3) </w:t>
      </w:r>
      <w:r w:rsidR="00BF178A" w:rsidRPr="00B252E8">
        <w:rPr>
          <w:rFonts w:ascii="Arial" w:hAnsi="Arial" w:cs="Arial"/>
          <w:sz w:val="20"/>
          <w:szCs w:val="20"/>
        </w:rPr>
        <w:t xml:space="preserve">based on the illustrative scheme prepared by EPR </w:t>
      </w:r>
      <w:r w:rsidRPr="00B252E8">
        <w:rPr>
          <w:rFonts w:ascii="Arial" w:hAnsi="Arial" w:cs="Arial"/>
          <w:sz w:val="20"/>
          <w:szCs w:val="20"/>
        </w:rPr>
        <w:t xml:space="preserve">and included in Appendix </w:t>
      </w:r>
      <w:r w:rsidR="005B7C1B" w:rsidRPr="00B252E8">
        <w:rPr>
          <w:rFonts w:ascii="Arial" w:hAnsi="Arial" w:cs="Arial"/>
          <w:sz w:val="20"/>
          <w:szCs w:val="20"/>
        </w:rPr>
        <w:t>2</w:t>
      </w:r>
      <w:r w:rsidRPr="00B252E8">
        <w:rPr>
          <w:rFonts w:ascii="Arial" w:hAnsi="Arial" w:cs="Arial"/>
          <w:sz w:val="20"/>
          <w:szCs w:val="20"/>
        </w:rPr>
        <w:t xml:space="preserve"> to </w:t>
      </w:r>
      <w:r w:rsidR="00D46A34" w:rsidRPr="00B252E8">
        <w:rPr>
          <w:rFonts w:ascii="Arial" w:hAnsi="Arial" w:cs="Arial"/>
          <w:sz w:val="20"/>
          <w:szCs w:val="20"/>
        </w:rPr>
        <w:t>my proof of evidence</w:t>
      </w:r>
      <w:r w:rsidR="00D75001" w:rsidRPr="00B252E8">
        <w:rPr>
          <w:rFonts w:ascii="Arial" w:hAnsi="Arial" w:cs="Arial"/>
          <w:sz w:val="20"/>
          <w:szCs w:val="20"/>
        </w:rPr>
        <w:t xml:space="preserve"> [</w:t>
      </w:r>
      <w:r w:rsidR="00D75001" w:rsidRPr="00B252E8">
        <w:rPr>
          <w:rFonts w:ascii="Arial" w:hAnsi="Arial" w:cs="Arial"/>
          <w:b/>
          <w:bCs/>
          <w:sz w:val="20"/>
          <w:szCs w:val="20"/>
        </w:rPr>
        <w:t>APP/2/C</w:t>
      </w:r>
      <w:r w:rsidR="00D75001" w:rsidRPr="00B252E8">
        <w:rPr>
          <w:rFonts w:ascii="Arial" w:hAnsi="Arial" w:cs="Arial"/>
          <w:sz w:val="20"/>
          <w:szCs w:val="20"/>
        </w:rPr>
        <w:t>]</w:t>
      </w:r>
      <w:r w:rsidRPr="00B252E8">
        <w:rPr>
          <w:rFonts w:ascii="Arial" w:hAnsi="Arial" w:cs="Arial"/>
          <w:sz w:val="20"/>
          <w:szCs w:val="20"/>
        </w:rPr>
        <w:t>.</w:t>
      </w:r>
      <w:r w:rsidR="00D46A34" w:rsidRPr="00B252E8">
        <w:rPr>
          <w:rFonts w:ascii="Arial" w:hAnsi="Arial" w:cs="Arial"/>
          <w:sz w:val="20"/>
          <w:szCs w:val="20"/>
        </w:rPr>
        <w:t xml:space="preserve"> These revised views also form the basis for the assessment in the revised EIA Statement of Conformity (January 2023) [</w:t>
      </w:r>
      <w:r w:rsidR="00D46A34" w:rsidRPr="00B252E8">
        <w:rPr>
          <w:rFonts w:ascii="Arial" w:hAnsi="Arial" w:cs="Arial"/>
          <w:b/>
          <w:bCs/>
          <w:sz w:val="20"/>
          <w:szCs w:val="20"/>
        </w:rPr>
        <w:t>CDL.02</w:t>
      </w:r>
      <w:r w:rsidR="00D46A34" w:rsidRPr="00B252E8">
        <w:rPr>
          <w:rFonts w:ascii="Arial" w:hAnsi="Arial" w:cs="Arial"/>
          <w:sz w:val="20"/>
          <w:szCs w:val="20"/>
        </w:rPr>
        <w:t>].</w:t>
      </w:r>
    </w:p>
    <w:p w14:paraId="4332BF6C" w14:textId="79BFD87A" w:rsidR="005613CA" w:rsidRPr="00B252E8" w:rsidRDefault="00D46A34" w:rsidP="00B252E8">
      <w:pPr>
        <w:rPr>
          <w:rFonts w:ascii="Arial" w:hAnsi="Arial" w:cs="Arial"/>
          <w:sz w:val="20"/>
          <w:szCs w:val="20"/>
        </w:rPr>
      </w:pPr>
      <w:r w:rsidRPr="00B252E8">
        <w:rPr>
          <w:rFonts w:ascii="Arial" w:hAnsi="Arial" w:cs="Arial"/>
          <w:sz w:val="20"/>
          <w:szCs w:val="20"/>
        </w:rPr>
        <w:t xml:space="preserve">I wish to confirm in this rebuttal that the revised View 08 included in the pack at Appendix 2 shows that the proposed development would not be seen above the roofline of the Crown Public House. </w:t>
      </w:r>
    </w:p>
    <w:p w14:paraId="7CDE7CD1" w14:textId="77777777" w:rsidR="005613CA" w:rsidRDefault="005613CA" w:rsidP="00530C0C">
      <w:pPr>
        <w:pStyle w:val="ListParagraph"/>
        <w:ind w:left="360"/>
      </w:pPr>
    </w:p>
    <w:p w14:paraId="1DB3E1DA" w14:textId="5DF4DF82" w:rsidR="003723EA" w:rsidRPr="00CA371A" w:rsidRDefault="00530C0C" w:rsidP="00CA371A">
      <w:pPr>
        <w:rPr>
          <w:rFonts w:ascii="Arial" w:hAnsi="Arial"/>
          <w:sz w:val="20"/>
        </w:rPr>
      </w:pPr>
      <w:r>
        <w:rPr>
          <w:rFonts w:ascii="Arial" w:hAnsi="Arial"/>
          <w:sz w:val="20"/>
        </w:rPr>
        <w:t>---------------------------------------------------------------------------------------</w:t>
      </w:r>
    </w:p>
    <w:p w14:paraId="1CD47ECF" w14:textId="00D64606" w:rsidR="00CA371A" w:rsidRDefault="003723EA" w:rsidP="003723EA">
      <w:pPr>
        <w:spacing w:after="0" w:line="312" w:lineRule="auto"/>
        <w:ind w:right="340"/>
        <w:contextualSpacing/>
        <w:jc w:val="both"/>
        <w:rPr>
          <w:noProof/>
          <w:lang w:eastAsia="en-GB"/>
        </w:rPr>
      </w:pPr>
      <w:r w:rsidRPr="00B35E06">
        <w:rPr>
          <w:noProof/>
          <w:lang w:eastAsia="en-GB"/>
        </w:rPr>
        <w:drawing>
          <wp:inline distT="0" distB="0" distL="0" distR="0" wp14:anchorId="37490B7A" wp14:editId="084A231D">
            <wp:extent cx="2152650" cy="61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579" cy="618791"/>
                    </a:xfrm>
                    <a:prstGeom prst="rect">
                      <a:avLst/>
                    </a:prstGeom>
                    <a:noFill/>
                    <a:ln>
                      <a:noFill/>
                    </a:ln>
                  </pic:spPr>
                </pic:pic>
              </a:graphicData>
            </a:graphic>
          </wp:inline>
        </w:drawing>
      </w:r>
    </w:p>
    <w:p w14:paraId="3B791B9C" w14:textId="77777777" w:rsidR="003723EA" w:rsidRPr="009A76F2" w:rsidRDefault="003723EA" w:rsidP="003723EA">
      <w:pPr>
        <w:spacing w:after="0" w:line="312" w:lineRule="auto"/>
        <w:ind w:right="340"/>
        <w:contextualSpacing/>
        <w:jc w:val="both"/>
        <w:rPr>
          <w:b/>
          <w:sz w:val="18"/>
          <w:szCs w:val="18"/>
        </w:rPr>
      </w:pPr>
    </w:p>
    <w:p w14:paraId="7ED09206" w14:textId="77777777" w:rsidR="00CA371A" w:rsidRPr="00CA371A" w:rsidRDefault="00CA371A" w:rsidP="00CA371A">
      <w:pPr>
        <w:rPr>
          <w:rFonts w:ascii="Arial" w:hAnsi="Arial"/>
          <w:b/>
          <w:bCs/>
          <w:sz w:val="20"/>
        </w:rPr>
      </w:pPr>
      <w:r w:rsidRPr="00CA371A">
        <w:rPr>
          <w:rFonts w:ascii="Arial" w:hAnsi="Arial"/>
          <w:b/>
          <w:bCs/>
          <w:sz w:val="20"/>
        </w:rPr>
        <w:t>Dr Chris Miele, Partner</w:t>
      </w:r>
    </w:p>
    <w:p w14:paraId="227EE213" w14:textId="77777777" w:rsidR="00CA371A" w:rsidRPr="00CA371A" w:rsidRDefault="00CA371A" w:rsidP="00CA371A">
      <w:pPr>
        <w:rPr>
          <w:rFonts w:ascii="Arial" w:hAnsi="Arial"/>
          <w:b/>
          <w:bCs/>
          <w:sz w:val="20"/>
        </w:rPr>
      </w:pPr>
      <w:r w:rsidRPr="00CA371A">
        <w:rPr>
          <w:rFonts w:ascii="Arial" w:hAnsi="Arial"/>
          <w:b/>
          <w:bCs/>
          <w:sz w:val="20"/>
        </w:rPr>
        <w:t>Montagu Evans LLP</w:t>
      </w:r>
    </w:p>
    <w:p w14:paraId="08728CC4" w14:textId="4DEB4245" w:rsidR="00435007" w:rsidRPr="00B252E8" w:rsidRDefault="00CA371A">
      <w:pPr>
        <w:rPr>
          <w:rFonts w:ascii="Arial" w:hAnsi="Arial"/>
          <w:sz w:val="20"/>
        </w:rPr>
      </w:pPr>
      <w:r w:rsidRPr="00CA371A">
        <w:rPr>
          <w:rFonts w:ascii="Arial" w:hAnsi="Arial"/>
          <w:b/>
          <w:bCs/>
          <w:sz w:val="20"/>
        </w:rPr>
        <w:t>Office</w:t>
      </w:r>
      <w:r w:rsidRPr="00CA371A">
        <w:rPr>
          <w:rFonts w:ascii="Arial" w:hAnsi="Arial"/>
          <w:sz w:val="20"/>
        </w:rPr>
        <w:t xml:space="preserve">: 70 St Mary Axe, London EC3A 8BE </w:t>
      </w:r>
    </w:p>
    <w:sectPr w:rsidR="00435007" w:rsidRPr="00B252E8" w:rsidSect="004524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0C91" w14:textId="77777777" w:rsidR="00FA4B5C" w:rsidRDefault="00FA4B5C" w:rsidP="00FA4B5C">
      <w:pPr>
        <w:spacing w:after="0" w:line="240" w:lineRule="auto"/>
      </w:pPr>
      <w:r>
        <w:separator/>
      </w:r>
    </w:p>
  </w:endnote>
  <w:endnote w:type="continuationSeparator" w:id="0">
    <w:p w14:paraId="441A6318" w14:textId="77777777" w:rsidR="00FA4B5C" w:rsidRDefault="00FA4B5C" w:rsidP="00FA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876A" w14:textId="77777777" w:rsidR="004524EB" w:rsidRDefault="00452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ADD0" w14:textId="56668539" w:rsidR="004524EB" w:rsidRDefault="004524EB" w:rsidP="004524EB">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Pr="004524EB">
      <w:rPr>
        <w:rFonts w:ascii="Arial" w:hAnsi="Arial" w:cs="Arial"/>
        <w:sz w:val="16"/>
      </w:rPr>
      <w:t>4141-7547-1429,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1D0" w14:textId="77777777" w:rsidR="004524EB" w:rsidRDefault="00452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2196" w14:textId="77777777" w:rsidR="00FA4B5C" w:rsidRDefault="00FA4B5C" w:rsidP="00FA4B5C">
      <w:pPr>
        <w:spacing w:after="0" w:line="240" w:lineRule="auto"/>
      </w:pPr>
      <w:r>
        <w:separator/>
      </w:r>
    </w:p>
  </w:footnote>
  <w:footnote w:type="continuationSeparator" w:id="0">
    <w:p w14:paraId="2902AE01" w14:textId="77777777" w:rsidR="00FA4B5C" w:rsidRDefault="00FA4B5C" w:rsidP="00FA4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BE99" w14:textId="77777777" w:rsidR="004524EB" w:rsidRDefault="00452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A224" w14:textId="58FC5EA5" w:rsidR="00FA4B5C" w:rsidRDefault="00FA4B5C" w:rsidP="00FA4B5C">
    <w:pPr>
      <w:pStyle w:val="Header"/>
      <w:jc w:val="right"/>
    </w:pPr>
    <w:r>
      <w:rPr>
        <w:noProof/>
      </w:rPr>
      <w:drawing>
        <wp:inline distT="0" distB="0" distL="0" distR="0" wp14:anchorId="66ABAD15" wp14:editId="0993E44D">
          <wp:extent cx="1548264" cy="458338"/>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783" cy="46411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4B94" w14:textId="77777777" w:rsidR="004524EB" w:rsidRDefault="00452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60BF"/>
    <w:multiLevelType w:val="multilevel"/>
    <w:tmpl w:val="73D4E5AE"/>
    <w:lvl w:ilvl="0">
      <w:start w:val="6"/>
      <w:numFmt w:val="decimal"/>
      <w:lvlText w:val="%1.0"/>
      <w:lvlJc w:val="left"/>
      <w:pPr>
        <w:ind w:left="855" w:hanging="855"/>
      </w:pPr>
      <w:rPr>
        <w:rFonts w:hint="default"/>
        <w:sz w:val="50"/>
        <w:szCs w:val="50"/>
      </w:rPr>
    </w:lvl>
    <w:lvl w:ilvl="1">
      <w:start w:val="1"/>
      <w:numFmt w:val="decimal"/>
      <w:lvlText w:val="10.%2"/>
      <w:lvlJc w:val="left"/>
      <w:pPr>
        <w:ind w:left="644" w:hanging="360"/>
      </w:pPr>
      <w:rPr>
        <w:rFonts w:hint="default"/>
        <w:i w:val="0"/>
        <w:iCs w:val="0"/>
      </w:rPr>
    </w:lvl>
    <w:lvl w:ilvl="2">
      <w:start w:val="1"/>
      <w:numFmt w:val="decimal"/>
      <w:lvlText w:val="%1.%2.%3"/>
      <w:lvlJc w:val="left"/>
      <w:pPr>
        <w:ind w:left="2295" w:hanging="855"/>
      </w:pPr>
      <w:rPr>
        <w:rFonts w:hint="default"/>
      </w:rPr>
    </w:lvl>
    <w:lvl w:ilvl="3">
      <w:start w:val="1"/>
      <w:numFmt w:val="decimal"/>
      <w:lvlText w:val="%1.%2.%3.%4"/>
      <w:lvlJc w:val="left"/>
      <w:pPr>
        <w:ind w:left="3015" w:hanging="855"/>
      </w:pPr>
      <w:rPr>
        <w:rFonts w:hint="default"/>
      </w:rPr>
    </w:lvl>
    <w:lvl w:ilvl="4">
      <w:start w:val="1"/>
      <w:numFmt w:val="decimal"/>
      <w:lvlText w:val="%1.%2.%3.%4.%5"/>
      <w:lvlJc w:val="left"/>
      <w:pPr>
        <w:ind w:left="3735" w:hanging="85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7AE2E65"/>
    <w:multiLevelType w:val="hybridMultilevel"/>
    <w:tmpl w:val="341C7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680B52"/>
    <w:multiLevelType w:val="hybridMultilevel"/>
    <w:tmpl w:val="7AF8D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1F27E27"/>
    <w:multiLevelType w:val="multilevel"/>
    <w:tmpl w:val="66CAC3E6"/>
    <w:lvl w:ilvl="0">
      <w:start w:val="6"/>
      <w:numFmt w:val="decimal"/>
      <w:lvlText w:val="%1.0"/>
      <w:lvlJc w:val="left"/>
      <w:pPr>
        <w:ind w:left="855" w:hanging="855"/>
      </w:pPr>
      <w:rPr>
        <w:rFonts w:hint="default"/>
        <w:sz w:val="50"/>
        <w:szCs w:val="50"/>
      </w:rPr>
    </w:lvl>
    <w:lvl w:ilvl="1">
      <w:start w:val="1"/>
      <w:numFmt w:val="decimal"/>
      <w:lvlText w:val="7.%2"/>
      <w:lvlJc w:val="left"/>
      <w:pPr>
        <w:ind w:left="360" w:hanging="360"/>
      </w:pPr>
      <w:rPr>
        <w:rFonts w:hint="default"/>
        <w:b w:val="0"/>
        <w:sz w:val="18"/>
        <w:szCs w:val="18"/>
      </w:rPr>
    </w:lvl>
    <w:lvl w:ilvl="2">
      <w:start w:val="1"/>
      <w:numFmt w:val="decimal"/>
      <w:lvlText w:val="%1.%2.%3"/>
      <w:lvlJc w:val="left"/>
      <w:pPr>
        <w:ind w:left="2295" w:hanging="855"/>
      </w:pPr>
      <w:rPr>
        <w:rFonts w:hint="default"/>
      </w:rPr>
    </w:lvl>
    <w:lvl w:ilvl="3">
      <w:start w:val="1"/>
      <w:numFmt w:val="decimal"/>
      <w:lvlText w:val="%1.%2.%3.%4"/>
      <w:lvlJc w:val="left"/>
      <w:pPr>
        <w:ind w:left="3015" w:hanging="855"/>
      </w:pPr>
      <w:rPr>
        <w:rFonts w:hint="default"/>
      </w:rPr>
    </w:lvl>
    <w:lvl w:ilvl="4">
      <w:start w:val="1"/>
      <w:numFmt w:val="decimal"/>
      <w:lvlText w:val="%1.%2.%3.%4.%5"/>
      <w:lvlJc w:val="left"/>
      <w:pPr>
        <w:ind w:left="3735" w:hanging="85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41E26B2"/>
    <w:multiLevelType w:val="hybridMultilevel"/>
    <w:tmpl w:val="2A60F7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9043E5"/>
    <w:multiLevelType w:val="hybridMultilevel"/>
    <w:tmpl w:val="E9027420"/>
    <w:lvl w:ilvl="0" w:tplc="F2F2D7B8">
      <w:start w:val="1"/>
      <w:numFmt w:val="decimal"/>
      <w:lvlText w:val="12.%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028303">
    <w:abstractNumId w:val="3"/>
  </w:num>
  <w:num w:numId="2" w16cid:durableId="465197849">
    <w:abstractNumId w:val="0"/>
  </w:num>
  <w:num w:numId="3" w16cid:durableId="2080401201">
    <w:abstractNumId w:val="5"/>
  </w:num>
  <w:num w:numId="4" w16cid:durableId="38089455">
    <w:abstractNumId w:val="1"/>
  </w:num>
  <w:num w:numId="5" w16cid:durableId="1136143258">
    <w:abstractNumId w:val="4"/>
  </w:num>
  <w:num w:numId="6" w16cid:durableId="1004090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41-7547-1429, v. 1"/>
    <w:docVar w:name="ndGeneratedStampLocation" w:val="EachPage"/>
  </w:docVars>
  <w:rsids>
    <w:rsidRoot w:val="00C36FB2"/>
    <w:rsid w:val="00010098"/>
    <w:rsid w:val="000552D7"/>
    <w:rsid w:val="000B6326"/>
    <w:rsid w:val="00162D0F"/>
    <w:rsid w:val="00192A1C"/>
    <w:rsid w:val="001F4125"/>
    <w:rsid w:val="003723EA"/>
    <w:rsid w:val="003F1FC7"/>
    <w:rsid w:val="00425B5A"/>
    <w:rsid w:val="00435007"/>
    <w:rsid w:val="004524EB"/>
    <w:rsid w:val="004D39BB"/>
    <w:rsid w:val="004F1782"/>
    <w:rsid w:val="00530C0C"/>
    <w:rsid w:val="00542314"/>
    <w:rsid w:val="005541A5"/>
    <w:rsid w:val="005613CA"/>
    <w:rsid w:val="005B3195"/>
    <w:rsid w:val="005B6F05"/>
    <w:rsid w:val="005B7C1B"/>
    <w:rsid w:val="00641A7E"/>
    <w:rsid w:val="00733DF5"/>
    <w:rsid w:val="00764A08"/>
    <w:rsid w:val="007718E3"/>
    <w:rsid w:val="00783B2D"/>
    <w:rsid w:val="007F046C"/>
    <w:rsid w:val="00814328"/>
    <w:rsid w:val="00822192"/>
    <w:rsid w:val="0083365E"/>
    <w:rsid w:val="00850927"/>
    <w:rsid w:val="008A7CD4"/>
    <w:rsid w:val="00B252E8"/>
    <w:rsid w:val="00BF178A"/>
    <w:rsid w:val="00C36FB2"/>
    <w:rsid w:val="00CA371A"/>
    <w:rsid w:val="00CD6BED"/>
    <w:rsid w:val="00D46A34"/>
    <w:rsid w:val="00D75001"/>
    <w:rsid w:val="00DD1AF7"/>
    <w:rsid w:val="00FA4B5C"/>
    <w:rsid w:val="00FE0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BC78"/>
  <w15:chartTrackingRefBased/>
  <w15:docId w15:val="{69271D15-ABEB-48AD-9B8C-950A9A0D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A371A"/>
    <w:pPr>
      <w:keepNext/>
      <w:keepLines/>
      <w:pageBreakBefore/>
      <w:spacing w:after="360" w:line="640" w:lineRule="exact"/>
      <w:outlineLvl w:val="0"/>
    </w:pPr>
    <w:rPr>
      <w:rFonts w:ascii="Arial Bold" w:eastAsiaTheme="majorEastAsia" w:hAnsi="Arial Bold" w:cstheme="majorBidi"/>
      <w:b/>
      <w:caps/>
      <w:color w:val="000000"/>
      <w:spacing w:val="-30"/>
      <w:sz w:val="6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5C"/>
  </w:style>
  <w:style w:type="paragraph" w:styleId="Footer">
    <w:name w:val="footer"/>
    <w:basedOn w:val="Normal"/>
    <w:link w:val="FooterChar"/>
    <w:uiPriority w:val="99"/>
    <w:unhideWhenUsed/>
    <w:rsid w:val="00FA4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5C"/>
  </w:style>
  <w:style w:type="paragraph" w:styleId="ListParagraph">
    <w:name w:val="List Paragraph"/>
    <w:basedOn w:val="Normal"/>
    <w:uiPriority w:val="34"/>
    <w:qFormat/>
    <w:rsid w:val="005B6F05"/>
    <w:pPr>
      <w:spacing w:after="0" w:line="240" w:lineRule="auto"/>
      <w:ind w:left="720"/>
      <w:contextualSpacing/>
    </w:pPr>
    <w:rPr>
      <w:rFonts w:ascii="Arial" w:eastAsia="Times New Roman" w:hAnsi="Arial" w:cs="Arial"/>
      <w:sz w:val="20"/>
      <w:szCs w:val="20"/>
    </w:rPr>
  </w:style>
  <w:style w:type="character" w:customStyle="1" w:styleId="Heading1Char">
    <w:name w:val="Heading 1 Char"/>
    <w:basedOn w:val="DefaultParagraphFont"/>
    <w:link w:val="Heading1"/>
    <w:rsid w:val="00CA371A"/>
    <w:rPr>
      <w:rFonts w:ascii="Arial Bold" w:eastAsiaTheme="majorEastAsia" w:hAnsi="Arial Bold" w:cstheme="majorBidi"/>
      <w:b/>
      <w:caps/>
      <w:color w:val="000000"/>
      <w:spacing w:val="-30"/>
      <w:sz w:val="68"/>
      <w:szCs w:val="32"/>
    </w:rPr>
  </w:style>
  <w:style w:type="paragraph" w:styleId="Revision">
    <w:name w:val="Revision"/>
    <w:hidden/>
    <w:uiPriority w:val="99"/>
    <w:semiHidden/>
    <w:rsid w:val="00641A7E"/>
    <w:pPr>
      <w:spacing w:after="0" w:line="240" w:lineRule="auto"/>
    </w:pPr>
  </w:style>
  <w:style w:type="character" w:styleId="CommentReference">
    <w:name w:val="annotation reference"/>
    <w:basedOn w:val="DefaultParagraphFont"/>
    <w:uiPriority w:val="99"/>
    <w:semiHidden/>
    <w:unhideWhenUsed/>
    <w:rsid w:val="00641A7E"/>
    <w:rPr>
      <w:sz w:val="16"/>
      <w:szCs w:val="16"/>
    </w:rPr>
  </w:style>
  <w:style w:type="paragraph" w:styleId="CommentText">
    <w:name w:val="annotation text"/>
    <w:basedOn w:val="Normal"/>
    <w:link w:val="CommentTextChar"/>
    <w:uiPriority w:val="99"/>
    <w:unhideWhenUsed/>
    <w:rsid w:val="00641A7E"/>
    <w:pPr>
      <w:spacing w:line="240" w:lineRule="auto"/>
    </w:pPr>
    <w:rPr>
      <w:sz w:val="20"/>
      <w:szCs w:val="20"/>
    </w:rPr>
  </w:style>
  <w:style w:type="character" w:customStyle="1" w:styleId="CommentTextChar">
    <w:name w:val="Comment Text Char"/>
    <w:basedOn w:val="DefaultParagraphFont"/>
    <w:link w:val="CommentText"/>
    <w:uiPriority w:val="99"/>
    <w:rsid w:val="00641A7E"/>
    <w:rPr>
      <w:sz w:val="20"/>
      <w:szCs w:val="20"/>
    </w:rPr>
  </w:style>
  <w:style w:type="paragraph" w:styleId="CommentSubject">
    <w:name w:val="annotation subject"/>
    <w:basedOn w:val="CommentText"/>
    <w:next w:val="CommentText"/>
    <w:link w:val="CommentSubjectChar"/>
    <w:uiPriority w:val="99"/>
    <w:semiHidden/>
    <w:unhideWhenUsed/>
    <w:rsid w:val="00641A7E"/>
    <w:rPr>
      <w:b/>
      <w:bCs/>
    </w:rPr>
  </w:style>
  <w:style w:type="character" w:customStyle="1" w:styleId="CommentSubjectChar">
    <w:name w:val="Comment Subject Char"/>
    <w:basedOn w:val="CommentTextChar"/>
    <w:link w:val="CommentSubject"/>
    <w:uiPriority w:val="99"/>
    <w:semiHidden/>
    <w:rsid w:val="00641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Miele</dc:creator>
  <cp:keywords/>
  <dc:description/>
  <cp:lastModifiedBy>Town Legal</cp:lastModifiedBy>
  <cp:revision>2</cp:revision>
  <cp:lastPrinted>2023-01-24T11:26:00Z</cp:lastPrinted>
  <dcterms:created xsi:type="dcterms:W3CDTF">2023-01-31T11:39:00Z</dcterms:created>
  <dcterms:modified xsi:type="dcterms:W3CDTF">2023-01-31T11:39:00Z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18928-5a79-46f2-909c-7b3fe7c78578_Enabled">
    <vt:lpwstr>true</vt:lpwstr>
  </property>
  <property fmtid="{D5CDD505-2E9C-101B-9397-08002B2CF9AE}" pid="3" name="MSIP_Label_a4218928-5a79-46f2-909c-7b3fe7c78578_SetDate">
    <vt:lpwstr>2023-01-24T11:11:51Z</vt:lpwstr>
  </property>
  <property fmtid="{D5CDD505-2E9C-101B-9397-08002B2CF9AE}" pid="4" name="MSIP_Label_a4218928-5a79-46f2-909c-7b3fe7c78578_Method">
    <vt:lpwstr>Standard</vt:lpwstr>
  </property>
  <property fmtid="{D5CDD505-2E9C-101B-9397-08002B2CF9AE}" pid="5" name="MSIP_Label_a4218928-5a79-46f2-909c-7b3fe7c78578_Name">
    <vt:lpwstr>Montagu Evans Confidential</vt:lpwstr>
  </property>
  <property fmtid="{D5CDD505-2E9C-101B-9397-08002B2CF9AE}" pid="6" name="MSIP_Label_a4218928-5a79-46f2-909c-7b3fe7c78578_SiteId">
    <vt:lpwstr>cf23ab9a-1a2c-4b5d-8a9e-a102c4eab5ff</vt:lpwstr>
  </property>
  <property fmtid="{D5CDD505-2E9C-101B-9397-08002B2CF9AE}" pid="7" name="MSIP_Label_a4218928-5a79-46f2-909c-7b3fe7c78578_ActionId">
    <vt:lpwstr>865b8c86-592f-45bb-946c-89a7451471f3</vt:lpwstr>
  </property>
  <property fmtid="{D5CDD505-2E9C-101B-9397-08002B2CF9AE}" pid="8" name="MSIP_Label_a4218928-5a79-46f2-909c-7b3fe7c78578_ContentBits">
    <vt:lpwstr>0</vt:lpwstr>
  </property>
</Properties>
</file>