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A0F8" w14:textId="468FD396" w:rsidR="00E97BB9" w:rsidRDefault="00E97BB9" w:rsidP="00E97BB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B&amp;Q, Cricklewood Lane - Call-in Inquiry</w:t>
      </w:r>
    </w:p>
    <w:p w14:paraId="019F2822" w14:textId="77777777" w:rsidR="00E97BB9" w:rsidRDefault="00E97BB9" w:rsidP="00E97BB9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25454906"/>
      <w:r>
        <w:rPr>
          <w:rFonts w:ascii="Arial" w:hAnsi="Arial" w:cs="Arial"/>
          <w:b/>
          <w:bCs/>
          <w:sz w:val="20"/>
          <w:szCs w:val="20"/>
        </w:rPr>
        <w:t>LPA Ref. 20/3564/OUT</w:t>
      </w:r>
    </w:p>
    <w:p w14:paraId="51D35241" w14:textId="77777777" w:rsidR="00E97BB9" w:rsidRDefault="00E97BB9" w:rsidP="00E97BB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PINS Ref. APP/N5090/V/22/3307073</w:t>
      </w:r>
      <w:bookmarkEnd w:id="0"/>
    </w:p>
    <w:p w14:paraId="013FC3FC" w14:textId="20FFDDC0" w:rsidR="00B26327" w:rsidRDefault="005160E5" w:rsidP="00E97BB9">
      <w:pPr>
        <w:jc w:val="center"/>
        <w:rPr>
          <w:b/>
        </w:rPr>
      </w:pPr>
      <w:r w:rsidRPr="005160E5">
        <w:rPr>
          <w:b/>
        </w:rPr>
        <w:t xml:space="preserve">Draft Agenda for Round Table </w:t>
      </w:r>
      <w:r>
        <w:rPr>
          <w:b/>
        </w:rPr>
        <w:t>Session on</w:t>
      </w:r>
      <w:r w:rsidRPr="005160E5">
        <w:rPr>
          <w:b/>
        </w:rPr>
        <w:t xml:space="preserve"> the Historic Environment and the Effect of the Proposal on the Character and Appearance of the Area</w:t>
      </w:r>
    </w:p>
    <w:p w14:paraId="12032D1B" w14:textId="77777777" w:rsidR="00A04D21" w:rsidRDefault="00A04D21" w:rsidP="00E97BB9">
      <w:pPr>
        <w:jc w:val="center"/>
        <w:rPr>
          <w:b/>
        </w:rPr>
      </w:pPr>
    </w:p>
    <w:p w14:paraId="064E476F" w14:textId="6B6D4678" w:rsidR="005160E5" w:rsidRDefault="00797588" w:rsidP="00F07FE8">
      <w:pPr>
        <w:pStyle w:val="ListParagraph"/>
        <w:numPr>
          <w:ilvl w:val="0"/>
          <w:numId w:val="2"/>
        </w:numPr>
        <w:rPr>
          <w:b/>
        </w:rPr>
      </w:pPr>
      <w:r w:rsidRPr="003B7D67">
        <w:rPr>
          <w:b/>
        </w:rPr>
        <w:t xml:space="preserve">The relevant </w:t>
      </w:r>
      <w:r w:rsidR="00CF5923" w:rsidRPr="003B7D67">
        <w:rPr>
          <w:b/>
        </w:rPr>
        <w:t xml:space="preserve">legislative background and </w:t>
      </w:r>
      <w:r w:rsidRPr="003B7D67">
        <w:rPr>
          <w:b/>
        </w:rPr>
        <w:t>Planning policy</w:t>
      </w:r>
      <w:r w:rsidR="00CF5923" w:rsidRPr="003B7D67">
        <w:rPr>
          <w:b/>
        </w:rPr>
        <w:t xml:space="preserve"> framework</w:t>
      </w:r>
    </w:p>
    <w:p w14:paraId="5A355976" w14:textId="77777777" w:rsidR="00F07FE8" w:rsidRPr="003B7D67" w:rsidRDefault="00F07FE8" w:rsidP="003B7D67">
      <w:pPr>
        <w:pStyle w:val="ListParagraph"/>
        <w:rPr>
          <w:b/>
        </w:rPr>
      </w:pPr>
    </w:p>
    <w:p w14:paraId="75BC8C1A" w14:textId="33225D8E" w:rsidR="00797588" w:rsidRPr="00F07FE8" w:rsidRDefault="00CF5923" w:rsidP="00DD396C">
      <w:pPr>
        <w:pStyle w:val="ListParagraph"/>
        <w:numPr>
          <w:ilvl w:val="0"/>
          <w:numId w:val="3"/>
        </w:numPr>
        <w:ind w:left="1134"/>
        <w:rPr>
          <w:bCs/>
        </w:rPr>
      </w:pPr>
      <w:r w:rsidRPr="00F07FE8">
        <w:rPr>
          <w:bCs/>
        </w:rPr>
        <w:t xml:space="preserve">The planning designations pertaining to the </w:t>
      </w:r>
      <w:proofErr w:type="gramStart"/>
      <w:r w:rsidRPr="00F07FE8">
        <w:rPr>
          <w:bCs/>
        </w:rPr>
        <w:t>site</w:t>
      </w:r>
      <w:proofErr w:type="gramEnd"/>
      <w:r w:rsidR="00F07FE8" w:rsidRPr="00F07FE8">
        <w:rPr>
          <w:bCs/>
        </w:rPr>
        <w:t xml:space="preserve"> </w:t>
      </w:r>
    </w:p>
    <w:p w14:paraId="78E57615" w14:textId="77777777" w:rsidR="00477C28" w:rsidRDefault="00CF5923" w:rsidP="00DD396C">
      <w:pPr>
        <w:pStyle w:val="ListParagraph"/>
        <w:numPr>
          <w:ilvl w:val="0"/>
          <w:numId w:val="3"/>
        </w:numPr>
        <w:ind w:left="1134"/>
        <w:rPr>
          <w:bCs/>
        </w:rPr>
      </w:pPr>
      <w:r w:rsidRPr="00F07FE8">
        <w:rPr>
          <w:bCs/>
        </w:rPr>
        <w:t xml:space="preserve">The emerging policy </w:t>
      </w:r>
      <w:r w:rsidR="00F07FE8" w:rsidRPr="00F07FE8">
        <w:rPr>
          <w:bCs/>
        </w:rPr>
        <w:t>designations pertaining to the site</w:t>
      </w:r>
      <w:r w:rsidR="00B24DAF">
        <w:rPr>
          <w:bCs/>
        </w:rPr>
        <w:t xml:space="preserve"> (specifically the site allocation and Opportunity Area)</w:t>
      </w:r>
      <w:r w:rsidR="00F07FE8" w:rsidRPr="00F07FE8">
        <w:rPr>
          <w:bCs/>
        </w:rPr>
        <w:t xml:space="preserve"> </w:t>
      </w:r>
      <w:r w:rsidR="00F07FE8">
        <w:rPr>
          <w:bCs/>
        </w:rPr>
        <w:t xml:space="preserve">and the implications for future </w:t>
      </w:r>
      <w:proofErr w:type="gramStart"/>
      <w:r w:rsidR="00F07FE8">
        <w:rPr>
          <w:bCs/>
        </w:rPr>
        <w:t>development</w:t>
      </w:r>
      <w:proofErr w:type="gramEnd"/>
      <w:r w:rsidR="00F07FE8">
        <w:rPr>
          <w:bCs/>
        </w:rPr>
        <w:t xml:space="preserve"> </w:t>
      </w:r>
    </w:p>
    <w:p w14:paraId="30E195F5" w14:textId="59429A64" w:rsidR="00477C28" w:rsidRPr="00477C28" w:rsidRDefault="00F07FE8" w:rsidP="00DD396C">
      <w:pPr>
        <w:pStyle w:val="ListParagraph"/>
        <w:numPr>
          <w:ilvl w:val="0"/>
          <w:numId w:val="3"/>
        </w:numPr>
        <w:ind w:left="1134"/>
        <w:rPr>
          <w:bCs/>
        </w:rPr>
      </w:pPr>
      <w:r w:rsidRPr="00477C28">
        <w:rPr>
          <w:bCs/>
        </w:rPr>
        <w:t xml:space="preserve">The relevant </w:t>
      </w:r>
      <w:r w:rsidR="00A526B6" w:rsidRPr="00A526B6">
        <w:t xml:space="preserve">material considerations </w:t>
      </w:r>
      <w:r>
        <w:t>pertaining to the site and how these inform an understanding of the character of the area</w:t>
      </w:r>
      <w:r w:rsidR="0006186A">
        <w:t xml:space="preserve"> including, and not exclusive to, the following: </w:t>
      </w:r>
    </w:p>
    <w:p w14:paraId="3C8F2FB1" w14:textId="77777777" w:rsidR="00477C28" w:rsidRDefault="00477C28" w:rsidP="00477C28">
      <w:pPr>
        <w:pStyle w:val="ListParagraph"/>
      </w:pPr>
    </w:p>
    <w:p w14:paraId="04342F4F" w14:textId="6B29C59E" w:rsidR="00477C28" w:rsidRPr="00477C28" w:rsidRDefault="00477C28" w:rsidP="00477C28">
      <w:pPr>
        <w:pStyle w:val="ListParagraph"/>
        <w:numPr>
          <w:ilvl w:val="0"/>
          <w:numId w:val="8"/>
        </w:numPr>
        <w:rPr>
          <w:bCs/>
        </w:rPr>
      </w:pPr>
      <w:r>
        <w:t>The Setting of Heritage Assets, Historic England Advice Note 3 2017 (CDK.01)</w:t>
      </w:r>
    </w:p>
    <w:p w14:paraId="6107A3C4" w14:textId="77777777" w:rsidR="00477C28" w:rsidRDefault="00477C28" w:rsidP="00477C28">
      <w:pPr>
        <w:pStyle w:val="ListParagraph"/>
        <w:numPr>
          <w:ilvl w:val="0"/>
          <w:numId w:val="8"/>
        </w:numPr>
      </w:pPr>
      <w:r>
        <w:t>The adopted Railway Terraces CA appraisal of 2016, (CDF.013)</w:t>
      </w:r>
    </w:p>
    <w:p w14:paraId="7D228DA3" w14:textId="77777777" w:rsidR="00477C28" w:rsidRDefault="00477C28" w:rsidP="00477C28">
      <w:pPr>
        <w:pStyle w:val="ListParagraph"/>
        <w:numPr>
          <w:ilvl w:val="0"/>
          <w:numId w:val="8"/>
        </w:numPr>
      </w:pPr>
      <w:r>
        <w:t>The National Design Guide, 2021 (CDE.02)</w:t>
      </w:r>
    </w:p>
    <w:p w14:paraId="31A09496" w14:textId="77777777" w:rsidR="00477C28" w:rsidRDefault="00477C28" w:rsidP="00477C28">
      <w:pPr>
        <w:pStyle w:val="ListParagraph"/>
        <w:numPr>
          <w:ilvl w:val="0"/>
          <w:numId w:val="8"/>
        </w:numPr>
      </w:pPr>
      <w:r>
        <w:t>The PPG on design and heritage (CDE.011 and CDE.012)</w:t>
      </w:r>
    </w:p>
    <w:p w14:paraId="78710765" w14:textId="77777777" w:rsidR="00477C28" w:rsidRDefault="00477C28" w:rsidP="00477C28">
      <w:pPr>
        <w:pStyle w:val="ListParagraph"/>
        <w:numPr>
          <w:ilvl w:val="0"/>
          <w:numId w:val="8"/>
        </w:numPr>
      </w:pPr>
      <w:r>
        <w:t>Barnet Characterisation Study, 2010 (CDF.016)</w:t>
      </w:r>
    </w:p>
    <w:p w14:paraId="2335A3C8" w14:textId="77777777" w:rsidR="00477C28" w:rsidRDefault="00477C28" w:rsidP="00477C28">
      <w:pPr>
        <w:pStyle w:val="ListParagraph"/>
        <w:numPr>
          <w:ilvl w:val="0"/>
          <w:numId w:val="8"/>
        </w:numPr>
      </w:pPr>
      <w:r>
        <w:t>Barnet Tall Buildings Study, 2010 (CDF.017)</w:t>
      </w:r>
    </w:p>
    <w:p w14:paraId="0E000424" w14:textId="092C9A2D" w:rsidR="00F07FE8" w:rsidRDefault="00477C28" w:rsidP="00477C28">
      <w:pPr>
        <w:pStyle w:val="ListParagraph"/>
        <w:numPr>
          <w:ilvl w:val="0"/>
          <w:numId w:val="8"/>
        </w:numPr>
      </w:pPr>
      <w:r>
        <w:t>Guidance on Tall Buildings, Historic England and CABE (2022) (CDK.08)</w:t>
      </w:r>
    </w:p>
    <w:p w14:paraId="0F235B82" w14:textId="4665FCF0" w:rsidR="001A3E2D" w:rsidRPr="00477C28" w:rsidRDefault="001A3E2D" w:rsidP="00477C28">
      <w:pPr>
        <w:pStyle w:val="ListParagraph"/>
        <w:numPr>
          <w:ilvl w:val="0"/>
          <w:numId w:val="8"/>
        </w:numPr>
      </w:pPr>
      <w:r w:rsidRPr="001A3E2D">
        <w:t xml:space="preserve">Conservation Area Appraisal, Designation and Management Historic England Advice Note 1 (Second Edition) </w:t>
      </w:r>
      <w:r>
        <w:t>(</w:t>
      </w:r>
      <w:r w:rsidRPr="001A3E2D">
        <w:t>2019</w:t>
      </w:r>
      <w:r>
        <w:t>)</w:t>
      </w:r>
      <w:r w:rsidR="00FE54BF">
        <w:t xml:space="preserve"> </w:t>
      </w:r>
    </w:p>
    <w:p w14:paraId="254D0714" w14:textId="77777777" w:rsidR="00F07FE8" w:rsidRDefault="00F07FE8" w:rsidP="003B7D67">
      <w:pPr>
        <w:pStyle w:val="ListParagraph"/>
        <w:rPr>
          <w:bCs/>
        </w:rPr>
      </w:pPr>
    </w:p>
    <w:p w14:paraId="7F749533" w14:textId="77777777" w:rsidR="00A04D21" w:rsidRPr="00F07FE8" w:rsidRDefault="00A04D21" w:rsidP="003B7D67">
      <w:pPr>
        <w:pStyle w:val="ListParagraph"/>
        <w:rPr>
          <w:bCs/>
        </w:rPr>
      </w:pPr>
    </w:p>
    <w:p w14:paraId="2FAEDAC2" w14:textId="3C9C5B2B" w:rsidR="00E97BB9" w:rsidRDefault="00E97BB9" w:rsidP="00F07FE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Council’s approach to the heritage issues in the September 2021 Committee Report</w:t>
      </w:r>
      <w:r w:rsidR="00E60741">
        <w:rPr>
          <w:b/>
        </w:rPr>
        <w:t>,</w:t>
      </w:r>
      <w:r>
        <w:rPr>
          <w:b/>
        </w:rPr>
        <w:t xml:space="preserve"> </w:t>
      </w:r>
    </w:p>
    <w:p w14:paraId="3FB271DB" w14:textId="55624661" w:rsidR="00E97BB9" w:rsidRDefault="001A3E2D" w:rsidP="00FF3EF6">
      <w:pPr>
        <w:pStyle w:val="ListParagraph"/>
        <w:rPr>
          <w:b/>
        </w:rPr>
      </w:pPr>
      <w:r w:rsidRPr="00FF3EF6">
        <w:rPr>
          <w:b/>
        </w:rPr>
        <w:t>t</w:t>
      </w:r>
      <w:r w:rsidR="00C33218" w:rsidRPr="00FF3EF6">
        <w:rPr>
          <w:b/>
        </w:rPr>
        <w:t>o include the consultation response from Heritage Team</w:t>
      </w:r>
      <w:r w:rsidR="003D468D" w:rsidRPr="00FF3EF6">
        <w:rPr>
          <w:b/>
        </w:rPr>
        <w:t>.</w:t>
      </w:r>
    </w:p>
    <w:p w14:paraId="11642C25" w14:textId="77777777" w:rsidR="00FF3EF6" w:rsidRDefault="00FF3EF6" w:rsidP="00FF3EF6">
      <w:pPr>
        <w:pStyle w:val="ListParagraph"/>
        <w:rPr>
          <w:b/>
        </w:rPr>
      </w:pPr>
    </w:p>
    <w:p w14:paraId="53115717" w14:textId="77777777" w:rsidR="00A04D21" w:rsidRPr="00FF3EF6" w:rsidRDefault="00A04D21" w:rsidP="00FF3EF6">
      <w:pPr>
        <w:pStyle w:val="ListParagraph"/>
        <w:rPr>
          <w:b/>
        </w:rPr>
      </w:pPr>
    </w:p>
    <w:p w14:paraId="3FF19AB4" w14:textId="7A0D169F" w:rsidR="00F07FE8" w:rsidRDefault="00F07FE8" w:rsidP="00F07FE8">
      <w:pPr>
        <w:pStyle w:val="ListParagraph"/>
        <w:numPr>
          <w:ilvl w:val="0"/>
          <w:numId w:val="2"/>
        </w:numPr>
        <w:rPr>
          <w:b/>
        </w:rPr>
      </w:pPr>
      <w:r w:rsidRPr="003B7D67">
        <w:rPr>
          <w:b/>
        </w:rPr>
        <w:t>The character and appearance of the area</w:t>
      </w:r>
    </w:p>
    <w:p w14:paraId="58310CFD" w14:textId="77777777" w:rsidR="00963B0A" w:rsidRPr="003B7D67" w:rsidRDefault="00963B0A" w:rsidP="003B7D67">
      <w:pPr>
        <w:pStyle w:val="ListParagraph"/>
        <w:rPr>
          <w:b/>
        </w:rPr>
      </w:pPr>
    </w:p>
    <w:p w14:paraId="081BC5A5" w14:textId="7C8F7DE8" w:rsidR="00F07FE8" w:rsidRPr="00963B0A" w:rsidRDefault="0006186A" w:rsidP="003B7D67">
      <w:pPr>
        <w:pStyle w:val="ListParagraph"/>
        <w:numPr>
          <w:ilvl w:val="0"/>
          <w:numId w:val="4"/>
        </w:numPr>
        <w:rPr>
          <w:bCs/>
        </w:rPr>
      </w:pPr>
      <w:r w:rsidRPr="00963B0A">
        <w:rPr>
          <w:bCs/>
        </w:rPr>
        <w:t xml:space="preserve">The characterisation of the site by LBB </w:t>
      </w:r>
      <w:r w:rsidR="00963B0A" w:rsidRPr="00963B0A">
        <w:rPr>
          <w:bCs/>
        </w:rPr>
        <w:t xml:space="preserve">and GLA </w:t>
      </w:r>
    </w:p>
    <w:p w14:paraId="00DAE45B" w14:textId="61317D78" w:rsidR="0006186A" w:rsidRPr="00963B0A" w:rsidRDefault="0006186A" w:rsidP="003B7D67">
      <w:pPr>
        <w:pStyle w:val="ListParagraph"/>
        <w:numPr>
          <w:ilvl w:val="0"/>
          <w:numId w:val="4"/>
        </w:numPr>
        <w:rPr>
          <w:bCs/>
        </w:rPr>
      </w:pPr>
      <w:r w:rsidRPr="00963B0A">
        <w:rPr>
          <w:bCs/>
        </w:rPr>
        <w:t xml:space="preserve">The character of the areas around the site as identified in the HTVIA and Appellant’s evidence  </w:t>
      </w:r>
    </w:p>
    <w:p w14:paraId="3D468279" w14:textId="5D2911DE" w:rsidR="00F337EF" w:rsidRDefault="0006186A" w:rsidP="00963B0A">
      <w:pPr>
        <w:pStyle w:val="ListParagraph"/>
        <w:numPr>
          <w:ilvl w:val="0"/>
          <w:numId w:val="4"/>
        </w:numPr>
      </w:pPr>
      <w:r>
        <w:t xml:space="preserve">The cumulative developments that are coming forward in the immediate area </w:t>
      </w:r>
    </w:p>
    <w:p w14:paraId="0B9F60EC" w14:textId="441A4FFB" w:rsidR="00963B0A" w:rsidRDefault="00963B0A" w:rsidP="003B7D67">
      <w:pPr>
        <w:pStyle w:val="ListParagraph"/>
        <w:numPr>
          <w:ilvl w:val="0"/>
          <w:numId w:val="4"/>
        </w:numPr>
      </w:pPr>
      <w:r>
        <w:t xml:space="preserve">The characteristics of the proposed development </w:t>
      </w:r>
      <w:r w:rsidR="00477C28">
        <w:t>in urban design and townscape terms</w:t>
      </w:r>
    </w:p>
    <w:p w14:paraId="637517B0" w14:textId="10FA29D1" w:rsidR="00240456" w:rsidRDefault="00963B0A" w:rsidP="00963B0A">
      <w:pPr>
        <w:pStyle w:val="ListParagraph"/>
        <w:numPr>
          <w:ilvl w:val="0"/>
          <w:numId w:val="4"/>
        </w:numPr>
      </w:pPr>
      <w:r>
        <w:t>Discussion</w:t>
      </w:r>
      <w:r w:rsidR="00240456">
        <w:t xml:space="preserve"> of the key views and how they show the </w:t>
      </w:r>
      <w:r>
        <w:t>proposed development</w:t>
      </w:r>
      <w:r w:rsidR="00240456">
        <w:t xml:space="preserve"> in context </w:t>
      </w:r>
    </w:p>
    <w:p w14:paraId="6822F5CA" w14:textId="6FB0ABFA" w:rsidR="00B24DAF" w:rsidRDefault="00B24DAF" w:rsidP="00963B0A">
      <w:pPr>
        <w:pStyle w:val="ListParagraph"/>
        <w:numPr>
          <w:ilvl w:val="0"/>
          <w:numId w:val="4"/>
        </w:numPr>
      </w:pPr>
      <w:r>
        <w:t xml:space="preserve">Discussion of the effects of the development proposals on the character and appearance of the area </w:t>
      </w:r>
    </w:p>
    <w:p w14:paraId="3DAFCDF4" w14:textId="77777777" w:rsidR="00963B0A" w:rsidRDefault="00963B0A" w:rsidP="003B7D67">
      <w:pPr>
        <w:pStyle w:val="ListParagraph"/>
      </w:pPr>
    </w:p>
    <w:p w14:paraId="15232CA6" w14:textId="77777777" w:rsidR="00A04D21" w:rsidRDefault="00A04D21">
      <w:pPr>
        <w:rPr>
          <w:b/>
          <w:bCs/>
        </w:rPr>
      </w:pPr>
      <w:r>
        <w:rPr>
          <w:b/>
          <w:bCs/>
        </w:rPr>
        <w:br w:type="page"/>
      </w:r>
    </w:p>
    <w:p w14:paraId="72884919" w14:textId="36206DDB" w:rsidR="00F337EF" w:rsidRPr="003B7D67" w:rsidRDefault="00797588" w:rsidP="003B7D67">
      <w:pPr>
        <w:pStyle w:val="ListParagraph"/>
        <w:numPr>
          <w:ilvl w:val="0"/>
          <w:numId w:val="2"/>
        </w:numPr>
        <w:rPr>
          <w:b/>
          <w:bCs/>
        </w:rPr>
      </w:pPr>
      <w:r w:rsidRPr="003B7D67">
        <w:rPr>
          <w:b/>
          <w:bCs/>
        </w:rPr>
        <w:lastRenderedPageBreak/>
        <w:t xml:space="preserve">The historic environment </w:t>
      </w:r>
    </w:p>
    <w:p w14:paraId="716931C6" w14:textId="65E8CC4C" w:rsidR="00F337EF" w:rsidRDefault="00F07FE8" w:rsidP="00FF3EF6">
      <w:pPr>
        <w:ind w:left="709"/>
      </w:pPr>
      <w:r>
        <w:t xml:space="preserve">The </w:t>
      </w:r>
      <w:r w:rsidR="00F337EF">
        <w:t>Cricklewood Railway Terraces Conservation Are</w:t>
      </w:r>
      <w:r>
        <w:t xml:space="preserve">a is </w:t>
      </w:r>
      <w:r w:rsidR="00963B0A">
        <w:t>the only heritage asset referred to in the Rf</w:t>
      </w:r>
      <w:r w:rsidR="00B24DAF">
        <w:t>R</w:t>
      </w:r>
      <w:r w:rsidR="00963B0A">
        <w:t xml:space="preserve">. </w:t>
      </w:r>
    </w:p>
    <w:p w14:paraId="108504CD" w14:textId="11014FE1" w:rsidR="00087081" w:rsidRDefault="0006186A" w:rsidP="008614EB">
      <w:pPr>
        <w:pStyle w:val="ListParagraph"/>
        <w:numPr>
          <w:ilvl w:val="0"/>
          <w:numId w:val="5"/>
        </w:numPr>
        <w:ind w:left="1134"/>
      </w:pPr>
      <w:r w:rsidRPr="003B7D67">
        <w:t>The</w:t>
      </w:r>
      <w:r w:rsidR="00F337EF" w:rsidRPr="003B7D67">
        <w:t xml:space="preserve"> </w:t>
      </w:r>
      <w:r w:rsidRPr="003B7D67">
        <w:t xml:space="preserve">special </w:t>
      </w:r>
      <w:r w:rsidR="003D468D">
        <w:t xml:space="preserve">interest or significance of the </w:t>
      </w:r>
      <w:r w:rsidR="00F337EF" w:rsidRPr="003B7D67">
        <w:t>of the CA</w:t>
      </w:r>
      <w:r w:rsidRPr="003B7D67">
        <w:t>, including</w:t>
      </w:r>
      <w:r w:rsidR="003D468D">
        <w:t xml:space="preserve"> its character and appearance. </w:t>
      </w:r>
      <w:r w:rsidR="004D5C5F">
        <w:t xml:space="preserve"> </w:t>
      </w:r>
      <w:r w:rsidR="0086687F" w:rsidRPr="003B7D67">
        <w:t xml:space="preserve">scale, height and pattern </w:t>
      </w:r>
      <w:r w:rsidRPr="003B7D67">
        <w:t xml:space="preserve">of </w:t>
      </w:r>
      <w:r w:rsidR="00963B0A" w:rsidRPr="003B7D67">
        <w:t xml:space="preserve">historic </w:t>
      </w:r>
      <w:r w:rsidRPr="003B7D67">
        <w:t xml:space="preserve">development in context with </w:t>
      </w:r>
      <w:r w:rsidR="0086687F" w:rsidRPr="003B7D67">
        <w:t>the</w:t>
      </w:r>
      <w:r w:rsidRPr="003B7D67">
        <w:t xml:space="preserve"> surrounding</w:t>
      </w:r>
      <w:r w:rsidR="0086687F" w:rsidRPr="003B7D67">
        <w:t xml:space="preserve"> townscape </w:t>
      </w:r>
      <w:r w:rsidR="003D468D">
        <w:t>Including the NDHAs in the CA</w:t>
      </w:r>
    </w:p>
    <w:p w14:paraId="7A8515A7" w14:textId="1214A843" w:rsidR="00C33218" w:rsidRDefault="003D468D" w:rsidP="008614EB">
      <w:pPr>
        <w:pStyle w:val="ListParagraph"/>
        <w:numPr>
          <w:ilvl w:val="0"/>
          <w:numId w:val="5"/>
        </w:numPr>
        <w:ind w:left="1134"/>
      </w:pPr>
      <w:r>
        <w:t xml:space="preserve">The contribution which setting makes to the appreciation of the CA’s </w:t>
      </w:r>
      <w:proofErr w:type="gramStart"/>
      <w:r>
        <w:t>significance</w:t>
      </w:r>
      <w:proofErr w:type="gramEnd"/>
    </w:p>
    <w:p w14:paraId="4FD4096C" w14:textId="0CBBC3AC" w:rsidR="003D468D" w:rsidRDefault="003D468D" w:rsidP="008614EB">
      <w:pPr>
        <w:pStyle w:val="ListParagraph"/>
        <w:numPr>
          <w:ilvl w:val="0"/>
          <w:numId w:val="5"/>
        </w:numPr>
        <w:ind w:left="1134"/>
      </w:pPr>
      <w:r>
        <w:t xml:space="preserve">What are the elements of the CA’s setting and what do they contribute (positive or negative) or not to the appreciation of its significance. </w:t>
      </w:r>
    </w:p>
    <w:p w14:paraId="126BE446" w14:textId="7B428DC2" w:rsidR="0086687F" w:rsidRPr="003B7D67" w:rsidRDefault="00087081" w:rsidP="008614EB">
      <w:pPr>
        <w:pStyle w:val="ListParagraph"/>
        <w:numPr>
          <w:ilvl w:val="0"/>
          <w:numId w:val="5"/>
        </w:numPr>
        <w:ind w:left="1134"/>
      </w:pPr>
      <w:r>
        <w:t xml:space="preserve">The </w:t>
      </w:r>
      <w:r w:rsidR="00963B0A" w:rsidRPr="003B7D67">
        <w:t>emerging context of the consented schemes and the Opportunity Area</w:t>
      </w:r>
    </w:p>
    <w:p w14:paraId="502116E3" w14:textId="0F672AEB" w:rsidR="00F337EF" w:rsidRPr="003B7D67" w:rsidRDefault="00240456" w:rsidP="008614EB">
      <w:pPr>
        <w:pStyle w:val="ListParagraph"/>
        <w:numPr>
          <w:ilvl w:val="0"/>
          <w:numId w:val="5"/>
        </w:numPr>
        <w:ind w:left="1134"/>
      </w:pPr>
      <w:r w:rsidRPr="003B7D67">
        <w:t>The relative</w:t>
      </w:r>
      <w:r w:rsidR="00F337EF" w:rsidRPr="003B7D67">
        <w:t xml:space="preserve"> contribut</w:t>
      </w:r>
      <w:r w:rsidRPr="003B7D67">
        <w:t xml:space="preserve">ion that different elements of the townscape contribute to the setting of the CA – discuss that setting is not statutorily protected by the CA designation </w:t>
      </w:r>
    </w:p>
    <w:p w14:paraId="1F83AA14" w14:textId="1FB9B43C" w:rsidR="003B7D67" w:rsidRDefault="0077575F" w:rsidP="008614EB">
      <w:pPr>
        <w:pStyle w:val="ListParagraph"/>
        <w:numPr>
          <w:ilvl w:val="0"/>
          <w:numId w:val="5"/>
        </w:numPr>
        <w:ind w:left="1134"/>
      </w:pPr>
      <w:r>
        <w:t>The NDHAs identified in the</w:t>
      </w:r>
      <w:r w:rsidR="00F337EF">
        <w:t xml:space="preserve"> CA </w:t>
      </w:r>
      <w:r>
        <w:t xml:space="preserve">Appraisal </w:t>
      </w:r>
    </w:p>
    <w:p w14:paraId="337BF4CA" w14:textId="7BE90A9B" w:rsidR="00F337EF" w:rsidRDefault="0077575F" w:rsidP="008614EB">
      <w:pPr>
        <w:pStyle w:val="ListParagraph"/>
        <w:numPr>
          <w:ilvl w:val="0"/>
          <w:numId w:val="5"/>
        </w:numPr>
        <w:ind w:left="1134"/>
      </w:pPr>
      <w:r>
        <w:t>The key views identified in the CA Appraisal</w:t>
      </w:r>
      <w:r w:rsidR="00C33218">
        <w:t xml:space="preserve"> and views out of the conservation area more generally</w:t>
      </w:r>
      <w:r>
        <w:t xml:space="preserve">. </w:t>
      </w:r>
      <w:r w:rsidR="00F337EF">
        <w:t xml:space="preserve">What </w:t>
      </w:r>
      <w:r w:rsidR="00087081">
        <w:t xml:space="preserve">do </w:t>
      </w:r>
      <w:r w:rsidR="00F337EF">
        <w:t xml:space="preserve">they contribute to the character/appearance of the CA? </w:t>
      </w:r>
    </w:p>
    <w:p w14:paraId="69169954" w14:textId="75D6809F" w:rsidR="00274F1F" w:rsidRDefault="00B24DAF" w:rsidP="008614EB">
      <w:pPr>
        <w:pStyle w:val="ListParagraph"/>
        <w:numPr>
          <w:ilvl w:val="0"/>
          <w:numId w:val="5"/>
        </w:numPr>
        <w:ind w:left="1134"/>
      </w:pPr>
      <w:r>
        <w:t>The effect of the development proposals on the significance of the CA</w:t>
      </w:r>
      <w:r w:rsidR="003D468D">
        <w:t xml:space="preserve"> and/or the ability to appreciate that significance</w:t>
      </w:r>
    </w:p>
    <w:p w14:paraId="230527F9" w14:textId="6C97502D" w:rsidR="00274F1F" w:rsidRDefault="00274F1F" w:rsidP="008614EB">
      <w:pPr>
        <w:pStyle w:val="ListParagraph"/>
        <w:numPr>
          <w:ilvl w:val="0"/>
          <w:numId w:val="5"/>
        </w:numPr>
        <w:ind w:left="1134"/>
      </w:pPr>
      <w:r>
        <w:t>If the proposal would cause harm to the s</w:t>
      </w:r>
      <w:r w:rsidR="00B24DAF">
        <w:t xml:space="preserve">ignificance </w:t>
      </w:r>
      <w:r>
        <w:t>of the</w:t>
      </w:r>
      <w:r w:rsidR="00B24DAF">
        <w:t xml:space="preserve"> </w:t>
      </w:r>
      <w:r>
        <w:t xml:space="preserve">CA, where, on the spectrum of harm would it be? Substantial / less than substantial and to what degree?  </w:t>
      </w:r>
      <w:r w:rsidR="003D468D">
        <w:t xml:space="preserve">Alternatively are there are any benefits to the significance of the CA. </w:t>
      </w:r>
    </w:p>
    <w:p w14:paraId="17DB49FC" w14:textId="5FDFF151" w:rsidR="00F337EF" w:rsidRDefault="00274F1F" w:rsidP="008614EB">
      <w:pPr>
        <w:pStyle w:val="ListParagraph"/>
        <w:numPr>
          <w:ilvl w:val="0"/>
          <w:numId w:val="5"/>
        </w:numPr>
        <w:ind w:left="1134"/>
      </w:pPr>
      <w:r>
        <w:t xml:space="preserve">If the proposals would cause harm to the CA or its setting, could conditions mitigate </w:t>
      </w:r>
      <w:r>
        <w:t xml:space="preserve">such harm?  </w:t>
      </w:r>
      <w:r w:rsidR="00F337EF">
        <w:br/>
      </w:r>
    </w:p>
    <w:p w14:paraId="70ED6F9E" w14:textId="77777777" w:rsidR="00A04D21" w:rsidRDefault="00A04D21" w:rsidP="00A04D21">
      <w:pPr>
        <w:pStyle w:val="ListParagraph"/>
        <w:ind w:left="1134"/>
      </w:pPr>
    </w:p>
    <w:p w14:paraId="52B209CF" w14:textId="076F5F78" w:rsidR="00F337EF" w:rsidRPr="003B7D67" w:rsidRDefault="00797588" w:rsidP="003B7D67">
      <w:pPr>
        <w:pStyle w:val="ListParagraph"/>
        <w:numPr>
          <w:ilvl w:val="0"/>
          <w:numId w:val="2"/>
        </w:numPr>
        <w:rPr>
          <w:b/>
          <w:bCs/>
        </w:rPr>
      </w:pPr>
      <w:r w:rsidRPr="003B7D67">
        <w:rPr>
          <w:b/>
          <w:bCs/>
        </w:rPr>
        <w:t xml:space="preserve">Other Heritage Asset not referenced in </w:t>
      </w:r>
      <w:r w:rsidRPr="003B7D67">
        <w:rPr>
          <w:b/>
          <w:bCs/>
        </w:rPr>
        <w:t xml:space="preserve">the </w:t>
      </w:r>
      <w:r w:rsidR="001A3E2D">
        <w:rPr>
          <w:b/>
          <w:bCs/>
        </w:rPr>
        <w:t xml:space="preserve">putative </w:t>
      </w:r>
      <w:proofErr w:type="gramStart"/>
      <w:r w:rsidRPr="003B7D67">
        <w:rPr>
          <w:b/>
          <w:bCs/>
        </w:rPr>
        <w:t>RfR</w:t>
      </w:r>
      <w:proofErr w:type="gramEnd"/>
    </w:p>
    <w:p w14:paraId="0E88B761" w14:textId="74F6706D" w:rsidR="00797588" w:rsidRDefault="00797588" w:rsidP="008614EB">
      <w:pPr>
        <w:ind w:left="709"/>
      </w:pPr>
      <w:r>
        <w:t>Other heritage assets that are considered in evidence</w:t>
      </w:r>
      <w:r w:rsidR="00F07FE8">
        <w:t xml:space="preserve"> and not mentioned in the reason for refusal. </w:t>
      </w:r>
    </w:p>
    <w:p w14:paraId="1CF45449" w14:textId="6616B8DE" w:rsidR="00797588" w:rsidRDefault="00797588" w:rsidP="008614EB">
      <w:pPr>
        <w:ind w:left="709"/>
      </w:pPr>
      <w:r>
        <w:t>The Crown Public House:</w:t>
      </w:r>
    </w:p>
    <w:p w14:paraId="64522376" w14:textId="097D80A2" w:rsidR="00797588" w:rsidRDefault="00477C28" w:rsidP="008614EB">
      <w:pPr>
        <w:pStyle w:val="ListParagraph"/>
        <w:numPr>
          <w:ilvl w:val="0"/>
          <w:numId w:val="7"/>
        </w:numPr>
        <w:ind w:left="1134"/>
      </w:pPr>
      <w:r>
        <w:t>What is the</w:t>
      </w:r>
      <w:r w:rsidR="00797588">
        <w:t xml:space="preserve"> </w:t>
      </w:r>
      <w:r>
        <w:t>special interest</w:t>
      </w:r>
      <w:r w:rsidR="00797588">
        <w:t xml:space="preserve"> </w:t>
      </w:r>
      <w:r w:rsidR="00F07FE8">
        <w:t xml:space="preserve">of the </w:t>
      </w:r>
      <w:proofErr w:type="gramStart"/>
      <w:r w:rsidR="00F07FE8">
        <w:t>asset</w:t>
      </w:r>
      <w:proofErr w:type="gramEnd"/>
      <w:r w:rsidR="00797588">
        <w:t xml:space="preserve"> </w:t>
      </w:r>
    </w:p>
    <w:p w14:paraId="231C18F3" w14:textId="140AD1EC" w:rsidR="003D468D" w:rsidRDefault="003D468D" w:rsidP="008614EB">
      <w:pPr>
        <w:pStyle w:val="ListParagraph"/>
        <w:numPr>
          <w:ilvl w:val="0"/>
          <w:numId w:val="7"/>
        </w:numPr>
        <w:ind w:left="1134"/>
      </w:pPr>
      <w:r>
        <w:t xml:space="preserve">What does its setting contribute to an appreciation of its significance </w:t>
      </w:r>
    </w:p>
    <w:p w14:paraId="7E241090" w14:textId="36DB67A9" w:rsidR="003D468D" w:rsidRDefault="003D468D" w:rsidP="008614EB">
      <w:pPr>
        <w:pStyle w:val="ListParagraph"/>
        <w:numPr>
          <w:ilvl w:val="0"/>
          <w:numId w:val="7"/>
        </w:numPr>
        <w:ind w:left="1134"/>
      </w:pPr>
      <w:r>
        <w:t>Does the site, at the moment, influence the appreciation of the LB’s significance</w:t>
      </w:r>
    </w:p>
    <w:p w14:paraId="4C239256" w14:textId="1DC51B3C" w:rsidR="00477C28" w:rsidRDefault="00797588" w:rsidP="008614EB">
      <w:pPr>
        <w:pStyle w:val="ListParagraph"/>
        <w:numPr>
          <w:ilvl w:val="0"/>
          <w:numId w:val="7"/>
        </w:numPr>
        <w:ind w:left="1134"/>
      </w:pPr>
      <w:r>
        <w:t xml:space="preserve">What is the </w:t>
      </w:r>
      <w:r w:rsidR="00F07FE8">
        <w:t>contribution made by</w:t>
      </w:r>
      <w:r>
        <w:t xml:space="preserve"> views towards / </w:t>
      </w:r>
      <w:r w:rsidR="00F07FE8">
        <w:t>from</w:t>
      </w:r>
      <w:r>
        <w:t xml:space="preserve"> the listed building? </w:t>
      </w:r>
    </w:p>
    <w:p w14:paraId="0FB05235" w14:textId="0A1EEE6B" w:rsidR="00477C28" w:rsidRDefault="00797588" w:rsidP="008614EB">
      <w:pPr>
        <w:pStyle w:val="ListParagraph"/>
        <w:numPr>
          <w:ilvl w:val="0"/>
          <w:numId w:val="7"/>
        </w:numPr>
        <w:ind w:left="1134"/>
      </w:pPr>
      <w:r>
        <w:t xml:space="preserve">How would the proposal </w:t>
      </w:r>
      <w:r w:rsidR="00F07FE8">
        <w:t>be experienced</w:t>
      </w:r>
      <w:r>
        <w:t xml:space="preserve"> with</w:t>
      </w:r>
      <w:r w:rsidR="00F07FE8">
        <w:t>in</w:t>
      </w:r>
      <w:r>
        <w:t xml:space="preserve"> the setting of the listed building?  </w:t>
      </w:r>
    </w:p>
    <w:p w14:paraId="07091B9B" w14:textId="77777777" w:rsidR="00E60741" w:rsidRDefault="00E60741" w:rsidP="008614EB">
      <w:pPr>
        <w:pStyle w:val="ListParagraph"/>
        <w:numPr>
          <w:ilvl w:val="0"/>
          <w:numId w:val="7"/>
        </w:numPr>
        <w:ind w:left="1134"/>
      </w:pPr>
      <w:r>
        <w:t>What is the impact of the proposals?</w:t>
      </w:r>
    </w:p>
    <w:p w14:paraId="0374B465" w14:textId="5FAD46CD" w:rsidR="00E60741" w:rsidRDefault="00E60741" w:rsidP="008614EB">
      <w:pPr>
        <w:pStyle w:val="ListParagraph"/>
        <w:numPr>
          <w:ilvl w:val="0"/>
          <w:numId w:val="7"/>
        </w:numPr>
        <w:ind w:left="1134"/>
      </w:pPr>
      <w:r>
        <w:t>Does this impact have a positive, negative and neutral effect on the ability to appreciate significance?</w:t>
      </w:r>
    </w:p>
    <w:p w14:paraId="132F2C0F" w14:textId="77777777" w:rsidR="00F337EF" w:rsidRDefault="00F337EF" w:rsidP="003B7D67"/>
    <w:p w14:paraId="13B9F778" w14:textId="77777777" w:rsidR="005160E5" w:rsidRDefault="005160E5"/>
    <w:p w14:paraId="60577D06" w14:textId="77777777" w:rsidR="005160E5" w:rsidRPr="005160E5" w:rsidRDefault="005160E5"/>
    <w:p w14:paraId="1764457F" w14:textId="77777777" w:rsidR="005160E5" w:rsidRDefault="005160E5"/>
    <w:p w14:paraId="7CCAC557" w14:textId="77777777" w:rsidR="005160E5" w:rsidRDefault="005160E5"/>
    <w:sectPr w:rsidR="00516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6552"/>
    <w:multiLevelType w:val="hybridMultilevel"/>
    <w:tmpl w:val="6AA4A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00E1"/>
    <w:multiLevelType w:val="hybridMultilevel"/>
    <w:tmpl w:val="8D24498C"/>
    <w:lvl w:ilvl="0" w:tplc="A9664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11A49"/>
    <w:multiLevelType w:val="hybridMultilevel"/>
    <w:tmpl w:val="3FBC7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123F9"/>
    <w:multiLevelType w:val="hybridMultilevel"/>
    <w:tmpl w:val="D7E4D2E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9A2CF2"/>
    <w:multiLevelType w:val="hybridMultilevel"/>
    <w:tmpl w:val="0494F8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61DB8"/>
    <w:multiLevelType w:val="hybridMultilevel"/>
    <w:tmpl w:val="B0A2D2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57577D"/>
    <w:multiLevelType w:val="hybridMultilevel"/>
    <w:tmpl w:val="35EE5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33F53"/>
    <w:multiLevelType w:val="hybridMultilevel"/>
    <w:tmpl w:val="4B182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2756">
    <w:abstractNumId w:val="1"/>
  </w:num>
  <w:num w:numId="2" w16cid:durableId="1156260282">
    <w:abstractNumId w:val="4"/>
  </w:num>
  <w:num w:numId="3" w16cid:durableId="1508714511">
    <w:abstractNumId w:val="7"/>
  </w:num>
  <w:num w:numId="4" w16cid:durableId="1255939274">
    <w:abstractNumId w:val="2"/>
  </w:num>
  <w:num w:numId="5" w16cid:durableId="1272281334">
    <w:abstractNumId w:val="0"/>
  </w:num>
  <w:num w:numId="6" w16cid:durableId="1835729905">
    <w:abstractNumId w:val="5"/>
  </w:num>
  <w:num w:numId="7" w16cid:durableId="807631567">
    <w:abstractNumId w:val="6"/>
  </w:num>
  <w:num w:numId="8" w16cid:durableId="796947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0E5"/>
    <w:rsid w:val="00007490"/>
    <w:rsid w:val="0006186A"/>
    <w:rsid w:val="00087081"/>
    <w:rsid w:val="001A3E2D"/>
    <w:rsid w:val="00240456"/>
    <w:rsid w:val="00274F1F"/>
    <w:rsid w:val="00383222"/>
    <w:rsid w:val="003B7D67"/>
    <w:rsid w:val="003D468D"/>
    <w:rsid w:val="00477C28"/>
    <w:rsid w:val="004D5C5F"/>
    <w:rsid w:val="005160E5"/>
    <w:rsid w:val="005302A3"/>
    <w:rsid w:val="005E2F57"/>
    <w:rsid w:val="0077575F"/>
    <w:rsid w:val="00797588"/>
    <w:rsid w:val="008614EB"/>
    <w:rsid w:val="0086687F"/>
    <w:rsid w:val="00937B30"/>
    <w:rsid w:val="00947B80"/>
    <w:rsid w:val="00963B0A"/>
    <w:rsid w:val="009A6561"/>
    <w:rsid w:val="00A04D21"/>
    <w:rsid w:val="00A526B6"/>
    <w:rsid w:val="00B24DAF"/>
    <w:rsid w:val="00B26327"/>
    <w:rsid w:val="00B95FE9"/>
    <w:rsid w:val="00C33218"/>
    <w:rsid w:val="00CF5923"/>
    <w:rsid w:val="00DD396C"/>
    <w:rsid w:val="00DD6A37"/>
    <w:rsid w:val="00E60741"/>
    <w:rsid w:val="00E97BB9"/>
    <w:rsid w:val="00F07FE8"/>
    <w:rsid w:val="00F337EF"/>
    <w:rsid w:val="00FE54BF"/>
    <w:rsid w:val="00FF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3FDD2"/>
  <w15:chartTrackingRefBased/>
  <w15:docId w15:val="{34A5C25F-F4AB-45EC-91D6-73C7A8D4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7EF"/>
    <w:pPr>
      <w:ind w:left="720"/>
      <w:contextualSpacing/>
    </w:pPr>
  </w:style>
  <w:style w:type="paragraph" w:styleId="Revision">
    <w:name w:val="Revision"/>
    <w:hidden/>
    <w:uiPriority w:val="99"/>
    <w:semiHidden/>
    <w:rsid w:val="00797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6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Morag</dc:creator>
  <cp:keywords/>
  <dc:description/>
  <cp:lastModifiedBy>Safiyah Islam</cp:lastModifiedBy>
  <cp:revision>7</cp:revision>
  <dcterms:created xsi:type="dcterms:W3CDTF">2023-02-03T09:53:00Z</dcterms:created>
  <dcterms:modified xsi:type="dcterms:W3CDTF">2023-02-03T16:49:00Z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18928-5a79-46f2-909c-7b3fe7c78578_Enabled">
    <vt:lpwstr>true</vt:lpwstr>
  </property>
  <property fmtid="{D5CDD505-2E9C-101B-9397-08002B2CF9AE}" pid="3" name="MSIP_Label_a4218928-5a79-46f2-909c-7b3fe7c78578_SetDate">
    <vt:lpwstr>2023-01-30T12:42:48Z</vt:lpwstr>
  </property>
  <property fmtid="{D5CDD505-2E9C-101B-9397-08002B2CF9AE}" pid="4" name="MSIP_Label_a4218928-5a79-46f2-909c-7b3fe7c78578_Method">
    <vt:lpwstr>Standard</vt:lpwstr>
  </property>
  <property fmtid="{D5CDD505-2E9C-101B-9397-08002B2CF9AE}" pid="5" name="MSIP_Label_a4218928-5a79-46f2-909c-7b3fe7c78578_Name">
    <vt:lpwstr>Montagu Evans Confidential</vt:lpwstr>
  </property>
  <property fmtid="{D5CDD505-2E9C-101B-9397-08002B2CF9AE}" pid="6" name="MSIP_Label_a4218928-5a79-46f2-909c-7b3fe7c78578_SiteId">
    <vt:lpwstr>cf23ab9a-1a2c-4b5d-8a9e-a102c4eab5ff</vt:lpwstr>
  </property>
  <property fmtid="{D5CDD505-2E9C-101B-9397-08002B2CF9AE}" pid="7" name="MSIP_Label_a4218928-5a79-46f2-909c-7b3fe7c78578_ActionId">
    <vt:lpwstr>3f6a31a6-1875-4f1a-ae21-806093d3f5c4</vt:lpwstr>
  </property>
  <property fmtid="{D5CDD505-2E9C-101B-9397-08002B2CF9AE}" pid="8" name="MSIP_Label_a4218928-5a79-46f2-909c-7b3fe7c78578_ContentBits">
    <vt:lpwstr>0</vt:lpwstr>
  </property>
</Properties>
</file>