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theme/themeOverride1.xml" ContentType="application/vnd.openxmlformats-officedocument.themeOverride+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theme/themeOverride2.xml" ContentType="application/vnd.openxmlformats-officedocument.themeOverride+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theme/themeOverride3.xml" ContentType="application/vnd.openxmlformats-officedocument.themeOverride+xml"/>
  <Override PartName="/word/charts/chart33.xml" ContentType="application/vnd.openxmlformats-officedocument.drawingml.chart+xml"/>
  <Override PartName="/word/theme/themeOverride4.xml" ContentType="application/vnd.openxmlformats-officedocument.themeOverride+xml"/>
  <Override PartName="/word/charts/chart34.xml" ContentType="application/vnd.openxmlformats-officedocument.drawingml.chart+xml"/>
  <Override PartName="/word/theme/themeOverride5.xml" ContentType="application/vnd.openxmlformats-officedocument.themeOverride+xml"/>
  <Override PartName="/word/charts/chart35.xml" ContentType="application/vnd.openxmlformats-officedocument.drawingml.chart+xml"/>
  <Override PartName="/word/theme/themeOverride6.xml" ContentType="application/vnd.openxmlformats-officedocument.themeOverride+xml"/>
  <Override PartName="/word/charts/chart36.xml" ContentType="application/vnd.openxmlformats-officedocument.drawingml.chart+xml"/>
  <Override PartName="/word/theme/themeOverride7.xml" ContentType="application/vnd.openxmlformats-officedocument.themeOverride+xml"/>
  <Override PartName="/word/charts/chart37.xml" ContentType="application/vnd.openxmlformats-officedocument.drawingml.chart+xml"/>
  <Override PartName="/word/theme/themeOverride8.xml" ContentType="application/vnd.openxmlformats-officedocument.themeOverride+xml"/>
  <Override PartName="/word/charts/chart38.xml" ContentType="application/vnd.openxmlformats-officedocument.drawingml.chart+xml"/>
  <Override PartName="/word/theme/themeOverride9.xml" ContentType="application/vnd.openxmlformats-officedocument.themeOverride+xml"/>
  <Override PartName="/word/charts/chart39.xml" ContentType="application/vnd.openxmlformats-officedocument.drawingml.chart+xml"/>
  <Override PartName="/word/charts/chart40.xml" ContentType="application/vnd.openxmlformats-officedocument.drawingml.chart+xml"/>
  <Override PartName="/word/theme/themeOverride10.xml" ContentType="application/vnd.openxmlformats-officedocument.themeOverride+xml"/>
  <Override PartName="/word/charts/chart41.xml" ContentType="application/vnd.openxmlformats-officedocument.drawingml.chart+xml"/>
  <Override PartName="/word/theme/themeOverride11.xml" ContentType="application/vnd.openxmlformats-officedocument.themeOverride+xml"/>
  <Override PartName="/word/charts/chart42.xml" ContentType="application/vnd.openxmlformats-officedocument.drawingml.chart+xml"/>
  <Override PartName="/word/theme/themeOverride12.xml" ContentType="application/vnd.openxmlformats-officedocument.themeOverride+xml"/>
  <Override PartName="/word/charts/chart43.xml" ContentType="application/vnd.openxmlformats-officedocument.drawingml.chart+xml"/>
  <Override PartName="/word/theme/themeOverride13.xml" ContentType="application/vnd.openxmlformats-officedocument.themeOverride+xml"/>
  <Override PartName="/word/charts/chart44.xml" ContentType="application/vnd.openxmlformats-officedocument.drawingml.chart+xml"/>
  <Override PartName="/word/theme/themeOverride14.xml" ContentType="application/vnd.openxmlformats-officedocument.themeOverride+xml"/>
  <Override PartName="/word/charts/chart45.xml" ContentType="application/vnd.openxmlformats-officedocument.drawingml.chart+xml"/>
  <Override PartName="/word/theme/themeOverride15.xml" ContentType="application/vnd.openxmlformats-officedocument.themeOverride+xml"/>
  <Override PartName="/word/charts/chart46.xml" ContentType="application/vnd.openxmlformats-officedocument.drawingml.chart+xml"/>
  <Override PartName="/word/theme/themeOverride16.xml" ContentType="application/vnd.openxmlformats-officedocument.themeOverride+xml"/>
  <Override PartName="/word/charts/chart47.xml" ContentType="application/vnd.openxmlformats-officedocument.drawingml.chart+xml"/>
  <Override PartName="/word/theme/themeOverride17.xml" ContentType="application/vnd.openxmlformats-officedocument.themeOverride+xml"/>
  <Override PartName="/word/charts/chart48.xml" ContentType="application/vnd.openxmlformats-officedocument.drawingml.chart+xml"/>
  <Override PartName="/word/theme/themeOverride18.xml" ContentType="application/vnd.openxmlformats-officedocument.themeOverride+xml"/>
  <Override PartName="/word/charts/chart49.xml" ContentType="application/vnd.openxmlformats-officedocument.drawingml.chart+xml"/>
  <Override PartName="/word/charts/chart50.xml" ContentType="application/vnd.openxmlformats-officedocument.drawingml.chart+xml"/>
  <Override PartName="/word/charts/chart51.xml" ContentType="application/vnd.openxmlformats-officedocument.drawingml.chart+xml"/>
  <Override PartName="/word/charts/chart52.xml" ContentType="application/vnd.openxmlformats-officedocument.drawingml.chart+xml"/>
  <Override PartName="/word/charts/chart53.xml" ContentType="application/vnd.openxmlformats-officedocument.drawingml.chart+xml"/>
  <Override PartName="/word/charts/chart54.xml" ContentType="application/vnd.openxmlformats-officedocument.drawingml.chart+xml"/>
  <Override PartName="/word/charts/chart55.xml" ContentType="application/vnd.openxmlformats-officedocument.drawingml.chart+xml"/>
  <Override PartName="/word/charts/chart56.xml" ContentType="application/vnd.openxmlformats-officedocument.drawingml.chart+xml"/>
  <Override PartName="/word/charts/chart57.xml" ContentType="application/vnd.openxmlformats-officedocument.drawingml.chart+xml"/>
  <Override PartName="/word/charts/chart58.xml" ContentType="application/vnd.openxmlformats-officedocument.drawingml.chart+xml"/>
  <Override PartName="/word/charts/chart59.xml" ContentType="application/vnd.openxmlformats-officedocument.drawingml.chart+xml"/>
  <Override PartName="/word/charts/chart60.xml" ContentType="application/vnd.openxmlformats-officedocument.drawingml.chart+xml"/>
  <Override PartName="/word/charts/chart61.xml" ContentType="application/vnd.openxmlformats-officedocument.drawingml.chart+xml"/>
  <Override PartName="/word/charts/chart62.xml" ContentType="application/vnd.openxmlformats-officedocument.drawingml.chart+xml"/>
  <Override PartName="/word/charts/chart63.xml" ContentType="application/vnd.openxmlformats-officedocument.drawingml.chart+xml"/>
  <Override PartName="/word/charts/chart64.xml" ContentType="application/vnd.openxmlformats-officedocument.drawingml.chart+xml"/>
  <Override PartName="/word/charts/chart65.xml" ContentType="application/vnd.openxmlformats-officedocument.drawingml.chart+xml"/>
  <Override PartName="/word/charts/chart66.xml" ContentType="application/vnd.openxmlformats-officedocument.drawingml.chart+xml"/>
  <Override PartName="/word/charts/chart67.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heme="majorHAnsi" w:hAnsiTheme="majorHAnsi"/>
          <w:sz w:val="96"/>
        </w:rPr>
        <w:id w:val="-1739551164"/>
        <w:docPartObj>
          <w:docPartGallery w:val="Cover Pages"/>
          <w:docPartUnique/>
        </w:docPartObj>
      </w:sdtPr>
      <w:sdtEndPr>
        <w:rPr>
          <w:b/>
          <w:bCs/>
          <w:i/>
          <w:caps/>
          <w:sz w:val="36"/>
        </w:rPr>
      </w:sdtEndPr>
      <w:sdtContent>
        <w:p w:rsidR="0037150F" w:rsidRDefault="0037150F" w:rsidP="004C6C72">
          <w:pPr>
            <w:spacing w:after="0"/>
            <w:jc w:val="center"/>
            <w:rPr>
              <w:rFonts w:asciiTheme="majorHAnsi" w:hAnsiTheme="majorHAnsi"/>
              <w:sz w:val="96"/>
            </w:rPr>
          </w:pPr>
        </w:p>
        <w:p w:rsidR="0037150F" w:rsidRDefault="0037150F" w:rsidP="004C6C72">
          <w:pPr>
            <w:spacing w:after="0"/>
            <w:jc w:val="center"/>
            <w:rPr>
              <w:rFonts w:asciiTheme="majorHAnsi" w:hAnsiTheme="majorHAnsi"/>
              <w:sz w:val="96"/>
            </w:rPr>
          </w:pPr>
        </w:p>
        <w:p w:rsidR="0037150F" w:rsidRDefault="0037150F" w:rsidP="004C6C72">
          <w:pPr>
            <w:spacing w:after="0"/>
            <w:jc w:val="center"/>
            <w:rPr>
              <w:rFonts w:asciiTheme="majorHAnsi" w:hAnsiTheme="majorHAnsi"/>
              <w:sz w:val="96"/>
            </w:rPr>
          </w:pPr>
        </w:p>
        <w:p w:rsidR="0037150F" w:rsidRPr="004C6C72" w:rsidRDefault="0037150F" w:rsidP="004C6C72">
          <w:pPr>
            <w:spacing w:after="0"/>
            <w:jc w:val="center"/>
            <w:rPr>
              <w:rFonts w:asciiTheme="majorHAnsi" w:hAnsiTheme="majorHAnsi"/>
              <w:sz w:val="96"/>
            </w:rPr>
          </w:pPr>
          <w:r w:rsidRPr="004C6C72">
            <w:rPr>
              <w:rFonts w:asciiTheme="majorHAnsi" w:hAnsiTheme="majorHAnsi"/>
              <w:sz w:val="96"/>
            </w:rPr>
            <w:t>Barnet’s</w:t>
          </w:r>
        </w:p>
        <w:p w:rsidR="0037150F" w:rsidRPr="004C6C72" w:rsidRDefault="0037150F" w:rsidP="004C6C72">
          <w:pPr>
            <w:spacing w:after="0"/>
            <w:jc w:val="center"/>
            <w:rPr>
              <w:rFonts w:asciiTheme="majorHAnsi" w:hAnsiTheme="majorHAnsi"/>
              <w:sz w:val="96"/>
            </w:rPr>
          </w:pPr>
          <w:r w:rsidRPr="004C6C72">
            <w:rPr>
              <w:rFonts w:asciiTheme="majorHAnsi" w:hAnsiTheme="majorHAnsi"/>
              <w:sz w:val="96"/>
            </w:rPr>
            <w:t>Joint Strategic Needs Assessment</w:t>
          </w:r>
        </w:p>
        <w:p w:rsidR="0037150F" w:rsidRPr="004C6C72" w:rsidRDefault="0037150F" w:rsidP="004C6C72">
          <w:pPr>
            <w:rPr>
              <w:rFonts w:asciiTheme="majorHAnsi" w:hAnsiTheme="majorHAnsi"/>
            </w:rPr>
          </w:pPr>
        </w:p>
        <w:p w:rsidR="009F34BC" w:rsidRDefault="0037150F" w:rsidP="004C6C72">
          <w:pPr>
            <w:jc w:val="center"/>
            <w:rPr>
              <w:rFonts w:asciiTheme="majorHAnsi" w:hAnsiTheme="majorHAnsi"/>
              <w:i/>
              <w:sz w:val="36"/>
            </w:rPr>
          </w:pPr>
          <w:r w:rsidRPr="004C6C72">
            <w:rPr>
              <w:rFonts w:asciiTheme="majorHAnsi" w:hAnsiTheme="majorHAnsi"/>
              <w:i/>
              <w:sz w:val="36"/>
            </w:rPr>
            <w:t>2015-2020</w:t>
          </w:r>
        </w:p>
        <w:p w:rsidR="009F34BC" w:rsidRDefault="009F34BC">
          <w:pPr>
            <w:rPr>
              <w:rFonts w:asciiTheme="majorHAnsi" w:hAnsiTheme="majorHAnsi"/>
              <w:i/>
              <w:sz w:val="36"/>
            </w:rPr>
          </w:pPr>
          <w:r>
            <w:rPr>
              <w:rFonts w:asciiTheme="majorHAnsi" w:hAnsiTheme="majorHAnsi"/>
              <w:i/>
              <w:sz w:val="36"/>
            </w:rPr>
            <w:br w:type="page"/>
          </w:r>
        </w:p>
        <w:p w:rsidR="0037150F" w:rsidRPr="004C6C72" w:rsidRDefault="0037150F" w:rsidP="004C6C72">
          <w:pPr>
            <w:jc w:val="center"/>
            <w:rPr>
              <w:rFonts w:asciiTheme="majorHAnsi" w:hAnsiTheme="majorHAnsi"/>
              <w:i/>
              <w:sz w:val="36"/>
            </w:rPr>
          </w:pPr>
        </w:p>
        <w:p w:rsidR="0037150F" w:rsidRDefault="0037150F" w:rsidP="004C6C72"/>
        <w:p w:rsidR="0037150F" w:rsidRDefault="0037150F" w:rsidP="004C6C72"/>
        <w:p w:rsidR="0037150F" w:rsidRDefault="0037150F" w:rsidP="004C6C72"/>
        <w:p w:rsidR="0037150F" w:rsidRDefault="0037150F" w:rsidP="004C6C72"/>
        <w:p w:rsidR="0037150F" w:rsidRDefault="0037150F" w:rsidP="004C6C72"/>
        <w:p w:rsidR="0037150F" w:rsidRDefault="0037150F" w:rsidP="004C6C72"/>
        <w:p w:rsidR="0037150F" w:rsidRDefault="0037150F" w:rsidP="004C6C72"/>
        <w:p w:rsidR="0037150F" w:rsidRDefault="0037150F" w:rsidP="004C6C72"/>
        <w:p w:rsidR="0037150F" w:rsidRDefault="0037150F" w:rsidP="004C6C72"/>
        <w:p w:rsidR="0037150F" w:rsidRDefault="0037150F" w:rsidP="004C6C72">
          <w:pPr>
            <w:rPr>
              <w:rFonts w:asciiTheme="majorHAnsi" w:hAnsiTheme="majorHAnsi"/>
              <w:b/>
              <w:bCs/>
              <w:i/>
              <w:caps/>
              <w:sz w:val="36"/>
            </w:rPr>
          </w:pPr>
          <w:r>
            <w:rPr>
              <w:sz w:val="28"/>
            </w:rPr>
            <w:tab/>
          </w:r>
          <w:r>
            <w:rPr>
              <w:sz w:val="28"/>
            </w:rPr>
            <w:tab/>
          </w:r>
          <w:r>
            <w:rPr>
              <w:sz w:val="28"/>
            </w:rPr>
            <w:tab/>
          </w:r>
          <w:r>
            <w:rPr>
              <w:sz w:val="28"/>
            </w:rPr>
            <w:tab/>
          </w:r>
          <w:r>
            <w:rPr>
              <w:sz w:val="28"/>
            </w:rPr>
            <w:tab/>
          </w:r>
          <w:r>
            <w:rPr>
              <w:sz w:val="28"/>
            </w:rPr>
            <w:tab/>
          </w:r>
          <w:r>
            <w:rPr>
              <w:sz w:val="28"/>
            </w:rPr>
            <w:tab/>
          </w:r>
          <w:r>
            <w:rPr>
              <w:sz w:val="28"/>
            </w:rPr>
            <w:tab/>
            <w:t xml:space="preserve">      </w:t>
          </w:r>
          <w:r>
            <w:rPr>
              <w:sz w:val="28"/>
            </w:rPr>
            <w:tab/>
            <w:t xml:space="preserve">       </w:t>
          </w:r>
        </w:p>
      </w:sdtContent>
    </w:sdt>
    <w:p w:rsidR="009F34BC" w:rsidRDefault="009F34BC">
      <w:pPr>
        <w:rPr>
          <w:rFonts w:asciiTheme="majorHAnsi" w:eastAsia="Times New Roman" w:hAnsiTheme="majorHAnsi" w:cstheme="majorBidi"/>
          <w:b/>
          <w:bCs/>
          <w:color w:val="365F91" w:themeColor="accent1" w:themeShade="BF"/>
          <w:sz w:val="44"/>
          <w:szCs w:val="28"/>
          <w:lang w:eastAsia="en-GB"/>
        </w:rPr>
      </w:pPr>
      <w:r>
        <w:rPr>
          <w:rFonts w:asciiTheme="majorHAnsi" w:eastAsia="Times New Roman" w:hAnsiTheme="majorHAnsi" w:cstheme="majorBidi"/>
          <w:b/>
          <w:bCs/>
          <w:color w:val="365F91" w:themeColor="accent1" w:themeShade="BF"/>
          <w:sz w:val="44"/>
          <w:szCs w:val="28"/>
          <w:lang w:eastAsia="en-GB"/>
        </w:rPr>
        <w:br w:type="page"/>
      </w:r>
    </w:p>
    <w:p w:rsidR="00552D40" w:rsidRPr="00552D40" w:rsidRDefault="000A16C1" w:rsidP="003C374F">
      <w:pPr>
        <w:keepNext/>
        <w:keepLines/>
        <w:spacing w:before="480" w:after="0"/>
        <w:jc w:val="center"/>
        <w:outlineLvl w:val="0"/>
        <w:rPr>
          <w:rFonts w:asciiTheme="majorHAnsi" w:eastAsia="Times New Roman" w:hAnsiTheme="majorHAnsi" w:cstheme="majorBidi"/>
          <w:b/>
          <w:bCs/>
          <w:color w:val="365F91" w:themeColor="accent1" w:themeShade="BF"/>
          <w:sz w:val="44"/>
          <w:szCs w:val="28"/>
          <w:lang w:eastAsia="en-GB"/>
        </w:rPr>
      </w:pPr>
      <w:bookmarkStart w:id="0" w:name="_Toc431225079"/>
      <w:r w:rsidRPr="00552D40">
        <w:rPr>
          <w:rFonts w:asciiTheme="majorHAnsi" w:eastAsia="Times New Roman" w:hAnsiTheme="majorHAnsi" w:cstheme="majorBidi"/>
          <w:b/>
          <w:bCs/>
          <w:color w:val="365F91" w:themeColor="accent1" w:themeShade="BF"/>
          <w:sz w:val="44"/>
          <w:szCs w:val="28"/>
          <w:lang w:eastAsia="en-GB"/>
        </w:rPr>
        <w:lastRenderedPageBreak/>
        <w:t>Forward</w:t>
      </w:r>
      <w:bookmarkEnd w:id="0"/>
    </w:p>
    <w:tbl>
      <w:tblPr>
        <w:tblStyle w:val="TableGrid"/>
        <w:tblW w:w="10490" w:type="dxa"/>
        <w:jc w:val="center"/>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4"/>
        <w:gridCol w:w="283"/>
        <w:gridCol w:w="5103"/>
      </w:tblGrid>
      <w:tr w:rsidR="000A16C1" w:rsidRPr="00EC5145" w:rsidTr="009F34BC">
        <w:trPr>
          <w:jc w:val="center"/>
        </w:trPr>
        <w:tc>
          <w:tcPr>
            <w:tcW w:w="5104" w:type="dxa"/>
          </w:tcPr>
          <w:p w:rsidR="00552D40" w:rsidRPr="00EC5145" w:rsidRDefault="00552D40" w:rsidP="000A16C1">
            <w:pPr>
              <w:jc w:val="both"/>
            </w:pPr>
          </w:p>
          <w:p w:rsidR="000A16C1" w:rsidRPr="00EC5145" w:rsidRDefault="000A16C1" w:rsidP="000A16C1">
            <w:pPr>
              <w:jc w:val="both"/>
            </w:pPr>
            <w:r w:rsidRPr="00EC5145">
              <w:t xml:space="preserve">The production of the Joint Strategic Needs Assessment is one of the most important responsibilities of the Barnet Health &amp; Wellbeing Board - the Board which brings together the most senior Members and Officers of the Council and the local NHS together with </w:t>
            </w:r>
            <w:proofErr w:type="spellStart"/>
            <w:r w:rsidRPr="00EC5145">
              <w:t>Healthwatch</w:t>
            </w:r>
            <w:proofErr w:type="spellEnd"/>
            <w:r w:rsidRPr="00EC5145">
              <w:t xml:space="preserve"> and NHS England to collaborate and work together to improve health and wellbeing in Barnet.</w:t>
            </w:r>
          </w:p>
          <w:p w:rsidR="000A16C1" w:rsidRPr="00EC5145" w:rsidRDefault="000A16C1" w:rsidP="000A16C1">
            <w:pPr>
              <w:jc w:val="both"/>
            </w:pPr>
          </w:p>
          <w:p w:rsidR="000A16C1" w:rsidRPr="00EC5145" w:rsidRDefault="000A16C1" w:rsidP="000A16C1">
            <w:pPr>
              <w:jc w:val="both"/>
            </w:pPr>
            <w:r w:rsidRPr="00EC5145">
              <w:t>We can only do this - and try to ensure at the same time that all of our very many and varied local communities enjoy not only longer lives but healthier and happier lives - if we all have a clear evidence base and shared understanding of the needs of people in Barnet and this JSNA provides that base.</w:t>
            </w:r>
          </w:p>
          <w:p w:rsidR="000A16C1" w:rsidRPr="00EC5145" w:rsidRDefault="000A16C1" w:rsidP="000A16C1">
            <w:pPr>
              <w:jc w:val="both"/>
            </w:pPr>
          </w:p>
          <w:p w:rsidR="000A16C1" w:rsidRPr="00EC5145" w:rsidRDefault="000A16C1" w:rsidP="000A16C1">
            <w:pPr>
              <w:jc w:val="both"/>
            </w:pPr>
            <w:r w:rsidRPr="00EC5145">
              <w:t xml:space="preserve">It has been developed as a truly shared endeavour with just the right balance achieved between professional analysis and extensive engagement with both individuals and a wide variety of organisations across the Borough - thereby ensuring its credibility as an impartial, high quality and up-to-date base for decision making. </w:t>
            </w:r>
          </w:p>
          <w:p w:rsidR="000A16C1" w:rsidRPr="00EC5145" w:rsidRDefault="000A16C1" w:rsidP="000A16C1">
            <w:pPr>
              <w:jc w:val="both"/>
            </w:pPr>
          </w:p>
          <w:p w:rsidR="000A16C1" w:rsidRPr="00EC5145" w:rsidRDefault="000A16C1" w:rsidP="000A16C1">
            <w:pPr>
              <w:jc w:val="both"/>
            </w:pPr>
            <w:r w:rsidRPr="00EC5145">
              <w:t xml:space="preserve">I would like to thank the wide range of professionals and experts from Barnet Council, Barnet Clinical Commissioning Group and </w:t>
            </w:r>
            <w:proofErr w:type="spellStart"/>
            <w:r w:rsidRPr="00EC5145">
              <w:t>Healthwatch</w:t>
            </w:r>
            <w:proofErr w:type="spellEnd"/>
            <w:r w:rsidRPr="00EC5145">
              <w:t xml:space="preserve">, as well as other partners and everyone else involved in the production of this excellent, reasoned, relevant and readable JSNA.  It will be invaluable in formulating our Health &amp; Wellbeing Strategy as well as supporting alignment across the public sector in Barnet and ensuring that every penny of public money is spent effectively and efficiently to improve health and wellbeing in Barnet. </w:t>
            </w:r>
          </w:p>
          <w:p w:rsidR="000A16C1" w:rsidRPr="00EC5145" w:rsidRDefault="000A16C1" w:rsidP="000A16C1">
            <w:pPr>
              <w:jc w:val="both"/>
            </w:pPr>
            <w:r w:rsidRPr="00EC5145">
              <w:t xml:space="preserve"> </w:t>
            </w:r>
          </w:p>
          <w:p w:rsidR="000A16C1" w:rsidRPr="00EC5145" w:rsidRDefault="000A16C1" w:rsidP="000A16C1">
            <w:pPr>
              <w:jc w:val="both"/>
            </w:pPr>
            <w:r w:rsidRPr="00EC5145">
              <w:t>Councillor Helena Hart</w:t>
            </w:r>
          </w:p>
          <w:p w:rsidR="000A16C1" w:rsidRPr="00EC5145" w:rsidRDefault="000A16C1" w:rsidP="00EC5145">
            <w:pPr>
              <w:jc w:val="both"/>
            </w:pPr>
            <w:r w:rsidRPr="00EC5145">
              <w:t xml:space="preserve">Chairman, Barnet Health and Wellbeing Board </w:t>
            </w:r>
          </w:p>
        </w:tc>
        <w:tc>
          <w:tcPr>
            <w:tcW w:w="283" w:type="dxa"/>
          </w:tcPr>
          <w:p w:rsidR="000A16C1" w:rsidRPr="00EC5145" w:rsidRDefault="000A16C1" w:rsidP="000A16C1">
            <w:pPr>
              <w:jc w:val="both"/>
            </w:pPr>
          </w:p>
        </w:tc>
        <w:tc>
          <w:tcPr>
            <w:tcW w:w="5103" w:type="dxa"/>
          </w:tcPr>
          <w:p w:rsidR="00552D40" w:rsidRPr="00EC5145" w:rsidRDefault="00552D40" w:rsidP="000A16C1">
            <w:pPr>
              <w:jc w:val="both"/>
            </w:pPr>
          </w:p>
          <w:p w:rsidR="000A16C1" w:rsidRPr="00EC5145" w:rsidRDefault="000A16C1" w:rsidP="000A16C1">
            <w:pPr>
              <w:jc w:val="both"/>
            </w:pPr>
            <w:r w:rsidRPr="00EC5145">
              <w:t>The development of the Joint Strategic Needs Assessment has been a very important undertaking in ensuring that the Health and Wellbeing Board and local partners have a true appreciation and understanding of the health and social care needs of our population in Barnet.</w:t>
            </w:r>
          </w:p>
          <w:p w:rsidR="000A16C1" w:rsidRPr="00EC5145" w:rsidRDefault="000A16C1" w:rsidP="000A16C1">
            <w:pPr>
              <w:jc w:val="both"/>
            </w:pPr>
          </w:p>
          <w:p w:rsidR="000A16C1" w:rsidRPr="00EC5145" w:rsidRDefault="000A16C1" w:rsidP="000A16C1">
            <w:pPr>
              <w:autoSpaceDE w:val="0"/>
              <w:autoSpaceDN w:val="0"/>
              <w:adjustRightInd w:val="0"/>
              <w:jc w:val="both"/>
            </w:pPr>
            <w:r w:rsidRPr="00EC5145">
              <w:t>Working collaboratively to co-produce this strategy has proved enormously beneficial because the output is a high quality document which enables us to, not only set out our priorities for the borough, but also explore new opportunities and find solutions to existing challenges. In addition I think that it is written in a way that is interesting and accessible to all.</w:t>
            </w:r>
          </w:p>
          <w:p w:rsidR="000A16C1" w:rsidRPr="00EC5145" w:rsidRDefault="000A16C1" w:rsidP="000A16C1">
            <w:pPr>
              <w:autoSpaceDE w:val="0"/>
              <w:autoSpaceDN w:val="0"/>
              <w:adjustRightInd w:val="0"/>
              <w:jc w:val="both"/>
            </w:pPr>
          </w:p>
          <w:p w:rsidR="000A16C1" w:rsidRPr="00EC5145" w:rsidRDefault="000A16C1" w:rsidP="000A16C1">
            <w:pPr>
              <w:autoSpaceDE w:val="0"/>
              <w:autoSpaceDN w:val="0"/>
              <w:adjustRightInd w:val="0"/>
              <w:jc w:val="both"/>
            </w:pPr>
            <w:r w:rsidRPr="00EC5145">
              <w:t>I am pleased to have been a part of this significant piece of work, and along with the Chairman, would like to thank the various stakeholders and partners who have made valuable and lasting contributions to the JSNA.</w:t>
            </w:r>
          </w:p>
          <w:p w:rsidR="000A16C1" w:rsidRPr="00EC5145" w:rsidRDefault="000A16C1" w:rsidP="000A16C1">
            <w:pPr>
              <w:autoSpaceDE w:val="0"/>
              <w:autoSpaceDN w:val="0"/>
              <w:adjustRightInd w:val="0"/>
              <w:jc w:val="both"/>
            </w:pPr>
          </w:p>
          <w:p w:rsidR="000A16C1" w:rsidRPr="00EC5145" w:rsidRDefault="000A16C1" w:rsidP="000A16C1">
            <w:pPr>
              <w:autoSpaceDE w:val="0"/>
              <w:autoSpaceDN w:val="0"/>
              <w:adjustRightInd w:val="0"/>
              <w:jc w:val="both"/>
            </w:pPr>
            <w:r w:rsidRPr="00EC5145">
              <w:t>Dr Debbie Frost</w:t>
            </w:r>
          </w:p>
          <w:p w:rsidR="000A16C1" w:rsidRPr="00EC5145" w:rsidRDefault="000A16C1" w:rsidP="000A16C1">
            <w:pPr>
              <w:autoSpaceDE w:val="0"/>
              <w:autoSpaceDN w:val="0"/>
              <w:adjustRightInd w:val="0"/>
              <w:jc w:val="both"/>
            </w:pPr>
            <w:r w:rsidRPr="00EC5145">
              <w:t>Vice Chair, Barnet Health and Wellbeing Board</w:t>
            </w:r>
          </w:p>
          <w:p w:rsidR="000A16C1" w:rsidRPr="00EC5145" w:rsidRDefault="000A16C1"/>
        </w:tc>
      </w:tr>
    </w:tbl>
    <w:p w:rsidR="000A16C1" w:rsidRDefault="009F34BC" w:rsidP="00EC5145">
      <w:pPr>
        <w:jc w:val="right"/>
        <w:rPr>
          <w:sz w:val="28"/>
        </w:rPr>
      </w:pPr>
      <w:r>
        <w:rPr>
          <w:noProof/>
          <w:sz w:val="28"/>
          <w:lang w:eastAsia="en-GB"/>
        </w:rPr>
        <w:drawing>
          <wp:anchor distT="0" distB="0" distL="114300" distR="114300" simplePos="0" relativeHeight="251867136" behindDoc="0" locked="0" layoutInCell="1" allowOverlap="1" wp14:anchorId="45AD1312" wp14:editId="1BC17F72">
            <wp:simplePos x="0" y="0"/>
            <wp:positionH relativeFrom="margin">
              <wp:posOffset>3962400</wp:posOffset>
            </wp:positionH>
            <wp:positionV relativeFrom="margin">
              <wp:posOffset>7210425</wp:posOffset>
            </wp:positionV>
            <wp:extent cx="1419225" cy="1914525"/>
            <wp:effectExtent l="0" t="0" r="9525" b="9525"/>
            <wp:wrapSquare wrapText="bothSides"/>
            <wp:docPr id="6" name="Picture 6" descr="C:\Users\Daniel.Bailey\AppData\Local\Microsoft\Windows\Temporary Internet Files\Content.Word\Debb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aniel.Bailey\AppData\Local\Microsoft\Windows\Temporary Internet Files\Content.Word\Debbie.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419225" cy="1914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46202">
        <w:rPr>
          <w:noProof/>
          <w:lang w:eastAsia="en-G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left:0;text-align:left;margin-left:44.05pt;margin-top:569.25pt;width:111.95pt;height:151.9pt;z-index:251870208;mso-position-horizontal-relative:margin;mso-position-vertical-relative:margin">
            <v:imagedata r:id="rId10" o:title="_A5W5196" croptop="4320f"/>
            <w10:wrap type="square" anchorx="margin" anchory="margin"/>
          </v:shape>
        </w:pict>
      </w:r>
      <w:r w:rsidR="000A16C1">
        <w:rPr>
          <w:sz w:val="28"/>
        </w:rPr>
        <w:br w:type="page"/>
      </w:r>
    </w:p>
    <w:p w:rsidR="00B0108C" w:rsidRDefault="00B0108C" w:rsidP="00CF501E">
      <w:pPr>
        <w:ind w:hanging="284"/>
        <w:rPr>
          <w:b/>
          <w:sz w:val="28"/>
        </w:rPr>
      </w:pPr>
    </w:p>
    <w:p w:rsidR="00B0108C" w:rsidRPr="003C374F" w:rsidRDefault="00B0108C" w:rsidP="00CF501E">
      <w:pPr>
        <w:ind w:hanging="284"/>
        <w:rPr>
          <w:b/>
          <w:sz w:val="36"/>
        </w:rPr>
      </w:pPr>
      <w:r w:rsidRPr="003C374F">
        <w:rPr>
          <w:b/>
          <w:sz w:val="36"/>
        </w:rPr>
        <w:t>Acknowledgements</w:t>
      </w:r>
    </w:p>
    <w:p w:rsidR="00890277" w:rsidRDefault="00890277" w:rsidP="00890277">
      <w:pPr>
        <w:rPr>
          <w:sz w:val="24"/>
        </w:rPr>
      </w:pPr>
    </w:p>
    <w:p w:rsidR="003C374F" w:rsidRDefault="003C374F" w:rsidP="00890277">
      <w:pPr>
        <w:rPr>
          <w:b/>
          <w:sz w:val="28"/>
        </w:rPr>
      </w:pPr>
    </w:p>
    <w:p w:rsidR="006B6601" w:rsidRPr="003C374F" w:rsidRDefault="00890277" w:rsidP="00890277">
      <w:pPr>
        <w:ind w:hanging="284"/>
        <w:rPr>
          <w:b/>
          <w:sz w:val="32"/>
        </w:rPr>
      </w:pPr>
      <w:r w:rsidRPr="003C374F">
        <w:rPr>
          <w:b/>
          <w:sz w:val="32"/>
        </w:rPr>
        <w:t xml:space="preserve">JSNA </w:t>
      </w:r>
      <w:r w:rsidR="006B6601" w:rsidRPr="003C374F">
        <w:rPr>
          <w:b/>
          <w:sz w:val="32"/>
        </w:rPr>
        <w:t xml:space="preserve">Delivery </w:t>
      </w:r>
      <w:r w:rsidRPr="003C374F">
        <w:rPr>
          <w:b/>
          <w:sz w:val="32"/>
        </w:rPr>
        <w:t>Team</w:t>
      </w: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802"/>
        <w:gridCol w:w="6440"/>
      </w:tblGrid>
      <w:tr w:rsidR="00890277" w:rsidRPr="00890277" w:rsidTr="00265D3D">
        <w:tc>
          <w:tcPr>
            <w:tcW w:w="2802" w:type="dxa"/>
          </w:tcPr>
          <w:p w:rsidR="00890277" w:rsidRPr="003C374F" w:rsidRDefault="00890277" w:rsidP="006B6601">
            <w:pPr>
              <w:rPr>
                <w:sz w:val="24"/>
              </w:rPr>
            </w:pPr>
            <w:r w:rsidRPr="003C374F">
              <w:rPr>
                <w:sz w:val="24"/>
              </w:rPr>
              <w:t>Luke Ward</w:t>
            </w:r>
          </w:p>
        </w:tc>
        <w:tc>
          <w:tcPr>
            <w:tcW w:w="6440" w:type="dxa"/>
          </w:tcPr>
          <w:p w:rsidR="00890277" w:rsidRPr="003C374F" w:rsidRDefault="00890277" w:rsidP="00890277">
            <w:pPr>
              <w:rPr>
                <w:sz w:val="24"/>
              </w:rPr>
            </w:pPr>
            <w:r w:rsidRPr="003C374F">
              <w:rPr>
                <w:sz w:val="24"/>
              </w:rPr>
              <w:t>London Borough of Barnet (Commissioning  Group)</w:t>
            </w:r>
          </w:p>
        </w:tc>
      </w:tr>
      <w:tr w:rsidR="00890277" w:rsidRPr="00890277" w:rsidTr="00265D3D">
        <w:tc>
          <w:tcPr>
            <w:tcW w:w="2802" w:type="dxa"/>
          </w:tcPr>
          <w:p w:rsidR="00890277" w:rsidRPr="003C374F" w:rsidRDefault="00890277" w:rsidP="006B6601">
            <w:pPr>
              <w:rPr>
                <w:sz w:val="24"/>
              </w:rPr>
            </w:pPr>
            <w:r w:rsidRPr="003C374F">
              <w:rPr>
                <w:sz w:val="24"/>
              </w:rPr>
              <w:t>Dan Bailey</w:t>
            </w:r>
          </w:p>
        </w:tc>
        <w:tc>
          <w:tcPr>
            <w:tcW w:w="6440" w:type="dxa"/>
          </w:tcPr>
          <w:p w:rsidR="00890277" w:rsidRPr="003C374F" w:rsidRDefault="00890277" w:rsidP="006B6601">
            <w:pPr>
              <w:rPr>
                <w:sz w:val="24"/>
              </w:rPr>
            </w:pPr>
            <w:r w:rsidRPr="003C374F">
              <w:rPr>
                <w:sz w:val="24"/>
              </w:rPr>
              <w:t>London Borough of Barnet (Commissioning Group)</w:t>
            </w:r>
          </w:p>
        </w:tc>
      </w:tr>
      <w:tr w:rsidR="00890277" w:rsidRPr="00890277" w:rsidTr="00265D3D">
        <w:tc>
          <w:tcPr>
            <w:tcW w:w="2802" w:type="dxa"/>
          </w:tcPr>
          <w:p w:rsidR="00890277" w:rsidRPr="003C374F" w:rsidRDefault="003C374F" w:rsidP="006B6601">
            <w:pPr>
              <w:rPr>
                <w:sz w:val="24"/>
              </w:rPr>
            </w:pPr>
            <w:r w:rsidRPr="003C374F">
              <w:rPr>
                <w:sz w:val="24"/>
              </w:rPr>
              <w:t xml:space="preserve">Zoe </w:t>
            </w:r>
            <w:proofErr w:type="spellStart"/>
            <w:r w:rsidRPr="003C374F">
              <w:rPr>
                <w:sz w:val="24"/>
              </w:rPr>
              <w:t>Garbett</w:t>
            </w:r>
            <w:proofErr w:type="spellEnd"/>
          </w:p>
        </w:tc>
        <w:tc>
          <w:tcPr>
            <w:tcW w:w="6440" w:type="dxa"/>
          </w:tcPr>
          <w:p w:rsidR="00890277" w:rsidRPr="003C374F" w:rsidRDefault="003C374F" w:rsidP="00265D3D">
            <w:pPr>
              <w:rPr>
                <w:sz w:val="24"/>
              </w:rPr>
            </w:pPr>
            <w:r w:rsidRPr="003C374F">
              <w:rPr>
                <w:sz w:val="24"/>
              </w:rPr>
              <w:t xml:space="preserve">London Borough of Barnet </w:t>
            </w:r>
            <w:r w:rsidR="00265D3D">
              <w:rPr>
                <w:sz w:val="24"/>
              </w:rPr>
              <w:t>(Health and Wellbeing)</w:t>
            </w:r>
          </w:p>
        </w:tc>
      </w:tr>
      <w:tr w:rsidR="003C374F" w:rsidRPr="00890277" w:rsidTr="00265D3D">
        <w:tc>
          <w:tcPr>
            <w:tcW w:w="2802" w:type="dxa"/>
          </w:tcPr>
          <w:p w:rsidR="003C374F" w:rsidRPr="003C374F" w:rsidRDefault="003C374F" w:rsidP="006B6601">
            <w:pPr>
              <w:rPr>
                <w:sz w:val="24"/>
              </w:rPr>
            </w:pPr>
            <w:r w:rsidRPr="003C374F">
              <w:rPr>
                <w:sz w:val="24"/>
              </w:rPr>
              <w:t xml:space="preserve">Matthew </w:t>
            </w:r>
            <w:proofErr w:type="spellStart"/>
            <w:r w:rsidRPr="003C374F">
              <w:rPr>
                <w:sz w:val="24"/>
              </w:rPr>
              <w:t>Powls</w:t>
            </w:r>
            <w:proofErr w:type="spellEnd"/>
          </w:p>
        </w:tc>
        <w:tc>
          <w:tcPr>
            <w:tcW w:w="6440" w:type="dxa"/>
          </w:tcPr>
          <w:p w:rsidR="003C374F" w:rsidRPr="003C374F" w:rsidRDefault="003C374F" w:rsidP="006B6601">
            <w:pPr>
              <w:rPr>
                <w:sz w:val="24"/>
              </w:rPr>
            </w:pPr>
            <w:r w:rsidRPr="003C374F">
              <w:rPr>
                <w:sz w:val="24"/>
              </w:rPr>
              <w:t>Barnet Clinical Commissioning Group</w:t>
            </w:r>
          </w:p>
        </w:tc>
      </w:tr>
      <w:tr w:rsidR="00890277" w:rsidRPr="00890277" w:rsidTr="00265D3D">
        <w:tc>
          <w:tcPr>
            <w:tcW w:w="2802" w:type="dxa"/>
          </w:tcPr>
          <w:p w:rsidR="00890277" w:rsidRPr="003C374F" w:rsidRDefault="00890277" w:rsidP="006B6601">
            <w:pPr>
              <w:rPr>
                <w:sz w:val="24"/>
              </w:rPr>
            </w:pPr>
            <w:proofErr w:type="spellStart"/>
            <w:r w:rsidRPr="003C374F">
              <w:rPr>
                <w:sz w:val="24"/>
              </w:rPr>
              <w:t>Pinky</w:t>
            </w:r>
            <w:proofErr w:type="spellEnd"/>
            <w:r w:rsidRPr="003C374F">
              <w:rPr>
                <w:sz w:val="24"/>
              </w:rPr>
              <w:t xml:space="preserve"> Miles</w:t>
            </w:r>
          </w:p>
        </w:tc>
        <w:tc>
          <w:tcPr>
            <w:tcW w:w="6440" w:type="dxa"/>
          </w:tcPr>
          <w:p w:rsidR="00890277" w:rsidRPr="003C374F" w:rsidRDefault="00890277" w:rsidP="006B6601">
            <w:pPr>
              <w:rPr>
                <w:sz w:val="24"/>
              </w:rPr>
            </w:pPr>
            <w:r w:rsidRPr="003C374F">
              <w:rPr>
                <w:sz w:val="24"/>
              </w:rPr>
              <w:t>Barnet Clinical Commissioning Group</w:t>
            </w:r>
          </w:p>
        </w:tc>
      </w:tr>
      <w:tr w:rsidR="00890277" w:rsidRPr="00890277" w:rsidTr="00265D3D">
        <w:tc>
          <w:tcPr>
            <w:tcW w:w="2802" w:type="dxa"/>
          </w:tcPr>
          <w:p w:rsidR="00890277" w:rsidRPr="003C374F" w:rsidRDefault="00890277" w:rsidP="006B6601">
            <w:pPr>
              <w:rPr>
                <w:sz w:val="24"/>
              </w:rPr>
            </w:pPr>
            <w:r w:rsidRPr="003C374F">
              <w:rPr>
                <w:sz w:val="24"/>
              </w:rPr>
              <w:t>Claire Bailey</w:t>
            </w:r>
          </w:p>
        </w:tc>
        <w:tc>
          <w:tcPr>
            <w:tcW w:w="6440" w:type="dxa"/>
          </w:tcPr>
          <w:p w:rsidR="00890277" w:rsidRPr="003C374F" w:rsidRDefault="00890277" w:rsidP="00265D3D">
            <w:pPr>
              <w:rPr>
                <w:sz w:val="24"/>
              </w:rPr>
            </w:pPr>
            <w:r w:rsidRPr="003C374F">
              <w:rPr>
                <w:sz w:val="24"/>
              </w:rPr>
              <w:t>London Borough of Barnet (Adult</w:t>
            </w:r>
            <w:r w:rsidR="00265D3D">
              <w:rPr>
                <w:sz w:val="24"/>
              </w:rPr>
              <w:t>s</w:t>
            </w:r>
            <w:r w:rsidRPr="003C374F">
              <w:rPr>
                <w:sz w:val="24"/>
              </w:rPr>
              <w:t xml:space="preserve"> and </w:t>
            </w:r>
            <w:r w:rsidR="00265D3D">
              <w:rPr>
                <w:sz w:val="24"/>
              </w:rPr>
              <w:t>Communities</w:t>
            </w:r>
            <w:r w:rsidRPr="003C374F">
              <w:rPr>
                <w:sz w:val="24"/>
              </w:rPr>
              <w:t>)</w:t>
            </w:r>
          </w:p>
        </w:tc>
      </w:tr>
      <w:tr w:rsidR="00890277" w:rsidRPr="00890277" w:rsidTr="00265D3D">
        <w:tc>
          <w:tcPr>
            <w:tcW w:w="2802" w:type="dxa"/>
          </w:tcPr>
          <w:p w:rsidR="00890277" w:rsidRPr="003C374F" w:rsidRDefault="00890277" w:rsidP="006B6601">
            <w:pPr>
              <w:rPr>
                <w:sz w:val="24"/>
              </w:rPr>
            </w:pPr>
            <w:r w:rsidRPr="003C374F">
              <w:rPr>
                <w:sz w:val="24"/>
              </w:rPr>
              <w:t xml:space="preserve">Elissa </w:t>
            </w:r>
            <w:proofErr w:type="spellStart"/>
            <w:r w:rsidRPr="003C374F">
              <w:rPr>
                <w:sz w:val="24"/>
              </w:rPr>
              <w:t>Rospigliosi</w:t>
            </w:r>
            <w:proofErr w:type="spellEnd"/>
          </w:p>
        </w:tc>
        <w:tc>
          <w:tcPr>
            <w:tcW w:w="6440" w:type="dxa"/>
          </w:tcPr>
          <w:p w:rsidR="00890277" w:rsidRPr="003C374F" w:rsidRDefault="00890277" w:rsidP="00265D3D">
            <w:pPr>
              <w:rPr>
                <w:sz w:val="24"/>
              </w:rPr>
            </w:pPr>
            <w:r w:rsidRPr="003C374F">
              <w:rPr>
                <w:sz w:val="24"/>
              </w:rPr>
              <w:t>London Borough of Barnet (Adult</w:t>
            </w:r>
            <w:r w:rsidR="00265D3D">
              <w:rPr>
                <w:sz w:val="24"/>
              </w:rPr>
              <w:t>s and Communities</w:t>
            </w:r>
            <w:r w:rsidRPr="003C374F">
              <w:rPr>
                <w:sz w:val="24"/>
              </w:rPr>
              <w:t>)</w:t>
            </w:r>
          </w:p>
        </w:tc>
      </w:tr>
      <w:tr w:rsidR="00890277" w:rsidRPr="00890277" w:rsidTr="00265D3D">
        <w:tc>
          <w:tcPr>
            <w:tcW w:w="2802" w:type="dxa"/>
          </w:tcPr>
          <w:p w:rsidR="00890277" w:rsidRPr="003C374F" w:rsidRDefault="00265D3D" w:rsidP="006B6601">
            <w:pPr>
              <w:rPr>
                <w:sz w:val="24"/>
              </w:rPr>
            </w:pPr>
            <w:r>
              <w:rPr>
                <w:sz w:val="24"/>
              </w:rPr>
              <w:t>Judy M</w:t>
            </w:r>
            <w:r w:rsidR="00890277" w:rsidRPr="003C374F">
              <w:rPr>
                <w:sz w:val="24"/>
              </w:rPr>
              <w:t>ace</w:t>
            </w:r>
          </w:p>
        </w:tc>
        <w:tc>
          <w:tcPr>
            <w:tcW w:w="6440" w:type="dxa"/>
          </w:tcPr>
          <w:p w:rsidR="00890277" w:rsidRPr="003C374F" w:rsidRDefault="00890277" w:rsidP="006B6601">
            <w:pPr>
              <w:rPr>
                <w:sz w:val="24"/>
              </w:rPr>
            </w:pPr>
            <w:r w:rsidRPr="003C374F">
              <w:rPr>
                <w:sz w:val="24"/>
              </w:rPr>
              <w:t>Barnet Clinical Commissioning Group</w:t>
            </w:r>
          </w:p>
        </w:tc>
      </w:tr>
      <w:tr w:rsidR="00265D3D" w:rsidRPr="00890277" w:rsidTr="00265D3D">
        <w:tc>
          <w:tcPr>
            <w:tcW w:w="2802" w:type="dxa"/>
          </w:tcPr>
          <w:p w:rsidR="00265D3D" w:rsidRPr="003C374F" w:rsidRDefault="00265D3D" w:rsidP="006B6601">
            <w:pPr>
              <w:rPr>
                <w:sz w:val="24"/>
              </w:rPr>
            </w:pPr>
            <w:proofErr w:type="spellStart"/>
            <w:r>
              <w:rPr>
                <w:sz w:val="24"/>
              </w:rPr>
              <w:t>Sarwah</w:t>
            </w:r>
            <w:proofErr w:type="spellEnd"/>
            <w:r>
              <w:rPr>
                <w:sz w:val="24"/>
              </w:rPr>
              <w:t xml:space="preserve"> Shah</w:t>
            </w:r>
          </w:p>
        </w:tc>
        <w:tc>
          <w:tcPr>
            <w:tcW w:w="6440" w:type="dxa"/>
          </w:tcPr>
          <w:p w:rsidR="00265D3D" w:rsidRPr="003C374F" w:rsidRDefault="00265D3D" w:rsidP="006B6601">
            <w:pPr>
              <w:rPr>
                <w:sz w:val="24"/>
              </w:rPr>
            </w:pPr>
            <w:r>
              <w:rPr>
                <w:sz w:val="24"/>
              </w:rPr>
              <w:t>Consultant in Public Health</w:t>
            </w:r>
          </w:p>
        </w:tc>
      </w:tr>
      <w:tr w:rsidR="003C374F" w:rsidRPr="00890277" w:rsidTr="00265D3D">
        <w:tc>
          <w:tcPr>
            <w:tcW w:w="2802" w:type="dxa"/>
          </w:tcPr>
          <w:p w:rsidR="003C374F" w:rsidRPr="003C374F" w:rsidRDefault="003C374F" w:rsidP="006B6601">
            <w:pPr>
              <w:rPr>
                <w:sz w:val="24"/>
              </w:rPr>
            </w:pPr>
            <w:r w:rsidRPr="003C374F">
              <w:rPr>
                <w:sz w:val="24"/>
              </w:rPr>
              <w:t>Carole Furlong</w:t>
            </w:r>
          </w:p>
        </w:tc>
        <w:tc>
          <w:tcPr>
            <w:tcW w:w="6440" w:type="dxa"/>
          </w:tcPr>
          <w:p w:rsidR="003C374F" w:rsidRPr="003C374F" w:rsidRDefault="003C374F" w:rsidP="006B6601">
            <w:pPr>
              <w:rPr>
                <w:sz w:val="24"/>
              </w:rPr>
            </w:pPr>
            <w:r w:rsidRPr="003C374F">
              <w:rPr>
                <w:sz w:val="24"/>
              </w:rPr>
              <w:t>Barnet and Harrow</w:t>
            </w:r>
            <w:r w:rsidR="00146202">
              <w:rPr>
                <w:sz w:val="24"/>
              </w:rPr>
              <w:t xml:space="preserve"> </w:t>
            </w:r>
            <w:r w:rsidRPr="003C374F">
              <w:rPr>
                <w:sz w:val="24"/>
              </w:rPr>
              <w:t>Public Health Team</w:t>
            </w:r>
          </w:p>
        </w:tc>
      </w:tr>
      <w:tr w:rsidR="00890277" w:rsidRPr="00890277" w:rsidTr="00265D3D">
        <w:trPr>
          <w:trHeight w:val="299"/>
        </w:trPr>
        <w:tc>
          <w:tcPr>
            <w:tcW w:w="2802" w:type="dxa"/>
            <w:tcBorders>
              <w:bottom w:val="single" w:sz="4" w:space="0" w:color="FFFFFF" w:themeColor="background1"/>
            </w:tcBorders>
          </w:tcPr>
          <w:p w:rsidR="00890277" w:rsidRPr="003C374F" w:rsidRDefault="00890277" w:rsidP="006B6601">
            <w:pPr>
              <w:rPr>
                <w:sz w:val="24"/>
              </w:rPr>
            </w:pPr>
            <w:r w:rsidRPr="003C374F">
              <w:rPr>
                <w:sz w:val="24"/>
              </w:rPr>
              <w:t>Lyndsey Hyde</w:t>
            </w:r>
          </w:p>
        </w:tc>
        <w:tc>
          <w:tcPr>
            <w:tcW w:w="6440" w:type="dxa"/>
            <w:tcBorders>
              <w:bottom w:val="single" w:sz="4" w:space="0" w:color="FFFFFF" w:themeColor="background1"/>
            </w:tcBorders>
          </w:tcPr>
          <w:p w:rsidR="00890277" w:rsidRPr="003C374F" w:rsidRDefault="00890277" w:rsidP="00265D3D">
            <w:pPr>
              <w:rPr>
                <w:sz w:val="24"/>
              </w:rPr>
            </w:pPr>
            <w:r w:rsidRPr="003C374F">
              <w:rPr>
                <w:sz w:val="24"/>
              </w:rPr>
              <w:t>London Borough of Barnet (Family Service</w:t>
            </w:r>
            <w:r w:rsidR="00265D3D">
              <w:rPr>
                <w:sz w:val="24"/>
              </w:rPr>
              <w:t>s</w:t>
            </w:r>
            <w:r w:rsidRPr="003C374F">
              <w:rPr>
                <w:sz w:val="24"/>
              </w:rPr>
              <w:t>)</w:t>
            </w:r>
          </w:p>
        </w:tc>
      </w:tr>
      <w:tr w:rsidR="00265D3D" w:rsidRPr="00890277" w:rsidTr="00265D3D">
        <w:trPr>
          <w:trHeight w:val="299"/>
        </w:trPr>
        <w:tc>
          <w:tcPr>
            <w:tcW w:w="2802" w:type="dxa"/>
            <w:tcBorders>
              <w:bottom w:val="single" w:sz="4" w:space="0" w:color="FFFFFF" w:themeColor="background1"/>
            </w:tcBorders>
          </w:tcPr>
          <w:p w:rsidR="00265D3D" w:rsidRPr="003C374F" w:rsidRDefault="00265D3D" w:rsidP="006B6601">
            <w:pPr>
              <w:rPr>
                <w:sz w:val="24"/>
              </w:rPr>
            </w:pPr>
            <w:r>
              <w:rPr>
                <w:sz w:val="24"/>
              </w:rPr>
              <w:t xml:space="preserve">Matt </w:t>
            </w:r>
            <w:proofErr w:type="spellStart"/>
            <w:r>
              <w:rPr>
                <w:sz w:val="24"/>
              </w:rPr>
              <w:t>Boxall</w:t>
            </w:r>
            <w:proofErr w:type="spellEnd"/>
          </w:p>
        </w:tc>
        <w:tc>
          <w:tcPr>
            <w:tcW w:w="6440" w:type="dxa"/>
            <w:tcBorders>
              <w:bottom w:val="single" w:sz="4" w:space="0" w:color="FFFFFF" w:themeColor="background1"/>
            </w:tcBorders>
          </w:tcPr>
          <w:p w:rsidR="00265D3D" w:rsidRPr="003C374F" w:rsidRDefault="00265D3D" w:rsidP="00265D3D">
            <w:pPr>
              <w:rPr>
                <w:sz w:val="24"/>
              </w:rPr>
            </w:pPr>
            <w:r w:rsidRPr="003C374F">
              <w:rPr>
                <w:sz w:val="24"/>
              </w:rPr>
              <w:t>London Borough of Barnet (Family Service</w:t>
            </w:r>
            <w:r>
              <w:rPr>
                <w:sz w:val="24"/>
              </w:rPr>
              <w:t>s</w:t>
            </w:r>
            <w:r w:rsidRPr="003C374F">
              <w:rPr>
                <w:sz w:val="24"/>
              </w:rPr>
              <w:t>)</w:t>
            </w:r>
          </w:p>
        </w:tc>
      </w:tr>
      <w:tr w:rsidR="00265D3D" w:rsidRPr="00890277" w:rsidTr="00265D3D">
        <w:trPr>
          <w:trHeight w:val="299"/>
        </w:trPr>
        <w:tc>
          <w:tcPr>
            <w:tcW w:w="2802" w:type="dxa"/>
            <w:tcBorders>
              <w:bottom w:val="single" w:sz="4" w:space="0" w:color="FFFFFF" w:themeColor="background1"/>
            </w:tcBorders>
          </w:tcPr>
          <w:p w:rsidR="00265D3D" w:rsidRDefault="00265D3D" w:rsidP="006B6601">
            <w:pPr>
              <w:rPr>
                <w:sz w:val="24"/>
              </w:rPr>
            </w:pPr>
            <w:proofErr w:type="spellStart"/>
            <w:r>
              <w:rPr>
                <w:sz w:val="24"/>
              </w:rPr>
              <w:t>Caylin</w:t>
            </w:r>
            <w:proofErr w:type="spellEnd"/>
            <w:r>
              <w:rPr>
                <w:sz w:val="24"/>
              </w:rPr>
              <w:t xml:space="preserve"> </w:t>
            </w:r>
            <w:proofErr w:type="spellStart"/>
            <w:r>
              <w:rPr>
                <w:sz w:val="24"/>
              </w:rPr>
              <w:t>Joski-Jethi</w:t>
            </w:r>
            <w:proofErr w:type="spellEnd"/>
          </w:p>
        </w:tc>
        <w:tc>
          <w:tcPr>
            <w:tcW w:w="6440" w:type="dxa"/>
            <w:tcBorders>
              <w:bottom w:val="single" w:sz="4" w:space="0" w:color="FFFFFF" w:themeColor="background1"/>
            </w:tcBorders>
          </w:tcPr>
          <w:p w:rsidR="00265D3D" w:rsidRPr="003C374F" w:rsidRDefault="00265D3D" w:rsidP="00265D3D">
            <w:pPr>
              <w:rPr>
                <w:sz w:val="24"/>
              </w:rPr>
            </w:pPr>
            <w:r w:rsidRPr="003C374F">
              <w:rPr>
                <w:sz w:val="24"/>
              </w:rPr>
              <w:t>London Borough of Barnet</w:t>
            </w:r>
            <w:r>
              <w:rPr>
                <w:sz w:val="24"/>
              </w:rPr>
              <w:t xml:space="preserve"> (Education and Skills)</w:t>
            </w:r>
          </w:p>
        </w:tc>
      </w:tr>
      <w:tr w:rsidR="00265D3D" w:rsidRPr="00890277" w:rsidTr="00265D3D">
        <w:trPr>
          <w:trHeight w:val="299"/>
        </w:trPr>
        <w:tc>
          <w:tcPr>
            <w:tcW w:w="2802" w:type="dxa"/>
            <w:tcBorders>
              <w:bottom w:val="single" w:sz="4" w:space="0" w:color="FFFFFF" w:themeColor="background1"/>
            </w:tcBorders>
          </w:tcPr>
          <w:p w:rsidR="00265D3D" w:rsidRDefault="00265D3D" w:rsidP="006B6601">
            <w:pPr>
              <w:rPr>
                <w:sz w:val="24"/>
              </w:rPr>
            </w:pPr>
            <w:r>
              <w:rPr>
                <w:sz w:val="24"/>
              </w:rPr>
              <w:t>Hannah Chillingworth</w:t>
            </w:r>
          </w:p>
        </w:tc>
        <w:tc>
          <w:tcPr>
            <w:tcW w:w="6440" w:type="dxa"/>
            <w:tcBorders>
              <w:bottom w:val="single" w:sz="4" w:space="0" w:color="FFFFFF" w:themeColor="background1"/>
            </w:tcBorders>
          </w:tcPr>
          <w:p w:rsidR="00265D3D" w:rsidRPr="003C374F" w:rsidRDefault="00265D3D" w:rsidP="006B6601">
            <w:pPr>
              <w:rPr>
                <w:sz w:val="24"/>
              </w:rPr>
            </w:pPr>
            <w:r w:rsidRPr="003C374F">
              <w:rPr>
                <w:sz w:val="24"/>
              </w:rPr>
              <w:t>London Borough of Barnet</w:t>
            </w:r>
          </w:p>
        </w:tc>
      </w:tr>
      <w:tr w:rsidR="00265D3D" w:rsidRPr="00890277" w:rsidTr="00265D3D">
        <w:trPr>
          <w:trHeight w:val="299"/>
        </w:trPr>
        <w:tc>
          <w:tcPr>
            <w:tcW w:w="2802" w:type="dxa"/>
            <w:tcBorders>
              <w:bottom w:val="single" w:sz="4" w:space="0" w:color="FFFFFF" w:themeColor="background1"/>
            </w:tcBorders>
          </w:tcPr>
          <w:p w:rsidR="00265D3D" w:rsidRDefault="00265D3D" w:rsidP="006B6601">
            <w:pPr>
              <w:rPr>
                <w:sz w:val="24"/>
              </w:rPr>
            </w:pPr>
            <w:proofErr w:type="spellStart"/>
            <w:r>
              <w:rPr>
                <w:sz w:val="24"/>
              </w:rPr>
              <w:t>Iphigania</w:t>
            </w:r>
            <w:proofErr w:type="spellEnd"/>
            <w:r>
              <w:rPr>
                <w:sz w:val="24"/>
              </w:rPr>
              <w:t xml:space="preserve"> Christophoridou</w:t>
            </w:r>
          </w:p>
        </w:tc>
        <w:tc>
          <w:tcPr>
            <w:tcW w:w="6440" w:type="dxa"/>
            <w:tcBorders>
              <w:bottom w:val="single" w:sz="4" w:space="0" w:color="FFFFFF" w:themeColor="background1"/>
            </w:tcBorders>
          </w:tcPr>
          <w:p w:rsidR="00265D3D" w:rsidRPr="003C374F" w:rsidRDefault="00265D3D" w:rsidP="006B6601">
            <w:pPr>
              <w:rPr>
                <w:sz w:val="24"/>
              </w:rPr>
            </w:pPr>
            <w:r w:rsidRPr="003C374F">
              <w:rPr>
                <w:sz w:val="24"/>
              </w:rPr>
              <w:t>London Borough of Barnet</w:t>
            </w:r>
          </w:p>
        </w:tc>
      </w:tr>
      <w:tr w:rsidR="00890277" w:rsidRPr="00890277" w:rsidTr="00265D3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890277" w:rsidRPr="003C374F" w:rsidRDefault="00265D3D" w:rsidP="00890277">
            <w:pPr>
              <w:rPr>
                <w:sz w:val="24"/>
              </w:rPr>
            </w:pPr>
            <w:r>
              <w:rPr>
                <w:sz w:val="24"/>
              </w:rPr>
              <w:t>Nick Mabey</w:t>
            </w:r>
          </w:p>
        </w:tc>
        <w:tc>
          <w:tcPr>
            <w:tcW w:w="64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890277" w:rsidRPr="003C374F" w:rsidRDefault="00265D3D" w:rsidP="00890277">
            <w:pPr>
              <w:rPr>
                <w:sz w:val="24"/>
              </w:rPr>
            </w:pPr>
            <w:r>
              <w:rPr>
                <w:sz w:val="24"/>
              </w:rPr>
              <w:t>Customer Support Group (CSG) Insight Team</w:t>
            </w:r>
          </w:p>
        </w:tc>
      </w:tr>
      <w:tr w:rsidR="00890277" w:rsidRPr="00890277" w:rsidTr="00265D3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890277" w:rsidRPr="003C374F" w:rsidRDefault="00890277" w:rsidP="00890277">
            <w:pPr>
              <w:rPr>
                <w:sz w:val="24"/>
              </w:rPr>
            </w:pPr>
            <w:r w:rsidRPr="003C374F">
              <w:rPr>
                <w:sz w:val="24"/>
              </w:rPr>
              <w:t>Peter Clifton</w:t>
            </w:r>
          </w:p>
        </w:tc>
        <w:tc>
          <w:tcPr>
            <w:tcW w:w="64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890277" w:rsidRPr="003C374F" w:rsidRDefault="00265D3D" w:rsidP="00890277">
            <w:pPr>
              <w:rPr>
                <w:sz w:val="24"/>
              </w:rPr>
            </w:pPr>
            <w:r w:rsidRPr="003C374F">
              <w:rPr>
                <w:sz w:val="24"/>
              </w:rPr>
              <w:t xml:space="preserve">London Borough of Barnet </w:t>
            </w:r>
            <w:r w:rsidR="00890277" w:rsidRPr="003C374F">
              <w:rPr>
                <w:sz w:val="24"/>
              </w:rPr>
              <w:t>(Community Safety)</w:t>
            </w:r>
          </w:p>
        </w:tc>
      </w:tr>
      <w:tr w:rsidR="00890277" w:rsidRPr="00890277" w:rsidTr="00265D3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890277" w:rsidRPr="00890277" w:rsidRDefault="00890277" w:rsidP="00890277"/>
        </w:tc>
        <w:tc>
          <w:tcPr>
            <w:tcW w:w="64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890277" w:rsidRPr="00890277" w:rsidRDefault="00890277" w:rsidP="00890277"/>
        </w:tc>
      </w:tr>
    </w:tbl>
    <w:p w:rsidR="00B0108C" w:rsidRDefault="00B0108C" w:rsidP="00CF501E">
      <w:pPr>
        <w:ind w:hanging="284"/>
        <w:rPr>
          <w:b/>
          <w:sz w:val="28"/>
        </w:rPr>
      </w:pPr>
    </w:p>
    <w:p w:rsidR="003C374F" w:rsidRPr="003C374F" w:rsidRDefault="003C374F" w:rsidP="003C374F">
      <w:pPr>
        <w:ind w:left="-284"/>
        <w:rPr>
          <w:sz w:val="24"/>
        </w:rPr>
      </w:pPr>
      <w:r>
        <w:rPr>
          <w:sz w:val="24"/>
        </w:rPr>
        <w:t>Thanks a</w:t>
      </w:r>
      <w:r w:rsidR="00146202">
        <w:rPr>
          <w:sz w:val="24"/>
        </w:rPr>
        <w:t>lso to members of the H</w:t>
      </w:r>
      <w:r w:rsidRPr="003C374F">
        <w:rPr>
          <w:sz w:val="24"/>
        </w:rPr>
        <w:t xml:space="preserve">ealth and Wellbeing Board for their clear guidance </w:t>
      </w:r>
      <w:r>
        <w:rPr>
          <w:sz w:val="24"/>
        </w:rPr>
        <w:t xml:space="preserve">and engagement </w:t>
      </w:r>
      <w:r w:rsidRPr="003C374F">
        <w:rPr>
          <w:sz w:val="24"/>
        </w:rPr>
        <w:t xml:space="preserve">throughout the development of the JSNA, and </w:t>
      </w:r>
      <w:proofErr w:type="gramStart"/>
      <w:r w:rsidRPr="003C374F">
        <w:rPr>
          <w:sz w:val="24"/>
        </w:rPr>
        <w:t>to</w:t>
      </w:r>
      <w:proofErr w:type="gramEnd"/>
      <w:r w:rsidRPr="003C374F">
        <w:rPr>
          <w:sz w:val="24"/>
        </w:rPr>
        <w:t xml:space="preserve"> many other experts across the Health and Wellbeing partnership t</w:t>
      </w:r>
      <w:r>
        <w:rPr>
          <w:sz w:val="24"/>
        </w:rPr>
        <w:t>o</w:t>
      </w:r>
      <w:r w:rsidRPr="003C374F">
        <w:rPr>
          <w:sz w:val="24"/>
        </w:rPr>
        <w:t>o numerous to mentio</w:t>
      </w:r>
      <w:r>
        <w:rPr>
          <w:sz w:val="24"/>
        </w:rPr>
        <w:t>n individually for their contrib</w:t>
      </w:r>
      <w:r w:rsidRPr="003C374F">
        <w:rPr>
          <w:sz w:val="24"/>
        </w:rPr>
        <w:t>utions.</w:t>
      </w:r>
      <w:bookmarkStart w:id="1" w:name="_GoBack"/>
      <w:bookmarkEnd w:id="1"/>
    </w:p>
    <w:p w:rsidR="00B0108C" w:rsidRDefault="00B0108C" w:rsidP="00CF501E">
      <w:pPr>
        <w:ind w:hanging="284"/>
        <w:rPr>
          <w:b/>
          <w:sz w:val="28"/>
        </w:rPr>
      </w:pPr>
    </w:p>
    <w:p w:rsidR="00B0108C" w:rsidRDefault="00B0108C" w:rsidP="00CF501E">
      <w:pPr>
        <w:ind w:hanging="284"/>
        <w:rPr>
          <w:b/>
          <w:sz w:val="28"/>
        </w:rPr>
      </w:pPr>
    </w:p>
    <w:p w:rsidR="00B0108C" w:rsidRDefault="00B0108C" w:rsidP="00CF501E">
      <w:pPr>
        <w:ind w:hanging="284"/>
        <w:rPr>
          <w:b/>
          <w:sz w:val="28"/>
        </w:rPr>
      </w:pPr>
    </w:p>
    <w:p w:rsidR="00B0108C" w:rsidRDefault="00B0108C" w:rsidP="00CF501E">
      <w:pPr>
        <w:ind w:hanging="284"/>
        <w:rPr>
          <w:b/>
          <w:sz w:val="28"/>
        </w:rPr>
      </w:pPr>
    </w:p>
    <w:p w:rsidR="00265D3D" w:rsidRDefault="00265D3D" w:rsidP="003C374F">
      <w:pPr>
        <w:rPr>
          <w:b/>
          <w:sz w:val="28"/>
        </w:rPr>
      </w:pPr>
    </w:p>
    <w:p w:rsidR="004C6C72" w:rsidRPr="0037150F" w:rsidRDefault="00E74A92" w:rsidP="003C374F">
      <w:pPr>
        <w:rPr>
          <w:b/>
          <w:sz w:val="28"/>
        </w:rPr>
      </w:pPr>
      <w:r>
        <w:rPr>
          <w:b/>
          <w:sz w:val="28"/>
        </w:rPr>
        <w:lastRenderedPageBreak/>
        <w:t>CONTENTS</w:t>
      </w:r>
      <w:r w:rsidR="0037150F" w:rsidRPr="0037150F">
        <w:rPr>
          <w:b/>
          <w:sz w:val="28"/>
        </w:rPr>
        <w:tab/>
        <w:t xml:space="preserve">    </w:t>
      </w:r>
      <w:r w:rsidR="0037150F" w:rsidRPr="0037150F">
        <w:rPr>
          <w:b/>
          <w:sz w:val="28"/>
        </w:rPr>
        <w:tab/>
        <w:t xml:space="preserve">       </w:t>
      </w:r>
    </w:p>
    <w:p w:rsidR="005E2C32" w:rsidRDefault="004A7EA5">
      <w:pPr>
        <w:pStyle w:val="TOC1"/>
        <w:tabs>
          <w:tab w:val="right" w:leader="dot" w:pos="9016"/>
        </w:tabs>
        <w:rPr>
          <w:rFonts w:eastAsiaTheme="minorEastAsia"/>
          <w:b w:val="0"/>
          <w:bCs w:val="0"/>
          <w:caps w:val="0"/>
          <w:noProof/>
          <w:sz w:val="22"/>
          <w:szCs w:val="22"/>
          <w:lang w:eastAsia="en-GB"/>
        </w:rPr>
      </w:pPr>
      <w:r>
        <w:fldChar w:fldCharType="begin"/>
      </w:r>
      <w:r>
        <w:instrText xml:space="preserve"> TOC \o "1-2" \h \z \u </w:instrText>
      </w:r>
      <w:r>
        <w:fldChar w:fldCharType="separate"/>
      </w:r>
      <w:hyperlink w:anchor="_Toc431225079" w:history="1">
        <w:r w:rsidR="005E2C32" w:rsidRPr="00324D59">
          <w:rPr>
            <w:rStyle w:val="Hyperlink"/>
            <w:rFonts w:asciiTheme="majorHAnsi" w:eastAsia="Times New Roman" w:hAnsiTheme="majorHAnsi" w:cstheme="majorBidi"/>
            <w:noProof/>
            <w:lang w:eastAsia="en-GB"/>
          </w:rPr>
          <w:t>Forward</w:t>
        </w:r>
        <w:r w:rsidR="005E2C32">
          <w:rPr>
            <w:noProof/>
            <w:webHidden/>
          </w:rPr>
          <w:tab/>
        </w:r>
        <w:r w:rsidR="005E2C32">
          <w:rPr>
            <w:noProof/>
            <w:webHidden/>
          </w:rPr>
          <w:fldChar w:fldCharType="begin"/>
        </w:r>
        <w:r w:rsidR="005E2C32">
          <w:rPr>
            <w:noProof/>
            <w:webHidden/>
          </w:rPr>
          <w:instrText xml:space="preserve"> PAGEREF _Toc431225079 \h </w:instrText>
        </w:r>
        <w:r w:rsidR="005E2C32">
          <w:rPr>
            <w:noProof/>
            <w:webHidden/>
          </w:rPr>
        </w:r>
        <w:r w:rsidR="005E2C32">
          <w:rPr>
            <w:noProof/>
            <w:webHidden/>
          </w:rPr>
          <w:fldChar w:fldCharType="separate"/>
        </w:r>
        <w:r w:rsidR="005E2C32">
          <w:rPr>
            <w:noProof/>
            <w:webHidden/>
          </w:rPr>
          <w:t>2</w:t>
        </w:r>
        <w:r w:rsidR="005E2C32">
          <w:rPr>
            <w:noProof/>
            <w:webHidden/>
          </w:rPr>
          <w:fldChar w:fldCharType="end"/>
        </w:r>
      </w:hyperlink>
    </w:p>
    <w:p w:rsidR="005E2C32" w:rsidRDefault="00146202">
      <w:pPr>
        <w:pStyle w:val="TOC1"/>
        <w:tabs>
          <w:tab w:val="right" w:leader="dot" w:pos="9016"/>
        </w:tabs>
        <w:rPr>
          <w:rFonts w:eastAsiaTheme="minorEastAsia"/>
          <w:b w:val="0"/>
          <w:bCs w:val="0"/>
          <w:caps w:val="0"/>
          <w:noProof/>
          <w:sz w:val="22"/>
          <w:szCs w:val="22"/>
          <w:lang w:eastAsia="en-GB"/>
        </w:rPr>
      </w:pPr>
      <w:hyperlink w:anchor="_Toc431225081" w:history="1">
        <w:r w:rsidR="005E2C32" w:rsidRPr="00324D59">
          <w:rPr>
            <w:rStyle w:val="Hyperlink"/>
            <w:rFonts w:asciiTheme="majorHAnsi" w:eastAsia="Times New Roman" w:hAnsiTheme="majorHAnsi" w:cstheme="majorBidi"/>
            <w:noProof/>
            <w:lang w:eastAsia="en-GB"/>
          </w:rPr>
          <w:t>Executive Summary</w:t>
        </w:r>
        <w:r w:rsidR="005E2C32">
          <w:rPr>
            <w:noProof/>
            <w:webHidden/>
          </w:rPr>
          <w:tab/>
        </w:r>
        <w:r w:rsidR="005E2C32">
          <w:rPr>
            <w:noProof/>
            <w:webHidden/>
          </w:rPr>
          <w:fldChar w:fldCharType="begin"/>
        </w:r>
        <w:r w:rsidR="005E2C32">
          <w:rPr>
            <w:noProof/>
            <w:webHidden/>
          </w:rPr>
          <w:instrText xml:space="preserve"> PAGEREF _Toc431225081 \h </w:instrText>
        </w:r>
        <w:r w:rsidR="005E2C32">
          <w:rPr>
            <w:noProof/>
            <w:webHidden/>
          </w:rPr>
        </w:r>
        <w:r w:rsidR="005E2C32">
          <w:rPr>
            <w:noProof/>
            <w:webHidden/>
          </w:rPr>
          <w:fldChar w:fldCharType="separate"/>
        </w:r>
        <w:r w:rsidR="005E2C32">
          <w:rPr>
            <w:noProof/>
            <w:webHidden/>
          </w:rPr>
          <w:t>8</w:t>
        </w:r>
        <w:r w:rsidR="005E2C32">
          <w:rPr>
            <w:noProof/>
            <w:webHidden/>
          </w:rPr>
          <w:fldChar w:fldCharType="end"/>
        </w:r>
      </w:hyperlink>
    </w:p>
    <w:p w:rsidR="005E2C32" w:rsidRDefault="00146202">
      <w:pPr>
        <w:pStyle w:val="TOC1"/>
        <w:tabs>
          <w:tab w:val="left" w:pos="440"/>
          <w:tab w:val="right" w:leader="dot" w:pos="9016"/>
        </w:tabs>
        <w:rPr>
          <w:rFonts w:eastAsiaTheme="minorEastAsia"/>
          <w:b w:val="0"/>
          <w:bCs w:val="0"/>
          <w:caps w:val="0"/>
          <w:noProof/>
          <w:sz w:val="22"/>
          <w:szCs w:val="22"/>
          <w:lang w:eastAsia="en-GB"/>
        </w:rPr>
      </w:pPr>
      <w:hyperlink w:anchor="_Toc431225107" w:history="1">
        <w:r w:rsidR="005E2C32" w:rsidRPr="00324D59">
          <w:rPr>
            <w:rStyle w:val="Hyperlink"/>
            <w:rFonts w:asciiTheme="majorHAnsi" w:eastAsiaTheme="majorEastAsia" w:hAnsiTheme="majorHAnsi" w:cstheme="majorBidi"/>
            <w:noProof/>
          </w:rPr>
          <w:t>1</w:t>
        </w:r>
        <w:r w:rsidR="005E2C32">
          <w:rPr>
            <w:rFonts w:eastAsiaTheme="minorEastAsia"/>
            <w:b w:val="0"/>
            <w:bCs w:val="0"/>
            <w:caps w:val="0"/>
            <w:noProof/>
            <w:sz w:val="22"/>
            <w:szCs w:val="22"/>
            <w:lang w:eastAsia="en-GB"/>
          </w:rPr>
          <w:tab/>
        </w:r>
        <w:r w:rsidR="005E2C32" w:rsidRPr="00324D59">
          <w:rPr>
            <w:rStyle w:val="Hyperlink"/>
            <w:rFonts w:asciiTheme="majorHAnsi" w:eastAsiaTheme="majorEastAsia" w:hAnsiTheme="majorHAnsi" w:cstheme="majorBidi"/>
            <w:noProof/>
          </w:rPr>
          <w:t>Introduction</w:t>
        </w:r>
        <w:r w:rsidR="005E2C32">
          <w:rPr>
            <w:noProof/>
            <w:webHidden/>
          </w:rPr>
          <w:tab/>
        </w:r>
        <w:r w:rsidR="005E2C32">
          <w:rPr>
            <w:noProof/>
            <w:webHidden/>
          </w:rPr>
          <w:fldChar w:fldCharType="begin"/>
        </w:r>
        <w:r w:rsidR="005E2C32">
          <w:rPr>
            <w:noProof/>
            <w:webHidden/>
          </w:rPr>
          <w:instrText xml:space="preserve"> PAGEREF _Toc431225107 \h </w:instrText>
        </w:r>
        <w:r w:rsidR="005E2C32">
          <w:rPr>
            <w:noProof/>
            <w:webHidden/>
          </w:rPr>
        </w:r>
        <w:r w:rsidR="005E2C32">
          <w:rPr>
            <w:noProof/>
            <w:webHidden/>
          </w:rPr>
          <w:fldChar w:fldCharType="separate"/>
        </w:r>
        <w:r w:rsidR="005E2C32">
          <w:rPr>
            <w:noProof/>
            <w:webHidden/>
          </w:rPr>
          <w:t>17</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08" w:history="1">
        <w:r w:rsidR="005E2C32" w:rsidRPr="00324D59">
          <w:rPr>
            <w:rStyle w:val="Hyperlink"/>
            <w:noProof/>
          </w:rPr>
          <w:t>1.1</w:t>
        </w:r>
        <w:r w:rsidR="005E2C32">
          <w:rPr>
            <w:rFonts w:eastAsiaTheme="minorEastAsia"/>
            <w:smallCaps w:val="0"/>
            <w:noProof/>
            <w:sz w:val="22"/>
            <w:szCs w:val="22"/>
            <w:lang w:eastAsia="en-GB"/>
          </w:rPr>
          <w:tab/>
        </w:r>
        <w:r w:rsidR="005E2C32" w:rsidRPr="00324D59">
          <w:rPr>
            <w:rStyle w:val="Hyperlink"/>
            <w:noProof/>
          </w:rPr>
          <w:t>What is the JSNA?</w:t>
        </w:r>
        <w:r w:rsidR="005E2C32">
          <w:rPr>
            <w:noProof/>
            <w:webHidden/>
          </w:rPr>
          <w:tab/>
        </w:r>
        <w:r w:rsidR="005E2C32">
          <w:rPr>
            <w:noProof/>
            <w:webHidden/>
          </w:rPr>
          <w:fldChar w:fldCharType="begin"/>
        </w:r>
        <w:r w:rsidR="005E2C32">
          <w:rPr>
            <w:noProof/>
            <w:webHidden/>
          </w:rPr>
          <w:instrText xml:space="preserve"> PAGEREF _Toc431225108 \h </w:instrText>
        </w:r>
        <w:r w:rsidR="005E2C32">
          <w:rPr>
            <w:noProof/>
            <w:webHidden/>
          </w:rPr>
        </w:r>
        <w:r w:rsidR="005E2C32">
          <w:rPr>
            <w:noProof/>
            <w:webHidden/>
          </w:rPr>
          <w:fldChar w:fldCharType="separate"/>
        </w:r>
        <w:r w:rsidR="005E2C32">
          <w:rPr>
            <w:noProof/>
            <w:webHidden/>
          </w:rPr>
          <w:t>17</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09" w:history="1">
        <w:r w:rsidR="005E2C32" w:rsidRPr="00324D59">
          <w:rPr>
            <w:rStyle w:val="Hyperlink"/>
            <w:noProof/>
          </w:rPr>
          <w:t>1.2</w:t>
        </w:r>
        <w:r w:rsidR="005E2C32">
          <w:rPr>
            <w:rFonts w:eastAsiaTheme="minorEastAsia"/>
            <w:smallCaps w:val="0"/>
            <w:noProof/>
            <w:sz w:val="22"/>
            <w:szCs w:val="22"/>
            <w:lang w:eastAsia="en-GB"/>
          </w:rPr>
          <w:tab/>
        </w:r>
        <w:r w:rsidR="005E2C32" w:rsidRPr="00324D59">
          <w:rPr>
            <w:rStyle w:val="Hyperlink"/>
            <w:noProof/>
          </w:rPr>
          <w:t>Purpose of the JSNA</w:t>
        </w:r>
        <w:r w:rsidR="005E2C32">
          <w:rPr>
            <w:noProof/>
            <w:webHidden/>
          </w:rPr>
          <w:tab/>
        </w:r>
        <w:r w:rsidR="005E2C32">
          <w:rPr>
            <w:noProof/>
            <w:webHidden/>
          </w:rPr>
          <w:fldChar w:fldCharType="begin"/>
        </w:r>
        <w:r w:rsidR="005E2C32">
          <w:rPr>
            <w:noProof/>
            <w:webHidden/>
          </w:rPr>
          <w:instrText xml:space="preserve"> PAGEREF _Toc431225109 \h </w:instrText>
        </w:r>
        <w:r w:rsidR="005E2C32">
          <w:rPr>
            <w:noProof/>
            <w:webHidden/>
          </w:rPr>
        </w:r>
        <w:r w:rsidR="005E2C32">
          <w:rPr>
            <w:noProof/>
            <w:webHidden/>
          </w:rPr>
          <w:fldChar w:fldCharType="separate"/>
        </w:r>
        <w:r w:rsidR="005E2C32">
          <w:rPr>
            <w:noProof/>
            <w:webHidden/>
          </w:rPr>
          <w:t>18</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10" w:history="1">
        <w:r w:rsidR="005E2C32" w:rsidRPr="00324D59">
          <w:rPr>
            <w:rStyle w:val="Hyperlink"/>
            <w:noProof/>
          </w:rPr>
          <w:t>1.3</w:t>
        </w:r>
        <w:r w:rsidR="005E2C32">
          <w:rPr>
            <w:rFonts w:eastAsiaTheme="minorEastAsia"/>
            <w:smallCaps w:val="0"/>
            <w:noProof/>
            <w:sz w:val="22"/>
            <w:szCs w:val="22"/>
            <w:lang w:eastAsia="en-GB"/>
          </w:rPr>
          <w:tab/>
        </w:r>
        <w:r w:rsidR="005E2C32" w:rsidRPr="00324D59">
          <w:rPr>
            <w:rStyle w:val="Hyperlink"/>
            <w:noProof/>
          </w:rPr>
          <w:t>Principles</w:t>
        </w:r>
        <w:r w:rsidR="005E2C32">
          <w:rPr>
            <w:noProof/>
            <w:webHidden/>
          </w:rPr>
          <w:tab/>
        </w:r>
        <w:r w:rsidR="005E2C32">
          <w:rPr>
            <w:noProof/>
            <w:webHidden/>
          </w:rPr>
          <w:fldChar w:fldCharType="begin"/>
        </w:r>
        <w:r w:rsidR="005E2C32">
          <w:rPr>
            <w:noProof/>
            <w:webHidden/>
          </w:rPr>
          <w:instrText xml:space="preserve"> PAGEREF _Toc431225110 \h </w:instrText>
        </w:r>
        <w:r w:rsidR="005E2C32">
          <w:rPr>
            <w:noProof/>
            <w:webHidden/>
          </w:rPr>
        </w:r>
        <w:r w:rsidR="005E2C32">
          <w:rPr>
            <w:noProof/>
            <w:webHidden/>
          </w:rPr>
          <w:fldChar w:fldCharType="separate"/>
        </w:r>
        <w:r w:rsidR="005E2C32">
          <w:rPr>
            <w:noProof/>
            <w:webHidden/>
          </w:rPr>
          <w:t>19</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11" w:history="1">
        <w:r w:rsidR="005E2C32" w:rsidRPr="00324D59">
          <w:rPr>
            <w:rStyle w:val="Hyperlink"/>
            <w:noProof/>
          </w:rPr>
          <w:t>1.4</w:t>
        </w:r>
        <w:r w:rsidR="005E2C32">
          <w:rPr>
            <w:rFonts w:eastAsiaTheme="minorEastAsia"/>
            <w:smallCaps w:val="0"/>
            <w:noProof/>
            <w:sz w:val="22"/>
            <w:szCs w:val="22"/>
            <w:lang w:eastAsia="en-GB"/>
          </w:rPr>
          <w:tab/>
        </w:r>
        <w:r w:rsidR="005E2C32" w:rsidRPr="00324D59">
          <w:rPr>
            <w:rStyle w:val="Hyperlink"/>
            <w:noProof/>
          </w:rPr>
          <w:t>Theoretical underpinnings</w:t>
        </w:r>
        <w:r w:rsidR="005E2C32">
          <w:rPr>
            <w:noProof/>
            <w:webHidden/>
          </w:rPr>
          <w:tab/>
        </w:r>
        <w:r w:rsidR="005E2C32">
          <w:rPr>
            <w:noProof/>
            <w:webHidden/>
          </w:rPr>
          <w:fldChar w:fldCharType="begin"/>
        </w:r>
        <w:r w:rsidR="005E2C32">
          <w:rPr>
            <w:noProof/>
            <w:webHidden/>
          </w:rPr>
          <w:instrText xml:space="preserve"> PAGEREF _Toc431225111 \h </w:instrText>
        </w:r>
        <w:r w:rsidR="005E2C32">
          <w:rPr>
            <w:noProof/>
            <w:webHidden/>
          </w:rPr>
        </w:r>
        <w:r w:rsidR="005E2C32">
          <w:rPr>
            <w:noProof/>
            <w:webHidden/>
          </w:rPr>
          <w:fldChar w:fldCharType="separate"/>
        </w:r>
        <w:r w:rsidR="005E2C32">
          <w:rPr>
            <w:noProof/>
            <w:webHidden/>
          </w:rPr>
          <w:t>20</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12" w:history="1">
        <w:r w:rsidR="005E2C32" w:rsidRPr="00324D59">
          <w:rPr>
            <w:rStyle w:val="Hyperlink"/>
            <w:noProof/>
          </w:rPr>
          <w:t>1.5</w:t>
        </w:r>
        <w:r w:rsidR="005E2C32">
          <w:rPr>
            <w:rFonts w:eastAsiaTheme="minorEastAsia"/>
            <w:smallCaps w:val="0"/>
            <w:noProof/>
            <w:sz w:val="22"/>
            <w:szCs w:val="22"/>
            <w:lang w:eastAsia="en-GB"/>
          </w:rPr>
          <w:tab/>
        </w:r>
        <w:r w:rsidR="005E2C32" w:rsidRPr="00324D59">
          <w:rPr>
            <w:rStyle w:val="Hyperlink"/>
            <w:noProof/>
          </w:rPr>
          <w:t>Structure of the JSNA</w:t>
        </w:r>
        <w:r w:rsidR="005E2C32">
          <w:rPr>
            <w:noProof/>
            <w:webHidden/>
          </w:rPr>
          <w:tab/>
        </w:r>
        <w:r w:rsidR="005E2C32">
          <w:rPr>
            <w:noProof/>
            <w:webHidden/>
          </w:rPr>
          <w:fldChar w:fldCharType="begin"/>
        </w:r>
        <w:r w:rsidR="005E2C32">
          <w:rPr>
            <w:noProof/>
            <w:webHidden/>
          </w:rPr>
          <w:instrText xml:space="preserve"> PAGEREF _Toc431225112 \h </w:instrText>
        </w:r>
        <w:r w:rsidR="005E2C32">
          <w:rPr>
            <w:noProof/>
            <w:webHidden/>
          </w:rPr>
        </w:r>
        <w:r w:rsidR="005E2C32">
          <w:rPr>
            <w:noProof/>
            <w:webHidden/>
          </w:rPr>
          <w:fldChar w:fldCharType="separate"/>
        </w:r>
        <w:r w:rsidR="005E2C32">
          <w:rPr>
            <w:noProof/>
            <w:webHidden/>
          </w:rPr>
          <w:t>21</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13" w:history="1">
        <w:r w:rsidR="005E2C32" w:rsidRPr="00324D59">
          <w:rPr>
            <w:rStyle w:val="Hyperlink"/>
            <w:noProof/>
          </w:rPr>
          <w:t>1.6</w:t>
        </w:r>
        <w:r w:rsidR="005E2C32">
          <w:rPr>
            <w:rFonts w:eastAsiaTheme="minorEastAsia"/>
            <w:smallCaps w:val="0"/>
            <w:noProof/>
            <w:sz w:val="22"/>
            <w:szCs w:val="22"/>
            <w:lang w:eastAsia="en-GB"/>
          </w:rPr>
          <w:tab/>
        </w:r>
        <w:r w:rsidR="005E2C32" w:rsidRPr="00324D59">
          <w:rPr>
            <w:rStyle w:val="Hyperlink"/>
            <w:noProof/>
          </w:rPr>
          <w:t>Who should use the JSNA?</w:t>
        </w:r>
        <w:r w:rsidR="005E2C32">
          <w:rPr>
            <w:noProof/>
            <w:webHidden/>
          </w:rPr>
          <w:tab/>
        </w:r>
        <w:r w:rsidR="005E2C32">
          <w:rPr>
            <w:noProof/>
            <w:webHidden/>
          </w:rPr>
          <w:fldChar w:fldCharType="begin"/>
        </w:r>
        <w:r w:rsidR="005E2C32">
          <w:rPr>
            <w:noProof/>
            <w:webHidden/>
          </w:rPr>
          <w:instrText xml:space="preserve"> PAGEREF _Toc431225113 \h </w:instrText>
        </w:r>
        <w:r w:rsidR="005E2C32">
          <w:rPr>
            <w:noProof/>
            <w:webHidden/>
          </w:rPr>
        </w:r>
        <w:r w:rsidR="005E2C32">
          <w:rPr>
            <w:noProof/>
            <w:webHidden/>
          </w:rPr>
          <w:fldChar w:fldCharType="separate"/>
        </w:r>
        <w:r w:rsidR="005E2C32">
          <w:rPr>
            <w:noProof/>
            <w:webHidden/>
          </w:rPr>
          <w:t>21</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14" w:history="1">
        <w:r w:rsidR="005E2C32" w:rsidRPr="00324D59">
          <w:rPr>
            <w:rStyle w:val="Hyperlink"/>
            <w:noProof/>
          </w:rPr>
          <w:t>1.7</w:t>
        </w:r>
        <w:r w:rsidR="005E2C32">
          <w:rPr>
            <w:rFonts w:eastAsiaTheme="minorEastAsia"/>
            <w:smallCaps w:val="0"/>
            <w:noProof/>
            <w:sz w:val="22"/>
            <w:szCs w:val="22"/>
            <w:lang w:eastAsia="en-GB"/>
          </w:rPr>
          <w:tab/>
        </w:r>
        <w:r w:rsidR="005E2C32" w:rsidRPr="00324D59">
          <w:rPr>
            <w:rStyle w:val="Hyperlink"/>
            <w:noProof/>
          </w:rPr>
          <w:t>Methodology</w:t>
        </w:r>
        <w:r w:rsidR="005E2C32">
          <w:rPr>
            <w:noProof/>
            <w:webHidden/>
          </w:rPr>
          <w:tab/>
        </w:r>
        <w:r w:rsidR="005E2C32">
          <w:rPr>
            <w:noProof/>
            <w:webHidden/>
          </w:rPr>
          <w:fldChar w:fldCharType="begin"/>
        </w:r>
        <w:r w:rsidR="005E2C32">
          <w:rPr>
            <w:noProof/>
            <w:webHidden/>
          </w:rPr>
          <w:instrText xml:space="preserve"> PAGEREF _Toc431225114 \h </w:instrText>
        </w:r>
        <w:r w:rsidR="005E2C32">
          <w:rPr>
            <w:noProof/>
            <w:webHidden/>
          </w:rPr>
        </w:r>
        <w:r w:rsidR="005E2C32">
          <w:rPr>
            <w:noProof/>
            <w:webHidden/>
          </w:rPr>
          <w:fldChar w:fldCharType="separate"/>
        </w:r>
        <w:r w:rsidR="005E2C32">
          <w:rPr>
            <w:noProof/>
            <w:webHidden/>
          </w:rPr>
          <w:t>21</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15" w:history="1">
        <w:r w:rsidR="005E2C32" w:rsidRPr="00324D59">
          <w:rPr>
            <w:rStyle w:val="Hyperlink"/>
            <w:noProof/>
          </w:rPr>
          <w:t>1.8</w:t>
        </w:r>
        <w:r w:rsidR="005E2C32">
          <w:rPr>
            <w:rFonts w:eastAsiaTheme="minorEastAsia"/>
            <w:smallCaps w:val="0"/>
            <w:noProof/>
            <w:sz w:val="22"/>
            <w:szCs w:val="22"/>
            <w:lang w:eastAsia="en-GB"/>
          </w:rPr>
          <w:tab/>
        </w:r>
        <w:r w:rsidR="005E2C32" w:rsidRPr="00324D59">
          <w:rPr>
            <w:rStyle w:val="Hyperlink"/>
            <w:noProof/>
          </w:rPr>
          <w:t>Alignment and Strategic fit</w:t>
        </w:r>
        <w:r w:rsidR="005E2C32">
          <w:rPr>
            <w:noProof/>
            <w:webHidden/>
          </w:rPr>
          <w:tab/>
        </w:r>
        <w:r w:rsidR="005E2C32">
          <w:rPr>
            <w:noProof/>
            <w:webHidden/>
          </w:rPr>
          <w:fldChar w:fldCharType="begin"/>
        </w:r>
        <w:r w:rsidR="005E2C32">
          <w:rPr>
            <w:noProof/>
            <w:webHidden/>
          </w:rPr>
          <w:instrText xml:space="preserve"> PAGEREF _Toc431225115 \h </w:instrText>
        </w:r>
        <w:r w:rsidR="005E2C32">
          <w:rPr>
            <w:noProof/>
            <w:webHidden/>
          </w:rPr>
        </w:r>
        <w:r w:rsidR="005E2C32">
          <w:rPr>
            <w:noProof/>
            <w:webHidden/>
          </w:rPr>
          <w:fldChar w:fldCharType="separate"/>
        </w:r>
        <w:r w:rsidR="005E2C32">
          <w:rPr>
            <w:noProof/>
            <w:webHidden/>
          </w:rPr>
          <w:t>22</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16" w:history="1">
        <w:r w:rsidR="005E2C32" w:rsidRPr="00324D59">
          <w:rPr>
            <w:rStyle w:val="Hyperlink"/>
            <w:noProof/>
          </w:rPr>
          <w:t>1.9</w:t>
        </w:r>
        <w:r w:rsidR="005E2C32">
          <w:rPr>
            <w:rFonts w:eastAsiaTheme="minorEastAsia"/>
            <w:smallCaps w:val="0"/>
            <w:noProof/>
            <w:sz w:val="22"/>
            <w:szCs w:val="22"/>
            <w:lang w:eastAsia="en-GB"/>
          </w:rPr>
          <w:tab/>
        </w:r>
        <w:r w:rsidR="005E2C32" w:rsidRPr="00324D59">
          <w:rPr>
            <w:rStyle w:val="Hyperlink"/>
            <w:noProof/>
          </w:rPr>
          <w:t>Caveats</w:t>
        </w:r>
        <w:r w:rsidR="005E2C32">
          <w:rPr>
            <w:noProof/>
            <w:webHidden/>
          </w:rPr>
          <w:tab/>
        </w:r>
        <w:r w:rsidR="005E2C32">
          <w:rPr>
            <w:noProof/>
            <w:webHidden/>
          </w:rPr>
          <w:fldChar w:fldCharType="begin"/>
        </w:r>
        <w:r w:rsidR="005E2C32">
          <w:rPr>
            <w:noProof/>
            <w:webHidden/>
          </w:rPr>
          <w:instrText xml:space="preserve"> PAGEREF _Toc431225116 \h </w:instrText>
        </w:r>
        <w:r w:rsidR="005E2C32">
          <w:rPr>
            <w:noProof/>
            <w:webHidden/>
          </w:rPr>
        </w:r>
        <w:r w:rsidR="005E2C32">
          <w:rPr>
            <w:noProof/>
            <w:webHidden/>
          </w:rPr>
          <w:fldChar w:fldCharType="separate"/>
        </w:r>
        <w:r w:rsidR="005E2C32">
          <w:rPr>
            <w:noProof/>
            <w:webHidden/>
          </w:rPr>
          <w:t>22</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17" w:history="1">
        <w:r w:rsidR="005E2C32" w:rsidRPr="00324D59">
          <w:rPr>
            <w:rStyle w:val="Hyperlink"/>
            <w:noProof/>
          </w:rPr>
          <w:t>1.10</w:t>
        </w:r>
        <w:r w:rsidR="005E2C32">
          <w:rPr>
            <w:rFonts w:eastAsiaTheme="minorEastAsia"/>
            <w:smallCaps w:val="0"/>
            <w:noProof/>
            <w:sz w:val="22"/>
            <w:szCs w:val="22"/>
            <w:lang w:eastAsia="en-GB"/>
          </w:rPr>
          <w:tab/>
        </w:r>
        <w:r w:rsidR="005E2C32" w:rsidRPr="00324D59">
          <w:rPr>
            <w:rStyle w:val="Hyperlink"/>
            <w:noProof/>
          </w:rPr>
          <w:t>Further Research</w:t>
        </w:r>
        <w:r w:rsidR="005E2C32">
          <w:rPr>
            <w:noProof/>
            <w:webHidden/>
          </w:rPr>
          <w:tab/>
        </w:r>
        <w:r w:rsidR="005E2C32">
          <w:rPr>
            <w:noProof/>
            <w:webHidden/>
          </w:rPr>
          <w:fldChar w:fldCharType="begin"/>
        </w:r>
        <w:r w:rsidR="005E2C32">
          <w:rPr>
            <w:noProof/>
            <w:webHidden/>
          </w:rPr>
          <w:instrText xml:space="preserve"> PAGEREF _Toc431225117 \h </w:instrText>
        </w:r>
        <w:r w:rsidR="005E2C32">
          <w:rPr>
            <w:noProof/>
            <w:webHidden/>
          </w:rPr>
        </w:r>
        <w:r w:rsidR="005E2C32">
          <w:rPr>
            <w:noProof/>
            <w:webHidden/>
          </w:rPr>
          <w:fldChar w:fldCharType="separate"/>
        </w:r>
        <w:r w:rsidR="005E2C32">
          <w:rPr>
            <w:noProof/>
            <w:webHidden/>
          </w:rPr>
          <w:t>23</w:t>
        </w:r>
        <w:r w:rsidR="005E2C32">
          <w:rPr>
            <w:noProof/>
            <w:webHidden/>
          </w:rPr>
          <w:fldChar w:fldCharType="end"/>
        </w:r>
      </w:hyperlink>
    </w:p>
    <w:p w:rsidR="005E2C32" w:rsidRDefault="00146202">
      <w:pPr>
        <w:pStyle w:val="TOC1"/>
        <w:tabs>
          <w:tab w:val="left" w:pos="440"/>
          <w:tab w:val="right" w:leader="dot" w:pos="9016"/>
        </w:tabs>
        <w:rPr>
          <w:rFonts w:eastAsiaTheme="minorEastAsia"/>
          <w:b w:val="0"/>
          <w:bCs w:val="0"/>
          <w:caps w:val="0"/>
          <w:noProof/>
          <w:sz w:val="22"/>
          <w:szCs w:val="22"/>
          <w:lang w:eastAsia="en-GB"/>
        </w:rPr>
      </w:pPr>
      <w:hyperlink w:anchor="_Toc431225118" w:history="1">
        <w:r w:rsidR="005E2C32" w:rsidRPr="00324D59">
          <w:rPr>
            <w:rStyle w:val="Hyperlink"/>
            <w:noProof/>
          </w:rPr>
          <w:t>2</w:t>
        </w:r>
        <w:r w:rsidR="005E2C32">
          <w:rPr>
            <w:rFonts w:eastAsiaTheme="minorEastAsia"/>
            <w:b w:val="0"/>
            <w:bCs w:val="0"/>
            <w:caps w:val="0"/>
            <w:noProof/>
            <w:sz w:val="22"/>
            <w:szCs w:val="22"/>
            <w:lang w:eastAsia="en-GB"/>
          </w:rPr>
          <w:tab/>
        </w:r>
        <w:r w:rsidR="005E2C32" w:rsidRPr="00324D59">
          <w:rPr>
            <w:rStyle w:val="Hyperlink"/>
            <w:noProof/>
          </w:rPr>
          <w:t>Demography</w:t>
        </w:r>
        <w:r w:rsidR="005E2C32">
          <w:rPr>
            <w:noProof/>
            <w:webHidden/>
          </w:rPr>
          <w:tab/>
        </w:r>
        <w:r w:rsidR="005E2C32">
          <w:rPr>
            <w:noProof/>
            <w:webHidden/>
          </w:rPr>
          <w:fldChar w:fldCharType="begin"/>
        </w:r>
        <w:r w:rsidR="005E2C32">
          <w:rPr>
            <w:noProof/>
            <w:webHidden/>
          </w:rPr>
          <w:instrText xml:space="preserve"> PAGEREF _Toc431225118 \h </w:instrText>
        </w:r>
        <w:r w:rsidR="005E2C32">
          <w:rPr>
            <w:noProof/>
            <w:webHidden/>
          </w:rPr>
        </w:r>
        <w:r w:rsidR="005E2C32">
          <w:rPr>
            <w:noProof/>
            <w:webHidden/>
          </w:rPr>
          <w:fldChar w:fldCharType="separate"/>
        </w:r>
        <w:r w:rsidR="005E2C32">
          <w:rPr>
            <w:noProof/>
            <w:webHidden/>
          </w:rPr>
          <w:t>24</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19" w:history="1">
        <w:r w:rsidR="005E2C32" w:rsidRPr="00324D59">
          <w:rPr>
            <w:rStyle w:val="Hyperlink"/>
            <w:noProof/>
          </w:rPr>
          <w:t>2.1</w:t>
        </w:r>
        <w:r w:rsidR="005E2C32">
          <w:rPr>
            <w:rFonts w:eastAsiaTheme="minorEastAsia"/>
            <w:smallCaps w:val="0"/>
            <w:noProof/>
            <w:sz w:val="22"/>
            <w:szCs w:val="22"/>
            <w:lang w:eastAsia="en-GB"/>
          </w:rPr>
          <w:tab/>
        </w:r>
        <w:r w:rsidR="005E2C32" w:rsidRPr="00324D59">
          <w:rPr>
            <w:rStyle w:val="Hyperlink"/>
            <w:noProof/>
          </w:rPr>
          <w:t>Key Facts</w:t>
        </w:r>
        <w:r w:rsidR="005E2C32">
          <w:rPr>
            <w:noProof/>
            <w:webHidden/>
          </w:rPr>
          <w:tab/>
        </w:r>
        <w:r w:rsidR="005E2C32">
          <w:rPr>
            <w:noProof/>
            <w:webHidden/>
          </w:rPr>
          <w:fldChar w:fldCharType="begin"/>
        </w:r>
        <w:r w:rsidR="005E2C32">
          <w:rPr>
            <w:noProof/>
            <w:webHidden/>
          </w:rPr>
          <w:instrText xml:space="preserve"> PAGEREF _Toc431225119 \h </w:instrText>
        </w:r>
        <w:r w:rsidR="005E2C32">
          <w:rPr>
            <w:noProof/>
            <w:webHidden/>
          </w:rPr>
        </w:r>
        <w:r w:rsidR="005E2C32">
          <w:rPr>
            <w:noProof/>
            <w:webHidden/>
          </w:rPr>
          <w:fldChar w:fldCharType="separate"/>
        </w:r>
        <w:r w:rsidR="005E2C32">
          <w:rPr>
            <w:noProof/>
            <w:webHidden/>
          </w:rPr>
          <w:t>24</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20" w:history="1">
        <w:r w:rsidR="005E2C32" w:rsidRPr="00324D59">
          <w:rPr>
            <w:rStyle w:val="Hyperlink"/>
            <w:noProof/>
          </w:rPr>
          <w:t>2.2</w:t>
        </w:r>
        <w:r w:rsidR="005E2C32">
          <w:rPr>
            <w:rFonts w:eastAsiaTheme="minorEastAsia"/>
            <w:smallCaps w:val="0"/>
            <w:noProof/>
            <w:sz w:val="22"/>
            <w:szCs w:val="22"/>
            <w:lang w:eastAsia="en-GB"/>
          </w:rPr>
          <w:tab/>
        </w:r>
        <w:r w:rsidR="005E2C32" w:rsidRPr="00324D59">
          <w:rPr>
            <w:rStyle w:val="Hyperlink"/>
            <w:noProof/>
          </w:rPr>
          <w:t>Strategic Needs</w:t>
        </w:r>
        <w:r w:rsidR="005E2C32">
          <w:rPr>
            <w:noProof/>
            <w:webHidden/>
          </w:rPr>
          <w:tab/>
        </w:r>
        <w:r w:rsidR="005E2C32">
          <w:rPr>
            <w:noProof/>
            <w:webHidden/>
          </w:rPr>
          <w:fldChar w:fldCharType="begin"/>
        </w:r>
        <w:r w:rsidR="005E2C32">
          <w:rPr>
            <w:noProof/>
            <w:webHidden/>
          </w:rPr>
          <w:instrText xml:space="preserve"> PAGEREF _Toc431225120 \h </w:instrText>
        </w:r>
        <w:r w:rsidR="005E2C32">
          <w:rPr>
            <w:noProof/>
            <w:webHidden/>
          </w:rPr>
        </w:r>
        <w:r w:rsidR="005E2C32">
          <w:rPr>
            <w:noProof/>
            <w:webHidden/>
          </w:rPr>
          <w:fldChar w:fldCharType="separate"/>
        </w:r>
        <w:r w:rsidR="005E2C32">
          <w:rPr>
            <w:noProof/>
            <w:webHidden/>
          </w:rPr>
          <w:t>24</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21" w:history="1">
        <w:r w:rsidR="005E2C32" w:rsidRPr="00324D59">
          <w:rPr>
            <w:rStyle w:val="Hyperlink"/>
            <w:noProof/>
          </w:rPr>
          <w:t>2.3</w:t>
        </w:r>
        <w:r w:rsidR="005E2C32">
          <w:rPr>
            <w:rFonts w:eastAsiaTheme="minorEastAsia"/>
            <w:smallCaps w:val="0"/>
            <w:noProof/>
            <w:sz w:val="22"/>
            <w:szCs w:val="22"/>
            <w:lang w:eastAsia="en-GB"/>
          </w:rPr>
          <w:tab/>
        </w:r>
        <w:r w:rsidR="005E2C32" w:rsidRPr="00324D59">
          <w:rPr>
            <w:rStyle w:val="Hyperlink"/>
            <w:noProof/>
          </w:rPr>
          <w:t>Population Structure</w:t>
        </w:r>
        <w:r w:rsidR="005E2C32">
          <w:rPr>
            <w:noProof/>
            <w:webHidden/>
          </w:rPr>
          <w:tab/>
        </w:r>
        <w:r w:rsidR="005E2C32">
          <w:rPr>
            <w:noProof/>
            <w:webHidden/>
          </w:rPr>
          <w:fldChar w:fldCharType="begin"/>
        </w:r>
        <w:r w:rsidR="005E2C32">
          <w:rPr>
            <w:noProof/>
            <w:webHidden/>
          </w:rPr>
          <w:instrText xml:space="preserve"> PAGEREF _Toc431225121 \h </w:instrText>
        </w:r>
        <w:r w:rsidR="005E2C32">
          <w:rPr>
            <w:noProof/>
            <w:webHidden/>
          </w:rPr>
        </w:r>
        <w:r w:rsidR="005E2C32">
          <w:rPr>
            <w:noProof/>
            <w:webHidden/>
          </w:rPr>
          <w:fldChar w:fldCharType="separate"/>
        </w:r>
        <w:r w:rsidR="005E2C32">
          <w:rPr>
            <w:noProof/>
            <w:webHidden/>
          </w:rPr>
          <w:t>25</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22" w:history="1">
        <w:r w:rsidR="005E2C32" w:rsidRPr="00324D59">
          <w:rPr>
            <w:rStyle w:val="Hyperlink"/>
            <w:noProof/>
          </w:rPr>
          <w:t>2.4</w:t>
        </w:r>
        <w:r w:rsidR="005E2C32">
          <w:rPr>
            <w:rFonts w:eastAsiaTheme="minorEastAsia"/>
            <w:smallCaps w:val="0"/>
            <w:noProof/>
            <w:sz w:val="22"/>
            <w:szCs w:val="22"/>
            <w:lang w:eastAsia="en-GB"/>
          </w:rPr>
          <w:tab/>
        </w:r>
        <w:r w:rsidR="005E2C32" w:rsidRPr="00324D59">
          <w:rPr>
            <w:rStyle w:val="Hyperlink"/>
            <w:noProof/>
          </w:rPr>
          <w:t>Population Growth</w:t>
        </w:r>
        <w:r w:rsidR="005E2C32">
          <w:rPr>
            <w:noProof/>
            <w:webHidden/>
          </w:rPr>
          <w:tab/>
        </w:r>
        <w:r w:rsidR="005E2C32">
          <w:rPr>
            <w:noProof/>
            <w:webHidden/>
          </w:rPr>
          <w:fldChar w:fldCharType="begin"/>
        </w:r>
        <w:r w:rsidR="005E2C32">
          <w:rPr>
            <w:noProof/>
            <w:webHidden/>
          </w:rPr>
          <w:instrText xml:space="preserve"> PAGEREF _Toc431225122 \h </w:instrText>
        </w:r>
        <w:r w:rsidR="005E2C32">
          <w:rPr>
            <w:noProof/>
            <w:webHidden/>
          </w:rPr>
        </w:r>
        <w:r w:rsidR="005E2C32">
          <w:rPr>
            <w:noProof/>
            <w:webHidden/>
          </w:rPr>
          <w:fldChar w:fldCharType="separate"/>
        </w:r>
        <w:r w:rsidR="005E2C32">
          <w:rPr>
            <w:noProof/>
            <w:webHidden/>
          </w:rPr>
          <w:t>26</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23" w:history="1">
        <w:r w:rsidR="005E2C32" w:rsidRPr="00324D59">
          <w:rPr>
            <w:rStyle w:val="Hyperlink"/>
            <w:noProof/>
          </w:rPr>
          <w:t>2.5</w:t>
        </w:r>
        <w:r w:rsidR="005E2C32">
          <w:rPr>
            <w:rFonts w:eastAsiaTheme="minorEastAsia"/>
            <w:smallCaps w:val="0"/>
            <w:noProof/>
            <w:sz w:val="22"/>
            <w:szCs w:val="22"/>
            <w:lang w:eastAsia="en-GB"/>
          </w:rPr>
          <w:tab/>
        </w:r>
        <w:r w:rsidR="005E2C32" w:rsidRPr="00324D59">
          <w:rPr>
            <w:rStyle w:val="Hyperlink"/>
            <w:noProof/>
          </w:rPr>
          <w:t>Population by Wards</w:t>
        </w:r>
        <w:r w:rsidR="005E2C32">
          <w:rPr>
            <w:noProof/>
            <w:webHidden/>
          </w:rPr>
          <w:tab/>
        </w:r>
        <w:r w:rsidR="005E2C32">
          <w:rPr>
            <w:noProof/>
            <w:webHidden/>
          </w:rPr>
          <w:fldChar w:fldCharType="begin"/>
        </w:r>
        <w:r w:rsidR="005E2C32">
          <w:rPr>
            <w:noProof/>
            <w:webHidden/>
          </w:rPr>
          <w:instrText xml:space="preserve"> PAGEREF _Toc431225123 \h </w:instrText>
        </w:r>
        <w:r w:rsidR="005E2C32">
          <w:rPr>
            <w:noProof/>
            <w:webHidden/>
          </w:rPr>
        </w:r>
        <w:r w:rsidR="005E2C32">
          <w:rPr>
            <w:noProof/>
            <w:webHidden/>
          </w:rPr>
          <w:fldChar w:fldCharType="separate"/>
        </w:r>
        <w:r w:rsidR="005E2C32">
          <w:rPr>
            <w:noProof/>
            <w:webHidden/>
          </w:rPr>
          <w:t>27</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24" w:history="1">
        <w:r w:rsidR="005E2C32" w:rsidRPr="00324D59">
          <w:rPr>
            <w:rStyle w:val="Hyperlink"/>
            <w:noProof/>
          </w:rPr>
          <w:t>2.6</w:t>
        </w:r>
        <w:r w:rsidR="005E2C32">
          <w:rPr>
            <w:rFonts w:eastAsiaTheme="minorEastAsia"/>
            <w:smallCaps w:val="0"/>
            <w:noProof/>
            <w:sz w:val="22"/>
            <w:szCs w:val="22"/>
            <w:lang w:eastAsia="en-GB"/>
          </w:rPr>
          <w:tab/>
        </w:r>
        <w:r w:rsidR="005E2C32" w:rsidRPr="00324D59">
          <w:rPr>
            <w:rStyle w:val="Hyperlink"/>
            <w:noProof/>
          </w:rPr>
          <w:t>Population Projections by Ward</w:t>
        </w:r>
        <w:r w:rsidR="005E2C32">
          <w:rPr>
            <w:noProof/>
            <w:webHidden/>
          </w:rPr>
          <w:tab/>
        </w:r>
        <w:r w:rsidR="005E2C32">
          <w:rPr>
            <w:noProof/>
            <w:webHidden/>
          </w:rPr>
          <w:fldChar w:fldCharType="begin"/>
        </w:r>
        <w:r w:rsidR="005E2C32">
          <w:rPr>
            <w:noProof/>
            <w:webHidden/>
          </w:rPr>
          <w:instrText xml:space="preserve"> PAGEREF _Toc431225124 \h </w:instrText>
        </w:r>
        <w:r w:rsidR="005E2C32">
          <w:rPr>
            <w:noProof/>
            <w:webHidden/>
          </w:rPr>
        </w:r>
        <w:r w:rsidR="005E2C32">
          <w:rPr>
            <w:noProof/>
            <w:webHidden/>
          </w:rPr>
          <w:fldChar w:fldCharType="separate"/>
        </w:r>
        <w:r w:rsidR="005E2C32">
          <w:rPr>
            <w:noProof/>
            <w:webHidden/>
          </w:rPr>
          <w:t>29</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25" w:history="1">
        <w:r w:rsidR="005E2C32" w:rsidRPr="00324D59">
          <w:rPr>
            <w:rStyle w:val="Hyperlink"/>
            <w:noProof/>
          </w:rPr>
          <w:t>2.7</w:t>
        </w:r>
        <w:r w:rsidR="005E2C32">
          <w:rPr>
            <w:rFonts w:eastAsiaTheme="minorEastAsia"/>
            <w:smallCaps w:val="0"/>
            <w:noProof/>
            <w:sz w:val="22"/>
            <w:szCs w:val="22"/>
            <w:lang w:eastAsia="en-GB"/>
          </w:rPr>
          <w:tab/>
        </w:r>
        <w:r w:rsidR="005E2C32" w:rsidRPr="00324D59">
          <w:rPr>
            <w:rStyle w:val="Hyperlink"/>
            <w:noProof/>
          </w:rPr>
          <w:t>Age and Gender Structure</w:t>
        </w:r>
        <w:r w:rsidR="005E2C32">
          <w:rPr>
            <w:noProof/>
            <w:webHidden/>
          </w:rPr>
          <w:tab/>
        </w:r>
        <w:r w:rsidR="005E2C32">
          <w:rPr>
            <w:noProof/>
            <w:webHidden/>
          </w:rPr>
          <w:fldChar w:fldCharType="begin"/>
        </w:r>
        <w:r w:rsidR="005E2C32">
          <w:rPr>
            <w:noProof/>
            <w:webHidden/>
          </w:rPr>
          <w:instrText xml:space="preserve"> PAGEREF _Toc431225125 \h </w:instrText>
        </w:r>
        <w:r w:rsidR="005E2C32">
          <w:rPr>
            <w:noProof/>
            <w:webHidden/>
          </w:rPr>
        </w:r>
        <w:r w:rsidR="005E2C32">
          <w:rPr>
            <w:noProof/>
            <w:webHidden/>
          </w:rPr>
          <w:fldChar w:fldCharType="separate"/>
        </w:r>
        <w:r w:rsidR="005E2C32">
          <w:rPr>
            <w:noProof/>
            <w:webHidden/>
          </w:rPr>
          <w:t>31</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26" w:history="1">
        <w:r w:rsidR="005E2C32" w:rsidRPr="00324D59">
          <w:rPr>
            <w:rStyle w:val="Hyperlink"/>
            <w:noProof/>
          </w:rPr>
          <w:t>2.8</w:t>
        </w:r>
        <w:r w:rsidR="005E2C32">
          <w:rPr>
            <w:rFonts w:eastAsiaTheme="minorEastAsia"/>
            <w:smallCaps w:val="0"/>
            <w:noProof/>
            <w:sz w:val="22"/>
            <w:szCs w:val="22"/>
            <w:lang w:eastAsia="en-GB"/>
          </w:rPr>
          <w:tab/>
        </w:r>
        <w:r w:rsidR="005E2C32" w:rsidRPr="00324D59">
          <w:rPr>
            <w:rStyle w:val="Hyperlink"/>
            <w:noProof/>
          </w:rPr>
          <w:t>Ethnicity</w:t>
        </w:r>
        <w:r w:rsidR="005E2C32">
          <w:rPr>
            <w:noProof/>
            <w:webHidden/>
          </w:rPr>
          <w:tab/>
        </w:r>
        <w:r w:rsidR="005E2C32">
          <w:rPr>
            <w:noProof/>
            <w:webHidden/>
          </w:rPr>
          <w:fldChar w:fldCharType="begin"/>
        </w:r>
        <w:r w:rsidR="005E2C32">
          <w:rPr>
            <w:noProof/>
            <w:webHidden/>
          </w:rPr>
          <w:instrText xml:space="preserve"> PAGEREF _Toc431225126 \h </w:instrText>
        </w:r>
        <w:r w:rsidR="005E2C32">
          <w:rPr>
            <w:noProof/>
            <w:webHidden/>
          </w:rPr>
        </w:r>
        <w:r w:rsidR="005E2C32">
          <w:rPr>
            <w:noProof/>
            <w:webHidden/>
          </w:rPr>
          <w:fldChar w:fldCharType="separate"/>
        </w:r>
        <w:r w:rsidR="005E2C32">
          <w:rPr>
            <w:noProof/>
            <w:webHidden/>
          </w:rPr>
          <w:t>35</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27" w:history="1">
        <w:r w:rsidR="005E2C32" w:rsidRPr="00324D59">
          <w:rPr>
            <w:rStyle w:val="Hyperlink"/>
            <w:noProof/>
          </w:rPr>
          <w:t>2.9</w:t>
        </w:r>
        <w:r w:rsidR="005E2C32">
          <w:rPr>
            <w:rFonts w:eastAsiaTheme="minorEastAsia"/>
            <w:smallCaps w:val="0"/>
            <w:noProof/>
            <w:sz w:val="22"/>
            <w:szCs w:val="22"/>
            <w:lang w:eastAsia="en-GB"/>
          </w:rPr>
          <w:tab/>
        </w:r>
        <w:r w:rsidR="005E2C32" w:rsidRPr="00324D59">
          <w:rPr>
            <w:rStyle w:val="Hyperlink"/>
            <w:noProof/>
          </w:rPr>
          <w:t>Religion</w:t>
        </w:r>
        <w:r w:rsidR="005E2C32">
          <w:rPr>
            <w:noProof/>
            <w:webHidden/>
          </w:rPr>
          <w:tab/>
        </w:r>
        <w:r w:rsidR="005E2C32">
          <w:rPr>
            <w:noProof/>
            <w:webHidden/>
          </w:rPr>
          <w:fldChar w:fldCharType="begin"/>
        </w:r>
        <w:r w:rsidR="005E2C32">
          <w:rPr>
            <w:noProof/>
            <w:webHidden/>
          </w:rPr>
          <w:instrText xml:space="preserve"> PAGEREF _Toc431225127 \h </w:instrText>
        </w:r>
        <w:r w:rsidR="005E2C32">
          <w:rPr>
            <w:noProof/>
            <w:webHidden/>
          </w:rPr>
        </w:r>
        <w:r w:rsidR="005E2C32">
          <w:rPr>
            <w:noProof/>
            <w:webHidden/>
          </w:rPr>
          <w:fldChar w:fldCharType="separate"/>
        </w:r>
        <w:r w:rsidR="005E2C32">
          <w:rPr>
            <w:noProof/>
            <w:webHidden/>
          </w:rPr>
          <w:t>38</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28" w:history="1">
        <w:r w:rsidR="005E2C32" w:rsidRPr="00324D59">
          <w:rPr>
            <w:rStyle w:val="Hyperlink"/>
            <w:noProof/>
          </w:rPr>
          <w:t>2.10</w:t>
        </w:r>
        <w:r w:rsidR="005E2C32">
          <w:rPr>
            <w:rFonts w:eastAsiaTheme="minorEastAsia"/>
            <w:smallCaps w:val="0"/>
            <w:noProof/>
            <w:sz w:val="22"/>
            <w:szCs w:val="22"/>
            <w:lang w:eastAsia="en-GB"/>
          </w:rPr>
          <w:tab/>
        </w:r>
        <w:r w:rsidR="005E2C32" w:rsidRPr="00324D59">
          <w:rPr>
            <w:rStyle w:val="Hyperlink"/>
            <w:noProof/>
          </w:rPr>
          <w:t>Drivers of Population Growth</w:t>
        </w:r>
        <w:r w:rsidR="005E2C32">
          <w:rPr>
            <w:noProof/>
            <w:webHidden/>
          </w:rPr>
          <w:tab/>
        </w:r>
        <w:r w:rsidR="005E2C32">
          <w:rPr>
            <w:noProof/>
            <w:webHidden/>
          </w:rPr>
          <w:fldChar w:fldCharType="begin"/>
        </w:r>
        <w:r w:rsidR="005E2C32">
          <w:rPr>
            <w:noProof/>
            <w:webHidden/>
          </w:rPr>
          <w:instrText xml:space="preserve"> PAGEREF _Toc431225128 \h </w:instrText>
        </w:r>
        <w:r w:rsidR="005E2C32">
          <w:rPr>
            <w:noProof/>
            <w:webHidden/>
          </w:rPr>
        </w:r>
        <w:r w:rsidR="005E2C32">
          <w:rPr>
            <w:noProof/>
            <w:webHidden/>
          </w:rPr>
          <w:fldChar w:fldCharType="separate"/>
        </w:r>
        <w:r w:rsidR="005E2C32">
          <w:rPr>
            <w:noProof/>
            <w:webHidden/>
          </w:rPr>
          <w:t>40</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29" w:history="1">
        <w:r w:rsidR="005E2C32" w:rsidRPr="00324D59">
          <w:rPr>
            <w:rStyle w:val="Hyperlink"/>
            <w:noProof/>
          </w:rPr>
          <w:t>2.11</w:t>
        </w:r>
        <w:r w:rsidR="005E2C32">
          <w:rPr>
            <w:rFonts w:eastAsiaTheme="minorEastAsia"/>
            <w:smallCaps w:val="0"/>
            <w:noProof/>
            <w:sz w:val="22"/>
            <w:szCs w:val="22"/>
            <w:lang w:eastAsia="en-GB"/>
          </w:rPr>
          <w:tab/>
        </w:r>
        <w:r w:rsidR="005E2C32" w:rsidRPr="00324D59">
          <w:rPr>
            <w:rStyle w:val="Hyperlink"/>
            <w:noProof/>
          </w:rPr>
          <w:t>Disability</w:t>
        </w:r>
        <w:r w:rsidR="005E2C32">
          <w:rPr>
            <w:noProof/>
            <w:webHidden/>
          </w:rPr>
          <w:tab/>
        </w:r>
        <w:r w:rsidR="005E2C32">
          <w:rPr>
            <w:noProof/>
            <w:webHidden/>
          </w:rPr>
          <w:fldChar w:fldCharType="begin"/>
        </w:r>
        <w:r w:rsidR="005E2C32">
          <w:rPr>
            <w:noProof/>
            <w:webHidden/>
          </w:rPr>
          <w:instrText xml:space="preserve"> PAGEREF _Toc431225129 \h </w:instrText>
        </w:r>
        <w:r w:rsidR="005E2C32">
          <w:rPr>
            <w:noProof/>
            <w:webHidden/>
          </w:rPr>
        </w:r>
        <w:r w:rsidR="005E2C32">
          <w:rPr>
            <w:noProof/>
            <w:webHidden/>
          </w:rPr>
          <w:fldChar w:fldCharType="separate"/>
        </w:r>
        <w:r w:rsidR="005E2C32">
          <w:rPr>
            <w:noProof/>
            <w:webHidden/>
          </w:rPr>
          <w:t>43</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30" w:history="1">
        <w:r w:rsidR="005E2C32" w:rsidRPr="00324D59">
          <w:rPr>
            <w:rStyle w:val="Hyperlink"/>
            <w:noProof/>
          </w:rPr>
          <w:t>2.12</w:t>
        </w:r>
        <w:r w:rsidR="005E2C32">
          <w:rPr>
            <w:rFonts w:eastAsiaTheme="minorEastAsia"/>
            <w:smallCaps w:val="0"/>
            <w:noProof/>
            <w:sz w:val="22"/>
            <w:szCs w:val="22"/>
            <w:lang w:eastAsia="en-GB"/>
          </w:rPr>
          <w:tab/>
        </w:r>
        <w:r w:rsidR="005E2C32" w:rsidRPr="00324D59">
          <w:rPr>
            <w:rStyle w:val="Hyperlink"/>
            <w:noProof/>
          </w:rPr>
          <w:t>Life Expectancy</w:t>
        </w:r>
        <w:r w:rsidR="005E2C32">
          <w:rPr>
            <w:noProof/>
            <w:webHidden/>
          </w:rPr>
          <w:tab/>
        </w:r>
        <w:r w:rsidR="005E2C32">
          <w:rPr>
            <w:noProof/>
            <w:webHidden/>
          </w:rPr>
          <w:fldChar w:fldCharType="begin"/>
        </w:r>
        <w:r w:rsidR="005E2C32">
          <w:rPr>
            <w:noProof/>
            <w:webHidden/>
          </w:rPr>
          <w:instrText xml:space="preserve"> PAGEREF _Toc431225130 \h </w:instrText>
        </w:r>
        <w:r w:rsidR="005E2C32">
          <w:rPr>
            <w:noProof/>
            <w:webHidden/>
          </w:rPr>
        </w:r>
        <w:r w:rsidR="005E2C32">
          <w:rPr>
            <w:noProof/>
            <w:webHidden/>
          </w:rPr>
          <w:fldChar w:fldCharType="separate"/>
        </w:r>
        <w:r w:rsidR="005E2C32">
          <w:rPr>
            <w:noProof/>
            <w:webHidden/>
          </w:rPr>
          <w:t>49</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31" w:history="1">
        <w:r w:rsidR="005E2C32" w:rsidRPr="00324D59">
          <w:rPr>
            <w:rStyle w:val="Hyperlink"/>
            <w:noProof/>
          </w:rPr>
          <w:t>2.13</w:t>
        </w:r>
        <w:r w:rsidR="005E2C32">
          <w:rPr>
            <w:rFonts w:eastAsiaTheme="minorEastAsia"/>
            <w:smallCaps w:val="0"/>
            <w:noProof/>
            <w:sz w:val="22"/>
            <w:szCs w:val="22"/>
            <w:lang w:eastAsia="en-GB"/>
          </w:rPr>
          <w:tab/>
        </w:r>
        <w:r w:rsidR="005E2C32" w:rsidRPr="00324D59">
          <w:rPr>
            <w:rStyle w:val="Hyperlink"/>
            <w:noProof/>
          </w:rPr>
          <w:t>Indices of Deprivation</w:t>
        </w:r>
        <w:r w:rsidR="005E2C32">
          <w:rPr>
            <w:noProof/>
            <w:webHidden/>
          </w:rPr>
          <w:tab/>
        </w:r>
        <w:r w:rsidR="005E2C32">
          <w:rPr>
            <w:noProof/>
            <w:webHidden/>
          </w:rPr>
          <w:fldChar w:fldCharType="begin"/>
        </w:r>
        <w:r w:rsidR="005E2C32">
          <w:rPr>
            <w:noProof/>
            <w:webHidden/>
          </w:rPr>
          <w:instrText xml:space="preserve"> PAGEREF _Toc431225131 \h </w:instrText>
        </w:r>
        <w:r w:rsidR="005E2C32">
          <w:rPr>
            <w:noProof/>
            <w:webHidden/>
          </w:rPr>
        </w:r>
        <w:r w:rsidR="005E2C32">
          <w:rPr>
            <w:noProof/>
            <w:webHidden/>
          </w:rPr>
          <w:fldChar w:fldCharType="separate"/>
        </w:r>
        <w:r w:rsidR="005E2C32">
          <w:rPr>
            <w:noProof/>
            <w:webHidden/>
          </w:rPr>
          <w:t>51</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32" w:history="1">
        <w:r w:rsidR="005E2C32" w:rsidRPr="00324D59">
          <w:rPr>
            <w:rStyle w:val="Hyperlink"/>
            <w:noProof/>
          </w:rPr>
          <w:t>2.14</w:t>
        </w:r>
        <w:r w:rsidR="005E2C32">
          <w:rPr>
            <w:rFonts w:eastAsiaTheme="minorEastAsia"/>
            <w:smallCaps w:val="0"/>
            <w:noProof/>
            <w:sz w:val="22"/>
            <w:szCs w:val="22"/>
            <w:lang w:eastAsia="en-GB"/>
          </w:rPr>
          <w:tab/>
        </w:r>
        <w:r w:rsidR="005E2C32" w:rsidRPr="00324D59">
          <w:rPr>
            <w:rStyle w:val="Hyperlink"/>
            <w:noProof/>
          </w:rPr>
          <w:t>Wellbeing</w:t>
        </w:r>
        <w:r w:rsidR="005E2C32">
          <w:rPr>
            <w:noProof/>
            <w:webHidden/>
          </w:rPr>
          <w:tab/>
        </w:r>
        <w:r w:rsidR="005E2C32">
          <w:rPr>
            <w:noProof/>
            <w:webHidden/>
          </w:rPr>
          <w:fldChar w:fldCharType="begin"/>
        </w:r>
        <w:r w:rsidR="005E2C32">
          <w:rPr>
            <w:noProof/>
            <w:webHidden/>
          </w:rPr>
          <w:instrText xml:space="preserve"> PAGEREF _Toc431225132 \h </w:instrText>
        </w:r>
        <w:r w:rsidR="005E2C32">
          <w:rPr>
            <w:noProof/>
            <w:webHidden/>
          </w:rPr>
        </w:r>
        <w:r w:rsidR="005E2C32">
          <w:rPr>
            <w:noProof/>
            <w:webHidden/>
          </w:rPr>
          <w:fldChar w:fldCharType="separate"/>
        </w:r>
        <w:r w:rsidR="005E2C32">
          <w:rPr>
            <w:noProof/>
            <w:webHidden/>
          </w:rPr>
          <w:t>52</w:t>
        </w:r>
        <w:r w:rsidR="005E2C32">
          <w:rPr>
            <w:noProof/>
            <w:webHidden/>
          </w:rPr>
          <w:fldChar w:fldCharType="end"/>
        </w:r>
      </w:hyperlink>
    </w:p>
    <w:p w:rsidR="005E2C32" w:rsidRDefault="00146202">
      <w:pPr>
        <w:pStyle w:val="TOC1"/>
        <w:tabs>
          <w:tab w:val="left" w:pos="440"/>
          <w:tab w:val="right" w:leader="dot" w:pos="9016"/>
        </w:tabs>
        <w:rPr>
          <w:rFonts w:eastAsiaTheme="minorEastAsia"/>
          <w:b w:val="0"/>
          <w:bCs w:val="0"/>
          <w:caps w:val="0"/>
          <w:noProof/>
          <w:sz w:val="22"/>
          <w:szCs w:val="22"/>
          <w:lang w:eastAsia="en-GB"/>
        </w:rPr>
      </w:pPr>
      <w:hyperlink w:anchor="_Toc431225133" w:history="1">
        <w:r w:rsidR="005E2C32" w:rsidRPr="00324D59">
          <w:rPr>
            <w:rStyle w:val="Hyperlink"/>
            <w:noProof/>
          </w:rPr>
          <w:t>3</w:t>
        </w:r>
        <w:r w:rsidR="005E2C32">
          <w:rPr>
            <w:rFonts w:eastAsiaTheme="minorEastAsia"/>
            <w:b w:val="0"/>
            <w:bCs w:val="0"/>
            <w:caps w:val="0"/>
            <w:noProof/>
            <w:sz w:val="22"/>
            <w:szCs w:val="22"/>
            <w:lang w:eastAsia="en-GB"/>
          </w:rPr>
          <w:tab/>
        </w:r>
        <w:r w:rsidR="005E2C32" w:rsidRPr="00324D59">
          <w:rPr>
            <w:rStyle w:val="Hyperlink"/>
            <w:noProof/>
          </w:rPr>
          <w:t>Socio-Economic and Environmental Context</w:t>
        </w:r>
        <w:r w:rsidR="005E2C32">
          <w:rPr>
            <w:noProof/>
            <w:webHidden/>
          </w:rPr>
          <w:tab/>
        </w:r>
        <w:r w:rsidR="005E2C32">
          <w:rPr>
            <w:noProof/>
            <w:webHidden/>
          </w:rPr>
          <w:fldChar w:fldCharType="begin"/>
        </w:r>
        <w:r w:rsidR="005E2C32">
          <w:rPr>
            <w:noProof/>
            <w:webHidden/>
          </w:rPr>
          <w:instrText xml:space="preserve"> PAGEREF _Toc431225133 \h </w:instrText>
        </w:r>
        <w:r w:rsidR="005E2C32">
          <w:rPr>
            <w:noProof/>
            <w:webHidden/>
          </w:rPr>
        </w:r>
        <w:r w:rsidR="005E2C32">
          <w:rPr>
            <w:noProof/>
            <w:webHidden/>
          </w:rPr>
          <w:fldChar w:fldCharType="separate"/>
        </w:r>
        <w:r w:rsidR="005E2C32">
          <w:rPr>
            <w:noProof/>
            <w:webHidden/>
          </w:rPr>
          <w:t>54</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37" w:history="1">
        <w:r w:rsidR="005E2C32" w:rsidRPr="00324D59">
          <w:rPr>
            <w:rStyle w:val="Hyperlink"/>
            <w:noProof/>
          </w:rPr>
          <w:t>3.1</w:t>
        </w:r>
        <w:r w:rsidR="005E2C32">
          <w:rPr>
            <w:rFonts w:eastAsiaTheme="minorEastAsia"/>
            <w:smallCaps w:val="0"/>
            <w:noProof/>
            <w:sz w:val="22"/>
            <w:szCs w:val="22"/>
            <w:lang w:eastAsia="en-GB"/>
          </w:rPr>
          <w:tab/>
        </w:r>
        <w:r w:rsidR="005E2C32" w:rsidRPr="00324D59">
          <w:rPr>
            <w:rStyle w:val="Hyperlink"/>
            <w:noProof/>
          </w:rPr>
          <w:t>Key Facts</w:t>
        </w:r>
        <w:r w:rsidR="005E2C32">
          <w:rPr>
            <w:noProof/>
            <w:webHidden/>
          </w:rPr>
          <w:tab/>
        </w:r>
        <w:r w:rsidR="005E2C32">
          <w:rPr>
            <w:noProof/>
            <w:webHidden/>
          </w:rPr>
          <w:fldChar w:fldCharType="begin"/>
        </w:r>
        <w:r w:rsidR="005E2C32">
          <w:rPr>
            <w:noProof/>
            <w:webHidden/>
          </w:rPr>
          <w:instrText xml:space="preserve"> PAGEREF _Toc431225137 \h </w:instrText>
        </w:r>
        <w:r w:rsidR="005E2C32">
          <w:rPr>
            <w:noProof/>
            <w:webHidden/>
          </w:rPr>
        </w:r>
        <w:r w:rsidR="005E2C32">
          <w:rPr>
            <w:noProof/>
            <w:webHidden/>
          </w:rPr>
          <w:fldChar w:fldCharType="separate"/>
        </w:r>
        <w:r w:rsidR="005E2C32">
          <w:rPr>
            <w:noProof/>
            <w:webHidden/>
          </w:rPr>
          <w:t>54</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38" w:history="1">
        <w:r w:rsidR="005E2C32" w:rsidRPr="00324D59">
          <w:rPr>
            <w:rStyle w:val="Hyperlink"/>
            <w:noProof/>
          </w:rPr>
          <w:t>3.2</w:t>
        </w:r>
        <w:r w:rsidR="005E2C32">
          <w:rPr>
            <w:rFonts w:eastAsiaTheme="minorEastAsia"/>
            <w:smallCaps w:val="0"/>
            <w:noProof/>
            <w:sz w:val="22"/>
            <w:szCs w:val="22"/>
            <w:lang w:eastAsia="en-GB"/>
          </w:rPr>
          <w:tab/>
        </w:r>
        <w:r w:rsidR="005E2C32" w:rsidRPr="00324D59">
          <w:rPr>
            <w:rStyle w:val="Hyperlink"/>
            <w:noProof/>
          </w:rPr>
          <w:t>Strategic Needs</w:t>
        </w:r>
        <w:r w:rsidR="005E2C32">
          <w:rPr>
            <w:noProof/>
            <w:webHidden/>
          </w:rPr>
          <w:tab/>
        </w:r>
        <w:r w:rsidR="005E2C32">
          <w:rPr>
            <w:noProof/>
            <w:webHidden/>
          </w:rPr>
          <w:fldChar w:fldCharType="begin"/>
        </w:r>
        <w:r w:rsidR="005E2C32">
          <w:rPr>
            <w:noProof/>
            <w:webHidden/>
          </w:rPr>
          <w:instrText xml:space="preserve"> PAGEREF _Toc431225138 \h </w:instrText>
        </w:r>
        <w:r w:rsidR="005E2C32">
          <w:rPr>
            <w:noProof/>
            <w:webHidden/>
          </w:rPr>
        </w:r>
        <w:r w:rsidR="005E2C32">
          <w:rPr>
            <w:noProof/>
            <w:webHidden/>
          </w:rPr>
          <w:fldChar w:fldCharType="separate"/>
        </w:r>
        <w:r w:rsidR="005E2C32">
          <w:rPr>
            <w:noProof/>
            <w:webHidden/>
          </w:rPr>
          <w:t>54</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39" w:history="1">
        <w:r w:rsidR="005E2C32" w:rsidRPr="00324D59">
          <w:rPr>
            <w:rStyle w:val="Hyperlink"/>
            <w:noProof/>
          </w:rPr>
          <w:t>3.3</w:t>
        </w:r>
        <w:r w:rsidR="005E2C32">
          <w:rPr>
            <w:rFonts w:eastAsiaTheme="minorEastAsia"/>
            <w:smallCaps w:val="0"/>
            <w:noProof/>
            <w:sz w:val="22"/>
            <w:szCs w:val="22"/>
            <w:lang w:eastAsia="en-GB"/>
          </w:rPr>
          <w:tab/>
        </w:r>
        <w:r w:rsidR="005E2C32" w:rsidRPr="00324D59">
          <w:rPr>
            <w:rStyle w:val="Hyperlink"/>
            <w:noProof/>
          </w:rPr>
          <w:t>Housing</w:t>
        </w:r>
        <w:r w:rsidR="005E2C32">
          <w:rPr>
            <w:noProof/>
            <w:webHidden/>
          </w:rPr>
          <w:tab/>
        </w:r>
        <w:r w:rsidR="005E2C32">
          <w:rPr>
            <w:noProof/>
            <w:webHidden/>
          </w:rPr>
          <w:fldChar w:fldCharType="begin"/>
        </w:r>
        <w:r w:rsidR="005E2C32">
          <w:rPr>
            <w:noProof/>
            <w:webHidden/>
          </w:rPr>
          <w:instrText xml:space="preserve"> PAGEREF _Toc431225139 \h </w:instrText>
        </w:r>
        <w:r w:rsidR="005E2C32">
          <w:rPr>
            <w:noProof/>
            <w:webHidden/>
          </w:rPr>
        </w:r>
        <w:r w:rsidR="005E2C32">
          <w:rPr>
            <w:noProof/>
            <w:webHidden/>
          </w:rPr>
          <w:fldChar w:fldCharType="separate"/>
        </w:r>
        <w:r w:rsidR="005E2C32">
          <w:rPr>
            <w:noProof/>
            <w:webHidden/>
          </w:rPr>
          <w:t>55</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40" w:history="1">
        <w:r w:rsidR="005E2C32" w:rsidRPr="00324D59">
          <w:rPr>
            <w:rStyle w:val="Hyperlink"/>
            <w:noProof/>
          </w:rPr>
          <w:t>3.4</w:t>
        </w:r>
        <w:r w:rsidR="005E2C32">
          <w:rPr>
            <w:rFonts w:eastAsiaTheme="minorEastAsia"/>
            <w:smallCaps w:val="0"/>
            <w:noProof/>
            <w:sz w:val="22"/>
            <w:szCs w:val="22"/>
            <w:lang w:eastAsia="en-GB"/>
          </w:rPr>
          <w:tab/>
        </w:r>
        <w:r w:rsidR="005E2C32" w:rsidRPr="00324D59">
          <w:rPr>
            <w:rStyle w:val="Hyperlink"/>
            <w:noProof/>
          </w:rPr>
          <w:t>Environment</w:t>
        </w:r>
        <w:r w:rsidR="005E2C32">
          <w:rPr>
            <w:noProof/>
            <w:webHidden/>
          </w:rPr>
          <w:tab/>
        </w:r>
        <w:r w:rsidR="005E2C32">
          <w:rPr>
            <w:noProof/>
            <w:webHidden/>
          </w:rPr>
          <w:fldChar w:fldCharType="begin"/>
        </w:r>
        <w:r w:rsidR="005E2C32">
          <w:rPr>
            <w:noProof/>
            <w:webHidden/>
          </w:rPr>
          <w:instrText xml:space="preserve"> PAGEREF _Toc431225140 \h </w:instrText>
        </w:r>
        <w:r w:rsidR="005E2C32">
          <w:rPr>
            <w:noProof/>
            <w:webHidden/>
          </w:rPr>
        </w:r>
        <w:r w:rsidR="005E2C32">
          <w:rPr>
            <w:noProof/>
            <w:webHidden/>
          </w:rPr>
          <w:fldChar w:fldCharType="separate"/>
        </w:r>
        <w:r w:rsidR="005E2C32">
          <w:rPr>
            <w:noProof/>
            <w:webHidden/>
          </w:rPr>
          <w:t>64</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41" w:history="1">
        <w:r w:rsidR="005E2C32" w:rsidRPr="00324D59">
          <w:rPr>
            <w:rStyle w:val="Hyperlink"/>
            <w:noProof/>
          </w:rPr>
          <w:t>3.5</w:t>
        </w:r>
        <w:r w:rsidR="005E2C32">
          <w:rPr>
            <w:rFonts w:eastAsiaTheme="minorEastAsia"/>
            <w:smallCaps w:val="0"/>
            <w:noProof/>
            <w:sz w:val="22"/>
            <w:szCs w:val="22"/>
            <w:lang w:eastAsia="en-GB"/>
          </w:rPr>
          <w:tab/>
        </w:r>
        <w:r w:rsidR="005E2C32" w:rsidRPr="00324D59">
          <w:rPr>
            <w:rStyle w:val="Hyperlink"/>
            <w:noProof/>
          </w:rPr>
          <w:t>Town Centres</w:t>
        </w:r>
        <w:r w:rsidR="005E2C32">
          <w:rPr>
            <w:noProof/>
            <w:webHidden/>
          </w:rPr>
          <w:tab/>
        </w:r>
        <w:r w:rsidR="005E2C32">
          <w:rPr>
            <w:noProof/>
            <w:webHidden/>
          </w:rPr>
          <w:fldChar w:fldCharType="begin"/>
        </w:r>
        <w:r w:rsidR="005E2C32">
          <w:rPr>
            <w:noProof/>
            <w:webHidden/>
          </w:rPr>
          <w:instrText xml:space="preserve"> PAGEREF _Toc431225141 \h </w:instrText>
        </w:r>
        <w:r w:rsidR="005E2C32">
          <w:rPr>
            <w:noProof/>
            <w:webHidden/>
          </w:rPr>
        </w:r>
        <w:r w:rsidR="005E2C32">
          <w:rPr>
            <w:noProof/>
            <w:webHidden/>
          </w:rPr>
          <w:fldChar w:fldCharType="separate"/>
        </w:r>
        <w:r w:rsidR="005E2C32">
          <w:rPr>
            <w:noProof/>
            <w:webHidden/>
          </w:rPr>
          <w:t>68</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42" w:history="1">
        <w:r w:rsidR="005E2C32" w:rsidRPr="00324D59">
          <w:rPr>
            <w:rStyle w:val="Hyperlink"/>
            <w:noProof/>
          </w:rPr>
          <w:t>3.6</w:t>
        </w:r>
        <w:r w:rsidR="005E2C32">
          <w:rPr>
            <w:rFonts w:eastAsiaTheme="minorEastAsia"/>
            <w:smallCaps w:val="0"/>
            <w:noProof/>
            <w:sz w:val="22"/>
            <w:szCs w:val="22"/>
            <w:lang w:eastAsia="en-GB"/>
          </w:rPr>
          <w:tab/>
        </w:r>
        <w:r w:rsidR="005E2C32" w:rsidRPr="00324D59">
          <w:rPr>
            <w:rStyle w:val="Hyperlink"/>
            <w:noProof/>
          </w:rPr>
          <w:t>Economy</w:t>
        </w:r>
        <w:r w:rsidR="005E2C32">
          <w:rPr>
            <w:noProof/>
            <w:webHidden/>
          </w:rPr>
          <w:tab/>
        </w:r>
        <w:r w:rsidR="005E2C32">
          <w:rPr>
            <w:noProof/>
            <w:webHidden/>
          </w:rPr>
          <w:fldChar w:fldCharType="begin"/>
        </w:r>
        <w:r w:rsidR="005E2C32">
          <w:rPr>
            <w:noProof/>
            <w:webHidden/>
          </w:rPr>
          <w:instrText xml:space="preserve"> PAGEREF _Toc431225142 \h </w:instrText>
        </w:r>
        <w:r w:rsidR="005E2C32">
          <w:rPr>
            <w:noProof/>
            <w:webHidden/>
          </w:rPr>
        </w:r>
        <w:r w:rsidR="005E2C32">
          <w:rPr>
            <w:noProof/>
            <w:webHidden/>
          </w:rPr>
          <w:fldChar w:fldCharType="separate"/>
        </w:r>
        <w:r w:rsidR="005E2C32">
          <w:rPr>
            <w:noProof/>
            <w:webHidden/>
          </w:rPr>
          <w:t>69</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43" w:history="1">
        <w:r w:rsidR="005E2C32" w:rsidRPr="00324D59">
          <w:rPr>
            <w:rStyle w:val="Hyperlink"/>
            <w:noProof/>
          </w:rPr>
          <w:t>3.7</w:t>
        </w:r>
        <w:r w:rsidR="005E2C32">
          <w:rPr>
            <w:rFonts w:eastAsiaTheme="minorEastAsia"/>
            <w:smallCaps w:val="0"/>
            <w:noProof/>
            <w:sz w:val="22"/>
            <w:szCs w:val="22"/>
            <w:lang w:eastAsia="en-GB"/>
          </w:rPr>
          <w:tab/>
        </w:r>
        <w:r w:rsidR="005E2C32" w:rsidRPr="00324D59">
          <w:rPr>
            <w:rStyle w:val="Hyperlink"/>
            <w:noProof/>
          </w:rPr>
          <w:t>Employment</w:t>
        </w:r>
        <w:r w:rsidR="005E2C32">
          <w:rPr>
            <w:noProof/>
            <w:webHidden/>
          </w:rPr>
          <w:tab/>
        </w:r>
        <w:r w:rsidR="005E2C32">
          <w:rPr>
            <w:noProof/>
            <w:webHidden/>
          </w:rPr>
          <w:fldChar w:fldCharType="begin"/>
        </w:r>
        <w:r w:rsidR="005E2C32">
          <w:rPr>
            <w:noProof/>
            <w:webHidden/>
          </w:rPr>
          <w:instrText xml:space="preserve"> PAGEREF _Toc431225143 \h </w:instrText>
        </w:r>
        <w:r w:rsidR="005E2C32">
          <w:rPr>
            <w:noProof/>
            <w:webHidden/>
          </w:rPr>
        </w:r>
        <w:r w:rsidR="005E2C32">
          <w:rPr>
            <w:noProof/>
            <w:webHidden/>
          </w:rPr>
          <w:fldChar w:fldCharType="separate"/>
        </w:r>
        <w:r w:rsidR="005E2C32">
          <w:rPr>
            <w:noProof/>
            <w:webHidden/>
          </w:rPr>
          <w:t>71</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44" w:history="1">
        <w:r w:rsidR="005E2C32" w:rsidRPr="00324D59">
          <w:rPr>
            <w:rStyle w:val="Hyperlink"/>
            <w:noProof/>
          </w:rPr>
          <w:t>3.8</w:t>
        </w:r>
        <w:r w:rsidR="005E2C32">
          <w:rPr>
            <w:rFonts w:eastAsiaTheme="minorEastAsia"/>
            <w:smallCaps w:val="0"/>
            <w:noProof/>
            <w:sz w:val="22"/>
            <w:szCs w:val="22"/>
            <w:lang w:eastAsia="en-GB"/>
          </w:rPr>
          <w:tab/>
        </w:r>
        <w:r w:rsidR="005E2C32" w:rsidRPr="00324D59">
          <w:rPr>
            <w:rStyle w:val="Hyperlink"/>
            <w:noProof/>
          </w:rPr>
          <w:t>Unemployment</w:t>
        </w:r>
        <w:r w:rsidR="005E2C32">
          <w:rPr>
            <w:noProof/>
            <w:webHidden/>
          </w:rPr>
          <w:tab/>
        </w:r>
        <w:r w:rsidR="005E2C32">
          <w:rPr>
            <w:noProof/>
            <w:webHidden/>
          </w:rPr>
          <w:fldChar w:fldCharType="begin"/>
        </w:r>
        <w:r w:rsidR="005E2C32">
          <w:rPr>
            <w:noProof/>
            <w:webHidden/>
          </w:rPr>
          <w:instrText xml:space="preserve"> PAGEREF _Toc431225144 \h </w:instrText>
        </w:r>
        <w:r w:rsidR="005E2C32">
          <w:rPr>
            <w:noProof/>
            <w:webHidden/>
          </w:rPr>
        </w:r>
        <w:r w:rsidR="005E2C32">
          <w:rPr>
            <w:noProof/>
            <w:webHidden/>
          </w:rPr>
          <w:fldChar w:fldCharType="separate"/>
        </w:r>
        <w:r w:rsidR="005E2C32">
          <w:rPr>
            <w:noProof/>
            <w:webHidden/>
          </w:rPr>
          <w:t>71</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45" w:history="1">
        <w:r w:rsidR="005E2C32" w:rsidRPr="00324D59">
          <w:rPr>
            <w:rStyle w:val="Hyperlink"/>
            <w:noProof/>
          </w:rPr>
          <w:t>3.9</w:t>
        </w:r>
        <w:r w:rsidR="005E2C32">
          <w:rPr>
            <w:rFonts w:eastAsiaTheme="minorEastAsia"/>
            <w:smallCaps w:val="0"/>
            <w:noProof/>
            <w:sz w:val="22"/>
            <w:szCs w:val="22"/>
            <w:lang w:eastAsia="en-GB"/>
          </w:rPr>
          <w:tab/>
        </w:r>
        <w:r w:rsidR="005E2C32" w:rsidRPr="00324D59">
          <w:rPr>
            <w:rStyle w:val="Hyperlink"/>
            <w:noProof/>
          </w:rPr>
          <w:t>Skills and Qualifications</w:t>
        </w:r>
        <w:r w:rsidR="005E2C32">
          <w:rPr>
            <w:noProof/>
            <w:webHidden/>
          </w:rPr>
          <w:tab/>
        </w:r>
        <w:r w:rsidR="005E2C32">
          <w:rPr>
            <w:noProof/>
            <w:webHidden/>
          </w:rPr>
          <w:fldChar w:fldCharType="begin"/>
        </w:r>
        <w:r w:rsidR="005E2C32">
          <w:rPr>
            <w:noProof/>
            <w:webHidden/>
          </w:rPr>
          <w:instrText xml:space="preserve"> PAGEREF _Toc431225145 \h </w:instrText>
        </w:r>
        <w:r w:rsidR="005E2C32">
          <w:rPr>
            <w:noProof/>
            <w:webHidden/>
          </w:rPr>
        </w:r>
        <w:r w:rsidR="005E2C32">
          <w:rPr>
            <w:noProof/>
            <w:webHidden/>
          </w:rPr>
          <w:fldChar w:fldCharType="separate"/>
        </w:r>
        <w:r w:rsidR="005E2C32">
          <w:rPr>
            <w:noProof/>
            <w:webHidden/>
          </w:rPr>
          <w:t>71</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46" w:history="1">
        <w:r w:rsidR="005E2C32" w:rsidRPr="00324D59">
          <w:rPr>
            <w:rStyle w:val="Hyperlink"/>
            <w:noProof/>
          </w:rPr>
          <w:t>3.10</w:t>
        </w:r>
        <w:r w:rsidR="005E2C32">
          <w:rPr>
            <w:rFonts w:eastAsiaTheme="minorEastAsia"/>
            <w:smallCaps w:val="0"/>
            <w:noProof/>
            <w:sz w:val="22"/>
            <w:szCs w:val="22"/>
            <w:lang w:eastAsia="en-GB"/>
          </w:rPr>
          <w:tab/>
        </w:r>
        <w:r w:rsidR="005E2C32" w:rsidRPr="00324D59">
          <w:rPr>
            <w:rStyle w:val="Hyperlink"/>
            <w:noProof/>
          </w:rPr>
          <w:t>Welfare Reform</w:t>
        </w:r>
        <w:r w:rsidR="005E2C32">
          <w:rPr>
            <w:noProof/>
            <w:webHidden/>
          </w:rPr>
          <w:tab/>
        </w:r>
        <w:r w:rsidR="005E2C32">
          <w:rPr>
            <w:noProof/>
            <w:webHidden/>
          </w:rPr>
          <w:fldChar w:fldCharType="begin"/>
        </w:r>
        <w:r w:rsidR="005E2C32">
          <w:rPr>
            <w:noProof/>
            <w:webHidden/>
          </w:rPr>
          <w:instrText xml:space="preserve"> PAGEREF _Toc431225146 \h </w:instrText>
        </w:r>
        <w:r w:rsidR="005E2C32">
          <w:rPr>
            <w:noProof/>
            <w:webHidden/>
          </w:rPr>
        </w:r>
        <w:r w:rsidR="005E2C32">
          <w:rPr>
            <w:noProof/>
            <w:webHidden/>
          </w:rPr>
          <w:fldChar w:fldCharType="separate"/>
        </w:r>
        <w:r w:rsidR="005E2C32">
          <w:rPr>
            <w:noProof/>
            <w:webHidden/>
          </w:rPr>
          <w:t>73</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47" w:history="1">
        <w:r w:rsidR="005E2C32" w:rsidRPr="00324D59">
          <w:rPr>
            <w:rStyle w:val="Hyperlink"/>
            <w:noProof/>
          </w:rPr>
          <w:t>3.11</w:t>
        </w:r>
        <w:r w:rsidR="005E2C32">
          <w:rPr>
            <w:rFonts w:eastAsiaTheme="minorEastAsia"/>
            <w:smallCaps w:val="0"/>
            <w:noProof/>
            <w:sz w:val="22"/>
            <w:szCs w:val="22"/>
            <w:lang w:eastAsia="en-GB"/>
          </w:rPr>
          <w:tab/>
        </w:r>
        <w:r w:rsidR="005E2C32" w:rsidRPr="00324D59">
          <w:rPr>
            <w:rStyle w:val="Hyperlink"/>
            <w:noProof/>
          </w:rPr>
          <w:t>Disability and Employment</w:t>
        </w:r>
        <w:r w:rsidR="005E2C32">
          <w:rPr>
            <w:noProof/>
            <w:webHidden/>
          </w:rPr>
          <w:tab/>
        </w:r>
        <w:r w:rsidR="005E2C32">
          <w:rPr>
            <w:noProof/>
            <w:webHidden/>
          </w:rPr>
          <w:fldChar w:fldCharType="begin"/>
        </w:r>
        <w:r w:rsidR="005E2C32">
          <w:rPr>
            <w:noProof/>
            <w:webHidden/>
          </w:rPr>
          <w:instrText xml:space="preserve"> PAGEREF _Toc431225147 \h </w:instrText>
        </w:r>
        <w:r w:rsidR="005E2C32">
          <w:rPr>
            <w:noProof/>
            <w:webHidden/>
          </w:rPr>
        </w:r>
        <w:r w:rsidR="005E2C32">
          <w:rPr>
            <w:noProof/>
            <w:webHidden/>
          </w:rPr>
          <w:fldChar w:fldCharType="separate"/>
        </w:r>
        <w:r w:rsidR="005E2C32">
          <w:rPr>
            <w:noProof/>
            <w:webHidden/>
          </w:rPr>
          <w:t>78</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48" w:history="1">
        <w:r w:rsidR="005E2C32" w:rsidRPr="00324D59">
          <w:rPr>
            <w:rStyle w:val="Hyperlink"/>
            <w:noProof/>
          </w:rPr>
          <w:t>3.12</w:t>
        </w:r>
        <w:r w:rsidR="005E2C32">
          <w:rPr>
            <w:rFonts w:eastAsiaTheme="minorEastAsia"/>
            <w:smallCaps w:val="0"/>
            <w:noProof/>
            <w:sz w:val="22"/>
            <w:szCs w:val="22"/>
            <w:lang w:eastAsia="en-GB"/>
          </w:rPr>
          <w:tab/>
        </w:r>
        <w:r w:rsidR="005E2C32" w:rsidRPr="00324D59">
          <w:rPr>
            <w:rStyle w:val="Hyperlink"/>
            <w:noProof/>
          </w:rPr>
          <w:t>Incomes</w:t>
        </w:r>
        <w:r w:rsidR="005E2C32">
          <w:rPr>
            <w:noProof/>
            <w:webHidden/>
          </w:rPr>
          <w:tab/>
        </w:r>
        <w:r w:rsidR="005E2C32">
          <w:rPr>
            <w:noProof/>
            <w:webHidden/>
          </w:rPr>
          <w:fldChar w:fldCharType="begin"/>
        </w:r>
        <w:r w:rsidR="005E2C32">
          <w:rPr>
            <w:noProof/>
            <w:webHidden/>
          </w:rPr>
          <w:instrText xml:space="preserve"> PAGEREF _Toc431225148 \h </w:instrText>
        </w:r>
        <w:r w:rsidR="005E2C32">
          <w:rPr>
            <w:noProof/>
            <w:webHidden/>
          </w:rPr>
        </w:r>
        <w:r w:rsidR="005E2C32">
          <w:rPr>
            <w:noProof/>
            <w:webHidden/>
          </w:rPr>
          <w:fldChar w:fldCharType="separate"/>
        </w:r>
        <w:r w:rsidR="005E2C32">
          <w:rPr>
            <w:noProof/>
            <w:webHidden/>
          </w:rPr>
          <w:t>80</w:t>
        </w:r>
        <w:r w:rsidR="005E2C32">
          <w:rPr>
            <w:noProof/>
            <w:webHidden/>
          </w:rPr>
          <w:fldChar w:fldCharType="end"/>
        </w:r>
      </w:hyperlink>
    </w:p>
    <w:p w:rsidR="005E2C32" w:rsidRDefault="00146202">
      <w:pPr>
        <w:pStyle w:val="TOC1"/>
        <w:tabs>
          <w:tab w:val="left" w:pos="440"/>
          <w:tab w:val="right" w:leader="dot" w:pos="9016"/>
        </w:tabs>
        <w:rPr>
          <w:rFonts w:eastAsiaTheme="minorEastAsia"/>
          <w:b w:val="0"/>
          <w:bCs w:val="0"/>
          <w:caps w:val="0"/>
          <w:noProof/>
          <w:sz w:val="22"/>
          <w:szCs w:val="22"/>
          <w:lang w:eastAsia="en-GB"/>
        </w:rPr>
      </w:pPr>
      <w:hyperlink w:anchor="_Toc431225149" w:history="1">
        <w:r w:rsidR="005E2C32" w:rsidRPr="00324D59">
          <w:rPr>
            <w:rStyle w:val="Hyperlink"/>
            <w:noProof/>
          </w:rPr>
          <w:t>4</w:t>
        </w:r>
        <w:r w:rsidR="005E2C32">
          <w:rPr>
            <w:rFonts w:eastAsiaTheme="minorEastAsia"/>
            <w:b w:val="0"/>
            <w:bCs w:val="0"/>
            <w:caps w:val="0"/>
            <w:noProof/>
            <w:sz w:val="22"/>
            <w:szCs w:val="22"/>
            <w:lang w:eastAsia="en-GB"/>
          </w:rPr>
          <w:tab/>
        </w:r>
        <w:r w:rsidR="005E2C32" w:rsidRPr="00324D59">
          <w:rPr>
            <w:rStyle w:val="Hyperlink"/>
            <w:noProof/>
          </w:rPr>
          <w:t>Barnet Customer Segments – Overview</w:t>
        </w:r>
        <w:r w:rsidR="005E2C32">
          <w:rPr>
            <w:noProof/>
            <w:webHidden/>
          </w:rPr>
          <w:tab/>
        </w:r>
        <w:r w:rsidR="005E2C32">
          <w:rPr>
            <w:noProof/>
            <w:webHidden/>
          </w:rPr>
          <w:fldChar w:fldCharType="begin"/>
        </w:r>
        <w:r w:rsidR="005E2C32">
          <w:rPr>
            <w:noProof/>
            <w:webHidden/>
          </w:rPr>
          <w:instrText xml:space="preserve"> PAGEREF _Toc431225149 \h </w:instrText>
        </w:r>
        <w:r w:rsidR="005E2C32">
          <w:rPr>
            <w:noProof/>
            <w:webHidden/>
          </w:rPr>
        </w:r>
        <w:r w:rsidR="005E2C32">
          <w:rPr>
            <w:noProof/>
            <w:webHidden/>
          </w:rPr>
          <w:fldChar w:fldCharType="separate"/>
        </w:r>
        <w:r w:rsidR="005E2C32">
          <w:rPr>
            <w:noProof/>
            <w:webHidden/>
          </w:rPr>
          <w:t>83</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50" w:history="1">
        <w:r w:rsidR="005E2C32" w:rsidRPr="00324D59">
          <w:rPr>
            <w:rStyle w:val="Hyperlink"/>
            <w:noProof/>
          </w:rPr>
          <w:t>4.1</w:t>
        </w:r>
        <w:r w:rsidR="005E2C32">
          <w:rPr>
            <w:rFonts w:eastAsiaTheme="minorEastAsia"/>
            <w:smallCaps w:val="0"/>
            <w:noProof/>
            <w:sz w:val="22"/>
            <w:szCs w:val="22"/>
            <w:lang w:eastAsia="en-GB"/>
          </w:rPr>
          <w:tab/>
        </w:r>
        <w:r w:rsidR="005E2C32" w:rsidRPr="00324D59">
          <w:rPr>
            <w:rStyle w:val="Hyperlink"/>
            <w:noProof/>
          </w:rPr>
          <w:t>Introduction</w:t>
        </w:r>
        <w:r w:rsidR="005E2C32">
          <w:rPr>
            <w:noProof/>
            <w:webHidden/>
          </w:rPr>
          <w:tab/>
        </w:r>
        <w:r w:rsidR="005E2C32">
          <w:rPr>
            <w:noProof/>
            <w:webHidden/>
          </w:rPr>
          <w:fldChar w:fldCharType="begin"/>
        </w:r>
        <w:r w:rsidR="005E2C32">
          <w:rPr>
            <w:noProof/>
            <w:webHidden/>
          </w:rPr>
          <w:instrText xml:space="preserve"> PAGEREF _Toc431225150 \h </w:instrText>
        </w:r>
        <w:r w:rsidR="005E2C32">
          <w:rPr>
            <w:noProof/>
            <w:webHidden/>
          </w:rPr>
        </w:r>
        <w:r w:rsidR="005E2C32">
          <w:rPr>
            <w:noProof/>
            <w:webHidden/>
          </w:rPr>
          <w:fldChar w:fldCharType="separate"/>
        </w:r>
        <w:r w:rsidR="005E2C32">
          <w:rPr>
            <w:noProof/>
            <w:webHidden/>
          </w:rPr>
          <w:t>83</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51" w:history="1">
        <w:r w:rsidR="005E2C32" w:rsidRPr="00324D59">
          <w:rPr>
            <w:rStyle w:val="Hyperlink"/>
            <w:noProof/>
          </w:rPr>
          <w:t>4.2</w:t>
        </w:r>
        <w:r w:rsidR="005E2C32">
          <w:rPr>
            <w:rFonts w:eastAsiaTheme="minorEastAsia"/>
            <w:smallCaps w:val="0"/>
            <w:noProof/>
            <w:sz w:val="22"/>
            <w:szCs w:val="22"/>
            <w:lang w:eastAsia="en-GB"/>
          </w:rPr>
          <w:tab/>
        </w:r>
        <w:r w:rsidR="005E2C32" w:rsidRPr="00324D59">
          <w:rPr>
            <w:rStyle w:val="Hyperlink"/>
            <w:noProof/>
          </w:rPr>
          <w:t>Profile of Barnet Customer Segments</w:t>
        </w:r>
        <w:r w:rsidR="005E2C32">
          <w:rPr>
            <w:noProof/>
            <w:webHidden/>
          </w:rPr>
          <w:tab/>
        </w:r>
        <w:r w:rsidR="005E2C32">
          <w:rPr>
            <w:noProof/>
            <w:webHidden/>
          </w:rPr>
          <w:fldChar w:fldCharType="begin"/>
        </w:r>
        <w:r w:rsidR="005E2C32">
          <w:rPr>
            <w:noProof/>
            <w:webHidden/>
          </w:rPr>
          <w:instrText xml:space="preserve"> PAGEREF _Toc431225151 \h </w:instrText>
        </w:r>
        <w:r w:rsidR="005E2C32">
          <w:rPr>
            <w:noProof/>
            <w:webHidden/>
          </w:rPr>
        </w:r>
        <w:r w:rsidR="005E2C32">
          <w:rPr>
            <w:noProof/>
            <w:webHidden/>
          </w:rPr>
          <w:fldChar w:fldCharType="separate"/>
        </w:r>
        <w:r w:rsidR="005E2C32">
          <w:rPr>
            <w:noProof/>
            <w:webHidden/>
          </w:rPr>
          <w:t>83</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52" w:history="1">
        <w:r w:rsidR="005E2C32" w:rsidRPr="00324D59">
          <w:rPr>
            <w:rStyle w:val="Hyperlink"/>
            <w:noProof/>
          </w:rPr>
          <w:t>4.3</w:t>
        </w:r>
        <w:r w:rsidR="005E2C32">
          <w:rPr>
            <w:rFonts w:eastAsiaTheme="minorEastAsia"/>
            <w:smallCaps w:val="0"/>
            <w:noProof/>
            <w:sz w:val="22"/>
            <w:szCs w:val="22"/>
            <w:lang w:eastAsia="en-GB"/>
          </w:rPr>
          <w:tab/>
        </w:r>
        <w:r w:rsidR="005E2C32" w:rsidRPr="00324D59">
          <w:rPr>
            <w:rStyle w:val="Hyperlink"/>
            <w:noProof/>
          </w:rPr>
          <w:t>Profile of Barnet</w:t>
        </w:r>
        <w:r w:rsidR="005E2C32">
          <w:rPr>
            <w:noProof/>
            <w:webHidden/>
          </w:rPr>
          <w:tab/>
        </w:r>
        <w:r w:rsidR="005E2C32">
          <w:rPr>
            <w:noProof/>
            <w:webHidden/>
          </w:rPr>
          <w:fldChar w:fldCharType="begin"/>
        </w:r>
        <w:r w:rsidR="005E2C32">
          <w:rPr>
            <w:noProof/>
            <w:webHidden/>
          </w:rPr>
          <w:instrText xml:space="preserve"> PAGEREF _Toc431225152 \h </w:instrText>
        </w:r>
        <w:r w:rsidR="005E2C32">
          <w:rPr>
            <w:noProof/>
            <w:webHidden/>
          </w:rPr>
        </w:r>
        <w:r w:rsidR="005E2C32">
          <w:rPr>
            <w:noProof/>
            <w:webHidden/>
          </w:rPr>
          <w:fldChar w:fldCharType="separate"/>
        </w:r>
        <w:r w:rsidR="005E2C32">
          <w:rPr>
            <w:noProof/>
            <w:webHidden/>
          </w:rPr>
          <w:t>85</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53" w:history="1">
        <w:r w:rsidR="005E2C32" w:rsidRPr="00324D59">
          <w:rPr>
            <w:rStyle w:val="Hyperlink"/>
            <w:noProof/>
          </w:rPr>
          <w:t>4.4</w:t>
        </w:r>
        <w:r w:rsidR="005E2C32">
          <w:rPr>
            <w:rFonts w:eastAsiaTheme="minorEastAsia"/>
            <w:smallCaps w:val="0"/>
            <w:noProof/>
            <w:sz w:val="22"/>
            <w:szCs w:val="22"/>
            <w:lang w:eastAsia="en-GB"/>
          </w:rPr>
          <w:tab/>
        </w:r>
        <w:r w:rsidR="005E2C32" w:rsidRPr="00324D59">
          <w:rPr>
            <w:rStyle w:val="Hyperlink"/>
            <w:noProof/>
          </w:rPr>
          <w:t>Data Related to Health in the Segments</w:t>
        </w:r>
        <w:r w:rsidR="005E2C32">
          <w:rPr>
            <w:noProof/>
            <w:webHidden/>
          </w:rPr>
          <w:tab/>
        </w:r>
        <w:r w:rsidR="005E2C32">
          <w:rPr>
            <w:noProof/>
            <w:webHidden/>
          </w:rPr>
          <w:fldChar w:fldCharType="begin"/>
        </w:r>
        <w:r w:rsidR="005E2C32">
          <w:rPr>
            <w:noProof/>
            <w:webHidden/>
          </w:rPr>
          <w:instrText xml:space="preserve"> PAGEREF _Toc431225153 \h </w:instrText>
        </w:r>
        <w:r w:rsidR="005E2C32">
          <w:rPr>
            <w:noProof/>
            <w:webHidden/>
          </w:rPr>
        </w:r>
        <w:r w:rsidR="005E2C32">
          <w:rPr>
            <w:noProof/>
            <w:webHidden/>
          </w:rPr>
          <w:fldChar w:fldCharType="separate"/>
        </w:r>
        <w:r w:rsidR="005E2C32">
          <w:rPr>
            <w:noProof/>
            <w:webHidden/>
          </w:rPr>
          <w:t>87</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54" w:history="1">
        <w:r w:rsidR="005E2C32" w:rsidRPr="00324D59">
          <w:rPr>
            <w:rStyle w:val="Hyperlink"/>
            <w:noProof/>
          </w:rPr>
          <w:t>4.5</w:t>
        </w:r>
        <w:r w:rsidR="005E2C32">
          <w:rPr>
            <w:rFonts w:eastAsiaTheme="minorEastAsia"/>
            <w:smallCaps w:val="0"/>
            <w:noProof/>
            <w:sz w:val="22"/>
            <w:szCs w:val="22"/>
            <w:lang w:eastAsia="en-GB"/>
          </w:rPr>
          <w:tab/>
        </w:r>
        <w:r w:rsidR="005E2C32" w:rsidRPr="00324D59">
          <w:rPr>
            <w:rStyle w:val="Hyperlink"/>
            <w:noProof/>
          </w:rPr>
          <w:t>Conclusion</w:t>
        </w:r>
        <w:r w:rsidR="005E2C32">
          <w:rPr>
            <w:noProof/>
            <w:webHidden/>
          </w:rPr>
          <w:tab/>
        </w:r>
        <w:r w:rsidR="005E2C32">
          <w:rPr>
            <w:noProof/>
            <w:webHidden/>
          </w:rPr>
          <w:fldChar w:fldCharType="begin"/>
        </w:r>
        <w:r w:rsidR="005E2C32">
          <w:rPr>
            <w:noProof/>
            <w:webHidden/>
          </w:rPr>
          <w:instrText xml:space="preserve"> PAGEREF _Toc431225154 \h </w:instrText>
        </w:r>
        <w:r w:rsidR="005E2C32">
          <w:rPr>
            <w:noProof/>
            <w:webHidden/>
          </w:rPr>
        </w:r>
        <w:r w:rsidR="005E2C32">
          <w:rPr>
            <w:noProof/>
            <w:webHidden/>
          </w:rPr>
          <w:fldChar w:fldCharType="separate"/>
        </w:r>
        <w:r w:rsidR="005E2C32">
          <w:rPr>
            <w:noProof/>
            <w:webHidden/>
          </w:rPr>
          <w:t>88</w:t>
        </w:r>
        <w:r w:rsidR="005E2C32">
          <w:rPr>
            <w:noProof/>
            <w:webHidden/>
          </w:rPr>
          <w:fldChar w:fldCharType="end"/>
        </w:r>
      </w:hyperlink>
    </w:p>
    <w:p w:rsidR="00146202" w:rsidRDefault="00146202">
      <w:pPr>
        <w:pStyle w:val="TOC1"/>
        <w:tabs>
          <w:tab w:val="left" w:pos="440"/>
          <w:tab w:val="right" w:leader="dot" w:pos="9016"/>
        </w:tabs>
      </w:pPr>
    </w:p>
    <w:p w:rsidR="005E2C32" w:rsidRDefault="00146202">
      <w:pPr>
        <w:pStyle w:val="TOC1"/>
        <w:tabs>
          <w:tab w:val="left" w:pos="440"/>
          <w:tab w:val="right" w:leader="dot" w:pos="9016"/>
        </w:tabs>
        <w:rPr>
          <w:rFonts w:eastAsiaTheme="minorEastAsia"/>
          <w:b w:val="0"/>
          <w:bCs w:val="0"/>
          <w:caps w:val="0"/>
          <w:noProof/>
          <w:sz w:val="22"/>
          <w:szCs w:val="22"/>
          <w:lang w:eastAsia="en-GB"/>
        </w:rPr>
      </w:pPr>
      <w:hyperlink w:anchor="_Toc431225155" w:history="1">
        <w:r w:rsidR="005E2C32" w:rsidRPr="00324D59">
          <w:rPr>
            <w:rStyle w:val="Hyperlink"/>
            <w:noProof/>
            <w14:scene3d>
              <w14:camera w14:prst="orthographicFront"/>
              <w14:lightRig w14:rig="threePt" w14:dir="t">
                <w14:rot w14:lat="0" w14:lon="0" w14:rev="0"/>
              </w14:lightRig>
            </w14:scene3d>
          </w:rPr>
          <w:t>5</w:t>
        </w:r>
        <w:r w:rsidR="005E2C32">
          <w:rPr>
            <w:rFonts w:eastAsiaTheme="minorEastAsia"/>
            <w:b w:val="0"/>
            <w:bCs w:val="0"/>
            <w:caps w:val="0"/>
            <w:noProof/>
            <w:sz w:val="22"/>
            <w:szCs w:val="22"/>
            <w:lang w:eastAsia="en-GB"/>
          </w:rPr>
          <w:tab/>
        </w:r>
        <w:r w:rsidR="005E2C32" w:rsidRPr="00324D59">
          <w:rPr>
            <w:rStyle w:val="Hyperlink"/>
            <w:noProof/>
          </w:rPr>
          <w:t>Health</w:t>
        </w:r>
        <w:r w:rsidR="005E2C32">
          <w:rPr>
            <w:noProof/>
            <w:webHidden/>
          </w:rPr>
          <w:tab/>
        </w:r>
        <w:r w:rsidR="005E2C32">
          <w:rPr>
            <w:noProof/>
            <w:webHidden/>
          </w:rPr>
          <w:fldChar w:fldCharType="begin"/>
        </w:r>
        <w:r w:rsidR="005E2C32">
          <w:rPr>
            <w:noProof/>
            <w:webHidden/>
          </w:rPr>
          <w:instrText xml:space="preserve"> PAGEREF _Toc431225155 \h </w:instrText>
        </w:r>
        <w:r w:rsidR="005E2C32">
          <w:rPr>
            <w:noProof/>
            <w:webHidden/>
          </w:rPr>
        </w:r>
        <w:r w:rsidR="005E2C32">
          <w:rPr>
            <w:noProof/>
            <w:webHidden/>
          </w:rPr>
          <w:fldChar w:fldCharType="separate"/>
        </w:r>
        <w:r w:rsidR="005E2C32">
          <w:rPr>
            <w:noProof/>
            <w:webHidden/>
          </w:rPr>
          <w:t>89</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56" w:history="1">
        <w:r w:rsidR="005E2C32" w:rsidRPr="00324D59">
          <w:rPr>
            <w:rStyle w:val="Hyperlink"/>
            <w:noProof/>
          </w:rPr>
          <w:t>5.1</w:t>
        </w:r>
        <w:r w:rsidR="005E2C32">
          <w:rPr>
            <w:rFonts w:eastAsiaTheme="minorEastAsia"/>
            <w:smallCaps w:val="0"/>
            <w:noProof/>
            <w:sz w:val="22"/>
            <w:szCs w:val="22"/>
            <w:lang w:eastAsia="en-GB"/>
          </w:rPr>
          <w:tab/>
        </w:r>
        <w:r w:rsidR="005E2C32" w:rsidRPr="00324D59">
          <w:rPr>
            <w:rStyle w:val="Hyperlink"/>
            <w:noProof/>
          </w:rPr>
          <w:t>Key Facts</w:t>
        </w:r>
        <w:r w:rsidR="005E2C32">
          <w:rPr>
            <w:noProof/>
            <w:webHidden/>
          </w:rPr>
          <w:tab/>
        </w:r>
        <w:r w:rsidR="005E2C32">
          <w:rPr>
            <w:noProof/>
            <w:webHidden/>
          </w:rPr>
          <w:fldChar w:fldCharType="begin"/>
        </w:r>
        <w:r w:rsidR="005E2C32">
          <w:rPr>
            <w:noProof/>
            <w:webHidden/>
          </w:rPr>
          <w:instrText xml:space="preserve"> PAGEREF _Toc431225156 \h </w:instrText>
        </w:r>
        <w:r w:rsidR="005E2C32">
          <w:rPr>
            <w:noProof/>
            <w:webHidden/>
          </w:rPr>
        </w:r>
        <w:r w:rsidR="005E2C32">
          <w:rPr>
            <w:noProof/>
            <w:webHidden/>
          </w:rPr>
          <w:fldChar w:fldCharType="separate"/>
        </w:r>
        <w:r w:rsidR="005E2C32">
          <w:rPr>
            <w:noProof/>
            <w:webHidden/>
          </w:rPr>
          <w:t>89</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57" w:history="1">
        <w:r w:rsidR="005E2C32" w:rsidRPr="00324D59">
          <w:rPr>
            <w:rStyle w:val="Hyperlink"/>
            <w:noProof/>
          </w:rPr>
          <w:t>5.2</w:t>
        </w:r>
        <w:r w:rsidR="005E2C32">
          <w:rPr>
            <w:rFonts w:eastAsiaTheme="minorEastAsia"/>
            <w:smallCaps w:val="0"/>
            <w:noProof/>
            <w:sz w:val="22"/>
            <w:szCs w:val="22"/>
            <w:lang w:eastAsia="en-GB"/>
          </w:rPr>
          <w:tab/>
        </w:r>
        <w:r w:rsidR="005E2C32" w:rsidRPr="00324D59">
          <w:rPr>
            <w:rStyle w:val="Hyperlink"/>
            <w:noProof/>
          </w:rPr>
          <w:t>Strategic Needs</w:t>
        </w:r>
        <w:r w:rsidR="005E2C32">
          <w:rPr>
            <w:noProof/>
            <w:webHidden/>
          </w:rPr>
          <w:tab/>
        </w:r>
        <w:r w:rsidR="005E2C32">
          <w:rPr>
            <w:noProof/>
            <w:webHidden/>
          </w:rPr>
          <w:fldChar w:fldCharType="begin"/>
        </w:r>
        <w:r w:rsidR="005E2C32">
          <w:rPr>
            <w:noProof/>
            <w:webHidden/>
          </w:rPr>
          <w:instrText xml:space="preserve"> PAGEREF _Toc431225157 \h </w:instrText>
        </w:r>
        <w:r w:rsidR="005E2C32">
          <w:rPr>
            <w:noProof/>
            <w:webHidden/>
          </w:rPr>
        </w:r>
        <w:r w:rsidR="005E2C32">
          <w:rPr>
            <w:noProof/>
            <w:webHidden/>
          </w:rPr>
          <w:fldChar w:fldCharType="separate"/>
        </w:r>
        <w:r w:rsidR="005E2C32">
          <w:rPr>
            <w:noProof/>
            <w:webHidden/>
          </w:rPr>
          <w:t>89</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58" w:history="1">
        <w:r w:rsidR="005E2C32" w:rsidRPr="00324D59">
          <w:rPr>
            <w:rStyle w:val="Hyperlink"/>
            <w:noProof/>
          </w:rPr>
          <w:t>5.3</w:t>
        </w:r>
        <w:r w:rsidR="005E2C32">
          <w:rPr>
            <w:rFonts w:eastAsiaTheme="minorEastAsia"/>
            <w:smallCaps w:val="0"/>
            <w:noProof/>
            <w:sz w:val="22"/>
            <w:szCs w:val="22"/>
            <w:lang w:eastAsia="en-GB"/>
          </w:rPr>
          <w:tab/>
        </w:r>
        <w:r w:rsidR="005E2C32" w:rsidRPr="00324D59">
          <w:rPr>
            <w:rStyle w:val="Hyperlink"/>
            <w:noProof/>
          </w:rPr>
          <w:t>Causes of Death</w:t>
        </w:r>
        <w:r w:rsidR="005E2C32">
          <w:rPr>
            <w:noProof/>
            <w:webHidden/>
          </w:rPr>
          <w:tab/>
        </w:r>
        <w:r w:rsidR="005E2C32">
          <w:rPr>
            <w:noProof/>
            <w:webHidden/>
          </w:rPr>
          <w:fldChar w:fldCharType="begin"/>
        </w:r>
        <w:r w:rsidR="005E2C32">
          <w:rPr>
            <w:noProof/>
            <w:webHidden/>
          </w:rPr>
          <w:instrText xml:space="preserve"> PAGEREF _Toc431225158 \h </w:instrText>
        </w:r>
        <w:r w:rsidR="005E2C32">
          <w:rPr>
            <w:noProof/>
            <w:webHidden/>
          </w:rPr>
        </w:r>
        <w:r w:rsidR="005E2C32">
          <w:rPr>
            <w:noProof/>
            <w:webHidden/>
          </w:rPr>
          <w:fldChar w:fldCharType="separate"/>
        </w:r>
        <w:r w:rsidR="005E2C32">
          <w:rPr>
            <w:noProof/>
            <w:webHidden/>
          </w:rPr>
          <w:t>90</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59" w:history="1">
        <w:r w:rsidR="005E2C32" w:rsidRPr="00324D59">
          <w:rPr>
            <w:rStyle w:val="Hyperlink"/>
            <w:noProof/>
          </w:rPr>
          <w:t>5.4</w:t>
        </w:r>
        <w:r w:rsidR="005E2C32">
          <w:rPr>
            <w:rFonts w:eastAsiaTheme="minorEastAsia"/>
            <w:smallCaps w:val="0"/>
            <w:noProof/>
            <w:sz w:val="22"/>
            <w:szCs w:val="22"/>
            <w:lang w:eastAsia="en-GB"/>
          </w:rPr>
          <w:tab/>
        </w:r>
        <w:r w:rsidR="005E2C32" w:rsidRPr="00324D59">
          <w:rPr>
            <w:rStyle w:val="Hyperlink"/>
            <w:noProof/>
          </w:rPr>
          <w:t>Causes of Ill Health</w:t>
        </w:r>
        <w:r w:rsidR="005E2C32">
          <w:rPr>
            <w:noProof/>
            <w:webHidden/>
          </w:rPr>
          <w:tab/>
        </w:r>
        <w:r w:rsidR="005E2C32">
          <w:rPr>
            <w:noProof/>
            <w:webHidden/>
          </w:rPr>
          <w:fldChar w:fldCharType="begin"/>
        </w:r>
        <w:r w:rsidR="005E2C32">
          <w:rPr>
            <w:noProof/>
            <w:webHidden/>
          </w:rPr>
          <w:instrText xml:space="preserve"> PAGEREF _Toc431225159 \h </w:instrText>
        </w:r>
        <w:r w:rsidR="005E2C32">
          <w:rPr>
            <w:noProof/>
            <w:webHidden/>
          </w:rPr>
        </w:r>
        <w:r w:rsidR="005E2C32">
          <w:rPr>
            <w:noProof/>
            <w:webHidden/>
          </w:rPr>
          <w:fldChar w:fldCharType="separate"/>
        </w:r>
        <w:r w:rsidR="005E2C32">
          <w:rPr>
            <w:noProof/>
            <w:webHidden/>
          </w:rPr>
          <w:t>92</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60" w:history="1">
        <w:r w:rsidR="005E2C32" w:rsidRPr="00324D59">
          <w:rPr>
            <w:rStyle w:val="Hyperlink"/>
            <w:noProof/>
          </w:rPr>
          <w:t>5.5</w:t>
        </w:r>
        <w:r w:rsidR="005E2C32">
          <w:rPr>
            <w:rFonts w:eastAsiaTheme="minorEastAsia"/>
            <w:smallCaps w:val="0"/>
            <w:noProof/>
            <w:sz w:val="22"/>
            <w:szCs w:val="22"/>
            <w:lang w:eastAsia="en-GB"/>
          </w:rPr>
          <w:tab/>
        </w:r>
        <w:r w:rsidR="005E2C32" w:rsidRPr="00324D59">
          <w:rPr>
            <w:rStyle w:val="Hyperlink"/>
            <w:noProof/>
          </w:rPr>
          <w:t>Cardiovascular Disease</w:t>
        </w:r>
        <w:r w:rsidR="005E2C32">
          <w:rPr>
            <w:noProof/>
            <w:webHidden/>
          </w:rPr>
          <w:tab/>
        </w:r>
        <w:r w:rsidR="005E2C32">
          <w:rPr>
            <w:noProof/>
            <w:webHidden/>
          </w:rPr>
          <w:fldChar w:fldCharType="begin"/>
        </w:r>
        <w:r w:rsidR="005E2C32">
          <w:rPr>
            <w:noProof/>
            <w:webHidden/>
          </w:rPr>
          <w:instrText xml:space="preserve"> PAGEREF _Toc431225160 \h </w:instrText>
        </w:r>
        <w:r w:rsidR="005E2C32">
          <w:rPr>
            <w:noProof/>
            <w:webHidden/>
          </w:rPr>
        </w:r>
        <w:r w:rsidR="005E2C32">
          <w:rPr>
            <w:noProof/>
            <w:webHidden/>
          </w:rPr>
          <w:fldChar w:fldCharType="separate"/>
        </w:r>
        <w:r w:rsidR="005E2C32">
          <w:rPr>
            <w:noProof/>
            <w:webHidden/>
          </w:rPr>
          <w:t>93</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61" w:history="1">
        <w:r w:rsidR="005E2C32" w:rsidRPr="00324D59">
          <w:rPr>
            <w:rStyle w:val="Hyperlink"/>
            <w:noProof/>
          </w:rPr>
          <w:t>5.6</w:t>
        </w:r>
        <w:r w:rsidR="005E2C32">
          <w:rPr>
            <w:rFonts w:eastAsiaTheme="minorEastAsia"/>
            <w:smallCaps w:val="0"/>
            <w:noProof/>
            <w:sz w:val="22"/>
            <w:szCs w:val="22"/>
            <w:lang w:eastAsia="en-GB"/>
          </w:rPr>
          <w:tab/>
        </w:r>
        <w:r w:rsidR="005E2C32" w:rsidRPr="00324D59">
          <w:rPr>
            <w:rStyle w:val="Hyperlink"/>
            <w:noProof/>
          </w:rPr>
          <w:t>Cancers</w:t>
        </w:r>
        <w:r w:rsidR="005E2C32">
          <w:rPr>
            <w:noProof/>
            <w:webHidden/>
          </w:rPr>
          <w:tab/>
        </w:r>
        <w:r w:rsidR="005E2C32">
          <w:rPr>
            <w:noProof/>
            <w:webHidden/>
          </w:rPr>
          <w:fldChar w:fldCharType="begin"/>
        </w:r>
        <w:r w:rsidR="005E2C32">
          <w:rPr>
            <w:noProof/>
            <w:webHidden/>
          </w:rPr>
          <w:instrText xml:space="preserve"> PAGEREF _Toc431225161 \h </w:instrText>
        </w:r>
        <w:r w:rsidR="005E2C32">
          <w:rPr>
            <w:noProof/>
            <w:webHidden/>
          </w:rPr>
        </w:r>
        <w:r w:rsidR="005E2C32">
          <w:rPr>
            <w:noProof/>
            <w:webHidden/>
          </w:rPr>
          <w:fldChar w:fldCharType="separate"/>
        </w:r>
        <w:r w:rsidR="005E2C32">
          <w:rPr>
            <w:noProof/>
            <w:webHidden/>
          </w:rPr>
          <w:t>95</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62" w:history="1">
        <w:r w:rsidR="005E2C32" w:rsidRPr="00324D59">
          <w:rPr>
            <w:rStyle w:val="Hyperlink"/>
            <w:noProof/>
          </w:rPr>
          <w:t>5.7</w:t>
        </w:r>
        <w:r w:rsidR="005E2C32">
          <w:rPr>
            <w:rFonts w:eastAsiaTheme="minorEastAsia"/>
            <w:smallCaps w:val="0"/>
            <w:noProof/>
            <w:sz w:val="22"/>
            <w:szCs w:val="22"/>
            <w:lang w:eastAsia="en-GB"/>
          </w:rPr>
          <w:tab/>
        </w:r>
        <w:r w:rsidR="005E2C32" w:rsidRPr="00324D59">
          <w:rPr>
            <w:rStyle w:val="Hyperlink"/>
            <w:noProof/>
          </w:rPr>
          <w:t>Respiratory disease</w:t>
        </w:r>
        <w:r w:rsidR="005E2C32">
          <w:rPr>
            <w:noProof/>
            <w:webHidden/>
          </w:rPr>
          <w:tab/>
        </w:r>
        <w:r w:rsidR="005E2C32">
          <w:rPr>
            <w:noProof/>
            <w:webHidden/>
          </w:rPr>
          <w:fldChar w:fldCharType="begin"/>
        </w:r>
        <w:r w:rsidR="005E2C32">
          <w:rPr>
            <w:noProof/>
            <w:webHidden/>
          </w:rPr>
          <w:instrText xml:space="preserve"> PAGEREF _Toc431225162 \h </w:instrText>
        </w:r>
        <w:r w:rsidR="005E2C32">
          <w:rPr>
            <w:noProof/>
            <w:webHidden/>
          </w:rPr>
        </w:r>
        <w:r w:rsidR="005E2C32">
          <w:rPr>
            <w:noProof/>
            <w:webHidden/>
          </w:rPr>
          <w:fldChar w:fldCharType="separate"/>
        </w:r>
        <w:r w:rsidR="005E2C32">
          <w:rPr>
            <w:noProof/>
            <w:webHidden/>
          </w:rPr>
          <w:t>97</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63" w:history="1">
        <w:r w:rsidR="005E2C32" w:rsidRPr="00324D59">
          <w:rPr>
            <w:rStyle w:val="Hyperlink"/>
            <w:noProof/>
          </w:rPr>
          <w:t>5.8</w:t>
        </w:r>
        <w:r w:rsidR="005E2C32">
          <w:rPr>
            <w:rFonts w:eastAsiaTheme="minorEastAsia"/>
            <w:smallCaps w:val="0"/>
            <w:noProof/>
            <w:sz w:val="22"/>
            <w:szCs w:val="22"/>
            <w:lang w:eastAsia="en-GB"/>
          </w:rPr>
          <w:tab/>
        </w:r>
        <w:r w:rsidR="005E2C32" w:rsidRPr="00324D59">
          <w:rPr>
            <w:rStyle w:val="Hyperlink"/>
            <w:noProof/>
          </w:rPr>
          <w:t>Mental Health</w:t>
        </w:r>
        <w:r w:rsidR="005E2C32">
          <w:rPr>
            <w:noProof/>
            <w:webHidden/>
          </w:rPr>
          <w:tab/>
        </w:r>
        <w:r w:rsidR="005E2C32">
          <w:rPr>
            <w:noProof/>
            <w:webHidden/>
          </w:rPr>
          <w:fldChar w:fldCharType="begin"/>
        </w:r>
        <w:r w:rsidR="005E2C32">
          <w:rPr>
            <w:noProof/>
            <w:webHidden/>
          </w:rPr>
          <w:instrText xml:space="preserve"> PAGEREF _Toc431225163 \h </w:instrText>
        </w:r>
        <w:r w:rsidR="005E2C32">
          <w:rPr>
            <w:noProof/>
            <w:webHidden/>
          </w:rPr>
        </w:r>
        <w:r w:rsidR="005E2C32">
          <w:rPr>
            <w:noProof/>
            <w:webHidden/>
          </w:rPr>
          <w:fldChar w:fldCharType="separate"/>
        </w:r>
        <w:r w:rsidR="005E2C32">
          <w:rPr>
            <w:noProof/>
            <w:webHidden/>
          </w:rPr>
          <w:t>98</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64" w:history="1">
        <w:r w:rsidR="005E2C32" w:rsidRPr="00324D59">
          <w:rPr>
            <w:rStyle w:val="Hyperlink"/>
            <w:noProof/>
          </w:rPr>
          <w:t>5.9</w:t>
        </w:r>
        <w:r w:rsidR="005E2C32">
          <w:rPr>
            <w:rFonts w:eastAsiaTheme="minorEastAsia"/>
            <w:smallCaps w:val="0"/>
            <w:noProof/>
            <w:sz w:val="22"/>
            <w:szCs w:val="22"/>
            <w:lang w:eastAsia="en-GB"/>
          </w:rPr>
          <w:tab/>
        </w:r>
        <w:r w:rsidR="005E2C32" w:rsidRPr="00324D59">
          <w:rPr>
            <w:rStyle w:val="Hyperlink"/>
            <w:noProof/>
          </w:rPr>
          <w:t>Diabetes</w:t>
        </w:r>
        <w:r w:rsidR="005E2C32">
          <w:rPr>
            <w:noProof/>
            <w:webHidden/>
          </w:rPr>
          <w:tab/>
        </w:r>
        <w:r w:rsidR="005E2C32">
          <w:rPr>
            <w:noProof/>
            <w:webHidden/>
          </w:rPr>
          <w:fldChar w:fldCharType="begin"/>
        </w:r>
        <w:r w:rsidR="005E2C32">
          <w:rPr>
            <w:noProof/>
            <w:webHidden/>
          </w:rPr>
          <w:instrText xml:space="preserve"> PAGEREF _Toc431225164 \h </w:instrText>
        </w:r>
        <w:r w:rsidR="005E2C32">
          <w:rPr>
            <w:noProof/>
            <w:webHidden/>
          </w:rPr>
        </w:r>
        <w:r w:rsidR="005E2C32">
          <w:rPr>
            <w:noProof/>
            <w:webHidden/>
          </w:rPr>
          <w:fldChar w:fldCharType="separate"/>
        </w:r>
        <w:r w:rsidR="005E2C32">
          <w:rPr>
            <w:noProof/>
            <w:webHidden/>
          </w:rPr>
          <w:t>102</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65" w:history="1">
        <w:r w:rsidR="005E2C32" w:rsidRPr="00324D59">
          <w:rPr>
            <w:rStyle w:val="Hyperlink"/>
            <w:noProof/>
          </w:rPr>
          <w:t>5.10</w:t>
        </w:r>
        <w:r w:rsidR="005E2C32">
          <w:rPr>
            <w:rFonts w:eastAsiaTheme="minorEastAsia"/>
            <w:smallCaps w:val="0"/>
            <w:noProof/>
            <w:sz w:val="22"/>
            <w:szCs w:val="22"/>
            <w:lang w:eastAsia="en-GB"/>
          </w:rPr>
          <w:tab/>
        </w:r>
        <w:r w:rsidR="005E2C32" w:rsidRPr="00324D59">
          <w:rPr>
            <w:rStyle w:val="Hyperlink"/>
            <w:noProof/>
          </w:rPr>
          <w:t>Oral Health</w:t>
        </w:r>
        <w:r w:rsidR="005E2C32">
          <w:rPr>
            <w:noProof/>
            <w:webHidden/>
          </w:rPr>
          <w:tab/>
        </w:r>
        <w:r w:rsidR="005E2C32">
          <w:rPr>
            <w:noProof/>
            <w:webHidden/>
          </w:rPr>
          <w:fldChar w:fldCharType="begin"/>
        </w:r>
        <w:r w:rsidR="005E2C32">
          <w:rPr>
            <w:noProof/>
            <w:webHidden/>
          </w:rPr>
          <w:instrText xml:space="preserve"> PAGEREF _Toc431225165 \h </w:instrText>
        </w:r>
        <w:r w:rsidR="005E2C32">
          <w:rPr>
            <w:noProof/>
            <w:webHidden/>
          </w:rPr>
        </w:r>
        <w:r w:rsidR="005E2C32">
          <w:rPr>
            <w:noProof/>
            <w:webHidden/>
          </w:rPr>
          <w:fldChar w:fldCharType="separate"/>
        </w:r>
        <w:r w:rsidR="005E2C32">
          <w:rPr>
            <w:noProof/>
            <w:webHidden/>
          </w:rPr>
          <w:t>103</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66" w:history="1">
        <w:r w:rsidR="005E2C32" w:rsidRPr="00324D59">
          <w:rPr>
            <w:rStyle w:val="Hyperlink"/>
            <w:noProof/>
          </w:rPr>
          <w:t>5.11</w:t>
        </w:r>
        <w:r w:rsidR="005E2C32">
          <w:rPr>
            <w:rFonts w:eastAsiaTheme="minorEastAsia"/>
            <w:smallCaps w:val="0"/>
            <w:noProof/>
            <w:sz w:val="22"/>
            <w:szCs w:val="22"/>
            <w:lang w:eastAsia="en-GB"/>
          </w:rPr>
          <w:tab/>
        </w:r>
        <w:r w:rsidR="005E2C32" w:rsidRPr="00324D59">
          <w:rPr>
            <w:rStyle w:val="Hyperlink"/>
            <w:noProof/>
          </w:rPr>
          <w:t>Maternity and Infant Health</w:t>
        </w:r>
        <w:r w:rsidR="005E2C32">
          <w:rPr>
            <w:noProof/>
            <w:webHidden/>
          </w:rPr>
          <w:tab/>
        </w:r>
        <w:r w:rsidR="005E2C32">
          <w:rPr>
            <w:noProof/>
            <w:webHidden/>
          </w:rPr>
          <w:fldChar w:fldCharType="begin"/>
        </w:r>
        <w:r w:rsidR="005E2C32">
          <w:rPr>
            <w:noProof/>
            <w:webHidden/>
          </w:rPr>
          <w:instrText xml:space="preserve"> PAGEREF _Toc431225166 \h </w:instrText>
        </w:r>
        <w:r w:rsidR="005E2C32">
          <w:rPr>
            <w:noProof/>
            <w:webHidden/>
          </w:rPr>
        </w:r>
        <w:r w:rsidR="005E2C32">
          <w:rPr>
            <w:noProof/>
            <w:webHidden/>
          </w:rPr>
          <w:fldChar w:fldCharType="separate"/>
        </w:r>
        <w:r w:rsidR="005E2C32">
          <w:rPr>
            <w:noProof/>
            <w:webHidden/>
          </w:rPr>
          <w:t>106</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67" w:history="1">
        <w:r w:rsidR="005E2C32" w:rsidRPr="00324D59">
          <w:rPr>
            <w:rStyle w:val="Hyperlink"/>
            <w:noProof/>
          </w:rPr>
          <w:t>5.12</w:t>
        </w:r>
        <w:r w:rsidR="005E2C32">
          <w:rPr>
            <w:rFonts w:eastAsiaTheme="minorEastAsia"/>
            <w:smallCaps w:val="0"/>
            <w:noProof/>
            <w:sz w:val="22"/>
            <w:szCs w:val="22"/>
            <w:lang w:eastAsia="en-GB"/>
          </w:rPr>
          <w:tab/>
        </w:r>
        <w:r w:rsidR="005E2C32" w:rsidRPr="00324D59">
          <w:rPr>
            <w:rStyle w:val="Hyperlink"/>
            <w:noProof/>
          </w:rPr>
          <w:t>Health Protection</w:t>
        </w:r>
        <w:r w:rsidR="005E2C32">
          <w:rPr>
            <w:noProof/>
            <w:webHidden/>
          </w:rPr>
          <w:tab/>
        </w:r>
        <w:r w:rsidR="005E2C32">
          <w:rPr>
            <w:noProof/>
            <w:webHidden/>
          </w:rPr>
          <w:fldChar w:fldCharType="begin"/>
        </w:r>
        <w:r w:rsidR="005E2C32">
          <w:rPr>
            <w:noProof/>
            <w:webHidden/>
          </w:rPr>
          <w:instrText xml:space="preserve"> PAGEREF _Toc431225167 \h </w:instrText>
        </w:r>
        <w:r w:rsidR="005E2C32">
          <w:rPr>
            <w:noProof/>
            <w:webHidden/>
          </w:rPr>
        </w:r>
        <w:r w:rsidR="005E2C32">
          <w:rPr>
            <w:noProof/>
            <w:webHidden/>
          </w:rPr>
          <w:fldChar w:fldCharType="separate"/>
        </w:r>
        <w:r w:rsidR="005E2C32">
          <w:rPr>
            <w:noProof/>
            <w:webHidden/>
          </w:rPr>
          <w:t>107</w:t>
        </w:r>
        <w:r w:rsidR="005E2C32">
          <w:rPr>
            <w:noProof/>
            <w:webHidden/>
          </w:rPr>
          <w:fldChar w:fldCharType="end"/>
        </w:r>
      </w:hyperlink>
    </w:p>
    <w:p w:rsidR="005E2C32" w:rsidRDefault="00146202">
      <w:pPr>
        <w:pStyle w:val="TOC1"/>
        <w:tabs>
          <w:tab w:val="left" w:pos="440"/>
          <w:tab w:val="right" w:leader="dot" w:pos="9016"/>
        </w:tabs>
        <w:rPr>
          <w:rFonts w:eastAsiaTheme="minorEastAsia"/>
          <w:b w:val="0"/>
          <w:bCs w:val="0"/>
          <w:caps w:val="0"/>
          <w:noProof/>
          <w:sz w:val="22"/>
          <w:szCs w:val="22"/>
          <w:lang w:eastAsia="en-GB"/>
        </w:rPr>
      </w:pPr>
      <w:hyperlink w:anchor="_Toc431225168" w:history="1">
        <w:r w:rsidR="005E2C32" w:rsidRPr="00324D59">
          <w:rPr>
            <w:rStyle w:val="Hyperlink"/>
            <w:noProof/>
            <w14:scene3d>
              <w14:camera w14:prst="orthographicFront"/>
              <w14:lightRig w14:rig="threePt" w14:dir="t">
                <w14:rot w14:lat="0" w14:lon="0" w14:rev="0"/>
              </w14:lightRig>
            </w14:scene3d>
          </w:rPr>
          <w:t>6</w:t>
        </w:r>
        <w:r w:rsidR="005E2C32">
          <w:rPr>
            <w:rFonts w:eastAsiaTheme="minorEastAsia"/>
            <w:b w:val="0"/>
            <w:bCs w:val="0"/>
            <w:caps w:val="0"/>
            <w:noProof/>
            <w:sz w:val="22"/>
            <w:szCs w:val="22"/>
            <w:lang w:eastAsia="en-GB"/>
          </w:rPr>
          <w:tab/>
        </w:r>
        <w:r w:rsidR="005E2C32" w:rsidRPr="00324D59">
          <w:rPr>
            <w:rStyle w:val="Hyperlink"/>
            <w:noProof/>
          </w:rPr>
          <w:t>Lifestyle</w:t>
        </w:r>
        <w:r w:rsidR="005E2C32">
          <w:rPr>
            <w:noProof/>
            <w:webHidden/>
          </w:rPr>
          <w:tab/>
        </w:r>
        <w:r w:rsidR="005E2C32">
          <w:rPr>
            <w:noProof/>
            <w:webHidden/>
          </w:rPr>
          <w:fldChar w:fldCharType="begin"/>
        </w:r>
        <w:r w:rsidR="005E2C32">
          <w:rPr>
            <w:noProof/>
            <w:webHidden/>
          </w:rPr>
          <w:instrText xml:space="preserve"> PAGEREF _Toc431225168 \h </w:instrText>
        </w:r>
        <w:r w:rsidR="005E2C32">
          <w:rPr>
            <w:noProof/>
            <w:webHidden/>
          </w:rPr>
        </w:r>
        <w:r w:rsidR="005E2C32">
          <w:rPr>
            <w:noProof/>
            <w:webHidden/>
          </w:rPr>
          <w:fldChar w:fldCharType="separate"/>
        </w:r>
        <w:r w:rsidR="005E2C32">
          <w:rPr>
            <w:noProof/>
            <w:webHidden/>
          </w:rPr>
          <w:t>112</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69" w:history="1">
        <w:r w:rsidR="005E2C32" w:rsidRPr="00324D59">
          <w:rPr>
            <w:rStyle w:val="Hyperlink"/>
            <w:noProof/>
          </w:rPr>
          <w:t>6.1</w:t>
        </w:r>
        <w:r w:rsidR="005E2C32">
          <w:rPr>
            <w:rFonts w:eastAsiaTheme="minorEastAsia"/>
            <w:smallCaps w:val="0"/>
            <w:noProof/>
            <w:sz w:val="22"/>
            <w:szCs w:val="22"/>
            <w:lang w:eastAsia="en-GB"/>
          </w:rPr>
          <w:tab/>
        </w:r>
        <w:r w:rsidR="005E2C32" w:rsidRPr="00324D59">
          <w:rPr>
            <w:rStyle w:val="Hyperlink"/>
            <w:noProof/>
          </w:rPr>
          <w:t>Key Facts</w:t>
        </w:r>
        <w:r w:rsidR="005E2C32">
          <w:rPr>
            <w:noProof/>
            <w:webHidden/>
          </w:rPr>
          <w:tab/>
        </w:r>
        <w:r w:rsidR="005E2C32">
          <w:rPr>
            <w:noProof/>
            <w:webHidden/>
          </w:rPr>
          <w:fldChar w:fldCharType="begin"/>
        </w:r>
        <w:r w:rsidR="005E2C32">
          <w:rPr>
            <w:noProof/>
            <w:webHidden/>
          </w:rPr>
          <w:instrText xml:space="preserve"> PAGEREF _Toc431225169 \h </w:instrText>
        </w:r>
        <w:r w:rsidR="005E2C32">
          <w:rPr>
            <w:noProof/>
            <w:webHidden/>
          </w:rPr>
        </w:r>
        <w:r w:rsidR="005E2C32">
          <w:rPr>
            <w:noProof/>
            <w:webHidden/>
          </w:rPr>
          <w:fldChar w:fldCharType="separate"/>
        </w:r>
        <w:r w:rsidR="005E2C32">
          <w:rPr>
            <w:noProof/>
            <w:webHidden/>
          </w:rPr>
          <w:t>112</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70" w:history="1">
        <w:r w:rsidR="005E2C32" w:rsidRPr="00324D59">
          <w:rPr>
            <w:rStyle w:val="Hyperlink"/>
            <w:noProof/>
          </w:rPr>
          <w:t>6.2</w:t>
        </w:r>
        <w:r w:rsidR="005E2C32">
          <w:rPr>
            <w:rFonts w:eastAsiaTheme="minorEastAsia"/>
            <w:smallCaps w:val="0"/>
            <w:noProof/>
            <w:sz w:val="22"/>
            <w:szCs w:val="22"/>
            <w:lang w:eastAsia="en-GB"/>
          </w:rPr>
          <w:tab/>
        </w:r>
        <w:r w:rsidR="005E2C32" w:rsidRPr="00324D59">
          <w:rPr>
            <w:rStyle w:val="Hyperlink"/>
            <w:noProof/>
          </w:rPr>
          <w:t>Strategic Needs</w:t>
        </w:r>
        <w:r w:rsidR="005E2C32">
          <w:rPr>
            <w:noProof/>
            <w:webHidden/>
          </w:rPr>
          <w:tab/>
        </w:r>
        <w:r w:rsidR="005E2C32">
          <w:rPr>
            <w:noProof/>
            <w:webHidden/>
          </w:rPr>
          <w:fldChar w:fldCharType="begin"/>
        </w:r>
        <w:r w:rsidR="005E2C32">
          <w:rPr>
            <w:noProof/>
            <w:webHidden/>
          </w:rPr>
          <w:instrText xml:space="preserve"> PAGEREF _Toc431225170 \h </w:instrText>
        </w:r>
        <w:r w:rsidR="005E2C32">
          <w:rPr>
            <w:noProof/>
            <w:webHidden/>
          </w:rPr>
        </w:r>
        <w:r w:rsidR="005E2C32">
          <w:rPr>
            <w:noProof/>
            <w:webHidden/>
          </w:rPr>
          <w:fldChar w:fldCharType="separate"/>
        </w:r>
        <w:r w:rsidR="005E2C32">
          <w:rPr>
            <w:noProof/>
            <w:webHidden/>
          </w:rPr>
          <w:t>112</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71" w:history="1">
        <w:r w:rsidR="005E2C32" w:rsidRPr="00324D59">
          <w:rPr>
            <w:rStyle w:val="Hyperlink"/>
            <w:noProof/>
          </w:rPr>
          <w:t>6.3</w:t>
        </w:r>
        <w:r w:rsidR="005E2C32">
          <w:rPr>
            <w:rFonts w:eastAsiaTheme="minorEastAsia"/>
            <w:smallCaps w:val="0"/>
            <w:noProof/>
            <w:sz w:val="22"/>
            <w:szCs w:val="22"/>
            <w:lang w:eastAsia="en-GB"/>
          </w:rPr>
          <w:tab/>
        </w:r>
        <w:r w:rsidR="005E2C32" w:rsidRPr="00324D59">
          <w:rPr>
            <w:rStyle w:val="Hyperlink"/>
            <w:noProof/>
          </w:rPr>
          <w:t>Tobacco and Smoking</w:t>
        </w:r>
        <w:r w:rsidR="005E2C32">
          <w:rPr>
            <w:noProof/>
            <w:webHidden/>
          </w:rPr>
          <w:tab/>
        </w:r>
        <w:r w:rsidR="005E2C32">
          <w:rPr>
            <w:noProof/>
            <w:webHidden/>
          </w:rPr>
          <w:fldChar w:fldCharType="begin"/>
        </w:r>
        <w:r w:rsidR="005E2C32">
          <w:rPr>
            <w:noProof/>
            <w:webHidden/>
          </w:rPr>
          <w:instrText xml:space="preserve"> PAGEREF _Toc431225171 \h </w:instrText>
        </w:r>
        <w:r w:rsidR="005E2C32">
          <w:rPr>
            <w:noProof/>
            <w:webHidden/>
          </w:rPr>
        </w:r>
        <w:r w:rsidR="005E2C32">
          <w:rPr>
            <w:noProof/>
            <w:webHidden/>
          </w:rPr>
          <w:fldChar w:fldCharType="separate"/>
        </w:r>
        <w:r w:rsidR="005E2C32">
          <w:rPr>
            <w:noProof/>
            <w:webHidden/>
          </w:rPr>
          <w:t>113</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72" w:history="1">
        <w:r w:rsidR="005E2C32" w:rsidRPr="00324D59">
          <w:rPr>
            <w:rStyle w:val="Hyperlink"/>
            <w:noProof/>
          </w:rPr>
          <w:t>6.4</w:t>
        </w:r>
        <w:r w:rsidR="005E2C32">
          <w:rPr>
            <w:rFonts w:eastAsiaTheme="minorEastAsia"/>
            <w:smallCaps w:val="0"/>
            <w:noProof/>
            <w:sz w:val="22"/>
            <w:szCs w:val="22"/>
            <w:lang w:eastAsia="en-GB"/>
          </w:rPr>
          <w:tab/>
        </w:r>
        <w:r w:rsidR="005E2C32" w:rsidRPr="00324D59">
          <w:rPr>
            <w:rStyle w:val="Hyperlink"/>
            <w:noProof/>
          </w:rPr>
          <w:t>Obesity</w:t>
        </w:r>
        <w:r w:rsidR="005E2C32">
          <w:rPr>
            <w:noProof/>
            <w:webHidden/>
          </w:rPr>
          <w:tab/>
        </w:r>
        <w:r w:rsidR="005E2C32">
          <w:rPr>
            <w:noProof/>
            <w:webHidden/>
          </w:rPr>
          <w:fldChar w:fldCharType="begin"/>
        </w:r>
        <w:r w:rsidR="005E2C32">
          <w:rPr>
            <w:noProof/>
            <w:webHidden/>
          </w:rPr>
          <w:instrText xml:space="preserve"> PAGEREF _Toc431225172 \h </w:instrText>
        </w:r>
        <w:r w:rsidR="005E2C32">
          <w:rPr>
            <w:noProof/>
            <w:webHidden/>
          </w:rPr>
        </w:r>
        <w:r w:rsidR="005E2C32">
          <w:rPr>
            <w:noProof/>
            <w:webHidden/>
          </w:rPr>
          <w:fldChar w:fldCharType="separate"/>
        </w:r>
        <w:r w:rsidR="005E2C32">
          <w:rPr>
            <w:noProof/>
            <w:webHidden/>
          </w:rPr>
          <w:t>115</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73" w:history="1">
        <w:r w:rsidR="005E2C32" w:rsidRPr="00324D59">
          <w:rPr>
            <w:rStyle w:val="Hyperlink"/>
            <w:noProof/>
          </w:rPr>
          <w:t>6.5</w:t>
        </w:r>
        <w:r w:rsidR="005E2C32">
          <w:rPr>
            <w:rFonts w:eastAsiaTheme="minorEastAsia"/>
            <w:smallCaps w:val="0"/>
            <w:noProof/>
            <w:sz w:val="22"/>
            <w:szCs w:val="22"/>
            <w:lang w:eastAsia="en-GB"/>
          </w:rPr>
          <w:tab/>
        </w:r>
        <w:r w:rsidR="005E2C32" w:rsidRPr="00324D59">
          <w:rPr>
            <w:rStyle w:val="Hyperlink"/>
            <w:noProof/>
          </w:rPr>
          <w:t>Physical Activity</w:t>
        </w:r>
        <w:r w:rsidR="005E2C32">
          <w:rPr>
            <w:noProof/>
            <w:webHidden/>
          </w:rPr>
          <w:tab/>
        </w:r>
        <w:r w:rsidR="005E2C32">
          <w:rPr>
            <w:noProof/>
            <w:webHidden/>
          </w:rPr>
          <w:fldChar w:fldCharType="begin"/>
        </w:r>
        <w:r w:rsidR="005E2C32">
          <w:rPr>
            <w:noProof/>
            <w:webHidden/>
          </w:rPr>
          <w:instrText xml:space="preserve"> PAGEREF _Toc431225173 \h </w:instrText>
        </w:r>
        <w:r w:rsidR="005E2C32">
          <w:rPr>
            <w:noProof/>
            <w:webHidden/>
          </w:rPr>
        </w:r>
        <w:r w:rsidR="005E2C32">
          <w:rPr>
            <w:noProof/>
            <w:webHidden/>
          </w:rPr>
          <w:fldChar w:fldCharType="separate"/>
        </w:r>
        <w:r w:rsidR="005E2C32">
          <w:rPr>
            <w:noProof/>
            <w:webHidden/>
          </w:rPr>
          <w:t>118</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74" w:history="1">
        <w:r w:rsidR="005E2C32" w:rsidRPr="00324D59">
          <w:rPr>
            <w:rStyle w:val="Hyperlink"/>
            <w:noProof/>
          </w:rPr>
          <w:t>6.6</w:t>
        </w:r>
        <w:r w:rsidR="005E2C32">
          <w:rPr>
            <w:rFonts w:eastAsiaTheme="minorEastAsia"/>
            <w:smallCaps w:val="0"/>
            <w:noProof/>
            <w:sz w:val="22"/>
            <w:szCs w:val="22"/>
            <w:lang w:eastAsia="en-GB"/>
          </w:rPr>
          <w:tab/>
        </w:r>
        <w:r w:rsidR="005E2C32" w:rsidRPr="00324D59">
          <w:rPr>
            <w:rStyle w:val="Hyperlink"/>
            <w:noProof/>
          </w:rPr>
          <w:t>Alcohol</w:t>
        </w:r>
        <w:r w:rsidR="005E2C32">
          <w:rPr>
            <w:noProof/>
            <w:webHidden/>
          </w:rPr>
          <w:tab/>
        </w:r>
        <w:r w:rsidR="005E2C32">
          <w:rPr>
            <w:noProof/>
            <w:webHidden/>
          </w:rPr>
          <w:fldChar w:fldCharType="begin"/>
        </w:r>
        <w:r w:rsidR="005E2C32">
          <w:rPr>
            <w:noProof/>
            <w:webHidden/>
          </w:rPr>
          <w:instrText xml:space="preserve"> PAGEREF _Toc431225174 \h </w:instrText>
        </w:r>
        <w:r w:rsidR="005E2C32">
          <w:rPr>
            <w:noProof/>
            <w:webHidden/>
          </w:rPr>
        </w:r>
        <w:r w:rsidR="005E2C32">
          <w:rPr>
            <w:noProof/>
            <w:webHidden/>
          </w:rPr>
          <w:fldChar w:fldCharType="separate"/>
        </w:r>
        <w:r w:rsidR="005E2C32">
          <w:rPr>
            <w:noProof/>
            <w:webHidden/>
          </w:rPr>
          <w:t>120</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75" w:history="1">
        <w:r w:rsidR="005E2C32" w:rsidRPr="00324D59">
          <w:rPr>
            <w:rStyle w:val="Hyperlink"/>
            <w:noProof/>
          </w:rPr>
          <w:t>6.7</w:t>
        </w:r>
        <w:r w:rsidR="005E2C32">
          <w:rPr>
            <w:rFonts w:eastAsiaTheme="minorEastAsia"/>
            <w:smallCaps w:val="0"/>
            <w:noProof/>
            <w:sz w:val="22"/>
            <w:szCs w:val="22"/>
            <w:lang w:eastAsia="en-GB"/>
          </w:rPr>
          <w:tab/>
        </w:r>
        <w:r w:rsidR="005E2C32" w:rsidRPr="00324D59">
          <w:rPr>
            <w:rStyle w:val="Hyperlink"/>
            <w:noProof/>
          </w:rPr>
          <w:t>Drugs and Substance Misuse</w:t>
        </w:r>
        <w:r w:rsidR="005E2C32">
          <w:rPr>
            <w:noProof/>
            <w:webHidden/>
          </w:rPr>
          <w:tab/>
        </w:r>
        <w:r w:rsidR="005E2C32">
          <w:rPr>
            <w:noProof/>
            <w:webHidden/>
          </w:rPr>
          <w:fldChar w:fldCharType="begin"/>
        </w:r>
        <w:r w:rsidR="005E2C32">
          <w:rPr>
            <w:noProof/>
            <w:webHidden/>
          </w:rPr>
          <w:instrText xml:space="preserve"> PAGEREF _Toc431225175 \h </w:instrText>
        </w:r>
        <w:r w:rsidR="005E2C32">
          <w:rPr>
            <w:noProof/>
            <w:webHidden/>
          </w:rPr>
        </w:r>
        <w:r w:rsidR="005E2C32">
          <w:rPr>
            <w:noProof/>
            <w:webHidden/>
          </w:rPr>
          <w:fldChar w:fldCharType="separate"/>
        </w:r>
        <w:r w:rsidR="005E2C32">
          <w:rPr>
            <w:noProof/>
            <w:webHidden/>
          </w:rPr>
          <w:t>122</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76" w:history="1">
        <w:r w:rsidR="005E2C32" w:rsidRPr="00324D59">
          <w:rPr>
            <w:rStyle w:val="Hyperlink"/>
            <w:noProof/>
          </w:rPr>
          <w:t>6.8</w:t>
        </w:r>
        <w:r w:rsidR="005E2C32">
          <w:rPr>
            <w:rFonts w:eastAsiaTheme="minorEastAsia"/>
            <w:smallCaps w:val="0"/>
            <w:noProof/>
            <w:sz w:val="22"/>
            <w:szCs w:val="22"/>
            <w:lang w:eastAsia="en-GB"/>
          </w:rPr>
          <w:tab/>
        </w:r>
        <w:r w:rsidR="005E2C32" w:rsidRPr="00324D59">
          <w:rPr>
            <w:rStyle w:val="Hyperlink"/>
            <w:noProof/>
          </w:rPr>
          <w:t>Sexual and Reproductive Health</w:t>
        </w:r>
        <w:r w:rsidR="005E2C32">
          <w:rPr>
            <w:noProof/>
            <w:webHidden/>
          </w:rPr>
          <w:tab/>
        </w:r>
        <w:r w:rsidR="005E2C32">
          <w:rPr>
            <w:noProof/>
            <w:webHidden/>
          </w:rPr>
          <w:fldChar w:fldCharType="begin"/>
        </w:r>
        <w:r w:rsidR="005E2C32">
          <w:rPr>
            <w:noProof/>
            <w:webHidden/>
          </w:rPr>
          <w:instrText xml:space="preserve"> PAGEREF _Toc431225176 \h </w:instrText>
        </w:r>
        <w:r w:rsidR="005E2C32">
          <w:rPr>
            <w:noProof/>
            <w:webHidden/>
          </w:rPr>
        </w:r>
        <w:r w:rsidR="005E2C32">
          <w:rPr>
            <w:noProof/>
            <w:webHidden/>
          </w:rPr>
          <w:fldChar w:fldCharType="separate"/>
        </w:r>
        <w:r w:rsidR="005E2C32">
          <w:rPr>
            <w:noProof/>
            <w:webHidden/>
          </w:rPr>
          <w:t>125</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77" w:history="1">
        <w:r w:rsidR="005E2C32" w:rsidRPr="00324D59">
          <w:rPr>
            <w:rStyle w:val="Hyperlink"/>
            <w:noProof/>
          </w:rPr>
          <w:t>6.9</w:t>
        </w:r>
        <w:r w:rsidR="005E2C32">
          <w:rPr>
            <w:rFonts w:eastAsiaTheme="minorEastAsia"/>
            <w:smallCaps w:val="0"/>
            <w:noProof/>
            <w:sz w:val="22"/>
            <w:szCs w:val="22"/>
            <w:lang w:eastAsia="en-GB"/>
          </w:rPr>
          <w:tab/>
        </w:r>
        <w:r w:rsidR="005E2C32" w:rsidRPr="00324D59">
          <w:rPr>
            <w:rStyle w:val="Hyperlink"/>
            <w:noProof/>
          </w:rPr>
          <w:t>Preventing Ill Health</w:t>
        </w:r>
        <w:r w:rsidR="005E2C32">
          <w:rPr>
            <w:noProof/>
            <w:webHidden/>
          </w:rPr>
          <w:tab/>
        </w:r>
        <w:r w:rsidR="005E2C32">
          <w:rPr>
            <w:noProof/>
            <w:webHidden/>
          </w:rPr>
          <w:fldChar w:fldCharType="begin"/>
        </w:r>
        <w:r w:rsidR="005E2C32">
          <w:rPr>
            <w:noProof/>
            <w:webHidden/>
          </w:rPr>
          <w:instrText xml:space="preserve"> PAGEREF _Toc431225177 \h </w:instrText>
        </w:r>
        <w:r w:rsidR="005E2C32">
          <w:rPr>
            <w:noProof/>
            <w:webHidden/>
          </w:rPr>
        </w:r>
        <w:r w:rsidR="005E2C32">
          <w:rPr>
            <w:noProof/>
            <w:webHidden/>
          </w:rPr>
          <w:fldChar w:fldCharType="separate"/>
        </w:r>
        <w:r w:rsidR="005E2C32">
          <w:rPr>
            <w:noProof/>
            <w:webHidden/>
          </w:rPr>
          <w:t>127</w:t>
        </w:r>
        <w:r w:rsidR="005E2C32">
          <w:rPr>
            <w:noProof/>
            <w:webHidden/>
          </w:rPr>
          <w:fldChar w:fldCharType="end"/>
        </w:r>
      </w:hyperlink>
    </w:p>
    <w:p w:rsidR="005E2C32" w:rsidRDefault="00146202">
      <w:pPr>
        <w:pStyle w:val="TOC1"/>
        <w:tabs>
          <w:tab w:val="left" w:pos="440"/>
          <w:tab w:val="right" w:leader="dot" w:pos="9016"/>
        </w:tabs>
        <w:rPr>
          <w:rFonts w:eastAsiaTheme="minorEastAsia"/>
          <w:b w:val="0"/>
          <w:bCs w:val="0"/>
          <w:caps w:val="0"/>
          <w:noProof/>
          <w:sz w:val="22"/>
          <w:szCs w:val="22"/>
          <w:lang w:eastAsia="en-GB"/>
        </w:rPr>
      </w:pPr>
      <w:hyperlink w:anchor="_Toc431225178" w:history="1">
        <w:r w:rsidR="005E2C32" w:rsidRPr="00324D59">
          <w:rPr>
            <w:rStyle w:val="Hyperlink"/>
            <w:noProof/>
          </w:rPr>
          <w:t>7</w:t>
        </w:r>
        <w:r w:rsidR="005E2C32">
          <w:rPr>
            <w:rFonts w:eastAsiaTheme="minorEastAsia"/>
            <w:b w:val="0"/>
            <w:bCs w:val="0"/>
            <w:caps w:val="0"/>
            <w:noProof/>
            <w:sz w:val="22"/>
            <w:szCs w:val="22"/>
            <w:lang w:eastAsia="en-GB"/>
          </w:rPr>
          <w:tab/>
        </w:r>
        <w:r w:rsidR="005E2C32" w:rsidRPr="00324D59">
          <w:rPr>
            <w:rStyle w:val="Hyperlink"/>
            <w:noProof/>
          </w:rPr>
          <w:t>Primary and Secondary Care</w:t>
        </w:r>
        <w:r w:rsidR="005E2C32">
          <w:rPr>
            <w:noProof/>
            <w:webHidden/>
          </w:rPr>
          <w:tab/>
        </w:r>
        <w:r w:rsidR="005E2C32">
          <w:rPr>
            <w:noProof/>
            <w:webHidden/>
          </w:rPr>
          <w:fldChar w:fldCharType="begin"/>
        </w:r>
        <w:r w:rsidR="005E2C32">
          <w:rPr>
            <w:noProof/>
            <w:webHidden/>
          </w:rPr>
          <w:instrText xml:space="preserve"> PAGEREF _Toc431225178 \h </w:instrText>
        </w:r>
        <w:r w:rsidR="005E2C32">
          <w:rPr>
            <w:noProof/>
            <w:webHidden/>
          </w:rPr>
        </w:r>
        <w:r w:rsidR="005E2C32">
          <w:rPr>
            <w:noProof/>
            <w:webHidden/>
          </w:rPr>
          <w:fldChar w:fldCharType="separate"/>
        </w:r>
        <w:r w:rsidR="005E2C32">
          <w:rPr>
            <w:noProof/>
            <w:webHidden/>
          </w:rPr>
          <w:t>132</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82" w:history="1">
        <w:r w:rsidR="005E2C32" w:rsidRPr="00324D59">
          <w:rPr>
            <w:rStyle w:val="Hyperlink"/>
            <w:noProof/>
          </w:rPr>
          <w:t>7.1</w:t>
        </w:r>
        <w:r w:rsidR="005E2C32">
          <w:rPr>
            <w:rFonts w:eastAsiaTheme="minorEastAsia"/>
            <w:smallCaps w:val="0"/>
            <w:noProof/>
            <w:sz w:val="22"/>
            <w:szCs w:val="22"/>
            <w:lang w:eastAsia="en-GB"/>
          </w:rPr>
          <w:tab/>
        </w:r>
        <w:r w:rsidR="005E2C32" w:rsidRPr="00324D59">
          <w:rPr>
            <w:rStyle w:val="Hyperlink"/>
            <w:noProof/>
          </w:rPr>
          <w:t>Key Facts</w:t>
        </w:r>
        <w:r w:rsidR="005E2C32">
          <w:rPr>
            <w:noProof/>
            <w:webHidden/>
          </w:rPr>
          <w:tab/>
        </w:r>
        <w:r w:rsidR="005E2C32">
          <w:rPr>
            <w:noProof/>
            <w:webHidden/>
          </w:rPr>
          <w:fldChar w:fldCharType="begin"/>
        </w:r>
        <w:r w:rsidR="005E2C32">
          <w:rPr>
            <w:noProof/>
            <w:webHidden/>
          </w:rPr>
          <w:instrText xml:space="preserve"> PAGEREF _Toc431225182 \h </w:instrText>
        </w:r>
        <w:r w:rsidR="005E2C32">
          <w:rPr>
            <w:noProof/>
            <w:webHidden/>
          </w:rPr>
        </w:r>
        <w:r w:rsidR="005E2C32">
          <w:rPr>
            <w:noProof/>
            <w:webHidden/>
          </w:rPr>
          <w:fldChar w:fldCharType="separate"/>
        </w:r>
        <w:r w:rsidR="005E2C32">
          <w:rPr>
            <w:noProof/>
            <w:webHidden/>
          </w:rPr>
          <w:t>132</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83" w:history="1">
        <w:r w:rsidR="005E2C32" w:rsidRPr="00324D59">
          <w:rPr>
            <w:rStyle w:val="Hyperlink"/>
            <w:noProof/>
          </w:rPr>
          <w:t>7.2</w:t>
        </w:r>
        <w:r w:rsidR="005E2C32">
          <w:rPr>
            <w:rFonts w:eastAsiaTheme="minorEastAsia"/>
            <w:smallCaps w:val="0"/>
            <w:noProof/>
            <w:sz w:val="22"/>
            <w:szCs w:val="22"/>
            <w:lang w:eastAsia="en-GB"/>
          </w:rPr>
          <w:tab/>
        </w:r>
        <w:r w:rsidR="005E2C32" w:rsidRPr="00324D59">
          <w:rPr>
            <w:rStyle w:val="Hyperlink"/>
            <w:noProof/>
          </w:rPr>
          <w:t>Strategic Needs</w:t>
        </w:r>
        <w:r w:rsidR="005E2C32">
          <w:rPr>
            <w:noProof/>
            <w:webHidden/>
          </w:rPr>
          <w:tab/>
        </w:r>
        <w:r w:rsidR="005E2C32">
          <w:rPr>
            <w:noProof/>
            <w:webHidden/>
          </w:rPr>
          <w:fldChar w:fldCharType="begin"/>
        </w:r>
        <w:r w:rsidR="005E2C32">
          <w:rPr>
            <w:noProof/>
            <w:webHidden/>
          </w:rPr>
          <w:instrText xml:space="preserve"> PAGEREF _Toc431225183 \h </w:instrText>
        </w:r>
        <w:r w:rsidR="005E2C32">
          <w:rPr>
            <w:noProof/>
            <w:webHidden/>
          </w:rPr>
        </w:r>
        <w:r w:rsidR="005E2C32">
          <w:rPr>
            <w:noProof/>
            <w:webHidden/>
          </w:rPr>
          <w:fldChar w:fldCharType="separate"/>
        </w:r>
        <w:r w:rsidR="005E2C32">
          <w:rPr>
            <w:noProof/>
            <w:webHidden/>
          </w:rPr>
          <w:t>132</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84" w:history="1">
        <w:r w:rsidR="005E2C32" w:rsidRPr="00324D59">
          <w:rPr>
            <w:rStyle w:val="Hyperlink"/>
            <w:noProof/>
          </w:rPr>
          <w:t>7.3</w:t>
        </w:r>
        <w:r w:rsidR="005E2C32">
          <w:rPr>
            <w:rFonts w:eastAsiaTheme="minorEastAsia"/>
            <w:smallCaps w:val="0"/>
            <w:noProof/>
            <w:sz w:val="22"/>
            <w:szCs w:val="22"/>
            <w:lang w:eastAsia="en-GB"/>
          </w:rPr>
          <w:tab/>
        </w:r>
        <w:r w:rsidR="005E2C32" w:rsidRPr="00324D59">
          <w:rPr>
            <w:rStyle w:val="Hyperlink"/>
            <w:noProof/>
          </w:rPr>
          <w:t>Barnet Clinical Commissioning Group (BCCG)</w:t>
        </w:r>
        <w:r w:rsidR="005E2C32">
          <w:rPr>
            <w:noProof/>
            <w:webHidden/>
          </w:rPr>
          <w:tab/>
        </w:r>
        <w:r w:rsidR="005E2C32">
          <w:rPr>
            <w:noProof/>
            <w:webHidden/>
          </w:rPr>
          <w:fldChar w:fldCharType="begin"/>
        </w:r>
        <w:r w:rsidR="005E2C32">
          <w:rPr>
            <w:noProof/>
            <w:webHidden/>
          </w:rPr>
          <w:instrText xml:space="preserve"> PAGEREF _Toc431225184 \h </w:instrText>
        </w:r>
        <w:r w:rsidR="005E2C32">
          <w:rPr>
            <w:noProof/>
            <w:webHidden/>
          </w:rPr>
        </w:r>
        <w:r w:rsidR="005E2C32">
          <w:rPr>
            <w:noProof/>
            <w:webHidden/>
          </w:rPr>
          <w:fldChar w:fldCharType="separate"/>
        </w:r>
        <w:r w:rsidR="005E2C32">
          <w:rPr>
            <w:noProof/>
            <w:webHidden/>
          </w:rPr>
          <w:t>133</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85" w:history="1">
        <w:r w:rsidR="005E2C32" w:rsidRPr="00324D59">
          <w:rPr>
            <w:rStyle w:val="Hyperlink"/>
            <w:noProof/>
          </w:rPr>
          <w:t>7.4</w:t>
        </w:r>
        <w:r w:rsidR="005E2C32">
          <w:rPr>
            <w:rFonts w:eastAsiaTheme="minorEastAsia"/>
            <w:smallCaps w:val="0"/>
            <w:noProof/>
            <w:sz w:val="22"/>
            <w:szCs w:val="22"/>
            <w:lang w:eastAsia="en-GB"/>
          </w:rPr>
          <w:tab/>
        </w:r>
        <w:r w:rsidR="005E2C32" w:rsidRPr="00324D59">
          <w:rPr>
            <w:rStyle w:val="Hyperlink"/>
            <w:noProof/>
          </w:rPr>
          <w:t>Health Inequalities in Barnet</w:t>
        </w:r>
        <w:r w:rsidR="005E2C32">
          <w:rPr>
            <w:noProof/>
            <w:webHidden/>
          </w:rPr>
          <w:tab/>
        </w:r>
        <w:r w:rsidR="005E2C32">
          <w:rPr>
            <w:noProof/>
            <w:webHidden/>
          </w:rPr>
          <w:fldChar w:fldCharType="begin"/>
        </w:r>
        <w:r w:rsidR="005E2C32">
          <w:rPr>
            <w:noProof/>
            <w:webHidden/>
          </w:rPr>
          <w:instrText xml:space="preserve"> PAGEREF _Toc431225185 \h </w:instrText>
        </w:r>
        <w:r w:rsidR="005E2C32">
          <w:rPr>
            <w:noProof/>
            <w:webHidden/>
          </w:rPr>
        </w:r>
        <w:r w:rsidR="005E2C32">
          <w:rPr>
            <w:noProof/>
            <w:webHidden/>
          </w:rPr>
          <w:fldChar w:fldCharType="separate"/>
        </w:r>
        <w:r w:rsidR="005E2C32">
          <w:rPr>
            <w:noProof/>
            <w:webHidden/>
          </w:rPr>
          <w:t>133</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86" w:history="1">
        <w:r w:rsidR="005E2C32" w:rsidRPr="00324D59">
          <w:rPr>
            <w:rStyle w:val="Hyperlink"/>
            <w:noProof/>
          </w:rPr>
          <w:t>7.5</w:t>
        </w:r>
        <w:r w:rsidR="005E2C32">
          <w:rPr>
            <w:rFonts w:eastAsiaTheme="minorEastAsia"/>
            <w:smallCaps w:val="0"/>
            <w:noProof/>
            <w:sz w:val="22"/>
            <w:szCs w:val="22"/>
            <w:lang w:eastAsia="en-GB"/>
          </w:rPr>
          <w:tab/>
        </w:r>
        <w:r w:rsidR="005E2C32" w:rsidRPr="00324D59">
          <w:rPr>
            <w:rStyle w:val="Hyperlink"/>
            <w:noProof/>
          </w:rPr>
          <w:t>Long Term Conditions and Integrated Care</w:t>
        </w:r>
        <w:r w:rsidR="005E2C32">
          <w:rPr>
            <w:noProof/>
            <w:webHidden/>
          </w:rPr>
          <w:tab/>
        </w:r>
        <w:r w:rsidR="005E2C32">
          <w:rPr>
            <w:noProof/>
            <w:webHidden/>
          </w:rPr>
          <w:fldChar w:fldCharType="begin"/>
        </w:r>
        <w:r w:rsidR="005E2C32">
          <w:rPr>
            <w:noProof/>
            <w:webHidden/>
          </w:rPr>
          <w:instrText xml:space="preserve"> PAGEREF _Toc431225186 \h </w:instrText>
        </w:r>
        <w:r w:rsidR="005E2C32">
          <w:rPr>
            <w:noProof/>
            <w:webHidden/>
          </w:rPr>
        </w:r>
        <w:r w:rsidR="005E2C32">
          <w:rPr>
            <w:noProof/>
            <w:webHidden/>
          </w:rPr>
          <w:fldChar w:fldCharType="separate"/>
        </w:r>
        <w:r w:rsidR="005E2C32">
          <w:rPr>
            <w:noProof/>
            <w:webHidden/>
          </w:rPr>
          <w:t>134</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87" w:history="1">
        <w:r w:rsidR="005E2C32" w:rsidRPr="00324D59">
          <w:rPr>
            <w:rStyle w:val="Hyperlink"/>
            <w:noProof/>
          </w:rPr>
          <w:t>7.6</w:t>
        </w:r>
        <w:r w:rsidR="005E2C32">
          <w:rPr>
            <w:rFonts w:eastAsiaTheme="minorEastAsia"/>
            <w:smallCaps w:val="0"/>
            <w:noProof/>
            <w:sz w:val="22"/>
            <w:szCs w:val="22"/>
            <w:lang w:eastAsia="en-GB"/>
          </w:rPr>
          <w:tab/>
        </w:r>
        <w:r w:rsidR="005E2C32" w:rsidRPr="00324D59">
          <w:rPr>
            <w:rStyle w:val="Hyperlink"/>
            <w:noProof/>
          </w:rPr>
          <w:t>Hospital and Residential Care</w:t>
        </w:r>
        <w:r w:rsidR="005E2C32">
          <w:rPr>
            <w:noProof/>
            <w:webHidden/>
          </w:rPr>
          <w:tab/>
        </w:r>
        <w:r w:rsidR="005E2C32">
          <w:rPr>
            <w:noProof/>
            <w:webHidden/>
          </w:rPr>
          <w:fldChar w:fldCharType="begin"/>
        </w:r>
        <w:r w:rsidR="005E2C32">
          <w:rPr>
            <w:noProof/>
            <w:webHidden/>
          </w:rPr>
          <w:instrText xml:space="preserve"> PAGEREF _Toc431225187 \h </w:instrText>
        </w:r>
        <w:r w:rsidR="005E2C32">
          <w:rPr>
            <w:noProof/>
            <w:webHidden/>
          </w:rPr>
        </w:r>
        <w:r w:rsidR="005E2C32">
          <w:rPr>
            <w:noProof/>
            <w:webHidden/>
          </w:rPr>
          <w:fldChar w:fldCharType="separate"/>
        </w:r>
        <w:r w:rsidR="005E2C32">
          <w:rPr>
            <w:noProof/>
            <w:webHidden/>
          </w:rPr>
          <w:t>134</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88" w:history="1">
        <w:r w:rsidR="005E2C32" w:rsidRPr="00324D59">
          <w:rPr>
            <w:rStyle w:val="Hyperlink"/>
            <w:noProof/>
          </w:rPr>
          <w:t>7.7</w:t>
        </w:r>
        <w:r w:rsidR="005E2C32">
          <w:rPr>
            <w:rFonts w:eastAsiaTheme="minorEastAsia"/>
            <w:smallCaps w:val="0"/>
            <w:noProof/>
            <w:sz w:val="22"/>
            <w:szCs w:val="22"/>
            <w:lang w:eastAsia="en-GB"/>
          </w:rPr>
          <w:tab/>
        </w:r>
        <w:r w:rsidR="005E2C32" w:rsidRPr="00324D59">
          <w:rPr>
            <w:rStyle w:val="Hyperlink"/>
            <w:noProof/>
          </w:rPr>
          <w:t>Emergency Admissions</w:t>
        </w:r>
        <w:r w:rsidR="005E2C32">
          <w:rPr>
            <w:noProof/>
            <w:webHidden/>
          </w:rPr>
          <w:tab/>
        </w:r>
        <w:r w:rsidR="005E2C32">
          <w:rPr>
            <w:noProof/>
            <w:webHidden/>
          </w:rPr>
          <w:fldChar w:fldCharType="begin"/>
        </w:r>
        <w:r w:rsidR="005E2C32">
          <w:rPr>
            <w:noProof/>
            <w:webHidden/>
          </w:rPr>
          <w:instrText xml:space="preserve"> PAGEREF _Toc431225188 \h </w:instrText>
        </w:r>
        <w:r w:rsidR="005E2C32">
          <w:rPr>
            <w:noProof/>
            <w:webHidden/>
          </w:rPr>
        </w:r>
        <w:r w:rsidR="005E2C32">
          <w:rPr>
            <w:noProof/>
            <w:webHidden/>
          </w:rPr>
          <w:fldChar w:fldCharType="separate"/>
        </w:r>
        <w:r w:rsidR="005E2C32">
          <w:rPr>
            <w:noProof/>
            <w:webHidden/>
          </w:rPr>
          <w:t>135</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89" w:history="1">
        <w:r w:rsidR="005E2C32" w:rsidRPr="00324D59">
          <w:rPr>
            <w:rStyle w:val="Hyperlink"/>
            <w:rFonts w:eastAsia="Calibri"/>
            <w:noProof/>
          </w:rPr>
          <w:t>7.8</w:t>
        </w:r>
        <w:r w:rsidR="005E2C32">
          <w:rPr>
            <w:rFonts w:eastAsiaTheme="minorEastAsia"/>
            <w:smallCaps w:val="0"/>
            <w:noProof/>
            <w:sz w:val="22"/>
            <w:szCs w:val="22"/>
            <w:lang w:eastAsia="en-GB"/>
          </w:rPr>
          <w:tab/>
        </w:r>
        <w:r w:rsidR="005E2C32" w:rsidRPr="00324D59">
          <w:rPr>
            <w:rStyle w:val="Hyperlink"/>
            <w:rFonts w:eastAsia="Calibri"/>
            <w:noProof/>
          </w:rPr>
          <w:t>Frail and Elderly</w:t>
        </w:r>
        <w:r w:rsidR="005E2C32">
          <w:rPr>
            <w:noProof/>
            <w:webHidden/>
          </w:rPr>
          <w:tab/>
        </w:r>
        <w:r w:rsidR="005E2C32">
          <w:rPr>
            <w:noProof/>
            <w:webHidden/>
          </w:rPr>
          <w:fldChar w:fldCharType="begin"/>
        </w:r>
        <w:r w:rsidR="005E2C32">
          <w:rPr>
            <w:noProof/>
            <w:webHidden/>
          </w:rPr>
          <w:instrText xml:space="preserve"> PAGEREF _Toc431225189 \h </w:instrText>
        </w:r>
        <w:r w:rsidR="005E2C32">
          <w:rPr>
            <w:noProof/>
            <w:webHidden/>
          </w:rPr>
        </w:r>
        <w:r w:rsidR="005E2C32">
          <w:rPr>
            <w:noProof/>
            <w:webHidden/>
          </w:rPr>
          <w:fldChar w:fldCharType="separate"/>
        </w:r>
        <w:r w:rsidR="005E2C32">
          <w:rPr>
            <w:noProof/>
            <w:webHidden/>
          </w:rPr>
          <w:t>137</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90" w:history="1">
        <w:r w:rsidR="005E2C32" w:rsidRPr="00324D59">
          <w:rPr>
            <w:rStyle w:val="Hyperlink"/>
            <w:rFonts w:eastAsia="Calibri"/>
            <w:noProof/>
          </w:rPr>
          <w:t>7.9</w:t>
        </w:r>
        <w:r w:rsidR="005E2C32">
          <w:rPr>
            <w:rFonts w:eastAsiaTheme="minorEastAsia"/>
            <w:smallCaps w:val="0"/>
            <w:noProof/>
            <w:sz w:val="22"/>
            <w:szCs w:val="22"/>
            <w:lang w:eastAsia="en-GB"/>
          </w:rPr>
          <w:tab/>
        </w:r>
        <w:r w:rsidR="005E2C32" w:rsidRPr="00324D59">
          <w:rPr>
            <w:rStyle w:val="Hyperlink"/>
            <w:rFonts w:eastAsia="Calibri"/>
            <w:noProof/>
          </w:rPr>
          <w:t>Falls and Fractures</w:t>
        </w:r>
        <w:r w:rsidR="005E2C32">
          <w:rPr>
            <w:noProof/>
            <w:webHidden/>
          </w:rPr>
          <w:tab/>
        </w:r>
        <w:r w:rsidR="005E2C32">
          <w:rPr>
            <w:noProof/>
            <w:webHidden/>
          </w:rPr>
          <w:fldChar w:fldCharType="begin"/>
        </w:r>
        <w:r w:rsidR="005E2C32">
          <w:rPr>
            <w:noProof/>
            <w:webHidden/>
          </w:rPr>
          <w:instrText xml:space="preserve"> PAGEREF _Toc431225190 \h </w:instrText>
        </w:r>
        <w:r w:rsidR="005E2C32">
          <w:rPr>
            <w:noProof/>
            <w:webHidden/>
          </w:rPr>
        </w:r>
        <w:r w:rsidR="005E2C32">
          <w:rPr>
            <w:noProof/>
            <w:webHidden/>
          </w:rPr>
          <w:fldChar w:fldCharType="separate"/>
        </w:r>
        <w:r w:rsidR="005E2C32">
          <w:rPr>
            <w:noProof/>
            <w:webHidden/>
          </w:rPr>
          <w:t>138</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91" w:history="1">
        <w:r w:rsidR="005E2C32" w:rsidRPr="00324D59">
          <w:rPr>
            <w:rStyle w:val="Hyperlink"/>
            <w:noProof/>
          </w:rPr>
          <w:t>7.10</w:t>
        </w:r>
        <w:r w:rsidR="005E2C32">
          <w:rPr>
            <w:rFonts w:eastAsiaTheme="minorEastAsia"/>
            <w:smallCaps w:val="0"/>
            <w:noProof/>
            <w:sz w:val="22"/>
            <w:szCs w:val="22"/>
            <w:lang w:eastAsia="en-GB"/>
          </w:rPr>
          <w:tab/>
        </w:r>
        <w:r w:rsidR="005E2C32" w:rsidRPr="00324D59">
          <w:rPr>
            <w:rStyle w:val="Hyperlink"/>
            <w:noProof/>
          </w:rPr>
          <w:t>Better Care Fund (2013)</w:t>
        </w:r>
        <w:r w:rsidR="005E2C32">
          <w:rPr>
            <w:noProof/>
            <w:webHidden/>
          </w:rPr>
          <w:tab/>
        </w:r>
        <w:r w:rsidR="005E2C32">
          <w:rPr>
            <w:noProof/>
            <w:webHidden/>
          </w:rPr>
          <w:fldChar w:fldCharType="begin"/>
        </w:r>
        <w:r w:rsidR="005E2C32">
          <w:rPr>
            <w:noProof/>
            <w:webHidden/>
          </w:rPr>
          <w:instrText xml:space="preserve"> PAGEREF _Toc431225191 \h </w:instrText>
        </w:r>
        <w:r w:rsidR="005E2C32">
          <w:rPr>
            <w:noProof/>
            <w:webHidden/>
          </w:rPr>
        </w:r>
        <w:r w:rsidR="005E2C32">
          <w:rPr>
            <w:noProof/>
            <w:webHidden/>
          </w:rPr>
          <w:fldChar w:fldCharType="separate"/>
        </w:r>
        <w:r w:rsidR="005E2C32">
          <w:rPr>
            <w:noProof/>
            <w:webHidden/>
          </w:rPr>
          <w:t>138</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92" w:history="1">
        <w:r w:rsidR="005E2C32" w:rsidRPr="00324D59">
          <w:rPr>
            <w:rStyle w:val="Hyperlink"/>
            <w:noProof/>
          </w:rPr>
          <w:t>7.11</w:t>
        </w:r>
        <w:r w:rsidR="005E2C32">
          <w:rPr>
            <w:rFonts w:eastAsiaTheme="minorEastAsia"/>
            <w:smallCaps w:val="0"/>
            <w:noProof/>
            <w:sz w:val="22"/>
            <w:szCs w:val="22"/>
            <w:lang w:eastAsia="en-GB"/>
          </w:rPr>
          <w:tab/>
        </w:r>
        <w:r w:rsidR="005E2C32" w:rsidRPr="00324D59">
          <w:rPr>
            <w:rStyle w:val="Hyperlink"/>
            <w:noProof/>
          </w:rPr>
          <w:t>Minor Ailments Scheme</w:t>
        </w:r>
        <w:r w:rsidR="005E2C32">
          <w:rPr>
            <w:noProof/>
            <w:webHidden/>
          </w:rPr>
          <w:tab/>
        </w:r>
        <w:r w:rsidR="005E2C32">
          <w:rPr>
            <w:noProof/>
            <w:webHidden/>
          </w:rPr>
          <w:fldChar w:fldCharType="begin"/>
        </w:r>
        <w:r w:rsidR="005E2C32">
          <w:rPr>
            <w:noProof/>
            <w:webHidden/>
          </w:rPr>
          <w:instrText xml:space="preserve"> PAGEREF _Toc431225192 \h </w:instrText>
        </w:r>
        <w:r w:rsidR="005E2C32">
          <w:rPr>
            <w:noProof/>
            <w:webHidden/>
          </w:rPr>
        </w:r>
        <w:r w:rsidR="005E2C32">
          <w:rPr>
            <w:noProof/>
            <w:webHidden/>
          </w:rPr>
          <w:fldChar w:fldCharType="separate"/>
        </w:r>
        <w:r w:rsidR="005E2C32">
          <w:rPr>
            <w:noProof/>
            <w:webHidden/>
          </w:rPr>
          <w:t>139</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93" w:history="1">
        <w:r w:rsidR="005E2C32" w:rsidRPr="00324D59">
          <w:rPr>
            <w:rStyle w:val="Hyperlink"/>
            <w:noProof/>
          </w:rPr>
          <w:t>7.12</w:t>
        </w:r>
        <w:r w:rsidR="005E2C32">
          <w:rPr>
            <w:rFonts w:eastAsiaTheme="minorEastAsia"/>
            <w:smallCaps w:val="0"/>
            <w:noProof/>
            <w:sz w:val="22"/>
            <w:szCs w:val="22"/>
            <w:lang w:eastAsia="en-GB"/>
          </w:rPr>
          <w:tab/>
        </w:r>
        <w:r w:rsidR="005E2C32" w:rsidRPr="00324D59">
          <w:rPr>
            <w:rStyle w:val="Hyperlink"/>
            <w:noProof/>
          </w:rPr>
          <w:t>Medicines Management Strategy</w:t>
        </w:r>
        <w:r w:rsidR="005E2C32">
          <w:rPr>
            <w:noProof/>
            <w:webHidden/>
          </w:rPr>
          <w:tab/>
        </w:r>
        <w:r w:rsidR="005E2C32">
          <w:rPr>
            <w:noProof/>
            <w:webHidden/>
          </w:rPr>
          <w:fldChar w:fldCharType="begin"/>
        </w:r>
        <w:r w:rsidR="005E2C32">
          <w:rPr>
            <w:noProof/>
            <w:webHidden/>
          </w:rPr>
          <w:instrText xml:space="preserve"> PAGEREF _Toc431225193 \h </w:instrText>
        </w:r>
        <w:r w:rsidR="005E2C32">
          <w:rPr>
            <w:noProof/>
            <w:webHidden/>
          </w:rPr>
        </w:r>
        <w:r w:rsidR="005E2C32">
          <w:rPr>
            <w:noProof/>
            <w:webHidden/>
          </w:rPr>
          <w:fldChar w:fldCharType="separate"/>
        </w:r>
        <w:r w:rsidR="005E2C32">
          <w:rPr>
            <w:noProof/>
            <w:webHidden/>
          </w:rPr>
          <w:t>139</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94" w:history="1">
        <w:r w:rsidR="005E2C32" w:rsidRPr="00324D59">
          <w:rPr>
            <w:rStyle w:val="Hyperlink"/>
            <w:noProof/>
          </w:rPr>
          <w:t>7.13</w:t>
        </w:r>
        <w:r w:rsidR="005E2C32">
          <w:rPr>
            <w:rFonts w:eastAsiaTheme="minorEastAsia"/>
            <w:smallCaps w:val="0"/>
            <w:noProof/>
            <w:sz w:val="22"/>
            <w:szCs w:val="22"/>
            <w:lang w:eastAsia="en-GB"/>
          </w:rPr>
          <w:tab/>
        </w:r>
        <w:r w:rsidR="005E2C32" w:rsidRPr="00324D59">
          <w:rPr>
            <w:rStyle w:val="Hyperlink"/>
            <w:noProof/>
          </w:rPr>
          <w:t>Urgent (unscheduled) and Emergency Care</w:t>
        </w:r>
        <w:r w:rsidR="005E2C32">
          <w:rPr>
            <w:noProof/>
            <w:webHidden/>
          </w:rPr>
          <w:tab/>
        </w:r>
        <w:r w:rsidR="005E2C32">
          <w:rPr>
            <w:noProof/>
            <w:webHidden/>
          </w:rPr>
          <w:fldChar w:fldCharType="begin"/>
        </w:r>
        <w:r w:rsidR="005E2C32">
          <w:rPr>
            <w:noProof/>
            <w:webHidden/>
          </w:rPr>
          <w:instrText xml:space="preserve"> PAGEREF _Toc431225194 \h </w:instrText>
        </w:r>
        <w:r w:rsidR="005E2C32">
          <w:rPr>
            <w:noProof/>
            <w:webHidden/>
          </w:rPr>
        </w:r>
        <w:r w:rsidR="005E2C32">
          <w:rPr>
            <w:noProof/>
            <w:webHidden/>
          </w:rPr>
          <w:fldChar w:fldCharType="separate"/>
        </w:r>
        <w:r w:rsidR="005E2C32">
          <w:rPr>
            <w:noProof/>
            <w:webHidden/>
          </w:rPr>
          <w:t>140</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95" w:history="1">
        <w:r w:rsidR="005E2C32" w:rsidRPr="00324D59">
          <w:rPr>
            <w:rStyle w:val="Hyperlink"/>
            <w:noProof/>
          </w:rPr>
          <w:t>7.14</w:t>
        </w:r>
        <w:r w:rsidR="005E2C32">
          <w:rPr>
            <w:rFonts w:eastAsiaTheme="minorEastAsia"/>
            <w:smallCaps w:val="0"/>
            <w:noProof/>
            <w:sz w:val="22"/>
            <w:szCs w:val="22"/>
            <w:lang w:eastAsia="en-GB"/>
          </w:rPr>
          <w:tab/>
        </w:r>
        <w:r w:rsidR="005E2C32" w:rsidRPr="00324D59">
          <w:rPr>
            <w:rStyle w:val="Hyperlink"/>
            <w:noProof/>
          </w:rPr>
          <w:t>Barnet Accident and Emergency Summary Key facts and figures:</w:t>
        </w:r>
        <w:r w:rsidR="005E2C32">
          <w:rPr>
            <w:noProof/>
            <w:webHidden/>
          </w:rPr>
          <w:tab/>
        </w:r>
        <w:r w:rsidR="005E2C32">
          <w:rPr>
            <w:noProof/>
            <w:webHidden/>
          </w:rPr>
          <w:fldChar w:fldCharType="begin"/>
        </w:r>
        <w:r w:rsidR="005E2C32">
          <w:rPr>
            <w:noProof/>
            <w:webHidden/>
          </w:rPr>
          <w:instrText xml:space="preserve"> PAGEREF _Toc431225195 \h </w:instrText>
        </w:r>
        <w:r w:rsidR="005E2C32">
          <w:rPr>
            <w:noProof/>
            <w:webHidden/>
          </w:rPr>
        </w:r>
        <w:r w:rsidR="005E2C32">
          <w:rPr>
            <w:noProof/>
            <w:webHidden/>
          </w:rPr>
          <w:fldChar w:fldCharType="separate"/>
        </w:r>
        <w:r w:rsidR="005E2C32">
          <w:rPr>
            <w:noProof/>
            <w:webHidden/>
          </w:rPr>
          <w:t>140</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96" w:history="1">
        <w:r w:rsidR="005E2C32" w:rsidRPr="00324D59">
          <w:rPr>
            <w:rStyle w:val="Hyperlink"/>
            <w:noProof/>
          </w:rPr>
          <w:t>7.15</w:t>
        </w:r>
        <w:r w:rsidR="005E2C32">
          <w:rPr>
            <w:rFonts w:eastAsiaTheme="minorEastAsia"/>
            <w:smallCaps w:val="0"/>
            <w:noProof/>
            <w:sz w:val="22"/>
            <w:szCs w:val="22"/>
            <w:lang w:eastAsia="en-GB"/>
          </w:rPr>
          <w:tab/>
        </w:r>
        <w:r w:rsidR="005E2C32" w:rsidRPr="00324D59">
          <w:rPr>
            <w:rStyle w:val="Hyperlink"/>
            <w:noProof/>
          </w:rPr>
          <w:t>Delayed Transfer of Care (DToC)</w:t>
        </w:r>
        <w:r w:rsidR="005E2C32">
          <w:rPr>
            <w:noProof/>
            <w:webHidden/>
          </w:rPr>
          <w:tab/>
        </w:r>
        <w:r w:rsidR="005E2C32">
          <w:rPr>
            <w:noProof/>
            <w:webHidden/>
          </w:rPr>
          <w:fldChar w:fldCharType="begin"/>
        </w:r>
        <w:r w:rsidR="005E2C32">
          <w:rPr>
            <w:noProof/>
            <w:webHidden/>
          </w:rPr>
          <w:instrText xml:space="preserve"> PAGEREF _Toc431225196 \h </w:instrText>
        </w:r>
        <w:r w:rsidR="005E2C32">
          <w:rPr>
            <w:noProof/>
            <w:webHidden/>
          </w:rPr>
        </w:r>
        <w:r w:rsidR="005E2C32">
          <w:rPr>
            <w:noProof/>
            <w:webHidden/>
          </w:rPr>
          <w:fldChar w:fldCharType="separate"/>
        </w:r>
        <w:r w:rsidR="005E2C32">
          <w:rPr>
            <w:noProof/>
            <w:webHidden/>
          </w:rPr>
          <w:t>140</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97" w:history="1">
        <w:r w:rsidR="005E2C32" w:rsidRPr="00324D59">
          <w:rPr>
            <w:rStyle w:val="Hyperlink"/>
            <w:noProof/>
          </w:rPr>
          <w:t>7.16</w:t>
        </w:r>
        <w:r w:rsidR="005E2C32">
          <w:rPr>
            <w:rFonts w:eastAsiaTheme="minorEastAsia"/>
            <w:smallCaps w:val="0"/>
            <w:noProof/>
            <w:sz w:val="22"/>
            <w:szCs w:val="22"/>
            <w:lang w:eastAsia="en-GB"/>
          </w:rPr>
          <w:tab/>
        </w:r>
        <w:r w:rsidR="005E2C32" w:rsidRPr="00324D59">
          <w:rPr>
            <w:rStyle w:val="Hyperlink"/>
            <w:noProof/>
          </w:rPr>
          <w:t>Mental Health</w:t>
        </w:r>
        <w:r w:rsidR="005E2C32">
          <w:rPr>
            <w:noProof/>
            <w:webHidden/>
          </w:rPr>
          <w:tab/>
        </w:r>
        <w:r w:rsidR="005E2C32">
          <w:rPr>
            <w:noProof/>
            <w:webHidden/>
          </w:rPr>
          <w:fldChar w:fldCharType="begin"/>
        </w:r>
        <w:r w:rsidR="005E2C32">
          <w:rPr>
            <w:noProof/>
            <w:webHidden/>
          </w:rPr>
          <w:instrText xml:space="preserve"> PAGEREF _Toc431225197 \h </w:instrText>
        </w:r>
        <w:r w:rsidR="005E2C32">
          <w:rPr>
            <w:noProof/>
            <w:webHidden/>
          </w:rPr>
        </w:r>
        <w:r w:rsidR="005E2C32">
          <w:rPr>
            <w:noProof/>
            <w:webHidden/>
          </w:rPr>
          <w:fldChar w:fldCharType="separate"/>
        </w:r>
        <w:r w:rsidR="005E2C32">
          <w:rPr>
            <w:noProof/>
            <w:webHidden/>
          </w:rPr>
          <w:t>142</w:t>
        </w:r>
        <w:r w:rsidR="005E2C32">
          <w:rPr>
            <w:noProof/>
            <w:webHidden/>
          </w:rPr>
          <w:fldChar w:fldCharType="end"/>
        </w:r>
      </w:hyperlink>
    </w:p>
    <w:p w:rsidR="005E2C32" w:rsidRDefault="00146202">
      <w:pPr>
        <w:pStyle w:val="TOC1"/>
        <w:tabs>
          <w:tab w:val="left" w:pos="440"/>
          <w:tab w:val="right" w:leader="dot" w:pos="9016"/>
        </w:tabs>
        <w:rPr>
          <w:rFonts w:eastAsiaTheme="minorEastAsia"/>
          <w:b w:val="0"/>
          <w:bCs w:val="0"/>
          <w:caps w:val="0"/>
          <w:noProof/>
          <w:sz w:val="22"/>
          <w:szCs w:val="22"/>
          <w:lang w:eastAsia="en-GB"/>
        </w:rPr>
      </w:pPr>
      <w:hyperlink w:anchor="_Toc431225198" w:history="1">
        <w:r w:rsidR="005E2C32" w:rsidRPr="00324D59">
          <w:rPr>
            <w:rStyle w:val="Hyperlink"/>
            <w:noProof/>
          </w:rPr>
          <w:t>8</w:t>
        </w:r>
        <w:r w:rsidR="005E2C32">
          <w:rPr>
            <w:rFonts w:eastAsiaTheme="minorEastAsia"/>
            <w:b w:val="0"/>
            <w:bCs w:val="0"/>
            <w:caps w:val="0"/>
            <w:noProof/>
            <w:sz w:val="22"/>
            <w:szCs w:val="22"/>
            <w:lang w:eastAsia="en-GB"/>
          </w:rPr>
          <w:tab/>
        </w:r>
        <w:r w:rsidR="005E2C32" w:rsidRPr="00324D59">
          <w:rPr>
            <w:rStyle w:val="Hyperlink"/>
            <w:noProof/>
          </w:rPr>
          <w:t>Children and Young People</w:t>
        </w:r>
        <w:r w:rsidR="005E2C32">
          <w:rPr>
            <w:noProof/>
            <w:webHidden/>
          </w:rPr>
          <w:tab/>
        </w:r>
        <w:r w:rsidR="005E2C32">
          <w:rPr>
            <w:noProof/>
            <w:webHidden/>
          </w:rPr>
          <w:fldChar w:fldCharType="begin"/>
        </w:r>
        <w:r w:rsidR="005E2C32">
          <w:rPr>
            <w:noProof/>
            <w:webHidden/>
          </w:rPr>
          <w:instrText xml:space="preserve"> PAGEREF _Toc431225198 \h </w:instrText>
        </w:r>
        <w:r w:rsidR="005E2C32">
          <w:rPr>
            <w:noProof/>
            <w:webHidden/>
          </w:rPr>
        </w:r>
        <w:r w:rsidR="005E2C32">
          <w:rPr>
            <w:noProof/>
            <w:webHidden/>
          </w:rPr>
          <w:fldChar w:fldCharType="separate"/>
        </w:r>
        <w:r w:rsidR="005E2C32">
          <w:rPr>
            <w:noProof/>
            <w:webHidden/>
          </w:rPr>
          <w:t>145</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199" w:history="1">
        <w:r w:rsidR="005E2C32" w:rsidRPr="00324D59">
          <w:rPr>
            <w:rStyle w:val="Hyperlink"/>
            <w:noProof/>
          </w:rPr>
          <w:t>8.1</w:t>
        </w:r>
        <w:r w:rsidR="005E2C32">
          <w:rPr>
            <w:rFonts w:eastAsiaTheme="minorEastAsia"/>
            <w:smallCaps w:val="0"/>
            <w:noProof/>
            <w:sz w:val="22"/>
            <w:szCs w:val="22"/>
            <w:lang w:eastAsia="en-GB"/>
          </w:rPr>
          <w:tab/>
        </w:r>
        <w:r w:rsidR="005E2C32" w:rsidRPr="00324D59">
          <w:rPr>
            <w:rStyle w:val="Hyperlink"/>
            <w:noProof/>
          </w:rPr>
          <w:t>Key Facts</w:t>
        </w:r>
        <w:r w:rsidR="005E2C32">
          <w:rPr>
            <w:noProof/>
            <w:webHidden/>
          </w:rPr>
          <w:tab/>
        </w:r>
        <w:r w:rsidR="005E2C32">
          <w:rPr>
            <w:noProof/>
            <w:webHidden/>
          </w:rPr>
          <w:fldChar w:fldCharType="begin"/>
        </w:r>
        <w:r w:rsidR="005E2C32">
          <w:rPr>
            <w:noProof/>
            <w:webHidden/>
          </w:rPr>
          <w:instrText xml:space="preserve"> PAGEREF _Toc431225199 \h </w:instrText>
        </w:r>
        <w:r w:rsidR="005E2C32">
          <w:rPr>
            <w:noProof/>
            <w:webHidden/>
          </w:rPr>
        </w:r>
        <w:r w:rsidR="005E2C32">
          <w:rPr>
            <w:noProof/>
            <w:webHidden/>
          </w:rPr>
          <w:fldChar w:fldCharType="separate"/>
        </w:r>
        <w:r w:rsidR="005E2C32">
          <w:rPr>
            <w:noProof/>
            <w:webHidden/>
          </w:rPr>
          <w:t>145</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00" w:history="1">
        <w:r w:rsidR="005E2C32" w:rsidRPr="00324D59">
          <w:rPr>
            <w:rStyle w:val="Hyperlink"/>
            <w:noProof/>
          </w:rPr>
          <w:t>8.2</w:t>
        </w:r>
        <w:r w:rsidR="005E2C32">
          <w:rPr>
            <w:rFonts w:eastAsiaTheme="minorEastAsia"/>
            <w:smallCaps w:val="0"/>
            <w:noProof/>
            <w:sz w:val="22"/>
            <w:szCs w:val="22"/>
            <w:lang w:eastAsia="en-GB"/>
          </w:rPr>
          <w:tab/>
        </w:r>
        <w:r w:rsidR="005E2C32" w:rsidRPr="00324D59">
          <w:rPr>
            <w:rStyle w:val="Hyperlink"/>
            <w:noProof/>
          </w:rPr>
          <w:t>Strategic Needs</w:t>
        </w:r>
        <w:r w:rsidR="005E2C32">
          <w:rPr>
            <w:noProof/>
            <w:webHidden/>
          </w:rPr>
          <w:tab/>
        </w:r>
        <w:r w:rsidR="005E2C32">
          <w:rPr>
            <w:noProof/>
            <w:webHidden/>
          </w:rPr>
          <w:fldChar w:fldCharType="begin"/>
        </w:r>
        <w:r w:rsidR="005E2C32">
          <w:rPr>
            <w:noProof/>
            <w:webHidden/>
          </w:rPr>
          <w:instrText xml:space="preserve"> PAGEREF _Toc431225200 \h </w:instrText>
        </w:r>
        <w:r w:rsidR="005E2C32">
          <w:rPr>
            <w:noProof/>
            <w:webHidden/>
          </w:rPr>
        </w:r>
        <w:r w:rsidR="005E2C32">
          <w:rPr>
            <w:noProof/>
            <w:webHidden/>
          </w:rPr>
          <w:fldChar w:fldCharType="separate"/>
        </w:r>
        <w:r w:rsidR="005E2C32">
          <w:rPr>
            <w:noProof/>
            <w:webHidden/>
          </w:rPr>
          <w:t>145</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01" w:history="1">
        <w:r w:rsidR="005E2C32" w:rsidRPr="00324D59">
          <w:rPr>
            <w:rStyle w:val="Hyperlink"/>
            <w:rFonts w:eastAsia="Times New Roman" w:cs="Arial"/>
            <w:noProof/>
            <w:lang w:eastAsia="en-GB"/>
          </w:rPr>
          <w:t>8.3</w:t>
        </w:r>
        <w:r w:rsidR="005E2C32">
          <w:rPr>
            <w:rFonts w:eastAsiaTheme="minorEastAsia"/>
            <w:smallCaps w:val="0"/>
            <w:noProof/>
            <w:sz w:val="22"/>
            <w:szCs w:val="22"/>
            <w:lang w:eastAsia="en-GB"/>
          </w:rPr>
          <w:tab/>
        </w:r>
        <w:r w:rsidR="005E2C32" w:rsidRPr="00324D59">
          <w:rPr>
            <w:rStyle w:val="Hyperlink"/>
            <w:noProof/>
            <w:lang w:eastAsia="en-GB"/>
          </w:rPr>
          <w:t>Demography</w:t>
        </w:r>
        <w:r w:rsidR="005E2C32">
          <w:rPr>
            <w:noProof/>
            <w:webHidden/>
          </w:rPr>
          <w:tab/>
        </w:r>
        <w:r w:rsidR="005E2C32">
          <w:rPr>
            <w:noProof/>
            <w:webHidden/>
          </w:rPr>
          <w:fldChar w:fldCharType="begin"/>
        </w:r>
        <w:r w:rsidR="005E2C32">
          <w:rPr>
            <w:noProof/>
            <w:webHidden/>
          </w:rPr>
          <w:instrText xml:space="preserve"> PAGEREF _Toc431225201 \h </w:instrText>
        </w:r>
        <w:r w:rsidR="005E2C32">
          <w:rPr>
            <w:noProof/>
            <w:webHidden/>
          </w:rPr>
        </w:r>
        <w:r w:rsidR="005E2C32">
          <w:rPr>
            <w:noProof/>
            <w:webHidden/>
          </w:rPr>
          <w:fldChar w:fldCharType="separate"/>
        </w:r>
        <w:r w:rsidR="005E2C32">
          <w:rPr>
            <w:noProof/>
            <w:webHidden/>
          </w:rPr>
          <w:t>146</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02" w:history="1">
        <w:r w:rsidR="005E2C32" w:rsidRPr="00324D59">
          <w:rPr>
            <w:rStyle w:val="Hyperlink"/>
            <w:rFonts w:eastAsia="Times New Roman"/>
            <w:noProof/>
            <w:lang w:eastAsia="en-GB"/>
          </w:rPr>
          <w:t>8.4</w:t>
        </w:r>
        <w:r w:rsidR="005E2C32">
          <w:rPr>
            <w:rFonts w:eastAsiaTheme="minorEastAsia"/>
            <w:smallCaps w:val="0"/>
            <w:noProof/>
            <w:sz w:val="22"/>
            <w:szCs w:val="22"/>
            <w:lang w:eastAsia="en-GB"/>
          </w:rPr>
          <w:tab/>
        </w:r>
        <w:r w:rsidR="005E2C32" w:rsidRPr="00324D59">
          <w:rPr>
            <w:rStyle w:val="Hyperlink"/>
            <w:rFonts w:eastAsia="Times New Roman"/>
            <w:noProof/>
            <w:lang w:eastAsia="en-GB"/>
          </w:rPr>
          <w:t>Early Years</w:t>
        </w:r>
        <w:r w:rsidR="005E2C32">
          <w:rPr>
            <w:noProof/>
            <w:webHidden/>
          </w:rPr>
          <w:tab/>
        </w:r>
        <w:r w:rsidR="005E2C32">
          <w:rPr>
            <w:noProof/>
            <w:webHidden/>
          </w:rPr>
          <w:fldChar w:fldCharType="begin"/>
        </w:r>
        <w:r w:rsidR="005E2C32">
          <w:rPr>
            <w:noProof/>
            <w:webHidden/>
          </w:rPr>
          <w:instrText xml:space="preserve"> PAGEREF _Toc431225202 \h </w:instrText>
        </w:r>
        <w:r w:rsidR="005E2C32">
          <w:rPr>
            <w:noProof/>
            <w:webHidden/>
          </w:rPr>
        </w:r>
        <w:r w:rsidR="005E2C32">
          <w:rPr>
            <w:noProof/>
            <w:webHidden/>
          </w:rPr>
          <w:fldChar w:fldCharType="separate"/>
        </w:r>
        <w:r w:rsidR="005E2C32">
          <w:rPr>
            <w:noProof/>
            <w:webHidden/>
          </w:rPr>
          <w:t>146</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03" w:history="1">
        <w:r w:rsidR="005E2C32" w:rsidRPr="00324D59">
          <w:rPr>
            <w:rStyle w:val="Hyperlink"/>
            <w:noProof/>
          </w:rPr>
          <w:t>8.5</w:t>
        </w:r>
        <w:r w:rsidR="005E2C32">
          <w:rPr>
            <w:rFonts w:eastAsiaTheme="minorEastAsia"/>
            <w:smallCaps w:val="0"/>
            <w:noProof/>
            <w:sz w:val="22"/>
            <w:szCs w:val="22"/>
            <w:lang w:eastAsia="en-GB"/>
          </w:rPr>
          <w:tab/>
        </w:r>
        <w:r w:rsidR="005E2C32" w:rsidRPr="00324D59">
          <w:rPr>
            <w:rStyle w:val="Hyperlink"/>
            <w:noProof/>
          </w:rPr>
          <w:t>Children’s Centres</w:t>
        </w:r>
        <w:r w:rsidR="005E2C32">
          <w:rPr>
            <w:noProof/>
            <w:webHidden/>
          </w:rPr>
          <w:tab/>
        </w:r>
        <w:r w:rsidR="005E2C32">
          <w:rPr>
            <w:noProof/>
            <w:webHidden/>
          </w:rPr>
          <w:fldChar w:fldCharType="begin"/>
        </w:r>
        <w:r w:rsidR="005E2C32">
          <w:rPr>
            <w:noProof/>
            <w:webHidden/>
          </w:rPr>
          <w:instrText xml:space="preserve"> PAGEREF _Toc431225203 \h </w:instrText>
        </w:r>
        <w:r w:rsidR="005E2C32">
          <w:rPr>
            <w:noProof/>
            <w:webHidden/>
          </w:rPr>
        </w:r>
        <w:r w:rsidR="005E2C32">
          <w:rPr>
            <w:noProof/>
            <w:webHidden/>
          </w:rPr>
          <w:fldChar w:fldCharType="separate"/>
        </w:r>
        <w:r w:rsidR="005E2C32">
          <w:rPr>
            <w:noProof/>
            <w:webHidden/>
          </w:rPr>
          <w:t>149</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04" w:history="1">
        <w:r w:rsidR="005E2C32" w:rsidRPr="00324D59">
          <w:rPr>
            <w:rStyle w:val="Hyperlink"/>
            <w:noProof/>
          </w:rPr>
          <w:t>8.6</w:t>
        </w:r>
        <w:r w:rsidR="005E2C32">
          <w:rPr>
            <w:rFonts w:eastAsiaTheme="minorEastAsia"/>
            <w:smallCaps w:val="0"/>
            <w:noProof/>
            <w:sz w:val="22"/>
            <w:szCs w:val="22"/>
            <w:lang w:eastAsia="en-GB"/>
          </w:rPr>
          <w:tab/>
        </w:r>
        <w:r w:rsidR="005E2C32" w:rsidRPr="00324D59">
          <w:rPr>
            <w:rStyle w:val="Hyperlink"/>
            <w:noProof/>
          </w:rPr>
          <w:t>Education and Skills</w:t>
        </w:r>
        <w:r w:rsidR="005E2C32">
          <w:rPr>
            <w:noProof/>
            <w:webHidden/>
          </w:rPr>
          <w:tab/>
        </w:r>
        <w:r w:rsidR="005E2C32">
          <w:rPr>
            <w:noProof/>
            <w:webHidden/>
          </w:rPr>
          <w:fldChar w:fldCharType="begin"/>
        </w:r>
        <w:r w:rsidR="005E2C32">
          <w:rPr>
            <w:noProof/>
            <w:webHidden/>
          </w:rPr>
          <w:instrText xml:space="preserve"> PAGEREF _Toc431225204 \h </w:instrText>
        </w:r>
        <w:r w:rsidR="005E2C32">
          <w:rPr>
            <w:noProof/>
            <w:webHidden/>
          </w:rPr>
        </w:r>
        <w:r w:rsidR="005E2C32">
          <w:rPr>
            <w:noProof/>
            <w:webHidden/>
          </w:rPr>
          <w:fldChar w:fldCharType="separate"/>
        </w:r>
        <w:r w:rsidR="005E2C32">
          <w:rPr>
            <w:noProof/>
            <w:webHidden/>
          </w:rPr>
          <w:t>150</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05" w:history="1">
        <w:r w:rsidR="005E2C32" w:rsidRPr="00324D59">
          <w:rPr>
            <w:rStyle w:val="Hyperlink"/>
            <w:noProof/>
          </w:rPr>
          <w:t>8.7</w:t>
        </w:r>
        <w:r w:rsidR="005E2C32">
          <w:rPr>
            <w:rFonts w:eastAsiaTheme="minorEastAsia"/>
            <w:smallCaps w:val="0"/>
            <w:noProof/>
            <w:sz w:val="22"/>
            <w:szCs w:val="22"/>
            <w:lang w:eastAsia="en-GB"/>
          </w:rPr>
          <w:tab/>
        </w:r>
        <w:r w:rsidR="005E2C32" w:rsidRPr="00324D59">
          <w:rPr>
            <w:rStyle w:val="Hyperlink"/>
            <w:noProof/>
          </w:rPr>
          <w:t>Prevention and Early Intervention</w:t>
        </w:r>
        <w:r w:rsidR="005E2C32">
          <w:rPr>
            <w:noProof/>
            <w:webHidden/>
          </w:rPr>
          <w:tab/>
        </w:r>
        <w:r w:rsidR="005E2C32">
          <w:rPr>
            <w:noProof/>
            <w:webHidden/>
          </w:rPr>
          <w:fldChar w:fldCharType="begin"/>
        </w:r>
        <w:r w:rsidR="005E2C32">
          <w:rPr>
            <w:noProof/>
            <w:webHidden/>
          </w:rPr>
          <w:instrText xml:space="preserve"> PAGEREF _Toc431225205 \h </w:instrText>
        </w:r>
        <w:r w:rsidR="005E2C32">
          <w:rPr>
            <w:noProof/>
            <w:webHidden/>
          </w:rPr>
        </w:r>
        <w:r w:rsidR="005E2C32">
          <w:rPr>
            <w:noProof/>
            <w:webHidden/>
          </w:rPr>
          <w:fldChar w:fldCharType="separate"/>
        </w:r>
        <w:r w:rsidR="005E2C32">
          <w:rPr>
            <w:noProof/>
            <w:webHidden/>
          </w:rPr>
          <w:t>156</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06" w:history="1">
        <w:r w:rsidR="005E2C32" w:rsidRPr="00324D59">
          <w:rPr>
            <w:rStyle w:val="Hyperlink"/>
            <w:noProof/>
          </w:rPr>
          <w:t>8.8</w:t>
        </w:r>
        <w:r w:rsidR="005E2C32">
          <w:rPr>
            <w:rFonts w:eastAsiaTheme="minorEastAsia"/>
            <w:smallCaps w:val="0"/>
            <w:noProof/>
            <w:sz w:val="22"/>
            <w:szCs w:val="22"/>
            <w:lang w:eastAsia="en-GB"/>
          </w:rPr>
          <w:tab/>
        </w:r>
        <w:r w:rsidR="005E2C32" w:rsidRPr="00324D59">
          <w:rPr>
            <w:rStyle w:val="Hyperlink"/>
            <w:noProof/>
          </w:rPr>
          <w:t>Young People who Offend or Reoffend</w:t>
        </w:r>
        <w:r w:rsidR="005E2C32">
          <w:rPr>
            <w:noProof/>
            <w:webHidden/>
          </w:rPr>
          <w:tab/>
        </w:r>
        <w:r w:rsidR="005E2C32">
          <w:rPr>
            <w:noProof/>
            <w:webHidden/>
          </w:rPr>
          <w:fldChar w:fldCharType="begin"/>
        </w:r>
        <w:r w:rsidR="005E2C32">
          <w:rPr>
            <w:noProof/>
            <w:webHidden/>
          </w:rPr>
          <w:instrText xml:space="preserve"> PAGEREF _Toc431225206 \h </w:instrText>
        </w:r>
        <w:r w:rsidR="005E2C32">
          <w:rPr>
            <w:noProof/>
            <w:webHidden/>
          </w:rPr>
        </w:r>
        <w:r w:rsidR="005E2C32">
          <w:rPr>
            <w:noProof/>
            <w:webHidden/>
          </w:rPr>
          <w:fldChar w:fldCharType="separate"/>
        </w:r>
        <w:r w:rsidR="005E2C32">
          <w:rPr>
            <w:noProof/>
            <w:webHidden/>
          </w:rPr>
          <w:t>163</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07" w:history="1">
        <w:r w:rsidR="005E2C32" w:rsidRPr="00324D59">
          <w:rPr>
            <w:rStyle w:val="Hyperlink"/>
            <w:noProof/>
          </w:rPr>
          <w:t>8.9</w:t>
        </w:r>
        <w:r w:rsidR="005E2C32">
          <w:rPr>
            <w:rFonts w:eastAsiaTheme="minorEastAsia"/>
            <w:smallCaps w:val="0"/>
            <w:noProof/>
            <w:sz w:val="22"/>
            <w:szCs w:val="22"/>
            <w:lang w:eastAsia="en-GB"/>
          </w:rPr>
          <w:tab/>
        </w:r>
        <w:r w:rsidR="005E2C32" w:rsidRPr="00324D59">
          <w:rPr>
            <w:rStyle w:val="Hyperlink"/>
            <w:noProof/>
          </w:rPr>
          <w:t>Child Sexual Exploitation (CSE)</w:t>
        </w:r>
        <w:r w:rsidR="005E2C32">
          <w:rPr>
            <w:noProof/>
            <w:webHidden/>
          </w:rPr>
          <w:tab/>
        </w:r>
        <w:r w:rsidR="005E2C32">
          <w:rPr>
            <w:noProof/>
            <w:webHidden/>
          </w:rPr>
          <w:fldChar w:fldCharType="begin"/>
        </w:r>
        <w:r w:rsidR="005E2C32">
          <w:rPr>
            <w:noProof/>
            <w:webHidden/>
          </w:rPr>
          <w:instrText xml:space="preserve"> PAGEREF _Toc431225207 \h </w:instrText>
        </w:r>
        <w:r w:rsidR="005E2C32">
          <w:rPr>
            <w:noProof/>
            <w:webHidden/>
          </w:rPr>
        </w:r>
        <w:r w:rsidR="005E2C32">
          <w:rPr>
            <w:noProof/>
            <w:webHidden/>
          </w:rPr>
          <w:fldChar w:fldCharType="separate"/>
        </w:r>
        <w:r w:rsidR="005E2C32">
          <w:rPr>
            <w:noProof/>
            <w:webHidden/>
          </w:rPr>
          <w:t>164</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08" w:history="1">
        <w:r w:rsidR="005E2C32" w:rsidRPr="00324D59">
          <w:rPr>
            <w:rStyle w:val="Hyperlink"/>
            <w:noProof/>
          </w:rPr>
          <w:t>8.10</w:t>
        </w:r>
        <w:r w:rsidR="005E2C32">
          <w:rPr>
            <w:rFonts w:eastAsiaTheme="minorEastAsia"/>
            <w:smallCaps w:val="0"/>
            <w:noProof/>
            <w:sz w:val="22"/>
            <w:szCs w:val="22"/>
            <w:lang w:eastAsia="en-GB"/>
          </w:rPr>
          <w:tab/>
        </w:r>
        <w:r w:rsidR="005E2C32" w:rsidRPr="00324D59">
          <w:rPr>
            <w:rStyle w:val="Hyperlink"/>
            <w:noProof/>
          </w:rPr>
          <w:t>Gangs</w:t>
        </w:r>
        <w:r w:rsidR="005E2C32">
          <w:rPr>
            <w:noProof/>
            <w:webHidden/>
          </w:rPr>
          <w:tab/>
        </w:r>
        <w:r w:rsidR="005E2C32">
          <w:rPr>
            <w:noProof/>
            <w:webHidden/>
          </w:rPr>
          <w:fldChar w:fldCharType="begin"/>
        </w:r>
        <w:r w:rsidR="005E2C32">
          <w:rPr>
            <w:noProof/>
            <w:webHidden/>
          </w:rPr>
          <w:instrText xml:space="preserve"> PAGEREF _Toc431225208 \h </w:instrText>
        </w:r>
        <w:r w:rsidR="005E2C32">
          <w:rPr>
            <w:noProof/>
            <w:webHidden/>
          </w:rPr>
        </w:r>
        <w:r w:rsidR="005E2C32">
          <w:rPr>
            <w:noProof/>
            <w:webHidden/>
          </w:rPr>
          <w:fldChar w:fldCharType="separate"/>
        </w:r>
        <w:r w:rsidR="005E2C32">
          <w:rPr>
            <w:noProof/>
            <w:webHidden/>
          </w:rPr>
          <w:t>165</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09" w:history="1">
        <w:r w:rsidR="005E2C32" w:rsidRPr="00324D59">
          <w:rPr>
            <w:rStyle w:val="Hyperlink"/>
            <w:noProof/>
          </w:rPr>
          <w:t>8.11</w:t>
        </w:r>
        <w:r w:rsidR="005E2C32">
          <w:rPr>
            <w:rFonts w:eastAsiaTheme="minorEastAsia"/>
            <w:smallCaps w:val="0"/>
            <w:noProof/>
            <w:sz w:val="22"/>
            <w:szCs w:val="22"/>
            <w:lang w:eastAsia="en-GB"/>
          </w:rPr>
          <w:tab/>
        </w:r>
        <w:r w:rsidR="005E2C32" w:rsidRPr="00324D59">
          <w:rPr>
            <w:rStyle w:val="Hyperlink"/>
            <w:noProof/>
          </w:rPr>
          <w:t>Missing</w:t>
        </w:r>
        <w:r w:rsidR="005E2C32">
          <w:rPr>
            <w:noProof/>
            <w:webHidden/>
          </w:rPr>
          <w:tab/>
        </w:r>
        <w:r w:rsidR="005E2C32">
          <w:rPr>
            <w:noProof/>
            <w:webHidden/>
          </w:rPr>
          <w:fldChar w:fldCharType="begin"/>
        </w:r>
        <w:r w:rsidR="005E2C32">
          <w:rPr>
            <w:noProof/>
            <w:webHidden/>
          </w:rPr>
          <w:instrText xml:space="preserve"> PAGEREF _Toc431225209 \h </w:instrText>
        </w:r>
        <w:r w:rsidR="005E2C32">
          <w:rPr>
            <w:noProof/>
            <w:webHidden/>
          </w:rPr>
        </w:r>
        <w:r w:rsidR="005E2C32">
          <w:rPr>
            <w:noProof/>
            <w:webHidden/>
          </w:rPr>
          <w:fldChar w:fldCharType="separate"/>
        </w:r>
        <w:r w:rsidR="005E2C32">
          <w:rPr>
            <w:noProof/>
            <w:webHidden/>
          </w:rPr>
          <w:t>166</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10" w:history="1">
        <w:r w:rsidR="005E2C32" w:rsidRPr="00324D59">
          <w:rPr>
            <w:rStyle w:val="Hyperlink"/>
            <w:noProof/>
          </w:rPr>
          <w:t>8.12</w:t>
        </w:r>
        <w:r w:rsidR="005E2C32">
          <w:rPr>
            <w:rFonts w:eastAsiaTheme="minorEastAsia"/>
            <w:smallCaps w:val="0"/>
            <w:noProof/>
            <w:sz w:val="22"/>
            <w:szCs w:val="22"/>
            <w:lang w:eastAsia="en-GB"/>
          </w:rPr>
          <w:tab/>
        </w:r>
        <w:r w:rsidR="005E2C32" w:rsidRPr="00324D59">
          <w:rPr>
            <w:rStyle w:val="Hyperlink"/>
            <w:noProof/>
          </w:rPr>
          <w:t>Domestic Violence, Parental Substance Misuse, Parental Mental Ill Health (Toxic Trio)</w:t>
        </w:r>
        <w:r w:rsidR="005E2C32">
          <w:rPr>
            <w:noProof/>
            <w:webHidden/>
          </w:rPr>
          <w:tab/>
        </w:r>
        <w:r w:rsidR="005E2C32">
          <w:rPr>
            <w:noProof/>
            <w:webHidden/>
          </w:rPr>
          <w:fldChar w:fldCharType="begin"/>
        </w:r>
        <w:r w:rsidR="005E2C32">
          <w:rPr>
            <w:noProof/>
            <w:webHidden/>
          </w:rPr>
          <w:instrText xml:space="preserve"> PAGEREF _Toc431225210 \h </w:instrText>
        </w:r>
        <w:r w:rsidR="005E2C32">
          <w:rPr>
            <w:noProof/>
            <w:webHidden/>
          </w:rPr>
        </w:r>
        <w:r w:rsidR="005E2C32">
          <w:rPr>
            <w:noProof/>
            <w:webHidden/>
          </w:rPr>
          <w:fldChar w:fldCharType="separate"/>
        </w:r>
        <w:r w:rsidR="005E2C32">
          <w:rPr>
            <w:noProof/>
            <w:webHidden/>
          </w:rPr>
          <w:t>167</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11" w:history="1">
        <w:r w:rsidR="005E2C32" w:rsidRPr="00324D59">
          <w:rPr>
            <w:rStyle w:val="Hyperlink"/>
            <w:noProof/>
          </w:rPr>
          <w:t>8.13</w:t>
        </w:r>
        <w:r w:rsidR="005E2C32">
          <w:rPr>
            <w:rFonts w:eastAsiaTheme="minorEastAsia"/>
            <w:smallCaps w:val="0"/>
            <w:noProof/>
            <w:sz w:val="22"/>
            <w:szCs w:val="22"/>
            <w:lang w:eastAsia="en-GB"/>
          </w:rPr>
          <w:tab/>
        </w:r>
        <w:r w:rsidR="005E2C32" w:rsidRPr="00324D59">
          <w:rPr>
            <w:rStyle w:val="Hyperlink"/>
            <w:noProof/>
          </w:rPr>
          <w:t>Child and Adolescent Mental Health</w:t>
        </w:r>
        <w:r w:rsidR="005E2C32">
          <w:rPr>
            <w:noProof/>
            <w:webHidden/>
          </w:rPr>
          <w:tab/>
        </w:r>
        <w:r w:rsidR="005E2C32">
          <w:rPr>
            <w:noProof/>
            <w:webHidden/>
          </w:rPr>
          <w:fldChar w:fldCharType="begin"/>
        </w:r>
        <w:r w:rsidR="005E2C32">
          <w:rPr>
            <w:noProof/>
            <w:webHidden/>
          </w:rPr>
          <w:instrText xml:space="preserve"> PAGEREF _Toc431225211 \h </w:instrText>
        </w:r>
        <w:r w:rsidR="005E2C32">
          <w:rPr>
            <w:noProof/>
            <w:webHidden/>
          </w:rPr>
        </w:r>
        <w:r w:rsidR="005E2C32">
          <w:rPr>
            <w:noProof/>
            <w:webHidden/>
          </w:rPr>
          <w:fldChar w:fldCharType="separate"/>
        </w:r>
        <w:r w:rsidR="005E2C32">
          <w:rPr>
            <w:noProof/>
            <w:webHidden/>
          </w:rPr>
          <w:t>168</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12" w:history="1">
        <w:r w:rsidR="005E2C32" w:rsidRPr="00324D59">
          <w:rPr>
            <w:rStyle w:val="Hyperlink"/>
            <w:noProof/>
          </w:rPr>
          <w:t>8.14</w:t>
        </w:r>
        <w:r w:rsidR="005E2C32">
          <w:rPr>
            <w:rFonts w:eastAsiaTheme="minorEastAsia"/>
            <w:smallCaps w:val="0"/>
            <w:noProof/>
            <w:sz w:val="22"/>
            <w:szCs w:val="22"/>
            <w:lang w:eastAsia="en-GB"/>
          </w:rPr>
          <w:tab/>
        </w:r>
        <w:r w:rsidR="005E2C32" w:rsidRPr="00324D59">
          <w:rPr>
            <w:rStyle w:val="Hyperlink"/>
            <w:noProof/>
          </w:rPr>
          <w:t>Young Carers</w:t>
        </w:r>
        <w:r w:rsidR="005E2C32">
          <w:rPr>
            <w:noProof/>
            <w:webHidden/>
          </w:rPr>
          <w:tab/>
        </w:r>
        <w:r w:rsidR="005E2C32">
          <w:rPr>
            <w:noProof/>
            <w:webHidden/>
          </w:rPr>
          <w:fldChar w:fldCharType="begin"/>
        </w:r>
        <w:r w:rsidR="005E2C32">
          <w:rPr>
            <w:noProof/>
            <w:webHidden/>
          </w:rPr>
          <w:instrText xml:space="preserve"> PAGEREF _Toc431225212 \h </w:instrText>
        </w:r>
        <w:r w:rsidR="005E2C32">
          <w:rPr>
            <w:noProof/>
            <w:webHidden/>
          </w:rPr>
        </w:r>
        <w:r w:rsidR="005E2C32">
          <w:rPr>
            <w:noProof/>
            <w:webHidden/>
          </w:rPr>
          <w:fldChar w:fldCharType="separate"/>
        </w:r>
        <w:r w:rsidR="005E2C32">
          <w:rPr>
            <w:noProof/>
            <w:webHidden/>
          </w:rPr>
          <w:t>170</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13" w:history="1">
        <w:r w:rsidR="005E2C32" w:rsidRPr="00324D59">
          <w:rPr>
            <w:rStyle w:val="Hyperlink"/>
            <w:noProof/>
          </w:rPr>
          <w:t>8.15</w:t>
        </w:r>
        <w:r w:rsidR="005E2C32">
          <w:rPr>
            <w:rFonts w:eastAsiaTheme="minorEastAsia"/>
            <w:smallCaps w:val="0"/>
            <w:noProof/>
            <w:sz w:val="22"/>
            <w:szCs w:val="22"/>
            <w:lang w:eastAsia="en-GB"/>
          </w:rPr>
          <w:tab/>
        </w:r>
        <w:r w:rsidR="005E2C32" w:rsidRPr="00324D59">
          <w:rPr>
            <w:rStyle w:val="Hyperlink"/>
            <w:noProof/>
          </w:rPr>
          <w:t>Child Poverty</w:t>
        </w:r>
        <w:r w:rsidR="005E2C32">
          <w:rPr>
            <w:noProof/>
            <w:webHidden/>
          </w:rPr>
          <w:tab/>
        </w:r>
        <w:r w:rsidR="005E2C32">
          <w:rPr>
            <w:noProof/>
            <w:webHidden/>
          </w:rPr>
          <w:fldChar w:fldCharType="begin"/>
        </w:r>
        <w:r w:rsidR="005E2C32">
          <w:rPr>
            <w:noProof/>
            <w:webHidden/>
          </w:rPr>
          <w:instrText xml:space="preserve"> PAGEREF _Toc431225213 \h </w:instrText>
        </w:r>
        <w:r w:rsidR="005E2C32">
          <w:rPr>
            <w:noProof/>
            <w:webHidden/>
          </w:rPr>
        </w:r>
        <w:r w:rsidR="005E2C32">
          <w:rPr>
            <w:noProof/>
            <w:webHidden/>
          </w:rPr>
          <w:fldChar w:fldCharType="separate"/>
        </w:r>
        <w:r w:rsidR="005E2C32">
          <w:rPr>
            <w:noProof/>
            <w:webHidden/>
          </w:rPr>
          <w:t>173</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14" w:history="1">
        <w:r w:rsidR="005E2C32" w:rsidRPr="00324D59">
          <w:rPr>
            <w:rStyle w:val="Hyperlink"/>
            <w:noProof/>
          </w:rPr>
          <w:t>8.16</w:t>
        </w:r>
        <w:r w:rsidR="005E2C32">
          <w:rPr>
            <w:rFonts w:eastAsiaTheme="minorEastAsia"/>
            <w:smallCaps w:val="0"/>
            <w:noProof/>
            <w:sz w:val="22"/>
            <w:szCs w:val="22"/>
            <w:lang w:eastAsia="en-GB"/>
          </w:rPr>
          <w:tab/>
        </w:r>
        <w:r w:rsidR="005E2C32" w:rsidRPr="00324D59">
          <w:rPr>
            <w:rStyle w:val="Hyperlink"/>
            <w:noProof/>
          </w:rPr>
          <w:t>Voice of the Child</w:t>
        </w:r>
        <w:r w:rsidR="005E2C32">
          <w:rPr>
            <w:noProof/>
            <w:webHidden/>
          </w:rPr>
          <w:tab/>
        </w:r>
        <w:r w:rsidR="005E2C32">
          <w:rPr>
            <w:noProof/>
            <w:webHidden/>
          </w:rPr>
          <w:fldChar w:fldCharType="begin"/>
        </w:r>
        <w:r w:rsidR="005E2C32">
          <w:rPr>
            <w:noProof/>
            <w:webHidden/>
          </w:rPr>
          <w:instrText xml:space="preserve"> PAGEREF _Toc431225214 \h </w:instrText>
        </w:r>
        <w:r w:rsidR="005E2C32">
          <w:rPr>
            <w:noProof/>
            <w:webHidden/>
          </w:rPr>
        </w:r>
        <w:r w:rsidR="005E2C32">
          <w:rPr>
            <w:noProof/>
            <w:webHidden/>
          </w:rPr>
          <w:fldChar w:fldCharType="separate"/>
        </w:r>
        <w:r w:rsidR="005E2C32">
          <w:rPr>
            <w:noProof/>
            <w:webHidden/>
          </w:rPr>
          <w:t>178</w:t>
        </w:r>
        <w:r w:rsidR="005E2C32">
          <w:rPr>
            <w:noProof/>
            <w:webHidden/>
          </w:rPr>
          <w:fldChar w:fldCharType="end"/>
        </w:r>
      </w:hyperlink>
    </w:p>
    <w:p w:rsidR="005E2C32" w:rsidRDefault="00146202">
      <w:pPr>
        <w:pStyle w:val="TOC1"/>
        <w:tabs>
          <w:tab w:val="left" w:pos="440"/>
          <w:tab w:val="right" w:leader="dot" w:pos="9016"/>
        </w:tabs>
        <w:rPr>
          <w:rFonts w:eastAsiaTheme="minorEastAsia"/>
          <w:b w:val="0"/>
          <w:bCs w:val="0"/>
          <w:caps w:val="0"/>
          <w:noProof/>
          <w:sz w:val="22"/>
          <w:szCs w:val="22"/>
          <w:lang w:eastAsia="en-GB"/>
        </w:rPr>
      </w:pPr>
      <w:hyperlink w:anchor="_Toc431225215" w:history="1">
        <w:r w:rsidR="005E2C32" w:rsidRPr="00324D59">
          <w:rPr>
            <w:rStyle w:val="Hyperlink"/>
            <w:noProof/>
          </w:rPr>
          <w:t>9</w:t>
        </w:r>
        <w:r w:rsidR="005E2C32">
          <w:rPr>
            <w:rFonts w:eastAsiaTheme="minorEastAsia"/>
            <w:b w:val="0"/>
            <w:bCs w:val="0"/>
            <w:caps w:val="0"/>
            <w:noProof/>
            <w:sz w:val="22"/>
            <w:szCs w:val="22"/>
            <w:lang w:eastAsia="en-GB"/>
          </w:rPr>
          <w:tab/>
        </w:r>
        <w:r w:rsidR="005E2C32" w:rsidRPr="00324D59">
          <w:rPr>
            <w:rStyle w:val="Hyperlink"/>
            <w:noProof/>
          </w:rPr>
          <w:t>Adult Social Care</w:t>
        </w:r>
        <w:r w:rsidR="005E2C32">
          <w:rPr>
            <w:noProof/>
            <w:webHidden/>
          </w:rPr>
          <w:tab/>
        </w:r>
        <w:r w:rsidR="005E2C32">
          <w:rPr>
            <w:noProof/>
            <w:webHidden/>
          </w:rPr>
          <w:fldChar w:fldCharType="begin"/>
        </w:r>
        <w:r w:rsidR="005E2C32">
          <w:rPr>
            <w:noProof/>
            <w:webHidden/>
          </w:rPr>
          <w:instrText xml:space="preserve"> PAGEREF _Toc431225215 \h </w:instrText>
        </w:r>
        <w:r w:rsidR="005E2C32">
          <w:rPr>
            <w:noProof/>
            <w:webHidden/>
          </w:rPr>
        </w:r>
        <w:r w:rsidR="005E2C32">
          <w:rPr>
            <w:noProof/>
            <w:webHidden/>
          </w:rPr>
          <w:fldChar w:fldCharType="separate"/>
        </w:r>
        <w:r w:rsidR="005E2C32">
          <w:rPr>
            <w:noProof/>
            <w:webHidden/>
          </w:rPr>
          <w:t>180</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17" w:history="1">
        <w:r w:rsidR="005E2C32" w:rsidRPr="00324D59">
          <w:rPr>
            <w:rStyle w:val="Hyperlink"/>
            <w:noProof/>
          </w:rPr>
          <w:t>9.1</w:t>
        </w:r>
        <w:r w:rsidR="005E2C32">
          <w:rPr>
            <w:rFonts w:eastAsiaTheme="minorEastAsia"/>
            <w:smallCaps w:val="0"/>
            <w:noProof/>
            <w:sz w:val="22"/>
            <w:szCs w:val="22"/>
            <w:lang w:eastAsia="en-GB"/>
          </w:rPr>
          <w:tab/>
        </w:r>
        <w:r w:rsidR="005E2C32" w:rsidRPr="00324D59">
          <w:rPr>
            <w:rStyle w:val="Hyperlink"/>
            <w:noProof/>
          </w:rPr>
          <w:t>Key Facts</w:t>
        </w:r>
        <w:r w:rsidR="005E2C32">
          <w:rPr>
            <w:noProof/>
            <w:webHidden/>
          </w:rPr>
          <w:tab/>
        </w:r>
        <w:r w:rsidR="005E2C32">
          <w:rPr>
            <w:noProof/>
            <w:webHidden/>
          </w:rPr>
          <w:fldChar w:fldCharType="begin"/>
        </w:r>
        <w:r w:rsidR="005E2C32">
          <w:rPr>
            <w:noProof/>
            <w:webHidden/>
          </w:rPr>
          <w:instrText xml:space="preserve"> PAGEREF _Toc431225217 \h </w:instrText>
        </w:r>
        <w:r w:rsidR="005E2C32">
          <w:rPr>
            <w:noProof/>
            <w:webHidden/>
          </w:rPr>
        </w:r>
        <w:r w:rsidR="005E2C32">
          <w:rPr>
            <w:noProof/>
            <w:webHidden/>
          </w:rPr>
          <w:fldChar w:fldCharType="separate"/>
        </w:r>
        <w:r w:rsidR="005E2C32">
          <w:rPr>
            <w:noProof/>
            <w:webHidden/>
          </w:rPr>
          <w:t>180</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18" w:history="1">
        <w:r w:rsidR="005E2C32" w:rsidRPr="00324D59">
          <w:rPr>
            <w:rStyle w:val="Hyperlink"/>
            <w:noProof/>
          </w:rPr>
          <w:t>9.2</w:t>
        </w:r>
        <w:r w:rsidR="005E2C32">
          <w:rPr>
            <w:rFonts w:eastAsiaTheme="minorEastAsia"/>
            <w:smallCaps w:val="0"/>
            <w:noProof/>
            <w:sz w:val="22"/>
            <w:szCs w:val="22"/>
            <w:lang w:eastAsia="en-GB"/>
          </w:rPr>
          <w:tab/>
        </w:r>
        <w:r w:rsidR="005E2C32" w:rsidRPr="00324D59">
          <w:rPr>
            <w:rStyle w:val="Hyperlink"/>
            <w:noProof/>
          </w:rPr>
          <w:t>Strategic Needs</w:t>
        </w:r>
        <w:r w:rsidR="005E2C32">
          <w:rPr>
            <w:noProof/>
            <w:webHidden/>
          </w:rPr>
          <w:tab/>
        </w:r>
        <w:r w:rsidR="005E2C32">
          <w:rPr>
            <w:noProof/>
            <w:webHidden/>
          </w:rPr>
          <w:fldChar w:fldCharType="begin"/>
        </w:r>
        <w:r w:rsidR="005E2C32">
          <w:rPr>
            <w:noProof/>
            <w:webHidden/>
          </w:rPr>
          <w:instrText xml:space="preserve"> PAGEREF _Toc431225218 \h </w:instrText>
        </w:r>
        <w:r w:rsidR="005E2C32">
          <w:rPr>
            <w:noProof/>
            <w:webHidden/>
          </w:rPr>
        </w:r>
        <w:r w:rsidR="005E2C32">
          <w:rPr>
            <w:noProof/>
            <w:webHidden/>
          </w:rPr>
          <w:fldChar w:fldCharType="separate"/>
        </w:r>
        <w:r w:rsidR="005E2C32">
          <w:rPr>
            <w:noProof/>
            <w:webHidden/>
          </w:rPr>
          <w:t>180</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19" w:history="1">
        <w:r w:rsidR="005E2C32" w:rsidRPr="00324D59">
          <w:rPr>
            <w:rStyle w:val="Hyperlink"/>
            <w:noProof/>
          </w:rPr>
          <w:t>9.3</w:t>
        </w:r>
        <w:r w:rsidR="005E2C32">
          <w:rPr>
            <w:rFonts w:eastAsiaTheme="minorEastAsia"/>
            <w:smallCaps w:val="0"/>
            <w:noProof/>
            <w:sz w:val="22"/>
            <w:szCs w:val="22"/>
            <w:lang w:eastAsia="en-GB"/>
          </w:rPr>
          <w:tab/>
        </w:r>
        <w:r w:rsidR="005E2C32" w:rsidRPr="00324D59">
          <w:rPr>
            <w:rStyle w:val="Hyperlink"/>
            <w:noProof/>
          </w:rPr>
          <w:t>Service User Profile</w:t>
        </w:r>
        <w:r w:rsidR="005E2C32">
          <w:rPr>
            <w:noProof/>
            <w:webHidden/>
          </w:rPr>
          <w:tab/>
        </w:r>
        <w:r w:rsidR="005E2C32">
          <w:rPr>
            <w:noProof/>
            <w:webHidden/>
          </w:rPr>
          <w:fldChar w:fldCharType="begin"/>
        </w:r>
        <w:r w:rsidR="005E2C32">
          <w:rPr>
            <w:noProof/>
            <w:webHidden/>
          </w:rPr>
          <w:instrText xml:space="preserve"> PAGEREF _Toc431225219 \h </w:instrText>
        </w:r>
        <w:r w:rsidR="005E2C32">
          <w:rPr>
            <w:noProof/>
            <w:webHidden/>
          </w:rPr>
        </w:r>
        <w:r w:rsidR="005E2C32">
          <w:rPr>
            <w:noProof/>
            <w:webHidden/>
          </w:rPr>
          <w:fldChar w:fldCharType="separate"/>
        </w:r>
        <w:r w:rsidR="005E2C32">
          <w:rPr>
            <w:noProof/>
            <w:webHidden/>
          </w:rPr>
          <w:t>181</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20" w:history="1">
        <w:r w:rsidR="005E2C32" w:rsidRPr="00324D59">
          <w:rPr>
            <w:rStyle w:val="Hyperlink"/>
            <w:noProof/>
          </w:rPr>
          <w:t>9.4</w:t>
        </w:r>
        <w:r w:rsidR="005E2C32">
          <w:rPr>
            <w:rFonts w:eastAsiaTheme="minorEastAsia"/>
            <w:smallCaps w:val="0"/>
            <w:noProof/>
            <w:sz w:val="22"/>
            <w:szCs w:val="22"/>
            <w:lang w:eastAsia="en-GB"/>
          </w:rPr>
          <w:tab/>
        </w:r>
        <w:r w:rsidR="005E2C32" w:rsidRPr="00324D59">
          <w:rPr>
            <w:rStyle w:val="Hyperlink"/>
            <w:noProof/>
          </w:rPr>
          <w:t>The Care Act 2014</w:t>
        </w:r>
        <w:r w:rsidR="005E2C32">
          <w:rPr>
            <w:noProof/>
            <w:webHidden/>
          </w:rPr>
          <w:tab/>
        </w:r>
        <w:r w:rsidR="005E2C32">
          <w:rPr>
            <w:noProof/>
            <w:webHidden/>
          </w:rPr>
          <w:fldChar w:fldCharType="begin"/>
        </w:r>
        <w:r w:rsidR="005E2C32">
          <w:rPr>
            <w:noProof/>
            <w:webHidden/>
          </w:rPr>
          <w:instrText xml:space="preserve"> PAGEREF _Toc431225220 \h </w:instrText>
        </w:r>
        <w:r w:rsidR="005E2C32">
          <w:rPr>
            <w:noProof/>
            <w:webHidden/>
          </w:rPr>
        </w:r>
        <w:r w:rsidR="005E2C32">
          <w:rPr>
            <w:noProof/>
            <w:webHidden/>
          </w:rPr>
          <w:fldChar w:fldCharType="separate"/>
        </w:r>
        <w:r w:rsidR="005E2C32">
          <w:rPr>
            <w:noProof/>
            <w:webHidden/>
          </w:rPr>
          <w:t>182</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21" w:history="1">
        <w:r w:rsidR="005E2C32" w:rsidRPr="00324D59">
          <w:rPr>
            <w:rStyle w:val="Hyperlink"/>
            <w:noProof/>
          </w:rPr>
          <w:t>9.5</w:t>
        </w:r>
        <w:r w:rsidR="005E2C32">
          <w:rPr>
            <w:rFonts w:eastAsiaTheme="minorEastAsia"/>
            <w:smallCaps w:val="0"/>
            <w:noProof/>
            <w:sz w:val="22"/>
            <w:szCs w:val="22"/>
            <w:lang w:eastAsia="en-GB"/>
          </w:rPr>
          <w:tab/>
        </w:r>
        <w:r w:rsidR="005E2C32" w:rsidRPr="00324D59">
          <w:rPr>
            <w:rStyle w:val="Hyperlink"/>
            <w:noProof/>
          </w:rPr>
          <w:t>Residential &amp; Nursing Care</w:t>
        </w:r>
        <w:r w:rsidR="005E2C32">
          <w:rPr>
            <w:noProof/>
            <w:webHidden/>
          </w:rPr>
          <w:tab/>
        </w:r>
        <w:r w:rsidR="005E2C32">
          <w:rPr>
            <w:noProof/>
            <w:webHidden/>
          </w:rPr>
          <w:fldChar w:fldCharType="begin"/>
        </w:r>
        <w:r w:rsidR="005E2C32">
          <w:rPr>
            <w:noProof/>
            <w:webHidden/>
          </w:rPr>
          <w:instrText xml:space="preserve"> PAGEREF _Toc431225221 \h </w:instrText>
        </w:r>
        <w:r w:rsidR="005E2C32">
          <w:rPr>
            <w:noProof/>
            <w:webHidden/>
          </w:rPr>
        </w:r>
        <w:r w:rsidR="005E2C32">
          <w:rPr>
            <w:noProof/>
            <w:webHidden/>
          </w:rPr>
          <w:fldChar w:fldCharType="separate"/>
        </w:r>
        <w:r w:rsidR="005E2C32">
          <w:rPr>
            <w:noProof/>
            <w:webHidden/>
          </w:rPr>
          <w:t>182</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22" w:history="1">
        <w:r w:rsidR="005E2C32" w:rsidRPr="00324D59">
          <w:rPr>
            <w:rStyle w:val="Hyperlink"/>
            <w:noProof/>
          </w:rPr>
          <w:t>9.6</w:t>
        </w:r>
        <w:r w:rsidR="005E2C32">
          <w:rPr>
            <w:rFonts w:eastAsiaTheme="minorEastAsia"/>
            <w:smallCaps w:val="0"/>
            <w:noProof/>
            <w:sz w:val="22"/>
            <w:szCs w:val="22"/>
            <w:lang w:eastAsia="en-GB"/>
          </w:rPr>
          <w:tab/>
        </w:r>
        <w:r w:rsidR="005E2C32" w:rsidRPr="00324D59">
          <w:rPr>
            <w:rStyle w:val="Hyperlink"/>
            <w:noProof/>
          </w:rPr>
          <w:t>Enablement</w:t>
        </w:r>
        <w:r w:rsidR="005E2C32">
          <w:rPr>
            <w:noProof/>
            <w:webHidden/>
          </w:rPr>
          <w:tab/>
        </w:r>
        <w:r w:rsidR="005E2C32">
          <w:rPr>
            <w:noProof/>
            <w:webHidden/>
          </w:rPr>
          <w:fldChar w:fldCharType="begin"/>
        </w:r>
        <w:r w:rsidR="005E2C32">
          <w:rPr>
            <w:noProof/>
            <w:webHidden/>
          </w:rPr>
          <w:instrText xml:space="preserve"> PAGEREF _Toc431225222 \h </w:instrText>
        </w:r>
        <w:r w:rsidR="005E2C32">
          <w:rPr>
            <w:noProof/>
            <w:webHidden/>
          </w:rPr>
        </w:r>
        <w:r w:rsidR="005E2C32">
          <w:rPr>
            <w:noProof/>
            <w:webHidden/>
          </w:rPr>
          <w:fldChar w:fldCharType="separate"/>
        </w:r>
        <w:r w:rsidR="005E2C32">
          <w:rPr>
            <w:noProof/>
            <w:webHidden/>
          </w:rPr>
          <w:t>183</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23" w:history="1">
        <w:r w:rsidR="005E2C32" w:rsidRPr="00324D59">
          <w:rPr>
            <w:rStyle w:val="Hyperlink"/>
            <w:noProof/>
          </w:rPr>
          <w:t>9.7</w:t>
        </w:r>
        <w:r w:rsidR="005E2C32">
          <w:rPr>
            <w:rFonts w:eastAsiaTheme="minorEastAsia"/>
            <w:smallCaps w:val="0"/>
            <w:noProof/>
            <w:sz w:val="22"/>
            <w:szCs w:val="22"/>
            <w:lang w:eastAsia="en-GB"/>
          </w:rPr>
          <w:tab/>
        </w:r>
        <w:r w:rsidR="005E2C32" w:rsidRPr="00324D59">
          <w:rPr>
            <w:rStyle w:val="Hyperlink"/>
            <w:noProof/>
          </w:rPr>
          <w:t>Self-Directed Support and Direct Payments</w:t>
        </w:r>
        <w:r w:rsidR="005E2C32">
          <w:rPr>
            <w:noProof/>
            <w:webHidden/>
          </w:rPr>
          <w:tab/>
        </w:r>
        <w:r w:rsidR="005E2C32">
          <w:rPr>
            <w:noProof/>
            <w:webHidden/>
          </w:rPr>
          <w:fldChar w:fldCharType="begin"/>
        </w:r>
        <w:r w:rsidR="005E2C32">
          <w:rPr>
            <w:noProof/>
            <w:webHidden/>
          </w:rPr>
          <w:instrText xml:space="preserve"> PAGEREF _Toc431225223 \h </w:instrText>
        </w:r>
        <w:r w:rsidR="005E2C32">
          <w:rPr>
            <w:noProof/>
            <w:webHidden/>
          </w:rPr>
        </w:r>
        <w:r w:rsidR="005E2C32">
          <w:rPr>
            <w:noProof/>
            <w:webHidden/>
          </w:rPr>
          <w:fldChar w:fldCharType="separate"/>
        </w:r>
        <w:r w:rsidR="005E2C32">
          <w:rPr>
            <w:noProof/>
            <w:webHidden/>
          </w:rPr>
          <w:t>185</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24" w:history="1">
        <w:r w:rsidR="005E2C32" w:rsidRPr="00324D59">
          <w:rPr>
            <w:rStyle w:val="Hyperlink"/>
            <w:noProof/>
          </w:rPr>
          <w:t>9.8</w:t>
        </w:r>
        <w:r w:rsidR="005E2C32">
          <w:rPr>
            <w:rFonts w:eastAsiaTheme="minorEastAsia"/>
            <w:smallCaps w:val="0"/>
            <w:noProof/>
            <w:sz w:val="22"/>
            <w:szCs w:val="22"/>
            <w:lang w:eastAsia="en-GB"/>
          </w:rPr>
          <w:tab/>
        </w:r>
        <w:r w:rsidR="005E2C32" w:rsidRPr="00324D59">
          <w:rPr>
            <w:rStyle w:val="Hyperlink"/>
            <w:noProof/>
          </w:rPr>
          <w:t>Community Care</w:t>
        </w:r>
        <w:r w:rsidR="005E2C32">
          <w:rPr>
            <w:noProof/>
            <w:webHidden/>
          </w:rPr>
          <w:tab/>
        </w:r>
        <w:r w:rsidR="005E2C32">
          <w:rPr>
            <w:noProof/>
            <w:webHidden/>
          </w:rPr>
          <w:fldChar w:fldCharType="begin"/>
        </w:r>
        <w:r w:rsidR="005E2C32">
          <w:rPr>
            <w:noProof/>
            <w:webHidden/>
          </w:rPr>
          <w:instrText xml:space="preserve"> PAGEREF _Toc431225224 \h </w:instrText>
        </w:r>
        <w:r w:rsidR="005E2C32">
          <w:rPr>
            <w:noProof/>
            <w:webHidden/>
          </w:rPr>
        </w:r>
        <w:r w:rsidR="005E2C32">
          <w:rPr>
            <w:noProof/>
            <w:webHidden/>
          </w:rPr>
          <w:fldChar w:fldCharType="separate"/>
        </w:r>
        <w:r w:rsidR="005E2C32">
          <w:rPr>
            <w:noProof/>
            <w:webHidden/>
          </w:rPr>
          <w:t>187</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25" w:history="1">
        <w:r w:rsidR="005E2C32" w:rsidRPr="00324D59">
          <w:rPr>
            <w:rStyle w:val="Hyperlink"/>
            <w:noProof/>
          </w:rPr>
          <w:t>9.9</w:t>
        </w:r>
        <w:r w:rsidR="005E2C32">
          <w:rPr>
            <w:rFonts w:eastAsiaTheme="minorEastAsia"/>
            <w:smallCaps w:val="0"/>
            <w:noProof/>
            <w:sz w:val="22"/>
            <w:szCs w:val="22"/>
            <w:lang w:eastAsia="en-GB"/>
          </w:rPr>
          <w:tab/>
        </w:r>
        <w:r w:rsidR="005E2C32" w:rsidRPr="00324D59">
          <w:rPr>
            <w:rStyle w:val="Hyperlink"/>
            <w:noProof/>
          </w:rPr>
          <w:t>Carers</w:t>
        </w:r>
        <w:r w:rsidR="005E2C32">
          <w:rPr>
            <w:noProof/>
            <w:webHidden/>
          </w:rPr>
          <w:tab/>
        </w:r>
        <w:r w:rsidR="005E2C32">
          <w:rPr>
            <w:noProof/>
            <w:webHidden/>
          </w:rPr>
          <w:fldChar w:fldCharType="begin"/>
        </w:r>
        <w:r w:rsidR="005E2C32">
          <w:rPr>
            <w:noProof/>
            <w:webHidden/>
          </w:rPr>
          <w:instrText xml:space="preserve"> PAGEREF _Toc431225225 \h </w:instrText>
        </w:r>
        <w:r w:rsidR="005E2C32">
          <w:rPr>
            <w:noProof/>
            <w:webHidden/>
          </w:rPr>
        </w:r>
        <w:r w:rsidR="005E2C32">
          <w:rPr>
            <w:noProof/>
            <w:webHidden/>
          </w:rPr>
          <w:fldChar w:fldCharType="separate"/>
        </w:r>
        <w:r w:rsidR="005E2C32">
          <w:rPr>
            <w:noProof/>
            <w:webHidden/>
          </w:rPr>
          <w:t>191</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26" w:history="1">
        <w:r w:rsidR="005E2C32" w:rsidRPr="00324D59">
          <w:rPr>
            <w:rStyle w:val="Hyperlink"/>
            <w:noProof/>
          </w:rPr>
          <w:t>9.10</w:t>
        </w:r>
        <w:r w:rsidR="005E2C32">
          <w:rPr>
            <w:rFonts w:eastAsiaTheme="minorEastAsia"/>
            <w:smallCaps w:val="0"/>
            <w:noProof/>
            <w:sz w:val="22"/>
            <w:szCs w:val="22"/>
            <w:lang w:eastAsia="en-GB"/>
          </w:rPr>
          <w:tab/>
        </w:r>
        <w:r w:rsidR="005E2C32" w:rsidRPr="00324D59">
          <w:rPr>
            <w:rStyle w:val="Hyperlink"/>
            <w:noProof/>
          </w:rPr>
          <w:t>Primary Support Needs</w:t>
        </w:r>
        <w:r w:rsidR="005E2C32">
          <w:rPr>
            <w:noProof/>
            <w:webHidden/>
          </w:rPr>
          <w:tab/>
        </w:r>
        <w:r w:rsidR="005E2C32">
          <w:rPr>
            <w:noProof/>
            <w:webHidden/>
          </w:rPr>
          <w:fldChar w:fldCharType="begin"/>
        </w:r>
        <w:r w:rsidR="005E2C32">
          <w:rPr>
            <w:noProof/>
            <w:webHidden/>
          </w:rPr>
          <w:instrText xml:space="preserve"> PAGEREF _Toc431225226 \h </w:instrText>
        </w:r>
        <w:r w:rsidR="005E2C32">
          <w:rPr>
            <w:noProof/>
            <w:webHidden/>
          </w:rPr>
        </w:r>
        <w:r w:rsidR="005E2C32">
          <w:rPr>
            <w:noProof/>
            <w:webHidden/>
          </w:rPr>
          <w:fldChar w:fldCharType="separate"/>
        </w:r>
        <w:r w:rsidR="005E2C32">
          <w:rPr>
            <w:noProof/>
            <w:webHidden/>
          </w:rPr>
          <w:t>195</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27" w:history="1">
        <w:r w:rsidR="005E2C32" w:rsidRPr="00324D59">
          <w:rPr>
            <w:rStyle w:val="Hyperlink"/>
            <w:noProof/>
          </w:rPr>
          <w:t>9.11</w:t>
        </w:r>
        <w:r w:rsidR="005E2C32">
          <w:rPr>
            <w:rFonts w:eastAsiaTheme="minorEastAsia"/>
            <w:smallCaps w:val="0"/>
            <w:noProof/>
            <w:sz w:val="22"/>
            <w:szCs w:val="22"/>
            <w:lang w:eastAsia="en-GB"/>
          </w:rPr>
          <w:tab/>
        </w:r>
        <w:r w:rsidR="005E2C32" w:rsidRPr="00324D59">
          <w:rPr>
            <w:rStyle w:val="Hyperlink"/>
            <w:noProof/>
          </w:rPr>
          <w:t>Safeguarding</w:t>
        </w:r>
        <w:r w:rsidR="005E2C32">
          <w:rPr>
            <w:noProof/>
            <w:webHidden/>
          </w:rPr>
          <w:tab/>
        </w:r>
        <w:r w:rsidR="005E2C32">
          <w:rPr>
            <w:noProof/>
            <w:webHidden/>
          </w:rPr>
          <w:fldChar w:fldCharType="begin"/>
        </w:r>
        <w:r w:rsidR="005E2C32">
          <w:rPr>
            <w:noProof/>
            <w:webHidden/>
          </w:rPr>
          <w:instrText xml:space="preserve"> PAGEREF _Toc431225227 \h </w:instrText>
        </w:r>
        <w:r w:rsidR="005E2C32">
          <w:rPr>
            <w:noProof/>
            <w:webHidden/>
          </w:rPr>
        </w:r>
        <w:r w:rsidR="005E2C32">
          <w:rPr>
            <w:noProof/>
            <w:webHidden/>
          </w:rPr>
          <w:fldChar w:fldCharType="separate"/>
        </w:r>
        <w:r w:rsidR="005E2C32">
          <w:rPr>
            <w:noProof/>
            <w:webHidden/>
          </w:rPr>
          <w:t>206</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28" w:history="1">
        <w:r w:rsidR="005E2C32" w:rsidRPr="00324D59">
          <w:rPr>
            <w:rStyle w:val="Hyperlink"/>
            <w:noProof/>
          </w:rPr>
          <w:t>9.12</w:t>
        </w:r>
        <w:r w:rsidR="005E2C32">
          <w:rPr>
            <w:rFonts w:eastAsiaTheme="minorEastAsia"/>
            <w:smallCaps w:val="0"/>
            <w:noProof/>
            <w:sz w:val="22"/>
            <w:szCs w:val="22"/>
            <w:lang w:eastAsia="en-GB"/>
          </w:rPr>
          <w:tab/>
        </w:r>
        <w:r w:rsidR="005E2C32" w:rsidRPr="00324D59">
          <w:rPr>
            <w:rStyle w:val="Hyperlink"/>
            <w:noProof/>
          </w:rPr>
          <w:t>Providers and Provider Failure</w:t>
        </w:r>
        <w:r w:rsidR="005E2C32">
          <w:rPr>
            <w:noProof/>
            <w:webHidden/>
          </w:rPr>
          <w:tab/>
        </w:r>
        <w:r w:rsidR="005E2C32">
          <w:rPr>
            <w:noProof/>
            <w:webHidden/>
          </w:rPr>
          <w:fldChar w:fldCharType="begin"/>
        </w:r>
        <w:r w:rsidR="005E2C32">
          <w:rPr>
            <w:noProof/>
            <w:webHidden/>
          </w:rPr>
          <w:instrText xml:space="preserve"> PAGEREF _Toc431225228 \h </w:instrText>
        </w:r>
        <w:r w:rsidR="005E2C32">
          <w:rPr>
            <w:noProof/>
            <w:webHidden/>
          </w:rPr>
        </w:r>
        <w:r w:rsidR="005E2C32">
          <w:rPr>
            <w:noProof/>
            <w:webHidden/>
          </w:rPr>
          <w:fldChar w:fldCharType="separate"/>
        </w:r>
        <w:r w:rsidR="005E2C32">
          <w:rPr>
            <w:noProof/>
            <w:webHidden/>
          </w:rPr>
          <w:t>208</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29" w:history="1">
        <w:r w:rsidR="005E2C32" w:rsidRPr="00324D59">
          <w:rPr>
            <w:rStyle w:val="Hyperlink"/>
            <w:noProof/>
          </w:rPr>
          <w:t>9.13</w:t>
        </w:r>
        <w:r w:rsidR="005E2C32">
          <w:rPr>
            <w:rFonts w:eastAsiaTheme="minorEastAsia"/>
            <w:smallCaps w:val="0"/>
            <w:noProof/>
            <w:sz w:val="22"/>
            <w:szCs w:val="22"/>
            <w:lang w:eastAsia="en-GB"/>
          </w:rPr>
          <w:tab/>
        </w:r>
        <w:r w:rsidR="005E2C32" w:rsidRPr="00324D59">
          <w:rPr>
            <w:rStyle w:val="Hyperlink"/>
            <w:noProof/>
          </w:rPr>
          <w:t>Voice</w:t>
        </w:r>
        <w:r w:rsidR="005E2C32">
          <w:rPr>
            <w:noProof/>
            <w:webHidden/>
          </w:rPr>
          <w:tab/>
        </w:r>
        <w:r w:rsidR="005E2C32">
          <w:rPr>
            <w:noProof/>
            <w:webHidden/>
          </w:rPr>
          <w:fldChar w:fldCharType="begin"/>
        </w:r>
        <w:r w:rsidR="005E2C32">
          <w:rPr>
            <w:noProof/>
            <w:webHidden/>
          </w:rPr>
          <w:instrText xml:space="preserve"> PAGEREF _Toc431225229 \h </w:instrText>
        </w:r>
        <w:r w:rsidR="005E2C32">
          <w:rPr>
            <w:noProof/>
            <w:webHidden/>
          </w:rPr>
        </w:r>
        <w:r w:rsidR="005E2C32">
          <w:rPr>
            <w:noProof/>
            <w:webHidden/>
          </w:rPr>
          <w:fldChar w:fldCharType="separate"/>
        </w:r>
        <w:r w:rsidR="005E2C32">
          <w:rPr>
            <w:noProof/>
            <w:webHidden/>
          </w:rPr>
          <w:t>209</w:t>
        </w:r>
        <w:r w:rsidR="005E2C32">
          <w:rPr>
            <w:noProof/>
            <w:webHidden/>
          </w:rPr>
          <w:fldChar w:fldCharType="end"/>
        </w:r>
      </w:hyperlink>
    </w:p>
    <w:p w:rsidR="005E2C32" w:rsidRDefault="00146202">
      <w:pPr>
        <w:pStyle w:val="TOC1"/>
        <w:tabs>
          <w:tab w:val="left" w:pos="440"/>
          <w:tab w:val="right" w:leader="dot" w:pos="9016"/>
        </w:tabs>
        <w:rPr>
          <w:rFonts w:eastAsiaTheme="minorEastAsia"/>
          <w:b w:val="0"/>
          <w:bCs w:val="0"/>
          <w:caps w:val="0"/>
          <w:noProof/>
          <w:sz w:val="22"/>
          <w:szCs w:val="22"/>
          <w:lang w:eastAsia="en-GB"/>
        </w:rPr>
      </w:pPr>
      <w:hyperlink w:anchor="_Toc431225230" w:history="1">
        <w:r w:rsidR="005E2C32" w:rsidRPr="00324D59">
          <w:rPr>
            <w:rStyle w:val="Hyperlink"/>
            <w:noProof/>
          </w:rPr>
          <w:t>10</w:t>
        </w:r>
        <w:r w:rsidR="005E2C32">
          <w:rPr>
            <w:rFonts w:eastAsiaTheme="minorEastAsia"/>
            <w:b w:val="0"/>
            <w:bCs w:val="0"/>
            <w:caps w:val="0"/>
            <w:noProof/>
            <w:sz w:val="22"/>
            <w:szCs w:val="22"/>
            <w:lang w:eastAsia="en-GB"/>
          </w:rPr>
          <w:tab/>
        </w:r>
        <w:r w:rsidR="005E2C32" w:rsidRPr="00324D59">
          <w:rPr>
            <w:rStyle w:val="Hyperlink"/>
            <w:noProof/>
          </w:rPr>
          <w:t>Community Safety</w:t>
        </w:r>
        <w:r w:rsidR="005E2C32">
          <w:rPr>
            <w:noProof/>
            <w:webHidden/>
          </w:rPr>
          <w:tab/>
        </w:r>
        <w:r w:rsidR="005E2C32">
          <w:rPr>
            <w:noProof/>
            <w:webHidden/>
          </w:rPr>
          <w:fldChar w:fldCharType="begin"/>
        </w:r>
        <w:r w:rsidR="005E2C32">
          <w:rPr>
            <w:noProof/>
            <w:webHidden/>
          </w:rPr>
          <w:instrText xml:space="preserve"> PAGEREF _Toc431225230 \h </w:instrText>
        </w:r>
        <w:r w:rsidR="005E2C32">
          <w:rPr>
            <w:noProof/>
            <w:webHidden/>
          </w:rPr>
        </w:r>
        <w:r w:rsidR="005E2C32">
          <w:rPr>
            <w:noProof/>
            <w:webHidden/>
          </w:rPr>
          <w:fldChar w:fldCharType="separate"/>
        </w:r>
        <w:r w:rsidR="005E2C32">
          <w:rPr>
            <w:noProof/>
            <w:webHidden/>
          </w:rPr>
          <w:t>212</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32" w:history="1">
        <w:r w:rsidR="005E2C32" w:rsidRPr="00324D59">
          <w:rPr>
            <w:rStyle w:val="Hyperlink"/>
            <w:noProof/>
          </w:rPr>
          <w:t>10.1</w:t>
        </w:r>
        <w:r w:rsidR="005E2C32">
          <w:rPr>
            <w:rFonts w:eastAsiaTheme="minorEastAsia"/>
            <w:smallCaps w:val="0"/>
            <w:noProof/>
            <w:sz w:val="22"/>
            <w:szCs w:val="22"/>
            <w:lang w:eastAsia="en-GB"/>
          </w:rPr>
          <w:tab/>
        </w:r>
        <w:r w:rsidR="005E2C32" w:rsidRPr="00324D59">
          <w:rPr>
            <w:rStyle w:val="Hyperlink"/>
            <w:noProof/>
          </w:rPr>
          <w:t>Key Facts</w:t>
        </w:r>
        <w:r w:rsidR="005E2C32">
          <w:rPr>
            <w:noProof/>
            <w:webHidden/>
          </w:rPr>
          <w:tab/>
        </w:r>
        <w:r w:rsidR="005E2C32">
          <w:rPr>
            <w:noProof/>
            <w:webHidden/>
          </w:rPr>
          <w:fldChar w:fldCharType="begin"/>
        </w:r>
        <w:r w:rsidR="005E2C32">
          <w:rPr>
            <w:noProof/>
            <w:webHidden/>
          </w:rPr>
          <w:instrText xml:space="preserve"> PAGEREF _Toc431225232 \h </w:instrText>
        </w:r>
        <w:r w:rsidR="005E2C32">
          <w:rPr>
            <w:noProof/>
            <w:webHidden/>
          </w:rPr>
        </w:r>
        <w:r w:rsidR="005E2C32">
          <w:rPr>
            <w:noProof/>
            <w:webHidden/>
          </w:rPr>
          <w:fldChar w:fldCharType="separate"/>
        </w:r>
        <w:r w:rsidR="005E2C32">
          <w:rPr>
            <w:noProof/>
            <w:webHidden/>
          </w:rPr>
          <w:t>212</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33" w:history="1">
        <w:r w:rsidR="005E2C32" w:rsidRPr="00324D59">
          <w:rPr>
            <w:rStyle w:val="Hyperlink"/>
            <w:noProof/>
          </w:rPr>
          <w:t>10.2</w:t>
        </w:r>
        <w:r w:rsidR="005E2C32">
          <w:rPr>
            <w:rFonts w:eastAsiaTheme="minorEastAsia"/>
            <w:smallCaps w:val="0"/>
            <w:noProof/>
            <w:sz w:val="22"/>
            <w:szCs w:val="22"/>
            <w:lang w:eastAsia="en-GB"/>
          </w:rPr>
          <w:tab/>
        </w:r>
        <w:r w:rsidR="005E2C32" w:rsidRPr="00324D59">
          <w:rPr>
            <w:rStyle w:val="Hyperlink"/>
            <w:noProof/>
          </w:rPr>
          <w:t>Strategic Needs</w:t>
        </w:r>
        <w:r w:rsidR="005E2C32">
          <w:rPr>
            <w:noProof/>
            <w:webHidden/>
          </w:rPr>
          <w:tab/>
        </w:r>
        <w:r w:rsidR="005E2C32">
          <w:rPr>
            <w:noProof/>
            <w:webHidden/>
          </w:rPr>
          <w:fldChar w:fldCharType="begin"/>
        </w:r>
        <w:r w:rsidR="005E2C32">
          <w:rPr>
            <w:noProof/>
            <w:webHidden/>
          </w:rPr>
          <w:instrText xml:space="preserve"> PAGEREF _Toc431225233 \h </w:instrText>
        </w:r>
        <w:r w:rsidR="005E2C32">
          <w:rPr>
            <w:noProof/>
            <w:webHidden/>
          </w:rPr>
        </w:r>
        <w:r w:rsidR="005E2C32">
          <w:rPr>
            <w:noProof/>
            <w:webHidden/>
          </w:rPr>
          <w:fldChar w:fldCharType="separate"/>
        </w:r>
        <w:r w:rsidR="005E2C32">
          <w:rPr>
            <w:noProof/>
            <w:webHidden/>
          </w:rPr>
          <w:t>212</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34" w:history="1">
        <w:r w:rsidR="005E2C32" w:rsidRPr="00324D59">
          <w:rPr>
            <w:rStyle w:val="Hyperlink"/>
            <w:noProof/>
          </w:rPr>
          <w:t>10.3</w:t>
        </w:r>
        <w:r w:rsidR="005E2C32">
          <w:rPr>
            <w:rFonts w:eastAsiaTheme="minorEastAsia"/>
            <w:smallCaps w:val="0"/>
            <w:noProof/>
            <w:sz w:val="22"/>
            <w:szCs w:val="22"/>
            <w:lang w:eastAsia="en-GB"/>
          </w:rPr>
          <w:tab/>
        </w:r>
        <w:r w:rsidR="005E2C32" w:rsidRPr="00324D59">
          <w:rPr>
            <w:rStyle w:val="Hyperlink"/>
            <w:noProof/>
          </w:rPr>
          <w:t>Overview</w:t>
        </w:r>
        <w:r w:rsidR="005E2C32">
          <w:rPr>
            <w:noProof/>
            <w:webHidden/>
          </w:rPr>
          <w:tab/>
        </w:r>
        <w:r w:rsidR="005E2C32">
          <w:rPr>
            <w:noProof/>
            <w:webHidden/>
          </w:rPr>
          <w:fldChar w:fldCharType="begin"/>
        </w:r>
        <w:r w:rsidR="005E2C32">
          <w:rPr>
            <w:noProof/>
            <w:webHidden/>
          </w:rPr>
          <w:instrText xml:space="preserve"> PAGEREF _Toc431225234 \h </w:instrText>
        </w:r>
        <w:r w:rsidR="005E2C32">
          <w:rPr>
            <w:noProof/>
            <w:webHidden/>
          </w:rPr>
        </w:r>
        <w:r w:rsidR="005E2C32">
          <w:rPr>
            <w:noProof/>
            <w:webHidden/>
          </w:rPr>
          <w:fldChar w:fldCharType="separate"/>
        </w:r>
        <w:r w:rsidR="005E2C32">
          <w:rPr>
            <w:noProof/>
            <w:webHidden/>
          </w:rPr>
          <w:t>212</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35" w:history="1">
        <w:r w:rsidR="005E2C32" w:rsidRPr="00324D59">
          <w:rPr>
            <w:rStyle w:val="Hyperlink"/>
            <w:noProof/>
          </w:rPr>
          <w:t>10.4</w:t>
        </w:r>
        <w:r w:rsidR="005E2C32">
          <w:rPr>
            <w:rFonts w:eastAsiaTheme="minorEastAsia"/>
            <w:smallCaps w:val="0"/>
            <w:noProof/>
            <w:sz w:val="22"/>
            <w:szCs w:val="22"/>
            <w:lang w:eastAsia="en-GB"/>
          </w:rPr>
          <w:tab/>
        </w:r>
        <w:r w:rsidR="005E2C32" w:rsidRPr="00324D59">
          <w:rPr>
            <w:rStyle w:val="Hyperlink"/>
            <w:noProof/>
          </w:rPr>
          <w:t>The Cost of Crime</w:t>
        </w:r>
        <w:r w:rsidR="005E2C32">
          <w:rPr>
            <w:noProof/>
            <w:webHidden/>
          </w:rPr>
          <w:tab/>
        </w:r>
        <w:r w:rsidR="005E2C32">
          <w:rPr>
            <w:noProof/>
            <w:webHidden/>
          </w:rPr>
          <w:fldChar w:fldCharType="begin"/>
        </w:r>
        <w:r w:rsidR="005E2C32">
          <w:rPr>
            <w:noProof/>
            <w:webHidden/>
          </w:rPr>
          <w:instrText xml:space="preserve"> PAGEREF _Toc431225235 \h </w:instrText>
        </w:r>
        <w:r w:rsidR="005E2C32">
          <w:rPr>
            <w:noProof/>
            <w:webHidden/>
          </w:rPr>
        </w:r>
        <w:r w:rsidR="005E2C32">
          <w:rPr>
            <w:noProof/>
            <w:webHidden/>
          </w:rPr>
          <w:fldChar w:fldCharType="separate"/>
        </w:r>
        <w:r w:rsidR="005E2C32">
          <w:rPr>
            <w:noProof/>
            <w:webHidden/>
          </w:rPr>
          <w:t>213</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36" w:history="1">
        <w:r w:rsidR="005E2C32" w:rsidRPr="00324D59">
          <w:rPr>
            <w:rStyle w:val="Hyperlink"/>
            <w:noProof/>
          </w:rPr>
          <w:t>10.5</w:t>
        </w:r>
        <w:r w:rsidR="005E2C32">
          <w:rPr>
            <w:rFonts w:eastAsiaTheme="minorEastAsia"/>
            <w:smallCaps w:val="0"/>
            <w:noProof/>
            <w:sz w:val="22"/>
            <w:szCs w:val="22"/>
            <w:lang w:eastAsia="en-GB"/>
          </w:rPr>
          <w:tab/>
        </w:r>
        <w:r w:rsidR="005E2C32" w:rsidRPr="00324D59">
          <w:rPr>
            <w:rStyle w:val="Hyperlink"/>
            <w:noProof/>
          </w:rPr>
          <w:t>Summary of All Recorded Crime in Barnet</w:t>
        </w:r>
        <w:r w:rsidR="005E2C32">
          <w:rPr>
            <w:noProof/>
            <w:webHidden/>
          </w:rPr>
          <w:tab/>
        </w:r>
        <w:r w:rsidR="005E2C32">
          <w:rPr>
            <w:noProof/>
            <w:webHidden/>
          </w:rPr>
          <w:fldChar w:fldCharType="begin"/>
        </w:r>
        <w:r w:rsidR="005E2C32">
          <w:rPr>
            <w:noProof/>
            <w:webHidden/>
          </w:rPr>
          <w:instrText xml:space="preserve"> PAGEREF _Toc431225236 \h </w:instrText>
        </w:r>
        <w:r w:rsidR="005E2C32">
          <w:rPr>
            <w:noProof/>
            <w:webHidden/>
          </w:rPr>
        </w:r>
        <w:r w:rsidR="005E2C32">
          <w:rPr>
            <w:noProof/>
            <w:webHidden/>
          </w:rPr>
          <w:fldChar w:fldCharType="separate"/>
        </w:r>
        <w:r w:rsidR="005E2C32">
          <w:rPr>
            <w:noProof/>
            <w:webHidden/>
          </w:rPr>
          <w:t>213</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37" w:history="1">
        <w:r w:rsidR="005E2C32" w:rsidRPr="00324D59">
          <w:rPr>
            <w:rStyle w:val="Hyperlink"/>
            <w:noProof/>
          </w:rPr>
          <w:t>10.6</w:t>
        </w:r>
        <w:r w:rsidR="005E2C32">
          <w:rPr>
            <w:rFonts w:eastAsiaTheme="minorEastAsia"/>
            <w:smallCaps w:val="0"/>
            <w:noProof/>
            <w:sz w:val="22"/>
            <w:szCs w:val="22"/>
            <w:lang w:eastAsia="en-GB"/>
          </w:rPr>
          <w:tab/>
        </w:r>
        <w:r w:rsidR="005E2C32" w:rsidRPr="00324D59">
          <w:rPr>
            <w:rStyle w:val="Hyperlink"/>
            <w:noProof/>
          </w:rPr>
          <w:t>Anti-Social Behaviour (ASB)</w:t>
        </w:r>
        <w:r w:rsidR="005E2C32">
          <w:rPr>
            <w:noProof/>
            <w:webHidden/>
          </w:rPr>
          <w:tab/>
        </w:r>
        <w:r w:rsidR="005E2C32">
          <w:rPr>
            <w:noProof/>
            <w:webHidden/>
          </w:rPr>
          <w:fldChar w:fldCharType="begin"/>
        </w:r>
        <w:r w:rsidR="005E2C32">
          <w:rPr>
            <w:noProof/>
            <w:webHidden/>
          </w:rPr>
          <w:instrText xml:space="preserve"> PAGEREF _Toc431225237 \h </w:instrText>
        </w:r>
        <w:r w:rsidR="005E2C32">
          <w:rPr>
            <w:noProof/>
            <w:webHidden/>
          </w:rPr>
        </w:r>
        <w:r w:rsidR="005E2C32">
          <w:rPr>
            <w:noProof/>
            <w:webHidden/>
          </w:rPr>
          <w:fldChar w:fldCharType="separate"/>
        </w:r>
        <w:r w:rsidR="005E2C32">
          <w:rPr>
            <w:noProof/>
            <w:webHidden/>
          </w:rPr>
          <w:t>214</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38" w:history="1">
        <w:r w:rsidR="005E2C32" w:rsidRPr="00324D59">
          <w:rPr>
            <w:rStyle w:val="Hyperlink"/>
            <w:noProof/>
          </w:rPr>
          <w:t>10.7</w:t>
        </w:r>
        <w:r w:rsidR="005E2C32">
          <w:rPr>
            <w:rFonts w:eastAsiaTheme="minorEastAsia"/>
            <w:smallCaps w:val="0"/>
            <w:noProof/>
            <w:sz w:val="22"/>
            <w:szCs w:val="22"/>
            <w:lang w:eastAsia="en-GB"/>
          </w:rPr>
          <w:tab/>
        </w:r>
        <w:r w:rsidR="005E2C32" w:rsidRPr="00324D59">
          <w:rPr>
            <w:rStyle w:val="Hyperlink"/>
            <w:noProof/>
          </w:rPr>
          <w:t>Residential Burglary</w:t>
        </w:r>
        <w:r w:rsidR="005E2C32">
          <w:rPr>
            <w:noProof/>
            <w:webHidden/>
          </w:rPr>
          <w:tab/>
        </w:r>
        <w:r w:rsidR="005E2C32">
          <w:rPr>
            <w:noProof/>
            <w:webHidden/>
          </w:rPr>
          <w:fldChar w:fldCharType="begin"/>
        </w:r>
        <w:r w:rsidR="005E2C32">
          <w:rPr>
            <w:noProof/>
            <w:webHidden/>
          </w:rPr>
          <w:instrText xml:space="preserve"> PAGEREF _Toc431225238 \h </w:instrText>
        </w:r>
        <w:r w:rsidR="005E2C32">
          <w:rPr>
            <w:noProof/>
            <w:webHidden/>
          </w:rPr>
        </w:r>
        <w:r w:rsidR="005E2C32">
          <w:rPr>
            <w:noProof/>
            <w:webHidden/>
          </w:rPr>
          <w:fldChar w:fldCharType="separate"/>
        </w:r>
        <w:r w:rsidR="005E2C32">
          <w:rPr>
            <w:noProof/>
            <w:webHidden/>
          </w:rPr>
          <w:t>215</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39" w:history="1">
        <w:r w:rsidR="005E2C32" w:rsidRPr="00324D59">
          <w:rPr>
            <w:rStyle w:val="Hyperlink"/>
            <w:noProof/>
            <w:lang w:eastAsia="en-GB"/>
          </w:rPr>
          <w:t>10.8</w:t>
        </w:r>
        <w:r w:rsidR="005E2C32">
          <w:rPr>
            <w:rFonts w:eastAsiaTheme="minorEastAsia"/>
            <w:smallCaps w:val="0"/>
            <w:noProof/>
            <w:sz w:val="22"/>
            <w:szCs w:val="22"/>
            <w:lang w:eastAsia="en-GB"/>
          </w:rPr>
          <w:tab/>
        </w:r>
        <w:r w:rsidR="005E2C32" w:rsidRPr="00324D59">
          <w:rPr>
            <w:rStyle w:val="Hyperlink"/>
            <w:noProof/>
            <w:lang w:eastAsia="en-GB"/>
          </w:rPr>
          <w:t>Domestic Violence and Violence Against Women and Girls (VAWG)</w:t>
        </w:r>
        <w:r w:rsidR="005E2C32">
          <w:rPr>
            <w:noProof/>
            <w:webHidden/>
          </w:rPr>
          <w:tab/>
        </w:r>
        <w:r w:rsidR="005E2C32">
          <w:rPr>
            <w:noProof/>
            <w:webHidden/>
          </w:rPr>
          <w:fldChar w:fldCharType="begin"/>
        </w:r>
        <w:r w:rsidR="005E2C32">
          <w:rPr>
            <w:noProof/>
            <w:webHidden/>
          </w:rPr>
          <w:instrText xml:space="preserve"> PAGEREF _Toc431225239 \h </w:instrText>
        </w:r>
        <w:r w:rsidR="005E2C32">
          <w:rPr>
            <w:noProof/>
            <w:webHidden/>
          </w:rPr>
        </w:r>
        <w:r w:rsidR="005E2C32">
          <w:rPr>
            <w:noProof/>
            <w:webHidden/>
          </w:rPr>
          <w:fldChar w:fldCharType="separate"/>
        </w:r>
        <w:r w:rsidR="005E2C32">
          <w:rPr>
            <w:noProof/>
            <w:webHidden/>
          </w:rPr>
          <w:t>215</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40" w:history="1">
        <w:r w:rsidR="005E2C32" w:rsidRPr="00324D59">
          <w:rPr>
            <w:rStyle w:val="Hyperlink"/>
            <w:noProof/>
          </w:rPr>
          <w:t>10.9</w:t>
        </w:r>
        <w:r w:rsidR="005E2C32">
          <w:rPr>
            <w:rFonts w:eastAsiaTheme="minorEastAsia"/>
            <w:smallCaps w:val="0"/>
            <w:noProof/>
            <w:sz w:val="22"/>
            <w:szCs w:val="22"/>
            <w:lang w:eastAsia="en-GB"/>
          </w:rPr>
          <w:tab/>
        </w:r>
        <w:r w:rsidR="005E2C32" w:rsidRPr="00324D59">
          <w:rPr>
            <w:rStyle w:val="Hyperlink"/>
            <w:noProof/>
          </w:rPr>
          <w:t>Rape and Other Sexual Violence</w:t>
        </w:r>
        <w:r w:rsidR="005E2C32">
          <w:rPr>
            <w:noProof/>
            <w:webHidden/>
          </w:rPr>
          <w:tab/>
        </w:r>
        <w:r w:rsidR="005E2C32">
          <w:rPr>
            <w:noProof/>
            <w:webHidden/>
          </w:rPr>
          <w:fldChar w:fldCharType="begin"/>
        </w:r>
        <w:r w:rsidR="005E2C32">
          <w:rPr>
            <w:noProof/>
            <w:webHidden/>
          </w:rPr>
          <w:instrText xml:space="preserve"> PAGEREF _Toc431225240 \h </w:instrText>
        </w:r>
        <w:r w:rsidR="005E2C32">
          <w:rPr>
            <w:noProof/>
            <w:webHidden/>
          </w:rPr>
        </w:r>
        <w:r w:rsidR="005E2C32">
          <w:rPr>
            <w:noProof/>
            <w:webHidden/>
          </w:rPr>
          <w:fldChar w:fldCharType="separate"/>
        </w:r>
        <w:r w:rsidR="005E2C32">
          <w:rPr>
            <w:noProof/>
            <w:webHidden/>
          </w:rPr>
          <w:t>219</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41" w:history="1">
        <w:r w:rsidR="005E2C32" w:rsidRPr="00324D59">
          <w:rPr>
            <w:rStyle w:val="Hyperlink"/>
            <w:noProof/>
          </w:rPr>
          <w:t>10.10</w:t>
        </w:r>
        <w:r w:rsidR="005E2C32">
          <w:rPr>
            <w:rFonts w:eastAsiaTheme="minorEastAsia"/>
            <w:smallCaps w:val="0"/>
            <w:noProof/>
            <w:sz w:val="22"/>
            <w:szCs w:val="22"/>
            <w:lang w:eastAsia="en-GB"/>
          </w:rPr>
          <w:tab/>
        </w:r>
        <w:r w:rsidR="005E2C32" w:rsidRPr="00324D59">
          <w:rPr>
            <w:rStyle w:val="Hyperlink"/>
            <w:noProof/>
          </w:rPr>
          <w:t>Female Genital Mutilation (FGM)</w:t>
        </w:r>
        <w:r w:rsidR="005E2C32">
          <w:rPr>
            <w:noProof/>
            <w:webHidden/>
          </w:rPr>
          <w:tab/>
        </w:r>
        <w:r w:rsidR="005E2C32">
          <w:rPr>
            <w:noProof/>
            <w:webHidden/>
          </w:rPr>
          <w:fldChar w:fldCharType="begin"/>
        </w:r>
        <w:r w:rsidR="005E2C32">
          <w:rPr>
            <w:noProof/>
            <w:webHidden/>
          </w:rPr>
          <w:instrText xml:space="preserve"> PAGEREF _Toc431225241 \h </w:instrText>
        </w:r>
        <w:r w:rsidR="005E2C32">
          <w:rPr>
            <w:noProof/>
            <w:webHidden/>
          </w:rPr>
        </w:r>
        <w:r w:rsidR="005E2C32">
          <w:rPr>
            <w:noProof/>
            <w:webHidden/>
          </w:rPr>
          <w:fldChar w:fldCharType="separate"/>
        </w:r>
        <w:r w:rsidR="005E2C32">
          <w:rPr>
            <w:noProof/>
            <w:webHidden/>
          </w:rPr>
          <w:t>219</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42" w:history="1">
        <w:r w:rsidR="005E2C32" w:rsidRPr="00324D59">
          <w:rPr>
            <w:rStyle w:val="Hyperlink"/>
            <w:noProof/>
            <w:lang w:eastAsia="en-GB"/>
          </w:rPr>
          <w:t>10.11</w:t>
        </w:r>
        <w:r w:rsidR="005E2C32">
          <w:rPr>
            <w:rFonts w:eastAsiaTheme="minorEastAsia"/>
            <w:smallCaps w:val="0"/>
            <w:noProof/>
            <w:sz w:val="22"/>
            <w:szCs w:val="22"/>
            <w:lang w:eastAsia="en-GB"/>
          </w:rPr>
          <w:tab/>
        </w:r>
        <w:r w:rsidR="005E2C32" w:rsidRPr="00324D59">
          <w:rPr>
            <w:rStyle w:val="Hyperlink"/>
            <w:noProof/>
            <w:lang w:eastAsia="en-GB"/>
          </w:rPr>
          <w:t>Youth Crime</w:t>
        </w:r>
        <w:r w:rsidR="005E2C32">
          <w:rPr>
            <w:noProof/>
            <w:webHidden/>
          </w:rPr>
          <w:tab/>
        </w:r>
        <w:r w:rsidR="005E2C32">
          <w:rPr>
            <w:noProof/>
            <w:webHidden/>
          </w:rPr>
          <w:fldChar w:fldCharType="begin"/>
        </w:r>
        <w:r w:rsidR="005E2C32">
          <w:rPr>
            <w:noProof/>
            <w:webHidden/>
          </w:rPr>
          <w:instrText xml:space="preserve"> PAGEREF _Toc431225242 \h </w:instrText>
        </w:r>
        <w:r w:rsidR="005E2C32">
          <w:rPr>
            <w:noProof/>
            <w:webHidden/>
          </w:rPr>
        </w:r>
        <w:r w:rsidR="005E2C32">
          <w:rPr>
            <w:noProof/>
            <w:webHidden/>
          </w:rPr>
          <w:fldChar w:fldCharType="separate"/>
        </w:r>
        <w:r w:rsidR="005E2C32">
          <w:rPr>
            <w:noProof/>
            <w:webHidden/>
          </w:rPr>
          <w:t>220</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43" w:history="1">
        <w:r w:rsidR="005E2C32" w:rsidRPr="00324D59">
          <w:rPr>
            <w:rStyle w:val="Hyperlink"/>
            <w:noProof/>
            <w:lang w:eastAsia="en-GB"/>
          </w:rPr>
          <w:t>10.12</w:t>
        </w:r>
        <w:r w:rsidR="005E2C32">
          <w:rPr>
            <w:rFonts w:eastAsiaTheme="minorEastAsia"/>
            <w:smallCaps w:val="0"/>
            <w:noProof/>
            <w:sz w:val="22"/>
            <w:szCs w:val="22"/>
            <w:lang w:eastAsia="en-GB"/>
          </w:rPr>
          <w:tab/>
        </w:r>
        <w:r w:rsidR="005E2C32" w:rsidRPr="00324D59">
          <w:rPr>
            <w:rStyle w:val="Hyperlink"/>
            <w:noProof/>
            <w:lang w:eastAsia="en-GB"/>
          </w:rPr>
          <w:t>Gang Activity</w:t>
        </w:r>
        <w:r w:rsidR="005E2C32">
          <w:rPr>
            <w:noProof/>
            <w:webHidden/>
          </w:rPr>
          <w:tab/>
        </w:r>
        <w:r w:rsidR="005E2C32">
          <w:rPr>
            <w:noProof/>
            <w:webHidden/>
          </w:rPr>
          <w:fldChar w:fldCharType="begin"/>
        </w:r>
        <w:r w:rsidR="005E2C32">
          <w:rPr>
            <w:noProof/>
            <w:webHidden/>
          </w:rPr>
          <w:instrText xml:space="preserve"> PAGEREF _Toc431225243 \h </w:instrText>
        </w:r>
        <w:r w:rsidR="005E2C32">
          <w:rPr>
            <w:noProof/>
            <w:webHidden/>
          </w:rPr>
        </w:r>
        <w:r w:rsidR="005E2C32">
          <w:rPr>
            <w:noProof/>
            <w:webHidden/>
          </w:rPr>
          <w:fldChar w:fldCharType="separate"/>
        </w:r>
        <w:r w:rsidR="005E2C32">
          <w:rPr>
            <w:noProof/>
            <w:webHidden/>
          </w:rPr>
          <w:t>221</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44" w:history="1">
        <w:r w:rsidR="005E2C32" w:rsidRPr="00324D59">
          <w:rPr>
            <w:rStyle w:val="Hyperlink"/>
            <w:noProof/>
            <w:lang w:eastAsia="en-GB"/>
          </w:rPr>
          <w:t>10.13</w:t>
        </w:r>
        <w:r w:rsidR="005E2C32">
          <w:rPr>
            <w:rFonts w:eastAsiaTheme="minorEastAsia"/>
            <w:smallCaps w:val="0"/>
            <w:noProof/>
            <w:sz w:val="22"/>
            <w:szCs w:val="22"/>
            <w:lang w:eastAsia="en-GB"/>
          </w:rPr>
          <w:tab/>
        </w:r>
        <w:r w:rsidR="005E2C32" w:rsidRPr="00324D59">
          <w:rPr>
            <w:rStyle w:val="Hyperlink"/>
            <w:noProof/>
            <w:lang w:eastAsia="en-GB"/>
          </w:rPr>
          <w:t>Re-Offending</w:t>
        </w:r>
        <w:r w:rsidR="005E2C32">
          <w:rPr>
            <w:noProof/>
            <w:webHidden/>
          </w:rPr>
          <w:tab/>
        </w:r>
        <w:r w:rsidR="005E2C32">
          <w:rPr>
            <w:noProof/>
            <w:webHidden/>
          </w:rPr>
          <w:fldChar w:fldCharType="begin"/>
        </w:r>
        <w:r w:rsidR="005E2C32">
          <w:rPr>
            <w:noProof/>
            <w:webHidden/>
          </w:rPr>
          <w:instrText xml:space="preserve"> PAGEREF _Toc431225244 \h </w:instrText>
        </w:r>
        <w:r w:rsidR="005E2C32">
          <w:rPr>
            <w:noProof/>
            <w:webHidden/>
          </w:rPr>
        </w:r>
        <w:r w:rsidR="005E2C32">
          <w:rPr>
            <w:noProof/>
            <w:webHidden/>
          </w:rPr>
          <w:fldChar w:fldCharType="separate"/>
        </w:r>
        <w:r w:rsidR="005E2C32">
          <w:rPr>
            <w:noProof/>
            <w:webHidden/>
          </w:rPr>
          <w:t>222</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45" w:history="1">
        <w:r w:rsidR="005E2C32" w:rsidRPr="00324D59">
          <w:rPr>
            <w:rStyle w:val="Hyperlink"/>
            <w:noProof/>
          </w:rPr>
          <w:t>10.14</w:t>
        </w:r>
        <w:r w:rsidR="005E2C32">
          <w:rPr>
            <w:rFonts w:eastAsiaTheme="minorEastAsia"/>
            <w:smallCaps w:val="0"/>
            <w:noProof/>
            <w:sz w:val="22"/>
            <w:szCs w:val="22"/>
            <w:lang w:eastAsia="en-GB"/>
          </w:rPr>
          <w:tab/>
        </w:r>
        <w:r w:rsidR="005E2C32" w:rsidRPr="00324D59">
          <w:rPr>
            <w:rStyle w:val="Hyperlink"/>
            <w:noProof/>
          </w:rPr>
          <w:t>Changing Crime Trends and Changing Environmental Conditions</w:t>
        </w:r>
        <w:r w:rsidR="005E2C32">
          <w:rPr>
            <w:noProof/>
            <w:webHidden/>
          </w:rPr>
          <w:tab/>
        </w:r>
        <w:r w:rsidR="005E2C32">
          <w:rPr>
            <w:noProof/>
            <w:webHidden/>
          </w:rPr>
          <w:fldChar w:fldCharType="begin"/>
        </w:r>
        <w:r w:rsidR="005E2C32">
          <w:rPr>
            <w:noProof/>
            <w:webHidden/>
          </w:rPr>
          <w:instrText xml:space="preserve"> PAGEREF _Toc431225245 \h </w:instrText>
        </w:r>
        <w:r w:rsidR="005E2C32">
          <w:rPr>
            <w:noProof/>
            <w:webHidden/>
          </w:rPr>
        </w:r>
        <w:r w:rsidR="005E2C32">
          <w:rPr>
            <w:noProof/>
            <w:webHidden/>
          </w:rPr>
          <w:fldChar w:fldCharType="separate"/>
        </w:r>
        <w:r w:rsidR="005E2C32">
          <w:rPr>
            <w:noProof/>
            <w:webHidden/>
          </w:rPr>
          <w:t>222</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46" w:history="1">
        <w:r w:rsidR="005E2C32" w:rsidRPr="00324D59">
          <w:rPr>
            <w:rStyle w:val="Hyperlink"/>
            <w:rFonts w:ascii="Cambria" w:hAnsi="Cambria" w:cs="Cambria"/>
            <w:noProof/>
            <w:lang w:eastAsia="en-GB"/>
          </w:rPr>
          <w:t>10.15</w:t>
        </w:r>
        <w:r w:rsidR="005E2C32">
          <w:rPr>
            <w:rFonts w:eastAsiaTheme="minorEastAsia"/>
            <w:smallCaps w:val="0"/>
            <w:noProof/>
            <w:sz w:val="22"/>
            <w:szCs w:val="22"/>
            <w:lang w:eastAsia="en-GB"/>
          </w:rPr>
          <w:tab/>
        </w:r>
        <w:r w:rsidR="005E2C32" w:rsidRPr="00324D59">
          <w:rPr>
            <w:rStyle w:val="Hyperlink"/>
            <w:noProof/>
            <w:lang w:eastAsia="en-GB"/>
          </w:rPr>
          <w:t>Feedback from Barnet Residents about Community Safety</w:t>
        </w:r>
        <w:r w:rsidR="005E2C32">
          <w:rPr>
            <w:noProof/>
            <w:webHidden/>
          </w:rPr>
          <w:tab/>
        </w:r>
        <w:r w:rsidR="005E2C32">
          <w:rPr>
            <w:noProof/>
            <w:webHidden/>
          </w:rPr>
          <w:fldChar w:fldCharType="begin"/>
        </w:r>
        <w:r w:rsidR="005E2C32">
          <w:rPr>
            <w:noProof/>
            <w:webHidden/>
          </w:rPr>
          <w:instrText xml:space="preserve"> PAGEREF _Toc431225246 \h </w:instrText>
        </w:r>
        <w:r w:rsidR="005E2C32">
          <w:rPr>
            <w:noProof/>
            <w:webHidden/>
          </w:rPr>
        </w:r>
        <w:r w:rsidR="005E2C32">
          <w:rPr>
            <w:noProof/>
            <w:webHidden/>
          </w:rPr>
          <w:fldChar w:fldCharType="separate"/>
        </w:r>
        <w:r w:rsidR="005E2C32">
          <w:rPr>
            <w:noProof/>
            <w:webHidden/>
          </w:rPr>
          <w:t>223</w:t>
        </w:r>
        <w:r w:rsidR="005E2C32">
          <w:rPr>
            <w:noProof/>
            <w:webHidden/>
          </w:rPr>
          <w:fldChar w:fldCharType="end"/>
        </w:r>
      </w:hyperlink>
    </w:p>
    <w:p w:rsidR="005E2C32" w:rsidRDefault="00146202">
      <w:pPr>
        <w:pStyle w:val="TOC1"/>
        <w:tabs>
          <w:tab w:val="left" w:pos="440"/>
          <w:tab w:val="right" w:leader="dot" w:pos="9016"/>
        </w:tabs>
        <w:rPr>
          <w:rFonts w:eastAsiaTheme="minorEastAsia"/>
          <w:b w:val="0"/>
          <w:bCs w:val="0"/>
          <w:caps w:val="0"/>
          <w:noProof/>
          <w:sz w:val="22"/>
          <w:szCs w:val="22"/>
          <w:lang w:eastAsia="en-GB"/>
        </w:rPr>
      </w:pPr>
      <w:hyperlink w:anchor="_Toc431225247" w:history="1">
        <w:r w:rsidR="005E2C32" w:rsidRPr="00324D59">
          <w:rPr>
            <w:rStyle w:val="Hyperlink"/>
            <w:noProof/>
          </w:rPr>
          <w:t>11</w:t>
        </w:r>
        <w:r w:rsidR="005E2C32">
          <w:rPr>
            <w:rFonts w:eastAsiaTheme="minorEastAsia"/>
            <w:b w:val="0"/>
            <w:bCs w:val="0"/>
            <w:caps w:val="0"/>
            <w:noProof/>
            <w:sz w:val="22"/>
            <w:szCs w:val="22"/>
            <w:lang w:eastAsia="en-GB"/>
          </w:rPr>
          <w:tab/>
        </w:r>
        <w:r w:rsidR="005E2C32" w:rsidRPr="00324D59">
          <w:rPr>
            <w:rStyle w:val="Hyperlink"/>
            <w:noProof/>
          </w:rPr>
          <w:t>Community Assets</w:t>
        </w:r>
        <w:r w:rsidR="005E2C32">
          <w:rPr>
            <w:noProof/>
            <w:webHidden/>
          </w:rPr>
          <w:tab/>
        </w:r>
        <w:r w:rsidR="005E2C32">
          <w:rPr>
            <w:noProof/>
            <w:webHidden/>
          </w:rPr>
          <w:fldChar w:fldCharType="begin"/>
        </w:r>
        <w:r w:rsidR="005E2C32">
          <w:rPr>
            <w:noProof/>
            <w:webHidden/>
          </w:rPr>
          <w:instrText xml:space="preserve"> PAGEREF _Toc431225247 \h </w:instrText>
        </w:r>
        <w:r w:rsidR="005E2C32">
          <w:rPr>
            <w:noProof/>
            <w:webHidden/>
          </w:rPr>
        </w:r>
        <w:r w:rsidR="005E2C32">
          <w:rPr>
            <w:noProof/>
            <w:webHidden/>
          </w:rPr>
          <w:fldChar w:fldCharType="separate"/>
        </w:r>
        <w:r w:rsidR="005E2C32">
          <w:rPr>
            <w:noProof/>
            <w:webHidden/>
          </w:rPr>
          <w:t>225</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48" w:history="1">
        <w:r w:rsidR="005E2C32" w:rsidRPr="00324D59">
          <w:rPr>
            <w:rStyle w:val="Hyperlink"/>
            <w:noProof/>
          </w:rPr>
          <w:t>11.1</w:t>
        </w:r>
        <w:r w:rsidR="005E2C32">
          <w:rPr>
            <w:rFonts w:eastAsiaTheme="minorEastAsia"/>
            <w:smallCaps w:val="0"/>
            <w:noProof/>
            <w:sz w:val="22"/>
            <w:szCs w:val="22"/>
            <w:lang w:eastAsia="en-GB"/>
          </w:rPr>
          <w:tab/>
        </w:r>
        <w:r w:rsidR="005E2C32" w:rsidRPr="00324D59">
          <w:rPr>
            <w:rStyle w:val="Hyperlink"/>
            <w:noProof/>
          </w:rPr>
          <w:t>Key Facts</w:t>
        </w:r>
        <w:r w:rsidR="005E2C32">
          <w:rPr>
            <w:noProof/>
            <w:webHidden/>
          </w:rPr>
          <w:tab/>
        </w:r>
        <w:r w:rsidR="005E2C32">
          <w:rPr>
            <w:noProof/>
            <w:webHidden/>
          </w:rPr>
          <w:fldChar w:fldCharType="begin"/>
        </w:r>
        <w:r w:rsidR="005E2C32">
          <w:rPr>
            <w:noProof/>
            <w:webHidden/>
          </w:rPr>
          <w:instrText xml:space="preserve"> PAGEREF _Toc431225248 \h </w:instrText>
        </w:r>
        <w:r w:rsidR="005E2C32">
          <w:rPr>
            <w:noProof/>
            <w:webHidden/>
          </w:rPr>
        </w:r>
        <w:r w:rsidR="005E2C32">
          <w:rPr>
            <w:noProof/>
            <w:webHidden/>
          </w:rPr>
          <w:fldChar w:fldCharType="separate"/>
        </w:r>
        <w:r w:rsidR="005E2C32">
          <w:rPr>
            <w:noProof/>
            <w:webHidden/>
          </w:rPr>
          <w:t>225</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49" w:history="1">
        <w:r w:rsidR="005E2C32" w:rsidRPr="00324D59">
          <w:rPr>
            <w:rStyle w:val="Hyperlink"/>
            <w:noProof/>
          </w:rPr>
          <w:t>11.2</w:t>
        </w:r>
        <w:r w:rsidR="005E2C32">
          <w:rPr>
            <w:rFonts w:eastAsiaTheme="minorEastAsia"/>
            <w:smallCaps w:val="0"/>
            <w:noProof/>
            <w:sz w:val="22"/>
            <w:szCs w:val="22"/>
            <w:lang w:eastAsia="en-GB"/>
          </w:rPr>
          <w:tab/>
        </w:r>
        <w:r w:rsidR="005E2C32" w:rsidRPr="00324D59">
          <w:rPr>
            <w:rStyle w:val="Hyperlink"/>
            <w:noProof/>
          </w:rPr>
          <w:t>Strategic Issues</w:t>
        </w:r>
        <w:r w:rsidR="005E2C32">
          <w:rPr>
            <w:noProof/>
            <w:webHidden/>
          </w:rPr>
          <w:tab/>
        </w:r>
        <w:r w:rsidR="005E2C32">
          <w:rPr>
            <w:noProof/>
            <w:webHidden/>
          </w:rPr>
          <w:fldChar w:fldCharType="begin"/>
        </w:r>
        <w:r w:rsidR="005E2C32">
          <w:rPr>
            <w:noProof/>
            <w:webHidden/>
          </w:rPr>
          <w:instrText xml:space="preserve"> PAGEREF _Toc431225249 \h </w:instrText>
        </w:r>
        <w:r w:rsidR="005E2C32">
          <w:rPr>
            <w:noProof/>
            <w:webHidden/>
          </w:rPr>
        </w:r>
        <w:r w:rsidR="005E2C32">
          <w:rPr>
            <w:noProof/>
            <w:webHidden/>
          </w:rPr>
          <w:fldChar w:fldCharType="separate"/>
        </w:r>
        <w:r w:rsidR="005E2C32">
          <w:rPr>
            <w:noProof/>
            <w:webHidden/>
          </w:rPr>
          <w:t>225</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50" w:history="1">
        <w:r w:rsidR="005E2C32" w:rsidRPr="00324D59">
          <w:rPr>
            <w:rStyle w:val="Hyperlink"/>
            <w:noProof/>
          </w:rPr>
          <w:t>11.3</w:t>
        </w:r>
        <w:r w:rsidR="005E2C32">
          <w:rPr>
            <w:rFonts w:eastAsiaTheme="minorEastAsia"/>
            <w:smallCaps w:val="0"/>
            <w:noProof/>
            <w:sz w:val="22"/>
            <w:szCs w:val="22"/>
            <w:lang w:eastAsia="en-GB"/>
          </w:rPr>
          <w:tab/>
        </w:r>
        <w:r w:rsidR="005E2C32" w:rsidRPr="00324D59">
          <w:rPr>
            <w:rStyle w:val="Hyperlink"/>
            <w:noProof/>
          </w:rPr>
          <w:t>Overview</w:t>
        </w:r>
        <w:r w:rsidR="005E2C32">
          <w:rPr>
            <w:noProof/>
            <w:webHidden/>
          </w:rPr>
          <w:tab/>
        </w:r>
        <w:r w:rsidR="005E2C32">
          <w:rPr>
            <w:noProof/>
            <w:webHidden/>
          </w:rPr>
          <w:fldChar w:fldCharType="begin"/>
        </w:r>
        <w:r w:rsidR="005E2C32">
          <w:rPr>
            <w:noProof/>
            <w:webHidden/>
          </w:rPr>
          <w:instrText xml:space="preserve"> PAGEREF _Toc431225250 \h </w:instrText>
        </w:r>
        <w:r w:rsidR="005E2C32">
          <w:rPr>
            <w:noProof/>
            <w:webHidden/>
          </w:rPr>
        </w:r>
        <w:r w:rsidR="005E2C32">
          <w:rPr>
            <w:noProof/>
            <w:webHidden/>
          </w:rPr>
          <w:fldChar w:fldCharType="separate"/>
        </w:r>
        <w:r w:rsidR="005E2C32">
          <w:rPr>
            <w:noProof/>
            <w:webHidden/>
          </w:rPr>
          <w:t>226</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51" w:history="1">
        <w:r w:rsidR="005E2C32" w:rsidRPr="00324D59">
          <w:rPr>
            <w:rStyle w:val="Hyperlink"/>
            <w:noProof/>
          </w:rPr>
          <w:t>11.4</w:t>
        </w:r>
        <w:r w:rsidR="005E2C32">
          <w:rPr>
            <w:rFonts w:eastAsiaTheme="minorEastAsia"/>
            <w:smallCaps w:val="0"/>
            <w:noProof/>
            <w:sz w:val="22"/>
            <w:szCs w:val="22"/>
            <w:lang w:eastAsia="en-GB"/>
          </w:rPr>
          <w:tab/>
        </w:r>
        <w:r w:rsidR="005E2C32" w:rsidRPr="00324D59">
          <w:rPr>
            <w:rStyle w:val="Hyperlink"/>
            <w:noProof/>
          </w:rPr>
          <w:t>Barnet’s Community Assets</w:t>
        </w:r>
        <w:r w:rsidR="005E2C32">
          <w:rPr>
            <w:noProof/>
            <w:webHidden/>
          </w:rPr>
          <w:tab/>
        </w:r>
        <w:r w:rsidR="005E2C32">
          <w:rPr>
            <w:noProof/>
            <w:webHidden/>
          </w:rPr>
          <w:fldChar w:fldCharType="begin"/>
        </w:r>
        <w:r w:rsidR="005E2C32">
          <w:rPr>
            <w:noProof/>
            <w:webHidden/>
          </w:rPr>
          <w:instrText xml:space="preserve"> PAGEREF _Toc431225251 \h </w:instrText>
        </w:r>
        <w:r w:rsidR="005E2C32">
          <w:rPr>
            <w:noProof/>
            <w:webHidden/>
          </w:rPr>
        </w:r>
        <w:r w:rsidR="005E2C32">
          <w:rPr>
            <w:noProof/>
            <w:webHidden/>
          </w:rPr>
          <w:fldChar w:fldCharType="separate"/>
        </w:r>
        <w:r w:rsidR="005E2C32">
          <w:rPr>
            <w:noProof/>
            <w:webHidden/>
          </w:rPr>
          <w:t>227</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52" w:history="1">
        <w:r w:rsidR="005E2C32" w:rsidRPr="00324D59">
          <w:rPr>
            <w:rStyle w:val="Hyperlink"/>
            <w:noProof/>
          </w:rPr>
          <w:t>11.5</w:t>
        </w:r>
        <w:r w:rsidR="005E2C32">
          <w:rPr>
            <w:rFonts w:eastAsiaTheme="minorEastAsia"/>
            <w:smallCaps w:val="0"/>
            <w:noProof/>
            <w:sz w:val="22"/>
            <w:szCs w:val="22"/>
            <w:lang w:eastAsia="en-GB"/>
          </w:rPr>
          <w:tab/>
        </w:r>
        <w:r w:rsidR="005E2C32" w:rsidRPr="00324D59">
          <w:rPr>
            <w:rStyle w:val="Hyperlink"/>
            <w:noProof/>
          </w:rPr>
          <w:t>Other Community Groups</w:t>
        </w:r>
        <w:r w:rsidR="005E2C32">
          <w:rPr>
            <w:noProof/>
            <w:webHidden/>
          </w:rPr>
          <w:tab/>
        </w:r>
        <w:r w:rsidR="005E2C32">
          <w:rPr>
            <w:noProof/>
            <w:webHidden/>
          </w:rPr>
          <w:fldChar w:fldCharType="begin"/>
        </w:r>
        <w:r w:rsidR="005E2C32">
          <w:rPr>
            <w:noProof/>
            <w:webHidden/>
          </w:rPr>
          <w:instrText xml:space="preserve"> PAGEREF _Toc431225252 \h </w:instrText>
        </w:r>
        <w:r w:rsidR="005E2C32">
          <w:rPr>
            <w:noProof/>
            <w:webHidden/>
          </w:rPr>
        </w:r>
        <w:r w:rsidR="005E2C32">
          <w:rPr>
            <w:noProof/>
            <w:webHidden/>
          </w:rPr>
          <w:fldChar w:fldCharType="separate"/>
        </w:r>
        <w:r w:rsidR="005E2C32">
          <w:rPr>
            <w:noProof/>
            <w:webHidden/>
          </w:rPr>
          <w:t>231</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53" w:history="1">
        <w:r w:rsidR="005E2C32" w:rsidRPr="00324D59">
          <w:rPr>
            <w:rStyle w:val="Hyperlink"/>
            <w:noProof/>
          </w:rPr>
          <w:t>11.6</w:t>
        </w:r>
        <w:r w:rsidR="005E2C32">
          <w:rPr>
            <w:rFonts w:eastAsiaTheme="minorEastAsia"/>
            <w:smallCaps w:val="0"/>
            <w:noProof/>
            <w:sz w:val="22"/>
            <w:szCs w:val="22"/>
            <w:lang w:eastAsia="en-GB"/>
          </w:rPr>
          <w:tab/>
        </w:r>
        <w:r w:rsidR="005E2C32" w:rsidRPr="00324D59">
          <w:rPr>
            <w:rStyle w:val="Hyperlink"/>
            <w:noProof/>
          </w:rPr>
          <w:t>Resources and Support</w:t>
        </w:r>
        <w:r w:rsidR="005E2C32">
          <w:rPr>
            <w:noProof/>
            <w:webHidden/>
          </w:rPr>
          <w:tab/>
        </w:r>
        <w:r w:rsidR="005E2C32">
          <w:rPr>
            <w:noProof/>
            <w:webHidden/>
          </w:rPr>
          <w:fldChar w:fldCharType="begin"/>
        </w:r>
        <w:r w:rsidR="005E2C32">
          <w:rPr>
            <w:noProof/>
            <w:webHidden/>
          </w:rPr>
          <w:instrText xml:space="preserve"> PAGEREF _Toc431225253 \h </w:instrText>
        </w:r>
        <w:r w:rsidR="005E2C32">
          <w:rPr>
            <w:noProof/>
            <w:webHidden/>
          </w:rPr>
        </w:r>
        <w:r w:rsidR="005E2C32">
          <w:rPr>
            <w:noProof/>
            <w:webHidden/>
          </w:rPr>
          <w:fldChar w:fldCharType="separate"/>
        </w:r>
        <w:r w:rsidR="005E2C32">
          <w:rPr>
            <w:noProof/>
            <w:webHidden/>
          </w:rPr>
          <w:t>231</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54" w:history="1">
        <w:r w:rsidR="005E2C32" w:rsidRPr="00324D59">
          <w:rPr>
            <w:rStyle w:val="Hyperlink"/>
            <w:noProof/>
          </w:rPr>
          <w:t>11.7</w:t>
        </w:r>
        <w:r w:rsidR="005E2C32">
          <w:rPr>
            <w:rFonts w:eastAsiaTheme="minorEastAsia"/>
            <w:smallCaps w:val="0"/>
            <w:noProof/>
            <w:sz w:val="22"/>
            <w:szCs w:val="22"/>
            <w:lang w:eastAsia="en-GB"/>
          </w:rPr>
          <w:tab/>
        </w:r>
        <w:r w:rsidR="005E2C32" w:rsidRPr="00324D59">
          <w:rPr>
            <w:rStyle w:val="Hyperlink"/>
            <w:noProof/>
          </w:rPr>
          <w:t>Type of Provision</w:t>
        </w:r>
        <w:r w:rsidR="005E2C32">
          <w:rPr>
            <w:noProof/>
            <w:webHidden/>
          </w:rPr>
          <w:tab/>
        </w:r>
        <w:r w:rsidR="005E2C32">
          <w:rPr>
            <w:noProof/>
            <w:webHidden/>
          </w:rPr>
          <w:fldChar w:fldCharType="begin"/>
        </w:r>
        <w:r w:rsidR="005E2C32">
          <w:rPr>
            <w:noProof/>
            <w:webHidden/>
          </w:rPr>
          <w:instrText xml:space="preserve"> PAGEREF _Toc431225254 \h </w:instrText>
        </w:r>
        <w:r w:rsidR="005E2C32">
          <w:rPr>
            <w:noProof/>
            <w:webHidden/>
          </w:rPr>
        </w:r>
        <w:r w:rsidR="005E2C32">
          <w:rPr>
            <w:noProof/>
            <w:webHidden/>
          </w:rPr>
          <w:fldChar w:fldCharType="separate"/>
        </w:r>
        <w:r w:rsidR="005E2C32">
          <w:rPr>
            <w:noProof/>
            <w:webHidden/>
          </w:rPr>
          <w:t>233</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55" w:history="1">
        <w:r w:rsidR="005E2C32" w:rsidRPr="00324D59">
          <w:rPr>
            <w:rStyle w:val="Hyperlink"/>
            <w:noProof/>
          </w:rPr>
          <w:t>11.8</w:t>
        </w:r>
        <w:r w:rsidR="005E2C32">
          <w:rPr>
            <w:rFonts w:eastAsiaTheme="minorEastAsia"/>
            <w:smallCaps w:val="0"/>
            <w:noProof/>
            <w:sz w:val="22"/>
            <w:szCs w:val="22"/>
            <w:lang w:eastAsia="en-GB"/>
          </w:rPr>
          <w:tab/>
        </w:r>
        <w:r w:rsidR="005E2C32" w:rsidRPr="00324D59">
          <w:rPr>
            <w:rStyle w:val="Hyperlink"/>
            <w:noProof/>
          </w:rPr>
          <w:t>Key Issues</w:t>
        </w:r>
        <w:r w:rsidR="005E2C32">
          <w:rPr>
            <w:noProof/>
            <w:webHidden/>
          </w:rPr>
          <w:tab/>
        </w:r>
        <w:r w:rsidR="005E2C32">
          <w:rPr>
            <w:noProof/>
            <w:webHidden/>
          </w:rPr>
          <w:fldChar w:fldCharType="begin"/>
        </w:r>
        <w:r w:rsidR="005E2C32">
          <w:rPr>
            <w:noProof/>
            <w:webHidden/>
          </w:rPr>
          <w:instrText xml:space="preserve"> PAGEREF _Toc431225255 \h </w:instrText>
        </w:r>
        <w:r w:rsidR="005E2C32">
          <w:rPr>
            <w:noProof/>
            <w:webHidden/>
          </w:rPr>
        </w:r>
        <w:r w:rsidR="005E2C32">
          <w:rPr>
            <w:noProof/>
            <w:webHidden/>
          </w:rPr>
          <w:fldChar w:fldCharType="separate"/>
        </w:r>
        <w:r w:rsidR="005E2C32">
          <w:rPr>
            <w:noProof/>
            <w:webHidden/>
          </w:rPr>
          <w:t>236</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56" w:history="1">
        <w:r w:rsidR="005E2C32" w:rsidRPr="00324D59">
          <w:rPr>
            <w:rStyle w:val="Hyperlink"/>
            <w:noProof/>
          </w:rPr>
          <w:t>11.9</w:t>
        </w:r>
        <w:r w:rsidR="005E2C32">
          <w:rPr>
            <w:rFonts w:eastAsiaTheme="minorEastAsia"/>
            <w:smallCaps w:val="0"/>
            <w:noProof/>
            <w:sz w:val="22"/>
            <w:szCs w:val="22"/>
            <w:lang w:eastAsia="en-GB"/>
          </w:rPr>
          <w:tab/>
        </w:r>
        <w:r w:rsidR="005E2C32" w:rsidRPr="00324D59">
          <w:rPr>
            <w:rStyle w:val="Hyperlink"/>
            <w:noProof/>
          </w:rPr>
          <w:t>Conclusion and Recommendations</w:t>
        </w:r>
        <w:r w:rsidR="005E2C32">
          <w:rPr>
            <w:noProof/>
            <w:webHidden/>
          </w:rPr>
          <w:tab/>
        </w:r>
        <w:r w:rsidR="005E2C32">
          <w:rPr>
            <w:noProof/>
            <w:webHidden/>
          </w:rPr>
          <w:fldChar w:fldCharType="begin"/>
        </w:r>
        <w:r w:rsidR="005E2C32">
          <w:rPr>
            <w:noProof/>
            <w:webHidden/>
          </w:rPr>
          <w:instrText xml:space="preserve"> PAGEREF _Toc431225256 \h </w:instrText>
        </w:r>
        <w:r w:rsidR="005E2C32">
          <w:rPr>
            <w:noProof/>
            <w:webHidden/>
          </w:rPr>
        </w:r>
        <w:r w:rsidR="005E2C32">
          <w:rPr>
            <w:noProof/>
            <w:webHidden/>
          </w:rPr>
          <w:fldChar w:fldCharType="separate"/>
        </w:r>
        <w:r w:rsidR="005E2C32">
          <w:rPr>
            <w:noProof/>
            <w:webHidden/>
          </w:rPr>
          <w:t>238</w:t>
        </w:r>
        <w:r w:rsidR="005E2C32">
          <w:rPr>
            <w:noProof/>
            <w:webHidden/>
          </w:rPr>
          <w:fldChar w:fldCharType="end"/>
        </w:r>
      </w:hyperlink>
    </w:p>
    <w:p w:rsidR="005E2C32" w:rsidRDefault="00146202">
      <w:pPr>
        <w:pStyle w:val="TOC1"/>
        <w:tabs>
          <w:tab w:val="left" w:pos="440"/>
          <w:tab w:val="right" w:leader="dot" w:pos="9016"/>
        </w:tabs>
        <w:rPr>
          <w:rFonts w:eastAsiaTheme="minorEastAsia"/>
          <w:b w:val="0"/>
          <w:bCs w:val="0"/>
          <w:caps w:val="0"/>
          <w:noProof/>
          <w:sz w:val="22"/>
          <w:szCs w:val="22"/>
          <w:lang w:eastAsia="en-GB"/>
        </w:rPr>
      </w:pPr>
      <w:hyperlink w:anchor="_Toc431225257" w:history="1">
        <w:r w:rsidR="005E2C32" w:rsidRPr="00324D59">
          <w:rPr>
            <w:rStyle w:val="Hyperlink"/>
            <w:noProof/>
          </w:rPr>
          <w:t>12</w:t>
        </w:r>
        <w:r w:rsidR="005E2C32">
          <w:rPr>
            <w:rFonts w:eastAsiaTheme="minorEastAsia"/>
            <w:b w:val="0"/>
            <w:bCs w:val="0"/>
            <w:caps w:val="0"/>
            <w:noProof/>
            <w:sz w:val="22"/>
            <w:szCs w:val="22"/>
            <w:lang w:eastAsia="en-GB"/>
          </w:rPr>
          <w:tab/>
        </w:r>
        <w:r w:rsidR="005E2C32" w:rsidRPr="00324D59">
          <w:rPr>
            <w:rStyle w:val="Hyperlink"/>
            <w:noProof/>
          </w:rPr>
          <w:t>Residents’ Voice</w:t>
        </w:r>
        <w:r w:rsidR="005E2C32">
          <w:rPr>
            <w:noProof/>
            <w:webHidden/>
          </w:rPr>
          <w:tab/>
        </w:r>
        <w:r w:rsidR="005E2C32">
          <w:rPr>
            <w:noProof/>
            <w:webHidden/>
          </w:rPr>
          <w:fldChar w:fldCharType="begin"/>
        </w:r>
        <w:r w:rsidR="005E2C32">
          <w:rPr>
            <w:noProof/>
            <w:webHidden/>
          </w:rPr>
          <w:instrText xml:space="preserve"> PAGEREF _Toc431225257 \h </w:instrText>
        </w:r>
        <w:r w:rsidR="005E2C32">
          <w:rPr>
            <w:noProof/>
            <w:webHidden/>
          </w:rPr>
        </w:r>
        <w:r w:rsidR="005E2C32">
          <w:rPr>
            <w:noProof/>
            <w:webHidden/>
          </w:rPr>
          <w:fldChar w:fldCharType="separate"/>
        </w:r>
        <w:r w:rsidR="005E2C32">
          <w:rPr>
            <w:noProof/>
            <w:webHidden/>
          </w:rPr>
          <w:t>239</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58" w:history="1">
        <w:r w:rsidR="005E2C32" w:rsidRPr="00324D59">
          <w:rPr>
            <w:rStyle w:val="Hyperlink"/>
            <w:noProof/>
          </w:rPr>
          <w:t>12.1</w:t>
        </w:r>
        <w:r w:rsidR="005E2C32">
          <w:rPr>
            <w:rFonts w:eastAsiaTheme="minorEastAsia"/>
            <w:smallCaps w:val="0"/>
            <w:noProof/>
            <w:sz w:val="22"/>
            <w:szCs w:val="22"/>
            <w:lang w:eastAsia="en-GB"/>
          </w:rPr>
          <w:tab/>
        </w:r>
        <w:r w:rsidR="005E2C32" w:rsidRPr="00324D59">
          <w:rPr>
            <w:rStyle w:val="Hyperlink"/>
            <w:noProof/>
          </w:rPr>
          <w:t>Key Facts</w:t>
        </w:r>
        <w:r w:rsidR="005E2C32">
          <w:rPr>
            <w:noProof/>
            <w:webHidden/>
          </w:rPr>
          <w:tab/>
        </w:r>
        <w:r w:rsidR="005E2C32">
          <w:rPr>
            <w:noProof/>
            <w:webHidden/>
          </w:rPr>
          <w:fldChar w:fldCharType="begin"/>
        </w:r>
        <w:r w:rsidR="005E2C32">
          <w:rPr>
            <w:noProof/>
            <w:webHidden/>
          </w:rPr>
          <w:instrText xml:space="preserve"> PAGEREF _Toc431225258 \h </w:instrText>
        </w:r>
        <w:r w:rsidR="005E2C32">
          <w:rPr>
            <w:noProof/>
            <w:webHidden/>
          </w:rPr>
        </w:r>
        <w:r w:rsidR="005E2C32">
          <w:rPr>
            <w:noProof/>
            <w:webHidden/>
          </w:rPr>
          <w:fldChar w:fldCharType="separate"/>
        </w:r>
        <w:r w:rsidR="005E2C32">
          <w:rPr>
            <w:noProof/>
            <w:webHidden/>
          </w:rPr>
          <w:t>239</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59" w:history="1">
        <w:r w:rsidR="005E2C32" w:rsidRPr="00324D59">
          <w:rPr>
            <w:rStyle w:val="Hyperlink"/>
            <w:noProof/>
          </w:rPr>
          <w:t>12.2</w:t>
        </w:r>
        <w:r w:rsidR="005E2C32">
          <w:rPr>
            <w:rFonts w:eastAsiaTheme="minorEastAsia"/>
            <w:smallCaps w:val="0"/>
            <w:noProof/>
            <w:sz w:val="22"/>
            <w:szCs w:val="22"/>
            <w:lang w:eastAsia="en-GB"/>
          </w:rPr>
          <w:tab/>
        </w:r>
        <w:r w:rsidR="005E2C32" w:rsidRPr="00324D59">
          <w:rPr>
            <w:rStyle w:val="Hyperlink"/>
            <w:noProof/>
          </w:rPr>
          <w:t>Key Issues</w:t>
        </w:r>
        <w:r w:rsidR="005E2C32">
          <w:rPr>
            <w:noProof/>
            <w:webHidden/>
          </w:rPr>
          <w:tab/>
        </w:r>
        <w:r w:rsidR="005E2C32">
          <w:rPr>
            <w:noProof/>
            <w:webHidden/>
          </w:rPr>
          <w:fldChar w:fldCharType="begin"/>
        </w:r>
        <w:r w:rsidR="005E2C32">
          <w:rPr>
            <w:noProof/>
            <w:webHidden/>
          </w:rPr>
          <w:instrText xml:space="preserve"> PAGEREF _Toc431225259 \h </w:instrText>
        </w:r>
        <w:r w:rsidR="005E2C32">
          <w:rPr>
            <w:noProof/>
            <w:webHidden/>
          </w:rPr>
        </w:r>
        <w:r w:rsidR="005E2C32">
          <w:rPr>
            <w:noProof/>
            <w:webHidden/>
          </w:rPr>
          <w:fldChar w:fldCharType="separate"/>
        </w:r>
        <w:r w:rsidR="005E2C32">
          <w:rPr>
            <w:noProof/>
            <w:webHidden/>
          </w:rPr>
          <w:t>239</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60" w:history="1">
        <w:r w:rsidR="005E2C32" w:rsidRPr="00324D59">
          <w:rPr>
            <w:rStyle w:val="Hyperlink"/>
            <w:noProof/>
          </w:rPr>
          <w:t>12.3</w:t>
        </w:r>
        <w:r w:rsidR="005E2C32">
          <w:rPr>
            <w:rFonts w:eastAsiaTheme="minorEastAsia"/>
            <w:smallCaps w:val="0"/>
            <w:noProof/>
            <w:sz w:val="22"/>
            <w:szCs w:val="22"/>
            <w:lang w:eastAsia="en-GB"/>
          </w:rPr>
          <w:tab/>
        </w:r>
        <w:r w:rsidR="005E2C32" w:rsidRPr="00324D59">
          <w:rPr>
            <w:rStyle w:val="Hyperlink"/>
            <w:noProof/>
          </w:rPr>
          <w:t>Introduction</w:t>
        </w:r>
        <w:r w:rsidR="005E2C32">
          <w:rPr>
            <w:noProof/>
            <w:webHidden/>
          </w:rPr>
          <w:tab/>
        </w:r>
        <w:r w:rsidR="005E2C32">
          <w:rPr>
            <w:noProof/>
            <w:webHidden/>
          </w:rPr>
          <w:fldChar w:fldCharType="begin"/>
        </w:r>
        <w:r w:rsidR="005E2C32">
          <w:rPr>
            <w:noProof/>
            <w:webHidden/>
          </w:rPr>
          <w:instrText xml:space="preserve"> PAGEREF _Toc431225260 \h </w:instrText>
        </w:r>
        <w:r w:rsidR="005E2C32">
          <w:rPr>
            <w:noProof/>
            <w:webHidden/>
          </w:rPr>
        </w:r>
        <w:r w:rsidR="005E2C32">
          <w:rPr>
            <w:noProof/>
            <w:webHidden/>
          </w:rPr>
          <w:fldChar w:fldCharType="separate"/>
        </w:r>
        <w:r w:rsidR="005E2C32">
          <w:rPr>
            <w:noProof/>
            <w:webHidden/>
          </w:rPr>
          <w:t>239</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61" w:history="1">
        <w:r w:rsidR="005E2C32" w:rsidRPr="00324D59">
          <w:rPr>
            <w:rStyle w:val="Hyperlink"/>
            <w:noProof/>
          </w:rPr>
          <w:t>12.4</w:t>
        </w:r>
        <w:r w:rsidR="005E2C32">
          <w:rPr>
            <w:rFonts w:eastAsiaTheme="minorEastAsia"/>
            <w:smallCaps w:val="0"/>
            <w:noProof/>
            <w:sz w:val="22"/>
            <w:szCs w:val="22"/>
            <w:lang w:eastAsia="en-GB"/>
          </w:rPr>
          <w:tab/>
        </w:r>
        <w:r w:rsidR="005E2C32" w:rsidRPr="00324D59">
          <w:rPr>
            <w:rStyle w:val="Hyperlink"/>
            <w:noProof/>
          </w:rPr>
          <w:t>Resident Satisfaction and Opinion of the Council</w:t>
        </w:r>
        <w:r w:rsidR="005E2C32">
          <w:rPr>
            <w:noProof/>
            <w:webHidden/>
          </w:rPr>
          <w:tab/>
        </w:r>
        <w:r w:rsidR="005E2C32">
          <w:rPr>
            <w:noProof/>
            <w:webHidden/>
          </w:rPr>
          <w:fldChar w:fldCharType="begin"/>
        </w:r>
        <w:r w:rsidR="005E2C32">
          <w:rPr>
            <w:noProof/>
            <w:webHidden/>
          </w:rPr>
          <w:instrText xml:space="preserve"> PAGEREF _Toc431225261 \h </w:instrText>
        </w:r>
        <w:r w:rsidR="005E2C32">
          <w:rPr>
            <w:noProof/>
            <w:webHidden/>
          </w:rPr>
        </w:r>
        <w:r w:rsidR="005E2C32">
          <w:rPr>
            <w:noProof/>
            <w:webHidden/>
          </w:rPr>
          <w:fldChar w:fldCharType="separate"/>
        </w:r>
        <w:r w:rsidR="005E2C32">
          <w:rPr>
            <w:noProof/>
            <w:webHidden/>
          </w:rPr>
          <w:t>239</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62" w:history="1">
        <w:r w:rsidR="005E2C32" w:rsidRPr="00324D59">
          <w:rPr>
            <w:rStyle w:val="Hyperlink"/>
            <w:noProof/>
          </w:rPr>
          <w:t>12.5</w:t>
        </w:r>
        <w:r w:rsidR="005E2C32">
          <w:rPr>
            <w:rFonts w:eastAsiaTheme="minorEastAsia"/>
            <w:smallCaps w:val="0"/>
            <w:noProof/>
            <w:sz w:val="22"/>
            <w:szCs w:val="22"/>
            <w:lang w:eastAsia="en-GB"/>
          </w:rPr>
          <w:tab/>
        </w:r>
        <w:r w:rsidR="005E2C32" w:rsidRPr="00324D59">
          <w:rPr>
            <w:rStyle w:val="Hyperlink"/>
            <w:noProof/>
          </w:rPr>
          <w:t>Local Services</w:t>
        </w:r>
        <w:r w:rsidR="005E2C32">
          <w:rPr>
            <w:noProof/>
            <w:webHidden/>
          </w:rPr>
          <w:tab/>
        </w:r>
        <w:r w:rsidR="005E2C32">
          <w:rPr>
            <w:noProof/>
            <w:webHidden/>
          </w:rPr>
          <w:fldChar w:fldCharType="begin"/>
        </w:r>
        <w:r w:rsidR="005E2C32">
          <w:rPr>
            <w:noProof/>
            <w:webHidden/>
          </w:rPr>
          <w:instrText xml:space="preserve"> PAGEREF _Toc431225262 \h </w:instrText>
        </w:r>
        <w:r w:rsidR="005E2C32">
          <w:rPr>
            <w:noProof/>
            <w:webHidden/>
          </w:rPr>
        </w:r>
        <w:r w:rsidR="005E2C32">
          <w:rPr>
            <w:noProof/>
            <w:webHidden/>
          </w:rPr>
          <w:fldChar w:fldCharType="separate"/>
        </w:r>
        <w:r w:rsidR="005E2C32">
          <w:rPr>
            <w:noProof/>
            <w:webHidden/>
          </w:rPr>
          <w:t>240</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63" w:history="1">
        <w:r w:rsidR="005E2C32" w:rsidRPr="00324D59">
          <w:rPr>
            <w:rStyle w:val="Hyperlink"/>
            <w:noProof/>
          </w:rPr>
          <w:t>12.6</w:t>
        </w:r>
        <w:r w:rsidR="005E2C32">
          <w:rPr>
            <w:rFonts w:eastAsiaTheme="minorEastAsia"/>
            <w:smallCaps w:val="0"/>
            <w:noProof/>
            <w:sz w:val="22"/>
            <w:szCs w:val="22"/>
            <w:lang w:eastAsia="en-GB"/>
          </w:rPr>
          <w:tab/>
        </w:r>
        <w:r w:rsidR="005E2C32" w:rsidRPr="00324D59">
          <w:rPr>
            <w:rStyle w:val="Hyperlink"/>
            <w:noProof/>
          </w:rPr>
          <w:t>Top Concerns for Residents</w:t>
        </w:r>
        <w:r w:rsidR="005E2C32">
          <w:rPr>
            <w:noProof/>
            <w:webHidden/>
          </w:rPr>
          <w:tab/>
        </w:r>
        <w:r w:rsidR="005E2C32">
          <w:rPr>
            <w:noProof/>
            <w:webHidden/>
          </w:rPr>
          <w:fldChar w:fldCharType="begin"/>
        </w:r>
        <w:r w:rsidR="005E2C32">
          <w:rPr>
            <w:noProof/>
            <w:webHidden/>
          </w:rPr>
          <w:instrText xml:space="preserve"> PAGEREF _Toc431225263 \h </w:instrText>
        </w:r>
        <w:r w:rsidR="005E2C32">
          <w:rPr>
            <w:noProof/>
            <w:webHidden/>
          </w:rPr>
        </w:r>
        <w:r w:rsidR="005E2C32">
          <w:rPr>
            <w:noProof/>
            <w:webHidden/>
          </w:rPr>
          <w:fldChar w:fldCharType="separate"/>
        </w:r>
        <w:r w:rsidR="005E2C32">
          <w:rPr>
            <w:noProof/>
            <w:webHidden/>
          </w:rPr>
          <w:t>241</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64" w:history="1">
        <w:r w:rsidR="005E2C32" w:rsidRPr="00324D59">
          <w:rPr>
            <w:rStyle w:val="Hyperlink"/>
            <w:noProof/>
          </w:rPr>
          <w:t>12.7</w:t>
        </w:r>
        <w:r w:rsidR="005E2C32">
          <w:rPr>
            <w:rFonts w:eastAsiaTheme="minorEastAsia"/>
            <w:smallCaps w:val="0"/>
            <w:noProof/>
            <w:sz w:val="22"/>
            <w:szCs w:val="22"/>
            <w:lang w:eastAsia="en-GB"/>
          </w:rPr>
          <w:tab/>
        </w:r>
        <w:r w:rsidR="005E2C32" w:rsidRPr="00324D59">
          <w:rPr>
            <w:rStyle w:val="Hyperlink"/>
            <w:noProof/>
          </w:rPr>
          <w:t>Volunteering</w:t>
        </w:r>
        <w:r w:rsidR="005E2C32">
          <w:rPr>
            <w:noProof/>
            <w:webHidden/>
          </w:rPr>
          <w:tab/>
        </w:r>
        <w:r w:rsidR="005E2C32">
          <w:rPr>
            <w:noProof/>
            <w:webHidden/>
          </w:rPr>
          <w:fldChar w:fldCharType="begin"/>
        </w:r>
        <w:r w:rsidR="005E2C32">
          <w:rPr>
            <w:noProof/>
            <w:webHidden/>
          </w:rPr>
          <w:instrText xml:space="preserve"> PAGEREF _Toc431225264 \h </w:instrText>
        </w:r>
        <w:r w:rsidR="005E2C32">
          <w:rPr>
            <w:noProof/>
            <w:webHidden/>
          </w:rPr>
        </w:r>
        <w:r w:rsidR="005E2C32">
          <w:rPr>
            <w:noProof/>
            <w:webHidden/>
          </w:rPr>
          <w:fldChar w:fldCharType="separate"/>
        </w:r>
        <w:r w:rsidR="005E2C32">
          <w:rPr>
            <w:noProof/>
            <w:webHidden/>
          </w:rPr>
          <w:t>242</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65" w:history="1">
        <w:r w:rsidR="005E2C32" w:rsidRPr="00324D59">
          <w:rPr>
            <w:rStyle w:val="Hyperlink"/>
            <w:noProof/>
          </w:rPr>
          <w:t>12.8</w:t>
        </w:r>
        <w:r w:rsidR="005E2C32">
          <w:rPr>
            <w:rFonts w:eastAsiaTheme="minorEastAsia"/>
            <w:smallCaps w:val="0"/>
            <w:noProof/>
            <w:sz w:val="22"/>
            <w:szCs w:val="22"/>
            <w:lang w:eastAsia="en-GB"/>
          </w:rPr>
          <w:tab/>
        </w:r>
        <w:r w:rsidR="005E2C32" w:rsidRPr="00324D59">
          <w:rPr>
            <w:rStyle w:val="Hyperlink"/>
            <w:noProof/>
          </w:rPr>
          <w:t>Community Cohesion</w:t>
        </w:r>
        <w:r w:rsidR="005E2C32">
          <w:rPr>
            <w:noProof/>
            <w:webHidden/>
          </w:rPr>
          <w:tab/>
        </w:r>
        <w:r w:rsidR="005E2C32">
          <w:rPr>
            <w:noProof/>
            <w:webHidden/>
          </w:rPr>
          <w:fldChar w:fldCharType="begin"/>
        </w:r>
        <w:r w:rsidR="005E2C32">
          <w:rPr>
            <w:noProof/>
            <w:webHidden/>
          </w:rPr>
          <w:instrText xml:space="preserve"> PAGEREF _Toc431225265 \h </w:instrText>
        </w:r>
        <w:r w:rsidR="005E2C32">
          <w:rPr>
            <w:noProof/>
            <w:webHidden/>
          </w:rPr>
        </w:r>
        <w:r w:rsidR="005E2C32">
          <w:rPr>
            <w:noProof/>
            <w:webHidden/>
          </w:rPr>
          <w:fldChar w:fldCharType="separate"/>
        </w:r>
        <w:r w:rsidR="005E2C32">
          <w:rPr>
            <w:noProof/>
            <w:webHidden/>
          </w:rPr>
          <w:t>242</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66" w:history="1">
        <w:r w:rsidR="005E2C32" w:rsidRPr="00324D59">
          <w:rPr>
            <w:rStyle w:val="Hyperlink"/>
            <w:noProof/>
          </w:rPr>
          <w:t>12.9</w:t>
        </w:r>
        <w:r w:rsidR="005E2C32">
          <w:rPr>
            <w:rFonts w:eastAsiaTheme="minorEastAsia"/>
            <w:smallCaps w:val="0"/>
            <w:noProof/>
            <w:sz w:val="22"/>
            <w:szCs w:val="22"/>
            <w:lang w:eastAsia="en-GB"/>
          </w:rPr>
          <w:tab/>
        </w:r>
        <w:r w:rsidR="005E2C32" w:rsidRPr="00324D59">
          <w:rPr>
            <w:rStyle w:val="Hyperlink"/>
            <w:noProof/>
          </w:rPr>
          <w:t>Complaints</w:t>
        </w:r>
        <w:r w:rsidR="005E2C32">
          <w:rPr>
            <w:noProof/>
            <w:webHidden/>
          </w:rPr>
          <w:tab/>
        </w:r>
        <w:r w:rsidR="005E2C32">
          <w:rPr>
            <w:noProof/>
            <w:webHidden/>
          </w:rPr>
          <w:fldChar w:fldCharType="begin"/>
        </w:r>
        <w:r w:rsidR="005E2C32">
          <w:rPr>
            <w:noProof/>
            <w:webHidden/>
          </w:rPr>
          <w:instrText xml:space="preserve"> PAGEREF _Toc431225266 \h </w:instrText>
        </w:r>
        <w:r w:rsidR="005E2C32">
          <w:rPr>
            <w:noProof/>
            <w:webHidden/>
          </w:rPr>
        </w:r>
        <w:r w:rsidR="005E2C32">
          <w:rPr>
            <w:noProof/>
            <w:webHidden/>
          </w:rPr>
          <w:fldChar w:fldCharType="separate"/>
        </w:r>
        <w:r w:rsidR="005E2C32">
          <w:rPr>
            <w:noProof/>
            <w:webHidden/>
          </w:rPr>
          <w:t>242</w:t>
        </w:r>
        <w:r w:rsidR="005E2C32">
          <w:rPr>
            <w:noProof/>
            <w:webHidden/>
          </w:rPr>
          <w:fldChar w:fldCharType="end"/>
        </w:r>
      </w:hyperlink>
    </w:p>
    <w:p w:rsidR="005E2C32" w:rsidRDefault="00146202">
      <w:pPr>
        <w:pStyle w:val="TOC1"/>
        <w:tabs>
          <w:tab w:val="left" w:pos="440"/>
          <w:tab w:val="right" w:leader="dot" w:pos="9016"/>
        </w:tabs>
        <w:rPr>
          <w:rFonts w:eastAsiaTheme="minorEastAsia"/>
          <w:b w:val="0"/>
          <w:bCs w:val="0"/>
          <w:caps w:val="0"/>
          <w:noProof/>
          <w:sz w:val="22"/>
          <w:szCs w:val="22"/>
          <w:lang w:eastAsia="en-GB"/>
        </w:rPr>
      </w:pPr>
      <w:hyperlink w:anchor="_Toc431225267" w:history="1">
        <w:r w:rsidR="005E2C32" w:rsidRPr="00324D59">
          <w:rPr>
            <w:rStyle w:val="Hyperlink"/>
            <w:noProof/>
          </w:rPr>
          <w:t>13</w:t>
        </w:r>
        <w:r w:rsidR="005E2C32">
          <w:rPr>
            <w:rFonts w:eastAsiaTheme="minorEastAsia"/>
            <w:b w:val="0"/>
            <w:bCs w:val="0"/>
            <w:caps w:val="0"/>
            <w:noProof/>
            <w:sz w:val="22"/>
            <w:szCs w:val="22"/>
            <w:lang w:eastAsia="en-GB"/>
          </w:rPr>
          <w:tab/>
        </w:r>
        <w:r w:rsidR="005E2C32" w:rsidRPr="00324D59">
          <w:rPr>
            <w:rStyle w:val="Hyperlink"/>
            <w:noProof/>
          </w:rPr>
          <w:t>Public Sector Finance</w:t>
        </w:r>
        <w:r w:rsidR="005E2C32">
          <w:rPr>
            <w:noProof/>
            <w:webHidden/>
          </w:rPr>
          <w:tab/>
        </w:r>
        <w:r w:rsidR="005E2C32">
          <w:rPr>
            <w:noProof/>
            <w:webHidden/>
          </w:rPr>
          <w:fldChar w:fldCharType="begin"/>
        </w:r>
        <w:r w:rsidR="005E2C32">
          <w:rPr>
            <w:noProof/>
            <w:webHidden/>
          </w:rPr>
          <w:instrText xml:space="preserve"> PAGEREF _Toc431225267 \h </w:instrText>
        </w:r>
        <w:r w:rsidR="005E2C32">
          <w:rPr>
            <w:noProof/>
            <w:webHidden/>
          </w:rPr>
        </w:r>
        <w:r w:rsidR="005E2C32">
          <w:rPr>
            <w:noProof/>
            <w:webHidden/>
          </w:rPr>
          <w:fldChar w:fldCharType="separate"/>
        </w:r>
        <w:r w:rsidR="005E2C32">
          <w:rPr>
            <w:noProof/>
            <w:webHidden/>
          </w:rPr>
          <w:t>244</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68" w:history="1">
        <w:r w:rsidR="005E2C32" w:rsidRPr="00324D59">
          <w:rPr>
            <w:rStyle w:val="Hyperlink"/>
            <w:noProof/>
          </w:rPr>
          <w:t>13.1</w:t>
        </w:r>
        <w:r w:rsidR="005E2C32">
          <w:rPr>
            <w:rFonts w:eastAsiaTheme="minorEastAsia"/>
            <w:smallCaps w:val="0"/>
            <w:noProof/>
            <w:sz w:val="22"/>
            <w:szCs w:val="22"/>
            <w:lang w:eastAsia="en-GB"/>
          </w:rPr>
          <w:tab/>
        </w:r>
        <w:r w:rsidR="005E2C32" w:rsidRPr="00324D59">
          <w:rPr>
            <w:rStyle w:val="Hyperlink"/>
            <w:noProof/>
          </w:rPr>
          <w:t>Purpose</w:t>
        </w:r>
        <w:r w:rsidR="005E2C32">
          <w:rPr>
            <w:noProof/>
            <w:webHidden/>
          </w:rPr>
          <w:tab/>
        </w:r>
        <w:r w:rsidR="005E2C32">
          <w:rPr>
            <w:noProof/>
            <w:webHidden/>
          </w:rPr>
          <w:fldChar w:fldCharType="begin"/>
        </w:r>
        <w:r w:rsidR="005E2C32">
          <w:rPr>
            <w:noProof/>
            <w:webHidden/>
          </w:rPr>
          <w:instrText xml:space="preserve"> PAGEREF _Toc431225268 \h </w:instrText>
        </w:r>
        <w:r w:rsidR="005E2C32">
          <w:rPr>
            <w:noProof/>
            <w:webHidden/>
          </w:rPr>
        </w:r>
        <w:r w:rsidR="005E2C32">
          <w:rPr>
            <w:noProof/>
            <w:webHidden/>
          </w:rPr>
          <w:fldChar w:fldCharType="separate"/>
        </w:r>
        <w:r w:rsidR="005E2C32">
          <w:rPr>
            <w:noProof/>
            <w:webHidden/>
          </w:rPr>
          <w:t>244</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69" w:history="1">
        <w:r w:rsidR="005E2C32" w:rsidRPr="00324D59">
          <w:rPr>
            <w:rStyle w:val="Hyperlink"/>
            <w:noProof/>
          </w:rPr>
          <w:t>13.2</w:t>
        </w:r>
        <w:r w:rsidR="005E2C32">
          <w:rPr>
            <w:rFonts w:eastAsiaTheme="minorEastAsia"/>
            <w:smallCaps w:val="0"/>
            <w:noProof/>
            <w:sz w:val="22"/>
            <w:szCs w:val="22"/>
            <w:lang w:eastAsia="en-GB"/>
          </w:rPr>
          <w:tab/>
        </w:r>
        <w:r w:rsidR="005E2C32" w:rsidRPr="00324D59">
          <w:rPr>
            <w:rStyle w:val="Hyperlink"/>
            <w:noProof/>
          </w:rPr>
          <w:t>Overall Council Spend 2014/15</w:t>
        </w:r>
        <w:r w:rsidR="005E2C32">
          <w:rPr>
            <w:noProof/>
            <w:webHidden/>
          </w:rPr>
          <w:tab/>
        </w:r>
        <w:r w:rsidR="005E2C32">
          <w:rPr>
            <w:noProof/>
            <w:webHidden/>
          </w:rPr>
          <w:fldChar w:fldCharType="begin"/>
        </w:r>
        <w:r w:rsidR="005E2C32">
          <w:rPr>
            <w:noProof/>
            <w:webHidden/>
          </w:rPr>
          <w:instrText xml:space="preserve"> PAGEREF _Toc431225269 \h </w:instrText>
        </w:r>
        <w:r w:rsidR="005E2C32">
          <w:rPr>
            <w:noProof/>
            <w:webHidden/>
          </w:rPr>
        </w:r>
        <w:r w:rsidR="005E2C32">
          <w:rPr>
            <w:noProof/>
            <w:webHidden/>
          </w:rPr>
          <w:fldChar w:fldCharType="separate"/>
        </w:r>
        <w:r w:rsidR="005E2C32">
          <w:rPr>
            <w:noProof/>
            <w:webHidden/>
          </w:rPr>
          <w:t>244</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70" w:history="1">
        <w:r w:rsidR="005E2C32" w:rsidRPr="00324D59">
          <w:rPr>
            <w:rStyle w:val="Hyperlink"/>
            <w:noProof/>
          </w:rPr>
          <w:t>13.3</w:t>
        </w:r>
        <w:r w:rsidR="005E2C32">
          <w:rPr>
            <w:rFonts w:eastAsiaTheme="minorEastAsia"/>
            <w:smallCaps w:val="0"/>
            <w:noProof/>
            <w:sz w:val="22"/>
            <w:szCs w:val="22"/>
            <w:lang w:eastAsia="en-GB"/>
          </w:rPr>
          <w:tab/>
        </w:r>
        <w:r w:rsidR="005E2C32" w:rsidRPr="00324D59">
          <w:rPr>
            <w:rStyle w:val="Hyperlink"/>
            <w:noProof/>
          </w:rPr>
          <w:t>Adults and Communities 2014-15</w:t>
        </w:r>
        <w:r w:rsidR="005E2C32">
          <w:rPr>
            <w:noProof/>
            <w:webHidden/>
          </w:rPr>
          <w:tab/>
        </w:r>
        <w:r w:rsidR="005E2C32">
          <w:rPr>
            <w:noProof/>
            <w:webHidden/>
          </w:rPr>
          <w:fldChar w:fldCharType="begin"/>
        </w:r>
        <w:r w:rsidR="005E2C32">
          <w:rPr>
            <w:noProof/>
            <w:webHidden/>
          </w:rPr>
          <w:instrText xml:space="preserve"> PAGEREF _Toc431225270 \h </w:instrText>
        </w:r>
        <w:r w:rsidR="005E2C32">
          <w:rPr>
            <w:noProof/>
            <w:webHidden/>
          </w:rPr>
        </w:r>
        <w:r w:rsidR="005E2C32">
          <w:rPr>
            <w:noProof/>
            <w:webHidden/>
          </w:rPr>
          <w:fldChar w:fldCharType="separate"/>
        </w:r>
        <w:r w:rsidR="005E2C32">
          <w:rPr>
            <w:noProof/>
            <w:webHidden/>
          </w:rPr>
          <w:t>246</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71" w:history="1">
        <w:r w:rsidR="005E2C32" w:rsidRPr="00324D59">
          <w:rPr>
            <w:rStyle w:val="Hyperlink"/>
            <w:noProof/>
          </w:rPr>
          <w:t>13.4</w:t>
        </w:r>
        <w:r w:rsidR="005E2C32">
          <w:rPr>
            <w:rFonts w:eastAsiaTheme="minorEastAsia"/>
            <w:smallCaps w:val="0"/>
            <w:noProof/>
            <w:sz w:val="22"/>
            <w:szCs w:val="22"/>
            <w:lang w:eastAsia="en-GB"/>
          </w:rPr>
          <w:tab/>
        </w:r>
        <w:r w:rsidR="005E2C32" w:rsidRPr="00324D59">
          <w:rPr>
            <w:rStyle w:val="Hyperlink"/>
            <w:noProof/>
          </w:rPr>
          <w:t>Children’s Service 2014/15</w:t>
        </w:r>
        <w:r w:rsidR="005E2C32">
          <w:rPr>
            <w:noProof/>
            <w:webHidden/>
          </w:rPr>
          <w:tab/>
        </w:r>
        <w:r w:rsidR="005E2C32">
          <w:rPr>
            <w:noProof/>
            <w:webHidden/>
          </w:rPr>
          <w:fldChar w:fldCharType="begin"/>
        </w:r>
        <w:r w:rsidR="005E2C32">
          <w:rPr>
            <w:noProof/>
            <w:webHidden/>
          </w:rPr>
          <w:instrText xml:space="preserve"> PAGEREF _Toc431225271 \h </w:instrText>
        </w:r>
        <w:r w:rsidR="005E2C32">
          <w:rPr>
            <w:noProof/>
            <w:webHidden/>
          </w:rPr>
        </w:r>
        <w:r w:rsidR="005E2C32">
          <w:rPr>
            <w:noProof/>
            <w:webHidden/>
          </w:rPr>
          <w:fldChar w:fldCharType="separate"/>
        </w:r>
        <w:r w:rsidR="005E2C32">
          <w:rPr>
            <w:noProof/>
            <w:webHidden/>
          </w:rPr>
          <w:t>247</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72" w:history="1">
        <w:r w:rsidR="005E2C32" w:rsidRPr="00324D59">
          <w:rPr>
            <w:rStyle w:val="Hyperlink"/>
            <w:noProof/>
          </w:rPr>
          <w:t>13.5</w:t>
        </w:r>
        <w:r w:rsidR="005E2C32">
          <w:rPr>
            <w:rFonts w:eastAsiaTheme="minorEastAsia"/>
            <w:smallCaps w:val="0"/>
            <w:noProof/>
            <w:sz w:val="22"/>
            <w:szCs w:val="22"/>
            <w:lang w:eastAsia="en-GB"/>
          </w:rPr>
          <w:tab/>
        </w:r>
        <w:r w:rsidR="005E2C32" w:rsidRPr="00324D59">
          <w:rPr>
            <w:rStyle w:val="Hyperlink"/>
            <w:noProof/>
          </w:rPr>
          <w:t>Public Health 2014-15</w:t>
        </w:r>
        <w:r w:rsidR="005E2C32">
          <w:rPr>
            <w:noProof/>
            <w:webHidden/>
          </w:rPr>
          <w:tab/>
        </w:r>
        <w:r w:rsidR="005E2C32">
          <w:rPr>
            <w:noProof/>
            <w:webHidden/>
          </w:rPr>
          <w:fldChar w:fldCharType="begin"/>
        </w:r>
        <w:r w:rsidR="005E2C32">
          <w:rPr>
            <w:noProof/>
            <w:webHidden/>
          </w:rPr>
          <w:instrText xml:space="preserve"> PAGEREF _Toc431225272 \h </w:instrText>
        </w:r>
        <w:r w:rsidR="005E2C32">
          <w:rPr>
            <w:noProof/>
            <w:webHidden/>
          </w:rPr>
        </w:r>
        <w:r w:rsidR="005E2C32">
          <w:rPr>
            <w:noProof/>
            <w:webHidden/>
          </w:rPr>
          <w:fldChar w:fldCharType="separate"/>
        </w:r>
        <w:r w:rsidR="005E2C32">
          <w:rPr>
            <w:noProof/>
            <w:webHidden/>
          </w:rPr>
          <w:t>248</w:t>
        </w:r>
        <w:r w:rsidR="005E2C32">
          <w:rPr>
            <w:noProof/>
            <w:webHidden/>
          </w:rPr>
          <w:fldChar w:fldCharType="end"/>
        </w:r>
      </w:hyperlink>
    </w:p>
    <w:p w:rsidR="005E2C32" w:rsidRDefault="00146202">
      <w:pPr>
        <w:pStyle w:val="TOC2"/>
        <w:rPr>
          <w:rFonts w:eastAsiaTheme="minorEastAsia"/>
          <w:smallCaps w:val="0"/>
          <w:noProof/>
          <w:sz w:val="22"/>
          <w:szCs w:val="22"/>
          <w:lang w:eastAsia="en-GB"/>
        </w:rPr>
      </w:pPr>
      <w:hyperlink w:anchor="_Toc431225273" w:history="1">
        <w:r w:rsidR="005E2C32" w:rsidRPr="00324D59">
          <w:rPr>
            <w:rStyle w:val="Hyperlink"/>
            <w:noProof/>
          </w:rPr>
          <w:t>13.6</w:t>
        </w:r>
        <w:r w:rsidR="005E2C32">
          <w:rPr>
            <w:rFonts w:eastAsiaTheme="minorEastAsia"/>
            <w:smallCaps w:val="0"/>
            <w:noProof/>
            <w:sz w:val="22"/>
            <w:szCs w:val="22"/>
            <w:lang w:eastAsia="en-GB"/>
          </w:rPr>
          <w:tab/>
        </w:r>
        <w:r w:rsidR="005E2C32" w:rsidRPr="00324D59">
          <w:rPr>
            <w:rStyle w:val="Hyperlink"/>
            <w:noProof/>
          </w:rPr>
          <w:t>Barnet Clinical Commissioning Group 2014-15</w:t>
        </w:r>
        <w:r w:rsidR="005E2C32">
          <w:rPr>
            <w:noProof/>
            <w:webHidden/>
          </w:rPr>
          <w:tab/>
        </w:r>
        <w:r w:rsidR="005E2C32">
          <w:rPr>
            <w:noProof/>
            <w:webHidden/>
          </w:rPr>
          <w:fldChar w:fldCharType="begin"/>
        </w:r>
        <w:r w:rsidR="005E2C32">
          <w:rPr>
            <w:noProof/>
            <w:webHidden/>
          </w:rPr>
          <w:instrText xml:space="preserve"> PAGEREF _Toc431225273 \h </w:instrText>
        </w:r>
        <w:r w:rsidR="005E2C32">
          <w:rPr>
            <w:noProof/>
            <w:webHidden/>
          </w:rPr>
        </w:r>
        <w:r w:rsidR="005E2C32">
          <w:rPr>
            <w:noProof/>
            <w:webHidden/>
          </w:rPr>
          <w:fldChar w:fldCharType="separate"/>
        </w:r>
        <w:r w:rsidR="005E2C32">
          <w:rPr>
            <w:noProof/>
            <w:webHidden/>
          </w:rPr>
          <w:t>249</w:t>
        </w:r>
        <w:r w:rsidR="005E2C32">
          <w:rPr>
            <w:noProof/>
            <w:webHidden/>
          </w:rPr>
          <w:fldChar w:fldCharType="end"/>
        </w:r>
      </w:hyperlink>
    </w:p>
    <w:p w:rsidR="005E2C32" w:rsidRDefault="00146202">
      <w:pPr>
        <w:pStyle w:val="TOC1"/>
        <w:tabs>
          <w:tab w:val="left" w:pos="440"/>
          <w:tab w:val="right" w:leader="dot" w:pos="9016"/>
        </w:tabs>
        <w:rPr>
          <w:rFonts w:eastAsiaTheme="minorEastAsia"/>
          <w:b w:val="0"/>
          <w:bCs w:val="0"/>
          <w:caps w:val="0"/>
          <w:noProof/>
          <w:sz w:val="22"/>
          <w:szCs w:val="22"/>
          <w:lang w:eastAsia="en-GB"/>
        </w:rPr>
      </w:pPr>
      <w:hyperlink w:anchor="_Toc431225274" w:history="1">
        <w:r w:rsidR="005E2C32" w:rsidRPr="00324D59">
          <w:rPr>
            <w:rStyle w:val="Hyperlink"/>
            <w:noProof/>
          </w:rPr>
          <w:t>14</w:t>
        </w:r>
        <w:r w:rsidR="005E2C32">
          <w:rPr>
            <w:rFonts w:eastAsiaTheme="minorEastAsia"/>
            <w:b w:val="0"/>
            <w:bCs w:val="0"/>
            <w:caps w:val="0"/>
            <w:noProof/>
            <w:sz w:val="22"/>
            <w:szCs w:val="22"/>
            <w:lang w:eastAsia="en-GB"/>
          </w:rPr>
          <w:tab/>
        </w:r>
        <w:r w:rsidR="005E2C32" w:rsidRPr="00324D59">
          <w:rPr>
            <w:rStyle w:val="Hyperlink"/>
            <w:noProof/>
          </w:rPr>
          <w:t>Appendix-1 Barnet (PHOF) Indicators that are worse or lower than England</w:t>
        </w:r>
        <w:r w:rsidR="005E2C32">
          <w:rPr>
            <w:noProof/>
            <w:webHidden/>
          </w:rPr>
          <w:tab/>
        </w:r>
        <w:r w:rsidR="005E2C32">
          <w:rPr>
            <w:noProof/>
            <w:webHidden/>
          </w:rPr>
          <w:fldChar w:fldCharType="begin"/>
        </w:r>
        <w:r w:rsidR="005E2C32">
          <w:rPr>
            <w:noProof/>
            <w:webHidden/>
          </w:rPr>
          <w:instrText xml:space="preserve"> PAGEREF _Toc431225274 \h </w:instrText>
        </w:r>
        <w:r w:rsidR="005E2C32">
          <w:rPr>
            <w:noProof/>
            <w:webHidden/>
          </w:rPr>
        </w:r>
        <w:r w:rsidR="005E2C32">
          <w:rPr>
            <w:noProof/>
            <w:webHidden/>
          </w:rPr>
          <w:fldChar w:fldCharType="separate"/>
        </w:r>
        <w:r w:rsidR="005E2C32">
          <w:rPr>
            <w:noProof/>
            <w:webHidden/>
          </w:rPr>
          <w:t>250</w:t>
        </w:r>
        <w:r w:rsidR="005E2C32">
          <w:rPr>
            <w:noProof/>
            <w:webHidden/>
          </w:rPr>
          <w:fldChar w:fldCharType="end"/>
        </w:r>
      </w:hyperlink>
    </w:p>
    <w:p w:rsidR="00452DF1" w:rsidRDefault="004A7EA5" w:rsidP="00452DF1">
      <w:pPr>
        <w:pStyle w:val="Heading1"/>
        <w:numPr>
          <w:ilvl w:val="0"/>
          <w:numId w:val="0"/>
        </w:numPr>
        <w:ind w:left="432"/>
      </w:pPr>
      <w:r>
        <w:fldChar w:fldCharType="end"/>
      </w:r>
    </w:p>
    <w:p w:rsidR="00452DF1" w:rsidRDefault="00452DF1" w:rsidP="00452DF1">
      <w:pPr>
        <w:pStyle w:val="Heading1"/>
        <w:numPr>
          <w:ilvl w:val="0"/>
          <w:numId w:val="0"/>
        </w:numPr>
        <w:ind w:left="432" w:hanging="432"/>
      </w:pPr>
    </w:p>
    <w:p w:rsidR="005B76FC" w:rsidRPr="00212F68" w:rsidRDefault="005B76FC" w:rsidP="00396B09">
      <w:pPr>
        <w:rPr>
          <w:color w:val="FF0000"/>
          <w:sz w:val="28"/>
        </w:rPr>
      </w:pPr>
    </w:p>
    <w:p w:rsidR="005B76FC" w:rsidRPr="00212F68" w:rsidRDefault="005B76FC" w:rsidP="005B76FC"/>
    <w:p w:rsidR="005B76FC" w:rsidRPr="00212F68" w:rsidRDefault="005B76FC" w:rsidP="005B76FC"/>
    <w:p w:rsidR="005B76FC" w:rsidRPr="00212F68" w:rsidRDefault="005B76FC" w:rsidP="005B76FC"/>
    <w:p w:rsidR="005B76FC" w:rsidRPr="00212F68" w:rsidRDefault="005B76FC" w:rsidP="005B76FC"/>
    <w:p w:rsidR="005B76FC" w:rsidRPr="00212F68" w:rsidRDefault="005B76FC" w:rsidP="005B76FC"/>
    <w:p w:rsidR="005B76FC" w:rsidRPr="00212F68" w:rsidRDefault="005B76FC" w:rsidP="005B76FC"/>
    <w:p w:rsidR="005B76FC" w:rsidRPr="00212F68" w:rsidRDefault="005B76FC" w:rsidP="005B76FC"/>
    <w:p w:rsidR="005B76FC" w:rsidRPr="00212F68" w:rsidRDefault="005B76FC" w:rsidP="005B76FC"/>
    <w:p w:rsidR="005B76FC" w:rsidRPr="00212F68" w:rsidRDefault="005B76FC" w:rsidP="005B76FC"/>
    <w:p w:rsidR="005B76FC" w:rsidRPr="00212F68" w:rsidRDefault="005B76FC" w:rsidP="005B76FC"/>
    <w:p w:rsidR="005B76FC" w:rsidRPr="00212F68" w:rsidRDefault="005B76FC" w:rsidP="005B76FC"/>
    <w:p w:rsidR="005B76FC" w:rsidRPr="00212F68" w:rsidRDefault="005B76FC" w:rsidP="005B76FC"/>
    <w:p w:rsidR="005B76FC" w:rsidRPr="00212F68" w:rsidRDefault="005B76FC" w:rsidP="005B76FC"/>
    <w:p w:rsidR="005B76FC" w:rsidRPr="00212F68" w:rsidRDefault="005B76FC" w:rsidP="005B76FC"/>
    <w:p w:rsidR="005B76FC" w:rsidRPr="00212F68" w:rsidRDefault="005B76FC" w:rsidP="005B76FC"/>
    <w:p w:rsidR="005B76FC" w:rsidRPr="00212F68" w:rsidRDefault="005B76FC" w:rsidP="005B76FC"/>
    <w:p w:rsidR="005B76FC" w:rsidRPr="00212F68" w:rsidRDefault="005B76FC" w:rsidP="005B76FC">
      <w:pPr>
        <w:keepNext/>
        <w:keepLines/>
        <w:spacing w:before="480" w:after="0"/>
        <w:ind w:left="432" w:hanging="432"/>
        <w:outlineLvl w:val="0"/>
        <w:rPr>
          <w:rFonts w:asciiTheme="majorHAnsi" w:eastAsia="Times New Roman" w:hAnsiTheme="majorHAnsi" w:cstheme="majorBidi"/>
          <w:b/>
          <w:bCs/>
          <w:color w:val="365F91" w:themeColor="accent1" w:themeShade="BF"/>
          <w:sz w:val="44"/>
          <w:szCs w:val="28"/>
          <w:lang w:eastAsia="en-GB"/>
        </w:rPr>
      </w:pPr>
      <w:bookmarkStart w:id="2" w:name="_Toc427237109"/>
      <w:bookmarkStart w:id="3" w:name="_Toc427239283"/>
      <w:bookmarkStart w:id="4" w:name="_Toc427239467"/>
      <w:bookmarkStart w:id="5" w:name="_Toc427241439"/>
      <w:bookmarkStart w:id="6" w:name="_Toc427312554"/>
      <w:bookmarkStart w:id="7" w:name="_Toc427323813"/>
      <w:bookmarkStart w:id="8" w:name="_Toc427324118"/>
      <w:bookmarkStart w:id="9" w:name="_Toc427327336"/>
      <w:bookmarkStart w:id="10" w:name="_Toc427676552"/>
      <w:bookmarkStart w:id="11" w:name="_Toc427738507"/>
      <w:bookmarkStart w:id="12" w:name="_Toc427763142"/>
      <w:bookmarkStart w:id="13" w:name="_Toc427830335"/>
      <w:bookmarkStart w:id="14" w:name="_Toc428344074"/>
      <w:bookmarkStart w:id="15" w:name="_Toc430871102"/>
      <w:bookmarkStart w:id="16" w:name="_Toc431198803"/>
      <w:bookmarkStart w:id="17" w:name="_Toc431225080"/>
      <w:bookmarkStart w:id="18" w:name="_Toc424291907"/>
      <w:r w:rsidRPr="00212F68">
        <w:rPr>
          <w:rFonts w:asciiTheme="majorHAnsi" w:eastAsia="Times New Roman" w:hAnsiTheme="majorHAnsi" w:cstheme="majorBidi"/>
          <w:b/>
          <w:bCs/>
          <w:color w:val="365F91" w:themeColor="accent1" w:themeShade="BF"/>
          <w:sz w:val="44"/>
          <w:szCs w:val="28"/>
          <w:lang w:eastAsia="en-GB"/>
        </w:rPr>
        <w:lastRenderedPageBreak/>
        <w:t>Barnet’s JSNA 2015 – 2020</w:t>
      </w:r>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r w:rsidRPr="00212F68">
        <w:rPr>
          <w:rFonts w:asciiTheme="majorHAnsi" w:eastAsia="Times New Roman" w:hAnsiTheme="majorHAnsi" w:cstheme="majorBidi"/>
          <w:b/>
          <w:bCs/>
          <w:color w:val="365F91" w:themeColor="accent1" w:themeShade="BF"/>
          <w:sz w:val="44"/>
          <w:szCs w:val="28"/>
          <w:lang w:eastAsia="en-GB"/>
        </w:rPr>
        <w:t xml:space="preserve"> </w:t>
      </w:r>
    </w:p>
    <w:p w:rsidR="00A527C9" w:rsidRPr="00A527C9" w:rsidRDefault="005B76FC" w:rsidP="00A527C9">
      <w:pPr>
        <w:keepNext/>
        <w:keepLines/>
        <w:spacing w:before="120" w:after="0"/>
        <w:outlineLvl w:val="0"/>
        <w:rPr>
          <w:rFonts w:asciiTheme="majorHAnsi" w:eastAsia="Times New Roman" w:hAnsiTheme="majorHAnsi" w:cstheme="majorBidi"/>
          <w:b/>
          <w:bCs/>
          <w:color w:val="365F91" w:themeColor="accent1" w:themeShade="BF"/>
          <w:sz w:val="72"/>
          <w:szCs w:val="28"/>
          <w:lang w:eastAsia="en-GB"/>
        </w:rPr>
      </w:pPr>
      <w:bookmarkStart w:id="19" w:name="_Toc431225081"/>
      <w:r w:rsidRPr="00212F68">
        <w:rPr>
          <w:rFonts w:asciiTheme="majorHAnsi" w:eastAsia="Times New Roman" w:hAnsiTheme="majorHAnsi" w:cstheme="majorBidi"/>
          <w:b/>
          <w:bCs/>
          <w:color w:val="365F91" w:themeColor="accent1" w:themeShade="BF"/>
          <w:sz w:val="72"/>
          <w:szCs w:val="28"/>
          <w:lang w:eastAsia="en-GB"/>
        </w:rPr>
        <w:t>Executive Summary</w:t>
      </w:r>
      <w:bookmarkEnd w:id="19"/>
    </w:p>
    <w:p w:rsidR="00E41269" w:rsidRPr="00635053" w:rsidRDefault="00E41269" w:rsidP="00E41269">
      <w:pPr>
        <w:keepNext/>
        <w:keepLines/>
        <w:spacing w:before="120" w:after="0"/>
        <w:outlineLvl w:val="0"/>
        <w:rPr>
          <w:rFonts w:ascii="Arial" w:eastAsia="Times New Roman" w:hAnsi="Arial" w:cs="Arial"/>
          <w:b/>
          <w:bCs/>
          <w:color w:val="365F91" w:themeColor="accent1" w:themeShade="BF"/>
          <w:sz w:val="28"/>
          <w:szCs w:val="28"/>
          <w:lang w:eastAsia="en-GB"/>
        </w:rPr>
      </w:pPr>
      <w:bookmarkStart w:id="20" w:name="_Toc427763144"/>
      <w:bookmarkStart w:id="21" w:name="_Toc427830337"/>
      <w:bookmarkStart w:id="22" w:name="_Toc428344076"/>
      <w:bookmarkStart w:id="23" w:name="_Toc430871104"/>
      <w:bookmarkStart w:id="24" w:name="_Toc431198805"/>
      <w:bookmarkStart w:id="25" w:name="_Toc431225082"/>
      <w:r w:rsidRPr="00635053">
        <w:rPr>
          <w:rFonts w:ascii="Arial" w:eastAsia="Times New Roman" w:hAnsi="Arial" w:cs="Arial"/>
          <w:b/>
          <w:bCs/>
          <w:color w:val="365F91" w:themeColor="accent1" w:themeShade="BF"/>
          <w:sz w:val="28"/>
          <w:szCs w:val="28"/>
          <w:lang w:eastAsia="en-GB"/>
        </w:rPr>
        <w:t>S</w:t>
      </w:r>
      <w:r>
        <w:rPr>
          <w:rFonts w:ascii="Arial" w:eastAsia="Times New Roman" w:hAnsi="Arial" w:cs="Arial"/>
          <w:b/>
          <w:bCs/>
          <w:color w:val="365F91" w:themeColor="accent1" w:themeShade="BF"/>
          <w:sz w:val="28"/>
          <w:szCs w:val="28"/>
          <w:lang w:eastAsia="en-GB"/>
        </w:rPr>
        <w:t>tructure</w:t>
      </w:r>
      <w:bookmarkEnd w:id="20"/>
      <w:bookmarkEnd w:id="21"/>
      <w:bookmarkEnd w:id="22"/>
      <w:bookmarkEnd w:id="23"/>
      <w:bookmarkEnd w:id="24"/>
      <w:bookmarkEnd w:id="25"/>
    </w:p>
    <w:p w:rsidR="00E41269" w:rsidRDefault="00E41269" w:rsidP="00E41269">
      <w:pPr>
        <w:pStyle w:val="ListParagraph"/>
        <w:keepNext/>
        <w:keepLines/>
        <w:numPr>
          <w:ilvl w:val="0"/>
          <w:numId w:val="141"/>
        </w:numPr>
        <w:spacing w:before="120" w:after="0"/>
        <w:outlineLvl w:val="0"/>
        <w:rPr>
          <w:rFonts w:asciiTheme="majorHAnsi" w:eastAsia="Times New Roman" w:hAnsiTheme="majorHAnsi" w:cstheme="majorBidi"/>
          <w:b/>
          <w:bCs/>
          <w:color w:val="365F91" w:themeColor="accent1" w:themeShade="BF"/>
          <w:sz w:val="24"/>
          <w:szCs w:val="28"/>
          <w:lang w:eastAsia="en-GB"/>
        </w:rPr>
      </w:pPr>
      <w:bookmarkStart w:id="26" w:name="_Toc427763145"/>
      <w:bookmarkStart w:id="27" w:name="_Toc427830338"/>
      <w:bookmarkStart w:id="28" w:name="_Toc428344077"/>
      <w:bookmarkStart w:id="29" w:name="_Toc430871105"/>
      <w:bookmarkStart w:id="30" w:name="_Toc431198806"/>
      <w:bookmarkStart w:id="31" w:name="_Toc431225083"/>
      <w:r>
        <w:rPr>
          <w:rFonts w:asciiTheme="majorHAnsi" w:eastAsia="Times New Roman" w:hAnsiTheme="majorHAnsi" w:cstheme="majorBidi"/>
          <w:b/>
          <w:bCs/>
          <w:color w:val="365F91" w:themeColor="accent1" w:themeShade="BF"/>
          <w:sz w:val="24"/>
          <w:szCs w:val="28"/>
          <w:lang w:eastAsia="en-GB"/>
        </w:rPr>
        <w:t>Demography</w:t>
      </w:r>
      <w:bookmarkEnd w:id="26"/>
      <w:bookmarkEnd w:id="27"/>
      <w:bookmarkEnd w:id="28"/>
      <w:bookmarkEnd w:id="29"/>
      <w:bookmarkEnd w:id="30"/>
      <w:bookmarkEnd w:id="31"/>
    </w:p>
    <w:p w:rsidR="00E41269" w:rsidRDefault="00E41269" w:rsidP="00E41269">
      <w:pPr>
        <w:pStyle w:val="ListParagraph"/>
        <w:keepNext/>
        <w:keepLines/>
        <w:numPr>
          <w:ilvl w:val="0"/>
          <w:numId w:val="141"/>
        </w:numPr>
        <w:spacing w:before="120" w:after="0"/>
        <w:outlineLvl w:val="0"/>
        <w:rPr>
          <w:rFonts w:asciiTheme="majorHAnsi" w:eastAsia="Times New Roman" w:hAnsiTheme="majorHAnsi" w:cstheme="majorBidi"/>
          <w:b/>
          <w:bCs/>
          <w:color w:val="365F91" w:themeColor="accent1" w:themeShade="BF"/>
          <w:sz w:val="24"/>
          <w:szCs w:val="28"/>
          <w:lang w:eastAsia="en-GB"/>
        </w:rPr>
      </w:pPr>
      <w:bookmarkStart w:id="32" w:name="_Toc427763146"/>
      <w:bookmarkStart w:id="33" w:name="_Toc427830339"/>
      <w:bookmarkStart w:id="34" w:name="_Toc428344078"/>
      <w:bookmarkStart w:id="35" w:name="_Toc430871106"/>
      <w:bookmarkStart w:id="36" w:name="_Toc431198807"/>
      <w:bookmarkStart w:id="37" w:name="_Toc431225084"/>
      <w:r>
        <w:rPr>
          <w:rFonts w:asciiTheme="majorHAnsi" w:eastAsia="Times New Roman" w:hAnsiTheme="majorHAnsi" w:cstheme="majorBidi"/>
          <w:b/>
          <w:bCs/>
          <w:color w:val="365F91" w:themeColor="accent1" w:themeShade="BF"/>
          <w:sz w:val="24"/>
          <w:szCs w:val="28"/>
          <w:lang w:eastAsia="en-GB"/>
        </w:rPr>
        <w:t>Socio-Economic and Environmental Context</w:t>
      </w:r>
      <w:bookmarkEnd w:id="32"/>
      <w:bookmarkEnd w:id="33"/>
      <w:bookmarkEnd w:id="34"/>
      <w:bookmarkEnd w:id="35"/>
      <w:bookmarkEnd w:id="36"/>
      <w:bookmarkEnd w:id="37"/>
    </w:p>
    <w:p w:rsidR="00E41269" w:rsidRDefault="00E41269" w:rsidP="00E41269">
      <w:pPr>
        <w:pStyle w:val="ListParagraph"/>
        <w:keepNext/>
        <w:keepLines/>
        <w:numPr>
          <w:ilvl w:val="0"/>
          <w:numId w:val="141"/>
        </w:numPr>
        <w:spacing w:before="120" w:after="0"/>
        <w:outlineLvl w:val="0"/>
        <w:rPr>
          <w:rFonts w:asciiTheme="majorHAnsi" w:eastAsia="Times New Roman" w:hAnsiTheme="majorHAnsi" w:cstheme="majorBidi"/>
          <w:b/>
          <w:bCs/>
          <w:color w:val="365F91" w:themeColor="accent1" w:themeShade="BF"/>
          <w:sz w:val="24"/>
          <w:szCs w:val="28"/>
          <w:lang w:eastAsia="en-GB"/>
        </w:rPr>
      </w:pPr>
      <w:bookmarkStart w:id="38" w:name="_Toc427763147"/>
      <w:bookmarkStart w:id="39" w:name="_Toc427830340"/>
      <w:bookmarkStart w:id="40" w:name="_Toc428344079"/>
      <w:bookmarkStart w:id="41" w:name="_Toc430871107"/>
      <w:bookmarkStart w:id="42" w:name="_Toc431198808"/>
      <w:bookmarkStart w:id="43" w:name="_Toc431225085"/>
      <w:r>
        <w:rPr>
          <w:rFonts w:asciiTheme="majorHAnsi" w:eastAsia="Times New Roman" w:hAnsiTheme="majorHAnsi" w:cstheme="majorBidi"/>
          <w:b/>
          <w:bCs/>
          <w:color w:val="365F91" w:themeColor="accent1" w:themeShade="BF"/>
          <w:sz w:val="24"/>
          <w:szCs w:val="28"/>
          <w:lang w:eastAsia="en-GB"/>
        </w:rPr>
        <w:t>Health</w:t>
      </w:r>
      <w:bookmarkEnd w:id="38"/>
      <w:bookmarkEnd w:id="39"/>
      <w:bookmarkEnd w:id="40"/>
      <w:bookmarkEnd w:id="41"/>
      <w:bookmarkEnd w:id="42"/>
      <w:bookmarkEnd w:id="43"/>
    </w:p>
    <w:p w:rsidR="00E41269" w:rsidRDefault="00E41269" w:rsidP="00E41269">
      <w:pPr>
        <w:pStyle w:val="ListParagraph"/>
        <w:keepNext/>
        <w:keepLines/>
        <w:numPr>
          <w:ilvl w:val="0"/>
          <w:numId w:val="141"/>
        </w:numPr>
        <w:spacing w:before="120" w:after="0"/>
        <w:outlineLvl w:val="0"/>
        <w:rPr>
          <w:rFonts w:asciiTheme="majorHAnsi" w:eastAsia="Times New Roman" w:hAnsiTheme="majorHAnsi" w:cstheme="majorBidi"/>
          <w:b/>
          <w:bCs/>
          <w:color w:val="365F91" w:themeColor="accent1" w:themeShade="BF"/>
          <w:sz w:val="24"/>
          <w:szCs w:val="28"/>
          <w:lang w:eastAsia="en-GB"/>
        </w:rPr>
      </w:pPr>
      <w:bookmarkStart w:id="44" w:name="_Toc427763148"/>
      <w:bookmarkStart w:id="45" w:name="_Toc427830341"/>
      <w:bookmarkStart w:id="46" w:name="_Toc428344080"/>
      <w:bookmarkStart w:id="47" w:name="_Toc430871108"/>
      <w:bookmarkStart w:id="48" w:name="_Toc431198809"/>
      <w:bookmarkStart w:id="49" w:name="_Toc431225086"/>
      <w:r>
        <w:rPr>
          <w:rFonts w:asciiTheme="majorHAnsi" w:eastAsia="Times New Roman" w:hAnsiTheme="majorHAnsi" w:cstheme="majorBidi"/>
          <w:b/>
          <w:bCs/>
          <w:color w:val="365F91" w:themeColor="accent1" w:themeShade="BF"/>
          <w:sz w:val="24"/>
          <w:szCs w:val="28"/>
          <w:lang w:eastAsia="en-GB"/>
        </w:rPr>
        <w:t>Lifestyle</w:t>
      </w:r>
      <w:bookmarkEnd w:id="44"/>
      <w:bookmarkEnd w:id="45"/>
      <w:bookmarkEnd w:id="46"/>
      <w:bookmarkEnd w:id="47"/>
      <w:bookmarkEnd w:id="48"/>
      <w:bookmarkEnd w:id="49"/>
    </w:p>
    <w:p w:rsidR="00E41269" w:rsidRDefault="00E41269" w:rsidP="00E41269">
      <w:pPr>
        <w:pStyle w:val="ListParagraph"/>
        <w:keepNext/>
        <w:keepLines/>
        <w:numPr>
          <w:ilvl w:val="0"/>
          <w:numId w:val="141"/>
        </w:numPr>
        <w:spacing w:before="120" w:after="0"/>
        <w:outlineLvl w:val="0"/>
        <w:rPr>
          <w:rFonts w:asciiTheme="majorHAnsi" w:eastAsia="Times New Roman" w:hAnsiTheme="majorHAnsi" w:cstheme="majorBidi"/>
          <w:b/>
          <w:bCs/>
          <w:color w:val="365F91" w:themeColor="accent1" w:themeShade="BF"/>
          <w:sz w:val="24"/>
          <w:szCs w:val="28"/>
          <w:lang w:eastAsia="en-GB"/>
        </w:rPr>
      </w:pPr>
      <w:bookmarkStart w:id="50" w:name="_Toc427763149"/>
      <w:bookmarkStart w:id="51" w:name="_Toc427830342"/>
      <w:bookmarkStart w:id="52" w:name="_Toc428344081"/>
      <w:bookmarkStart w:id="53" w:name="_Toc430871109"/>
      <w:bookmarkStart w:id="54" w:name="_Toc431198810"/>
      <w:bookmarkStart w:id="55" w:name="_Toc431225087"/>
      <w:r>
        <w:rPr>
          <w:rFonts w:asciiTheme="majorHAnsi" w:eastAsia="Times New Roman" w:hAnsiTheme="majorHAnsi" w:cstheme="majorBidi"/>
          <w:b/>
          <w:bCs/>
          <w:color w:val="365F91" w:themeColor="accent1" w:themeShade="BF"/>
          <w:sz w:val="24"/>
          <w:szCs w:val="28"/>
          <w:lang w:eastAsia="en-GB"/>
        </w:rPr>
        <w:t>Primary and Secondary Care</w:t>
      </w:r>
      <w:bookmarkEnd w:id="50"/>
      <w:bookmarkEnd w:id="51"/>
      <w:bookmarkEnd w:id="52"/>
      <w:bookmarkEnd w:id="53"/>
      <w:bookmarkEnd w:id="54"/>
      <w:bookmarkEnd w:id="55"/>
    </w:p>
    <w:p w:rsidR="00E41269" w:rsidRDefault="00E41269" w:rsidP="00E41269">
      <w:pPr>
        <w:pStyle w:val="ListParagraph"/>
        <w:keepNext/>
        <w:keepLines/>
        <w:numPr>
          <w:ilvl w:val="0"/>
          <w:numId w:val="141"/>
        </w:numPr>
        <w:spacing w:before="120" w:after="0"/>
        <w:outlineLvl w:val="0"/>
        <w:rPr>
          <w:rFonts w:asciiTheme="majorHAnsi" w:eastAsia="Times New Roman" w:hAnsiTheme="majorHAnsi" w:cstheme="majorBidi"/>
          <w:b/>
          <w:bCs/>
          <w:color w:val="365F91" w:themeColor="accent1" w:themeShade="BF"/>
          <w:sz w:val="24"/>
          <w:szCs w:val="28"/>
          <w:lang w:eastAsia="en-GB"/>
        </w:rPr>
      </w:pPr>
      <w:bookmarkStart w:id="56" w:name="_Toc427763150"/>
      <w:bookmarkStart w:id="57" w:name="_Toc427830343"/>
      <w:bookmarkStart w:id="58" w:name="_Toc428344082"/>
      <w:bookmarkStart w:id="59" w:name="_Toc430871110"/>
      <w:bookmarkStart w:id="60" w:name="_Toc431198811"/>
      <w:bookmarkStart w:id="61" w:name="_Toc431225088"/>
      <w:r>
        <w:rPr>
          <w:rFonts w:asciiTheme="majorHAnsi" w:eastAsia="Times New Roman" w:hAnsiTheme="majorHAnsi" w:cstheme="majorBidi"/>
          <w:b/>
          <w:bCs/>
          <w:color w:val="365F91" w:themeColor="accent1" w:themeShade="BF"/>
          <w:sz w:val="24"/>
          <w:szCs w:val="28"/>
          <w:lang w:eastAsia="en-GB"/>
        </w:rPr>
        <w:t>Children and Young People</w:t>
      </w:r>
      <w:bookmarkEnd w:id="56"/>
      <w:bookmarkEnd w:id="57"/>
      <w:bookmarkEnd w:id="58"/>
      <w:bookmarkEnd w:id="59"/>
      <w:bookmarkEnd w:id="60"/>
      <w:bookmarkEnd w:id="61"/>
    </w:p>
    <w:p w:rsidR="00E41269" w:rsidRDefault="00E41269" w:rsidP="00E41269">
      <w:pPr>
        <w:pStyle w:val="ListParagraph"/>
        <w:keepNext/>
        <w:keepLines/>
        <w:numPr>
          <w:ilvl w:val="0"/>
          <w:numId w:val="141"/>
        </w:numPr>
        <w:spacing w:before="120" w:after="0"/>
        <w:outlineLvl w:val="0"/>
        <w:rPr>
          <w:rFonts w:asciiTheme="majorHAnsi" w:eastAsia="Times New Roman" w:hAnsiTheme="majorHAnsi" w:cstheme="majorBidi"/>
          <w:b/>
          <w:bCs/>
          <w:color w:val="365F91" w:themeColor="accent1" w:themeShade="BF"/>
          <w:sz w:val="24"/>
          <w:szCs w:val="28"/>
          <w:lang w:eastAsia="en-GB"/>
        </w:rPr>
      </w:pPr>
      <w:bookmarkStart w:id="62" w:name="_Toc427763151"/>
      <w:bookmarkStart w:id="63" w:name="_Toc427830344"/>
      <w:bookmarkStart w:id="64" w:name="_Toc428344083"/>
      <w:bookmarkStart w:id="65" w:name="_Toc430871111"/>
      <w:bookmarkStart w:id="66" w:name="_Toc431198812"/>
      <w:bookmarkStart w:id="67" w:name="_Toc431225089"/>
      <w:r>
        <w:rPr>
          <w:rFonts w:asciiTheme="majorHAnsi" w:eastAsia="Times New Roman" w:hAnsiTheme="majorHAnsi" w:cstheme="majorBidi"/>
          <w:b/>
          <w:bCs/>
          <w:color w:val="365F91" w:themeColor="accent1" w:themeShade="BF"/>
          <w:sz w:val="24"/>
          <w:szCs w:val="28"/>
          <w:lang w:eastAsia="en-GB"/>
        </w:rPr>
        <w:t>Adult Social Care</w:t>
      </w:r>
      <w:bookmarkEnd w:id="62"/>
      <w:bookmarkEnd w:id="63"/>
      <w:bookmarkEnd w:id="64"/>
      <w:bookmarkEnd w:id="65"/>
      <w:bookmarkEnd w:id="66"/>
      <w:bookmarkEnd w:id="67"/>
    </w:p>
    <w:p w:rsidR="00E41269" w:rsidRDefault="00E41269" w:rsidP="00E41269">
      <w:pPr>
        <w:pStyle w:val="ListParagraph"/>
        <w:keepNext/>
        <w:keepLines/>
        <w:numPr>
          <w:ilvl w:val="0"/>
          <w:numId w:val="141"/>
        </w:numPr>
        <w:spacing w:before="120" w:after="0"/>
        <w:outlineLvl w:val="0"/>
        <w:rPr>
          <w:rFonts w:asciiTheme="majorHAnsi" w:eastAsia="Times New Roman" w:hAnsiTheme="majorHAnsi" w:cstheme="majorBidi"/>
          <w:b/>
          <w:bCs/>
          <w:color w:val="365F91" w:themeColor="accent1" w:themeShade="BF"/>
          <w:sz w:val="24"/>
          <w:szCs w:val="28"/>
          <w:lang w:eastAsia="en-GB"/>
        </w:rPr>
      </w:pPr>
      <w:bookmarkStart w:id="68" w:name="_Toc427763152"/>
      <w:bookmarkStart w:id="69" w:name="_Toc427830345"/>
      <w:bookmarkStart w:id="70" w:name="_Toc428344084"/>
      <w:bookmarkStart w:id="71" w:name="_Toc430871112"/>
      <w:bookmarkStart w:id="72" w:name="_Toc431198813"/>
      <w:bookmarkStart w:id="73" w:name="_Toc431225090"/>
      <w:r>
        <w:rPr>
          <w:rFonts w:asciiTheme="majorHAnsi" w:eastAsia="Times New Roman" w:hAnsiTheme="majorHAnsi" w:cstheme="majorBidi"/>
          <w:b/>
          <w:bCs/>
          <w:color w:val="365F91" w:themeColor="accent1" w:themeShade="BF"/>
          <w:sz w:val="24"/>
          <w:szCs w:val="28"/>
          <w:lang w:eastAsia="en-GB"/>
        </w:rPr>
        <w:t>Community Safety</w:t>
      </w:r>
      <w:bookmarkEnd w:id="68"/>
      <w:bookmarkEnd w:id="69"/>
      <w:bookmarkEnd w:id="70"/>
      <w:bookmarkEnd w:id="71"/>
      <w:bookmarkEnd w:id="72"/>
      <w:bookmarkEnd w:id="73"/>
    </w:p>
    <w:p w:rsidR="00E41269" w:rsidRDefault="00E41269" w:rsidP="00E41269">
      <w:pPr>
        <w:pStyle w:val="ListParagraph"/>
        <w:keepNext/>
        <w:keepLines/>
        <w:numPr>
          <w:ilvl w:val="0"/>
          <w:numId w:val="141"/>
        </w:numPr>
        <w:spacing w:before="120" w:after="0"/>
        <w:outlineLvl w:val="0"/>
        <w:rPr>
          <w:rFonts w:asciiTheme="majorHAnsi" w:eastAsia="Times New Roman" w:hAnsiTheme="majorHAnsi" w:cstheme="majorBidi"/>
          <w:b/>
          <w:bCs/>
          <w:color w:val="365F91" w:themeColor="accent1" w:themeShade="BF"/>
          <w:sz w:val="24"/>
          <w:szCs w:val="28"/>
          <w:lang w:eastAsia="en-GB"/>
        </w:rPr>
      </w:pPr>
      <w:bookmarkStart w:id="74" w:name="_Toc427763153"/>
      <w:bookmarkStart w:id="75" w:name="_Toc427830346"/>
      <w:bookmarkStart w:id="76" w:name="_Toc428344085"/>
      <w:bookmarkStart w:id="77" w:name="_Toc430871113"/>
      <w:bookmarkStart w:id="78" w:name="_Toc431198814"/>
      <w:bookmarkStart w:id="79" w:name="_Toc431225091"/>
      <w:r>
        <w:rPr>
          <w:rFonts w:asciiTheme="majorHAnsi" w:eastAsia="Times New Roman" w:hAnsiTheme="majorHAnsi" w:cstheme="majorBidi"/>
          <w:b/>
          <w:bCs/>
          <w:color w:val="365F91" w:themeColor="accent1" w:themeShade="BF"/>
          <w:sz w:val="24"/>
          <w:szCs w:val="28"/>
          <w:lang w:eastAsia="en-GB"/>
        </w:rPr>
        <w:t>Community Assets</w:t>
      </w:r>
      <w:bookmarkEnd w:id="74"/>
      <w:bookmarkEnd w:id="75"/>
      <w:bookmarkEnd w:id="76"/>
      <w:bookmarkEnd w:id="77"/>
      <w:bookmarkEnd w:id="78"/>
      <w:bookmarkEnd w:id="79"/>
    </w:p>
    <w:p w:rsidR="00E41269" w:rsidRDefault="00E41269" w:rsidP="00E41269">
      <w:pPr>
        <w:pStyle w:val="ListParagraph"/>
        <w:keepNext/>
        <w:keepLines/>
        <w:numPr>
          <w:ilvl w:val="0"/>
          <w:numId w:val="141"/>
        </w:numPr>
        <w:spacing w:before="120" w:after="0"/>
        <w:outlineLvl w:val="0"/>
        <w:rPr>
          <w:rFonts w:asciiTheme="majorHAnsi" w:eastAsia="Times New Roman" w:hAnsiTheme="majorHAnsi" w:cstheme="majorBidi"/>
          <w:b/>
          <w:bCs/>
          <w:color w:val="365F91" w:themeColor="accent1" w:themeShade="BF"/>
          <w:sz w:val="24"/>
          <w:szCs w:val="28"/>
          <w:lang w:eastAsia="en-GB"/>
        </w:rPr>
      </w:pPr>
      <w:bookmarkStart w:id="80" w:name="_Toc427763154"/>
      <w:bookmarkStart w:id="81" w:name="_Toc427830347"/>
      <w:bookmarkStart w:id="82" w:name="_Toc428344086"/>
      <w:bookmarkStart w:id="83" w:name="_Toc430871114"/>
      <w:bookmarkStart w:id="84" w:name="_Toc431198815"/>
      <w:bookmarkStart w:id="85" w:name="_Toc431225092"/>
      <w:r>
        <w:rPr>
          <w:rFonts w:asciiTheme="majorHAnsi" w:eastAsia="Times New Roman" w:hAnsiTheme="majorHAnsi" w:cstheme="majorBidi"/>
          <w:b/>
          <w:bCs/>
          <w:color w:val="365F91" w:themeColor="accent1" w:themeShade="BF"/>
          <w:sz w:val="24"/>
          <w:szCs w:val="28"/>
          <w:lang w:eastAsia="en-GB"/>
        </w:rPr>
        <w:t>Resident Voice</w:t>
      </w:r>
      <w:bookmarkEnd w:id="80"/>
      <w:bookmarkEnd w:id="81"/>
      <w:bookmarkEnd w:id="82"/>
      <w:bookmarkEnd w:id="83"/>
      <w:bookmarkEnd w:id="84"/>
      <w:bookmarkEnd w:id="85"/>
    </w:p>
    <w:p w:rsidR="00E41269" w:rsidRPr="00E41269" w:rsidRDefault="00E41269" w:rsidP="00E41269">
      <w:pPr>
        <w:spacing w:after="240"/>
        <w:contextualSpacing/>
        <w:rPr>
          <w:rFonts w:ascii="Arial" w:eastAsia="Times New Roman" w:hAnsi="Arial" w:cs="Arial"/>
          <w:b/>
          <w:sz w:val="24"/>
          <w:szCs w:val="24"/>
          <w:lang w:eastAsia="en-GB"/>
        </w:rPr>
      </w:pPr>
    </w:p>
    <w:p w:rsidR="005B76FC" w:rsidRPr="00212F68" w:rsidRDefault="005B76FC" w:rsidP="008921BF">
      <w:pPr>
        <w:numPr>
          <w:ilvl w:val="0"/>
          <w:numId w:val="129"/>
        </w:numPr>
        <w:spacing w:after="240"/>
        <w:ind w:left="426" w:hanging="426"/>
        <w:contextualSpacing/>
        <w:rPr>
          <w:rFonts w:ascii="Arial" w:eastAsia="Times New Roman" w:hAnsi="Arial" w:cs="Arial"/>
          <w:b/>
          <w:sz w:val="24"/>
          <w:szCs w:val="24"/>
          <w:lang w:eastAsia="en-GB"/>
        </w:rPr>
      </w:pPr>
      <w:r w:rsidRPr="00212F68">
        <w:rPr>
          <w:rFonts w:ascii="Arial" w:eastAsiaTheme="majorEastAsia" w:hAnsi="Arial" w:cs="Arial"/>
          <w:b/>
          <w:bCs/>
          <w:color w:val="365F91" w:themeColor="accent1" w:themeShade="BF"/>
          <w:sz w:val="28"/>
          <w:szCs w:val="24"/>
        </w:rPr>
        <w:t>Demography</w:t>
      </w:r>
      <w:bookmarkEnd w:id="18"/>
    </w:p>
    <w:p w:rsidR="005B76FC" w:rsidRPr="00212F68" w:rsidRDefault="005B76FC" w:rsidP="005B76FC">
      <w:pPr>
        <w:spacing w:after="240"/>
        <w:ind w:left="426"/>
        <w:contextualSpacing/>
        <w:rPr>
          <w:rFonts w:ascii="Arial" w:eastAsia="Times New Roman" w:hAnsi="Arial" w:cs="Arial"/>
          <w:b/>
          <w:sz w:val="14"/>
          <w:szCs w:val="24"/>
          <w:lang w:eastAsia="en-GB"/>
        </w:rPr>
      </w:pPr>
    </w:p>
    <w:p w:rsidR="005B76FC" w:rsidRPr="00212F68" w:rsidRDefault="005B76FC" w:rsidP="005B76FC">
      <w:pPr>
        <w:numPr>
          <w:ilvl w:val="0"/>
          <w:numId w:val="1"/>
        </w:numPr>
        <w:contextualSpacing/>
        <w:jc w:val="both"/>
        <w:rPr>
          <w:rFonts w:ascii="Arial" w:hAnsi="Arial" w:cs="Arial"/>
          <w:sz w:val="24"/>
          <w:szCs w:val="24"/>
        </w:rPr>
      </w:pPr>
      <w:bookmarkStart w:id="86" w:name="_Toc424291922"/>
      <w:r w:rsidRPr="00212F68">
        <w:rPr>
          <w:rFonts w:ascii="Arial" w:hAnsi="Arial" w:cs="Arial"/>
          <w:sz w:val="24"/>
          <w:szCs w:val="24"/>
        </w:rPr>
        <w:t xml:space="preserve">Barnet is the </w:t>
      </w:r>
      <w:r w:rsidRPr="00212F68">
        <w:rPr>
          <w:rFonts w:ascii="Arial" w:hAnsi="Arial" w:cs="Arial"/>
          <w:b/>
          <w:sz w:val="24"/>
          <w:szCs w:val="24"/>
        </w:rPr>
        <w:t>largest Borough in London by population and is continuing to grow</w:t>
      </w:r>
      <w:r w:rsidRPr="00212F68">
        <w:rPr>
          <w:rFonts w:ascii="Arial" w:hAnsi="Arial" w:cs="Arial"/>
          <w:sz w:val="24"/>
          <w:szCs w:val="24"/>
        </w:rPr>
        <w:t xml:space="preserve">. The highest rates of population growth are forecast to occur around the planned development works in the west of the Borough, with </w:t>
      </w:r>
      <w:r w:rsidRPr="00212F68">
        <w:rPr>
          <w:rFonts w:ascii="Arial" w:hAnsi="Arial" w:cs="Arial"/>
          <w:b/>
          <w:sz w:val="24"/>
          <w:szCs w:val="24"/>
        </w:rPr>
        <w:t>over 113% growth in Golders Green and 56% in Colindale</w:t>
      </w:r>
      <w:r w:rsidRPr="00212F68">
        <w:rPr>
          <w:rFonts w:ascii="Arial" w:hAnsi="Arial" w:cs="Arial"/>
          <w:sz w:val="24"/>
          <w:szCs w:val="24"/>
        </w:rPr>
        <w:t xml:space="preserve"> by 2030. </w:t>
      </w:r>
    </w:p>
    <w:p w:rsidR="005B76FC" w:rsidRPr="00212F68" w:rsidRDefault="005B76FC" w:rsidP="005B76FC">
      <w:pPr>
        <w:numPr>
          <w:ilvl w:val="0"/>
          <w:numId w:val="1"/>
        </w:numPr>
        <w:contextualSpacing/>
        <w:jc w:val="both"/>
        <w:rPr>
          <w:rFonts w:ascii="Arial" w:hAnsi="Arial" w:cs="Arial"/>
          <w:sz w:val="24"/>
          <w:szCs w:val="24"/>
        </w:rPr>
      </w:pPr>
      <w:r w:rsidRPr="00212F68">
        <w:rPr>
          <w:rFonts w:ascii="Arial" w:hAnsi="Arial" w:cs="Arial"/>
          <w:b/>
          <w:sz w:val="24"/>
          <w:szCs w:val="24"/>
        </w:rPr>
        <w:t>The over-65 population is forecast to grow three times faster than the overall population between 2015 and 2030,</w:t>
      </w:r>
      <w:r w:rsidRPr="00212F68">
        <w:rPr>
          <w:rFonts w:ascii="Arial" w:hAnsi="Arial" w:cs="Arial"/>
          <w:sz w:val="24"/>
          <w:szCs w:val="24"/>
        </w:rPr>
        <w:t xml:space="preserve"> and the rate </w:t>
      </w:r>
      <w:r>
        <w:rPr>
          <w:rFonts w:ascii="Arial" w:hAnsi="Arial" w:cs="Arial"/>
          <w:sz w:val="24"/>
          <w:szCs w:val="24"/>
        </w:rPr>
        <w:t>increases more</w:t>
      </w:r>
      <w:r w:rsidRPr="00212F68">
        <w:rPr>
          <w:rFonts w:ascii="Arial" w:hAnsi="Arial" w:cs="Arial"/>
          <w:sz w:val="24"/>
          <w:szCs w:val="24"/>
        </w:rPr>
        <w:t xml:space="preserve"> in successive age bands. For instance, the 65+ population will grow by 34.5% by 2030, whereas the 85 and over population will increase by 66.6%. </w:t>
      </w:r>
    </w:p>
    <w:p w:rsidR="005B76FC" w:rsidRPr="00212F68" w:rsidRDefault="005B76FC" w:rsidP="005B76FC">
      <w:pPr>
        <w:numPr>
          <w:ilvl w:val="0"/>
          <w:numId w:val="1"/>
        </w:numPr>
        <w:contextualSpacing/>
        <w:jc w:val="both"/>
        <w:rPr>
          <w:rFonts w:ascii="Arial" w:hAnsi="Arial" w:cs="Arial"/>
          <w:sz w:val="24"/>
          <w:szCs w:val="24"/>
        </w:rPr>
      </w:pPr>
      <w:r w:rsidRPr="00212F68">
        <w:rPr>
          <w:rFonts w:ascii="Arial" w:hAnsi="Arial" w:cs="Arial"/>
          <w:b/>
          <w:sz w:val="24"/>
          <w:szCs w:val="24"/>
        </w:rPr>
        <w:t>Brunswick Park and Hale are projected to experience relatively higher levels of growth in the proportion of the population aged 65 and over</w:t>
      </w:r>
      <w:r w:rsidRPr="00212F68">
        <w:rPr>
          <w:rFonts w:ascii="Arial" w:hAnsi="Arial" w:cs="Arial"/>
          <w:sz w:val="24"/>
          <w:szCs w:val="24"/>
        </w:rPr>
        <w:t>, increasing by 5.8% and 5.5% respectively during the period 2015-2030.</w:t>
      </w:r>
    </w:p>
    <w:p w:rsidR="005B76FC" w:rsidRPr="00212F68" w:rsidRDefault="005B76FC" w:rsidP="005B76FC">
      <w:pPr>
        <w:numPr>
          <w:ilvl w:val="0"/>
          <w:numId w:val="1"/>
        </w:numPr>
        <w:contextualSpacing/>
        <w:jc w:val="both"/>
        <w:rPr>
          <w:rFonts w:ascii="Arial" w:hAnsi="Arial" w:cs="Arial"/>
          <w:sz w:val="24"/>
          <w:szCs w:val="24"/>
        </w:rPr>
      </w:pPr>
      <w:r w:rsidRPr="00212F68">
        <w:rPr>
          <w:rFonts w:ascii="Arial" w:hAnsi="Arial" w:cs="Arial"/>
          <w:b/>
          <w:sz w:val="24"/>
          <w:szCs w:val="24"/>
        </w:rPr>
        <w:t>The Borough will become increasingly diverse, driven predominantly by natural change in the existing population</w:t>
      </w:r>
      <w:r w:rsidRPr="00212F68">
        <w:rPr>
          <w:rFonts w:ascii="Arial" w:hAnsi="Arial" w:cs="Arial"/>
          <w:sz w:val="24"/>
          <w:szCs w:val="24"/>
        </w:rPr>
        <w:t xml:space="preserve">. One of the key challenges will be meeting the diverse needs of these different and growing communities. </w:t>
      </w:r>
      <w:r w:rsidRPr="00212F68">
        <w:rPr>
          <w:rFonts w:ascii="Arial" w:hAnsi="Arial" w:cs="Arial"/>
          <w:b/>
          <w:sz w:val="24"/>
          <w:szCs w:val="24"/>
        </w:rPr>
        <w:t>Colindale, Burnt Oak and West Hendon have populations that are more than 50% BAME backgrounds</w:t>
      </w:r>
      <w:r w:rsidRPr="00212F68">
        <w:rPr>
          <w:rFonts w:ascii="Arial" w:hAnsi="Arial" w:cs="Arial"/>
          <w:sz w:val="24"/>
          <w:szCs w:val="24"/>
        </w:rPr>
        <w:t xml:space="preserve">. Over 50% of all 0-4 year olds in Barnet are from a BAME background in 2015 and this is forecast to continue to increase. </w:t>
      </w:r>
    </w:p>
    <w:p w:rsidR="005B76FC" w:rsidRPr="00212F68" w:rsidRDefault="005B76FC" w:rsidP="005B76FC">
      <w:pPr>
        <w:numPr>
          <w:ilvl w:val="0"/>
          <w:numId w:val="1"/>
        </w:numPr>
        <w:contextualSpacing/>
        <w:jc w:val="both"/>
        <w:rPr>
          <w:rFonts w:ascii="Arial" w:hAnsi="Arial" w:cs="Arial"/>
          <w:sz w:val="24"/>
          <w:szCs w:val="24"/>
        </w:rPr>
      </w:pPr>
      <w:r w:rsidRPr="00212F68">
        <w:rPr>
          <w:rFonts w:ascii="Arial" w:hAnsi="Arial" w:cs="Arial"/>
          <w:sz w:val="24"/>
          <w:szCs w:val="24"/>
        </w:rPr>
        <w:t xml:space="preserve">The life expectancy of individuals living in the most deprived areas of the Borough are on average 7.6 years less </w:t>
      </w:r>
      <w:r>
        <w:rPr>
          <w:rFonts w:ascii="Arial" w:hAnsi="Arial" w:cs="Arial"/>
          <w:sz w:val="24"/>
          <w:szCs w:val="24"/>
        </w:rPr>
        <w:t xml:space="preserve">than the average </w:t>
      </w:r>
      <w:r w:rsidRPr="00212F68">
        <w:rPr>
          <w:rFonts w:ascii="Arial" w:hAnsi="Arial" w:cs="Arial"/>
          <w:sz w:val="24"/>
          <w:szCs w:val="24"/>
        </w:rPr>
        <w:t>for men and 4.7 years less for women</w:t>
      </w:r>
      <w:r>
        <w:rPr>
          <w:rFonts w:ascii="Arial" w:hAnsi="Arial" w:cs="Arial"/>
          <w:sz w:val="24"/>
          <w:szCs w:val="24"/>
        </w:rPr>
        <w:t>. B</w:t>
      </w:r>
      <w:r w:rsidRPr="00212F68">
        <w:rPr>
          <w:rFonts w:ascii="Arial" w:hAnsi="Arial" w:cs="Arial"/>
          <w:sz w:val="24"/>
          <w:szCs w:val="24"/>
        </w:rPr>
        <w:t>y Ward</w:t>
      </w:r>
      <w:r>
        <w:rPr>
          <w:rFonts w:ascii="Arial" w:hAnsi="Arial" w:cs="Arial"/>
          <w:sz w:val="24"/>
          <w:szCs w:val="24"/>
        </w:rPr>
        <w:t>,</w:t>
      </w:r>
      <w:r w:rsidRPr="00212F68">
        <w:rPr>
          <w:rFonts w:ascii="Arial" w:hAnsi="Arial" w:cs="Arial"/>
          <w:sz w:val="24"/>
          <w:szCs w:val="24"/>
        </w:rPr>
        <w:t xml:space="preserve"> </w:t>
      </w:r>
      <w:r w:rsidRPr="00212F68">
        <w:rPr>
          <w:rFonts w:ascii="Arial" w:hAnsi="Arial" w:cs="Arial"/>
          <w:b/>
          <w:sz w:val="24"/>
          <w:szCs w:val="24"/>
        </w:rPr>
        <w:t xml:space="preserve">Burnt Oak has the lowest average life expectancy from </w:t>
      </w:r>
      <w:r w:rsidR="00DD3A76" w:rsidRPr="00212F68">
        <w:rPr>
          <w:rFonts w:ascii="Arial" w:hAnsi="Arial" w:cs="Arial"/>
          <w:b/>
          <w:sz w:val="24"/>
          <w:szCs w:val="24"/>
        </w:rPr>
        <w:t>birth 78.8</w:t>
      </w:r>
      <w:r w:rsidRPr="00212F68">
        <w:rPr>
          <w:rFonts w:ascii="Arial" w:hAnsi="Arial" w:cs="Arial"/>
          <w:b/>
          <w:sz w:val="24"/>
          <w:szCs w:val="24"/>
        </w:rPr>
        <w:t xml:space="preserve"> years. </w:t>
      </w:r>
    </w:p>
    <w:p w:rsidR="005B76FC" w:rsidRPr="00212F68" w:rsidRDefault="005B76FC" w:rsidP="005B76FC">
      <w:pPr>
        <w:numPr>
          <w:ilvl w:val="0"/>
          <w:numId w:val="1"/>
        </w:numPr>
        <w:contextualSpacing/>
        <w:jc w:val="both"/>
        <w:rPr>
          <w:rFonts w:ascii="Arial" w:hAnsi="Arial" w:cs="Arial"/>
          <w:sz w:val="24"/>
          <w:szCs w:val="24"/>
        </w:rPr>
      </w:pPr>
      <w:r w:rsidRPr="00212F68">
        <w:rPr>
          <w:rFonts w:ascii="Arial" w:hAnsi="Arial" w:cs="Arial"/>
          <w:sz w:val="24"/>
          <w:szCs w:val="24"/>
        </w:rPr>
        <w:t xml:space="preserve">The west of the Borough has the highest concentration of more deprived LSOAs, with </w:t>
      </w:r>
      <w:r w:rsidRPr="00212F68">
        <w:rPr>
          <w:rFonts w:ascii="Arial" w:hAnsi="Arial" w:cs="Arial"/>
          <w:b/>
          <w:sz w:val="24"/>
          <w:szCs w:val="24"/>
        </w:rPr>
        <w:t xml:space="preserve">the highest levels of deprivation in Colindale, West Hendon </w:t>
      </w:r>
      <w:r w:rsidRPr="00212F68">
        <w:rPr>
          <w:rFonts w:ascii="Arial" w:hAnsi="Arial" w:cs="Arial"/>
          <w:b/>
          <w:sz w:val="24"/>
          <w:szCs w:val="24"/>
        </w:rPr>
        <w:lastRenderedPageBreak/>
        <w:t>and Burnt Oak</w:t>
      </w:r>
      <w:r w:rsidRPr="00212F68">
        <w:rPr>
          <w:rFonts w:ascii="Arial" w:hAnsi="Arial" w:cs="Arial"/>
          <w:sz w:val="24"/>
          <w:szCs w:val="24"/>
        </w:rPr>
        <w:t xml:space="preserve">. However, the </w:t>
      </w:r>
      <w:r w:rsidRPr="00212F68">
        <w:rPr>
          <w:rFonts w:ascii="Arial" w:hAnsi="Arial" w:cs="Arial"/>
          <w:b/>
          <w:sz w:val="24"/>
          <w:szCs w:val="24"/>
        </w:rPr>
        <w:t>most deprived LSOA in Barnet is located in East Finchley, specifically the Strawberry Vale estate</w:t>
      </w:r>
      <w:r w:rsidRPr="00212F68">
        <w:rPr>
          <w:rFonts w:ascii="Arial" w:hAnsi="Arial" w:cs="Arial"/>
          <w:sz w:val="24"/>
          <w:szCs w:val="24"/>
        </w:rPr>
        <w:t>, and falls within the 11% most deprived LSOAs in the country.</w:t>
      </w:r>
    </w:p>
    <w:p w:rsidR="005B76FC" w:rsidRPr="00212F68" w:rsidRDefault="005B76FC" w:rsidP="005B76FC">
      <w:pPr>
        <w:numPr>
          <w:ilvl w:val="0"/>
          <w:numId w:val="1"/>
        </w:numPr>
        <w:contextualSpacing/>
        <w:jc w:val="both"/>
        <w:rPr>
          <w:rFonts w:ascii="Arial" w:hAnsi="Arial" w:cs="Arial"/>
          <w:sz w:val="24"/>
          <w:szCs w:val="24"/>
        </w:rPr>
      </w:pPr>
      <w:r w:rsidRPr="00212F68">
        <w:rPr>
          <w:rFonts w:ascii="Arial" w:hAnsi="Arial" w:cs="Arial"/>
          <w:sz w:val="24"/>
          <w:szCs w:val="24"/>
        </w:rPr>
        <w:t xml:space="preserve">Coronary Heart Disease is the number one cause of death amongst </w:t>
      </w:r>
      <w:r>
        <w:rPr>
          <w:rFonts w:ascii="Arial" w:hAnsi="Arial" w:cs="Arial"/>
          <w:sz w:val="24"/>
          <w:szCs w:val="24"/>
        </w:rPr>
        <w:t xml:space="preserve">both </w:t>
      </w:r>
      <w:r w:rsidRPr="00212F68">
        <w:rPr>
          <w:rFonts w:ascii="Arial" w:hAnsi="Arial" w:cs="Arial"/>
          <w:sz w:val="24"/>
          <w:szCs w:val="24"/>
        </w:rPr>
        <w:t xml:space="preserve">men and women. </w:t>
      </w:r>
      <w:r w:rsidRPr="00212F68">
        <w:rPr>
          <w:rFonts w:ascii="Arial" w:hAnsi="Arial" w:cs="Arial"/>
          <w:b/>
          <w:sz w:val="24"/>
          <w:szCs w:val="24"/>
        </w:rPr>
        <w:t xml:space="preserve">As male life expectancy continues to converge with </w:t>
      </w:r>
      <w:r>
        <w:rPr>
          <w:rFonts w:ascii="Arial" w:hAnsi="Arial" w:cs="Arial"/>
          <w:b/>
          <w:sz w:val="24"/>
          <w:szCs w:val="24"/>
        </w:rPr>
        <w:t>that of</w:t>
      </w:r>
      <w:r w:rsidRPr="00212F68">
        <w:rPr>
          <w:rFonts w:ascii="Arial" w:hAnsi="Arial" w:cs="Arial"/>
          <w:b/>
          <w:sz w:val="24"/>
          <w:szCs w:val="24"/>
        </w:rPr>
        <w:t xml:space="preserve"> women it is likely that the prevalence of some long term conditions will increase in men faster than in women. </w:t>
      </w:r>
    </w:p>
    <w:p w:rsidR="005B76FC" w:rsidRPr="00212F68" w:rsidRDefault="005B76FC" w:rsidP="005B76FC">
      <w:pPr>
        <w:numPr>
          <w:ilvl w:val="0"/>
          <w:numId w:val="1"/>
        </w:numPr>
        <w:contextualSpacing/>
        <w:jc w:val="both"/>
        <w:rPr>
          <w:rFonts w:ascii="Arial" w:hAnsi="Arial" w:cs="Arial"/>
          <w:sz w:val="24"/>
          <w:szCs w:val="24"/>
        </w:rPr>
      </w:pPr>
      <w:r w:rsidRPr="00212F68">
        <w:rPr>
          <w:rFonts w:ascii="Arial" w:hAnsi="Arial" w:cs="Arial"/>
          <w:sz w:val="24"/>
          <w:szCs w:val="24"/>
        </w:rPr>
        <w:t>Barnet is ranked 16</w:t>
      </w:r>
      <w:r w:rsidRPr="00212F68">
        <w:rPr>
          <w:rFonts w:ascii="Arial" w:hAnsi="Arial" w:cs="Arial"/>
          <w:sz w:val="24"/>
          <w:szCs w:val="24"/>
          <w:vertAlign w:val="superscript"/>
        </w:rPr>
        <w:t>th</w:t>
      </w:r>
      <w:r w:rsidRPr="00212F68">
        <w:rPr>
          <w:rFonts w:ascii="Arial" w:hAnsi="Arial" w:cs="Arial"/>
          <w:sz w:val="24"/>
          <w:szCs w:val="24"/>
        </w:rPr>
        <w:t xml:space="preserve"> and 14</w:t>
      </w:r>
      <w:r w:rsidRPr="00212F68">
        <w:rPr>
          <w:rFonts w:ascii="Arial" w:hAnsi="Arial" w:cs="Arial"/>
          <w:sz w:val="24"/>
          <w:szCs w:val="24"/>
          <w:vertAlign w:val="superscript"/>
        </w:rPr>
        <w:t>th</w:t>
      </w:r>
      <w:r w:rsidRPr="00212F68">
        <w:rPr>
          <w:rFonts w:ascii="Arial" w:hAnsi="Arial" w:cs="Arial"/>
          <w:sz w:val="24"/>
          <w:szCs w:val="24"/>
        </w:rPr>
        <w:t xml:space="preserve"> out of all London Boroughs in relation to ‘life-satisfaction’ and ‘worthwhileness’ wellbeing scores. Both of these indicators have experienced a decline since 2011. </w:t>
      </w:r>
    </w:p>
    <w:p w:rsidR="005B76FC" w:rsidRPr="00212F68" w:rsidRDefault="005B76FC" w:rsidP="005B76FC">
      <w:pPr>
        <w:numPr>
          <w:ilvl w:val="0"/>
          <w:numId w:val="1"/>
        </w:numPr>
        <w:contextualSpacing/>
        <w:jc w:val="both"/>
        <w:rPr>
          <w:rFonts w:ascii="Arial" w:hAnsi="Arial" w:cs="Arial"/>
          <w:sz w:val="24"/>
          <w:szCs w:val="24"/>
        </w:rPr>
      </w:pPr>
      <w:r w:rsidRPr="00212F68">
        <w:rPr>
          <w:rFonts w:ascii="Arial" w:hAnsi="Arial" w:cs="Arial"/>
          <w:sz w:val="24"/>
          <w:szCs w:val="24"/>
        </w:rPr>
        <w:t>Some areas, particularly Golders Green, Colindale and Mill Hill, will get younger, bucking the trend of an ageing Borough.</w:t>
      </w:r>
      <w:r>
        <w:rPr>
          <w:rFonts w:ascii="Arial" w:hAnsi="Arial" w:cs="Arial"/>
          <w:sz w:val="24"/>
          <w:szCs w:val="24"/>
        </w:rPr>
        <w:br/>
      </w:r>
    </w:p>
    <w:p w:rsidR="005B76FC" w:rsidRPr="00212F68" w:rsidRDefault="005B76FC" w:rsidP="008921BF">
      <w:pPr>
        <w:numPr>
          <w:ilvl w:val="0"/>
          <w:numId w:val="129"/>
        </w:numPr>
        <w:spacing w:after="240"/>
        <w:ind w:left="426" w:hanging="426"/>
        <w:contextualSpacing/>
        <w:rPr>
          <w:rFonts w:ascii="Arial" w:eastAsiaTheme="majorEastAsia" w:hAnsi="Arial" w:cs="Arial"/>
          <w:b/>
          <w:bCs/>
          <w:color w:val="365F91" w:themeColor="accent1" w:themeShade="BF"/>
          <w:sz w:val="28"/>
          <w:szCs w:val="24"/>
        </w:rPr>
      </w:pPr>
      <w:r w:rsidRPr="00212F68">
        <w:rPr>
          <w:rFonts w:ascii="Arial" w:eastAsiaTheme="majorEastAsia" w:hAnsi="Arial" w:cs="Arial"/>
          <w:b/>
          <w:bCs/>
          <w:color w:val="365F91" w:themeColor="accent1" w:themeShade="BF"/>
          <w:sz w:val="28"/>
          <w:szCs w:val="24"/>
        </w:rPr>
        <w:t>Socio-Economic and Environmental Context</w:t>
      </w:r>
      <w:bookmarkEnd w:id="86"/>
    </w:p>
    <w:p w:rsidR="005B76FC" w:rsidRPr="00212F68" w:rsidRDefault="005B76FC" w:rsidP="005B76FC">
      <w:pPr>
        <w:spacing w:after="240"/>
        <w:ind w:left="426"/>
        <w:contextualSpacing/>
        <w:rPr>
          <w:rFonts w:ascii="Arial" w:eastAsiaTheme="majorEastAsia" w:hAnsi="Arial" w:cs="Arial"/>
          <w:b/>
          <w:bCs/>
          <w:color w:val="365F91" w:themeColor="accent1" w:themeShade="BF"/>
          <w:sz w:val="14"/>
          <w:szCs w:val="24"/>
        </w:rPr>
      </w:pPr>
    </w:p>
    <w:p w:rsidR="005B76FC" w:rsidRPr="00212F68" w:rsidRDefault="005B76FC" w:rsidP="005B76FC">
      <w:pPr>
        <w:numPr>
          <w:ilvl w:val="0"/>
          <w:numId w:val="23"/>
        </w:numPr>
        <w:contextualSpacing/>
        <w:jc w:val="both"/>
        <w:rPr>
          <w:rFonts w:ascii="Arial" w:hAnsi="Arial" w:cs="Arial"/>
          <w:sz w:val="24"/>
          <w:szCs w:val="24"/>
        </w:rPr>
      </w:pPr>
      <w:r w:rsidRPr="00212F68">
        <w:rPr>
          <w:rFonts w:ascii="Arial" w:hAnsi="Arial" w:cs="Arial"/>
          <w:sz w:val="24"/>
          <w:szCs w:val="24"/>
        </w:rPr>
        <w:t xml:space="preserve">There is a long term </w:t>
      </w:r>
      <w:r w:rsidRPr="00212F68">
        <w:rPr>
          <w:rFonts w:ascii="Arial" w:hAnsi="Arial" w:cs="Arial"/>
          <w:b/>
          <w:sz w:val="24"/>
          <w:szCs w:val="24"/>
        </w:rPr>
        <w:t>shift in housing tenure towards renting and away from owner occupancy</w:t>
      </w:r>
      <w:r w:rsidRPr="00212F68">
        <w:rPr>
          <w:rFonts w:ascii="Arial" w:hAnsi="Arial" w:cs="Arial"/>
          <w:sz w:val="24"/>
          <w:szCs w:val="24"/>
        </w:rPr>
        <w:t xml:space="preserve"> (either outright or with a mortgage) reflecting a sustained reduction in housing affordability and an imbalance between housing demand and supply.</w:t>
      </w:r>
    </w:p>
    <w:p w:rsidR="005B76FC" w:rsidRPr="00212F68" w:rsidRDefault="005B76FC" w:rsidP="005B76FC">
      <w:pPr>
        <w:numPr>
          <w:ilvl w:val="0"/>
          <w:numId w:val="23"/>
        </w:numPr>
        <w:contextualSpacing/>
        <w:jc w:val="both"/>
        <w:rPr>
          <w:rFonts w:ascii="Arial" w:hAnsi="Arial" w:cs="Arial"/>
          <w:sz w:val="24"/>
          <w:szCs w:val="24"/>
        </w:rPr>
      </w:pPr>
      <w:r w:rsidRPr="00212F68">
        <w:rPr>
          <w:rFonts w:ascii="Arial" w:hAnsi="Arial" w:cs="Arial"/>
          <w:b/>
          <w:sz w:val="24"/>
          <w:szCs w:val="24"/>
        </w:rPr>
        <w:t>Housing affordability is the second highest concern for residents</w:t>
      </w:r>
      <w:r w:rsidRPr="00212F68">
        <w:rPr>
          <w:rFonts w:ascii="Arial" w:hAnsi="Arial" w:cs="Arial"/>
          <w:sz w:val="24"/>
          <w:szCs w:val="24"/>
        </w:rPr>
        <w:t xml:space="preserve"> according to the 2015 Residents’ Perception Survey. Only the condition of roads and pavements is a higher concern.</w:t>
      </w:r>
    </w:p>
    <w:p w:rsidR="005B76FC" w:rsidRPr="00212F68" w:rsidRDefault="005B76FC" w:rsidP="005B76FC">
      <w:pPr>
        <w:numPr>
          <w:ilvl w:val="0"/>
          <w:numId w:val="23"/>
        </w:numPr>
        <w:contextualSpacing/>
        <w:jc w:val="both"/>
        <w:rPr>
          <w:rFonts w:ascii="Arial" w:hAnsi="Arial" w:cs="Arial"/>
          <w:sz w:val="24"/>
          <w:szCs w:val="24"/>
        </w:rPr>
      </w:pPr>
      <w:r w:rsidRPr="00212F68">
        <w:rPr>
          <w:rFonts w:ascii="Arial" w:hAnsi="Arial" w:cs="Arial"/>
          <w:sz w:val="24"/>
          <w:szCs w:val="24"/>
        </w:rPr>
        <w:t>Currently</w:t>
      </w:r>
      <w:r>
        <w:rPr>
          <w:rFonts w:ascii="Arial" w:hAnsi="Arial" w:cs="Arial"/>
          <w:sz w:val="24"/>
          <w:szCs w:val="24"/>
        </w:rPr>
        <w:t>,</w:t>
      </w:r>
      <w:r w:rsidRPr="00212F68">
        <w:rPr>
          <w:rFonts w:ascii="Arial" w:hAnsi="Arial" w:cs="Arial"/>
          <w:sz w:val="24"/>
          <w:szCs w:val="24"/>
        </w:rPr>
        <w:t xml:space="preserve"> the significant majority of older residents own their own home and use the equity they have built up to fund the care they may need later in life. </w:t>
      </w:r>
      <w:r w:rsidRPr="00212F68">
        <w:rPr>
          <w:rFonts w:ascii="Arial" w:hAnsi="Arial" w:cs="Arial"/>
          <w:b/>
          <w:sz w:val="24"/>
          <w:szCs w:val="24"/>
        </w:rPr>
        <w:t>Over the coming years a declining proportion of the growing older population will own their own home</w:t>
      </w:r>
      <w:r w:rsidRPr="00212F68">
        <w:rPr>
          <w:rFonts w:ascii="Arial" w:hAnsi="Arial" w:cs="Arial"/>
          <w:sz w:val="24"/>
          <w:szCs w:val="24"/>
        </w:rPr>
        <w:t>, having important implications for how the health and care system works and is paid for in the Borough.</w:t>
      </w:r>
    </w:p>
    <w:p w:rsidR="005B76FC" w:rsidRPr="00212F68" w:rsidRDefault="005B76FC" w:rsidP="005B76FC">
      <w:pPr>
        <w:numPr>
          <w:ilvl w:val="0"/>
          <w:numId w:val="23"/>
        </w:numPr>
        <w:contextualSpacing/>
        <w:jc w:val="both"/>
        <w:rPr>
          <w:rFonts w:ascii="Arial" w:hAnsi="Arial" w:cs="Arial"/>
          <w:sz w:val="24"/>
          <w:szCs w:val="24"/>
        </w:rPr>
      </w:pPr>
      <w:r w:rsidRPr="00212F68">
        <w:rPr>
          <w:rFonts w:ascii="Arial" w:hAnsi="Arial" w:cs="Arial"/>
          <w:sz w:val="24"/>
          <w:szCs w:val="24"/>
        </w:rPr>
        <w:t xml:space="preserve">Social isolation is an important driver of demand for health and care services. In Barnet </w:t>
      </w:r>
      <w:r w:rsidRPr="00212F68">
        <w:rPr>
          <w:rFonts w:ascii="Arial" w:hAnsi="Arial" w:cs="Arial"/>
          <w:b/>
          <w:sz w:val="24"/>
          <w:szCs w:val="24"/>
        </w:rPr>
        <w:t>social isolation is associated with areas of higher affluence and lower population density,</w:t>
      </w:r>
      <w:r w:rsidRPr="00212F68">
        <w:rPr>
          <w:rFonts w:ascii="Arial" w:hAnsi="Arial" w:cs="Arial"/>
          <w:sz w:val="24"/>
          <w:szCs w:val="24"/>
        </w:rPr>
        <w:t xml:space="preserve"> as people in these areas tend to have weaker</w:t>
      </w:r>
      <w:r>
        <w:rPr>
          <w:rFonts w:ascii="Arial" w:hAnsi="Arial" w:cs="Arial"/>
          <w:sz w:val="24"/>
          <w:szCs w:val="24"/>
        </w:rPr>
        <w:t>,</w:t>
      </w:r>
      <w:r w:rsidRPr="00212F68">
        <w:rPr>
          <w:rFonts w:ascii="Arial" w:hAnsi="Arial" w:cs="Arial"/>
          <w:sz w:val="24"/>
          <w:szCs w:val="24"/>
        </w:rPr>
        <w:t xml:space="preserve"> less established community and family networks locally.</w:t>
      </w:r>
    </w:p>
    <w:p w:rsidR="005B76FC" w:rsidRPr="00212F68" w:rsidRDefault="005B76FC" w:rsidP="005B76FC">
      <w:pPr>
        <w:numPr>
          <w:ilvl w:val="0"/>
          <w:numId w:val="23"/>
        </w:numPr>
        <w:contextualSpacing/>
        <w:jc w:val="both"/>
        <w:rPr>
          <w:rFonts w:ascii="Arial" w:hAnsi="Arial" w:cs="Arial"/>
          <w:sz w:val="24"/>
          <w:szCs w:val="24"/>
        </w:rPr>
      </w:pPr>
      <w:r w:rsidRPr="00212F68">
        <w:rPr>
          <w:rFonts w:ascii="Arial" w:hAnsi="Arial" w:cs="Arial"/>
          <w:b/>
          <w:sz w:val="24"/>
          <w:szCs w:val="24"/>
        </w:rPr>
        <w:t>Average income is rising in Barnet, however this growth is driven predominantly by more affluent wards, with wage growth in other areas stagnating and even falling in real terms,</w:t>
      </w:r>
      <w:r w:rsidRPr="00212F68">
        <w:rPr>
          <w:rFonts w:ascii="Arial" w:hAnsi="Arial" w:cs="Arial"/>
          <w:sz w:val="24"/>
          <w:szCs w:val="24"/>
        </w:rPr>
        <w:t xml:space="preserve"> resulting in higher income inequality between different areas in Barnet. More work is needed to understand what is driving this divide and its implications.</w:t>
      </w:r>
    </w:p>
    <w:p w:rsidR="005B76FC" w:rsidRPr="00212F68" w:rsidRDefault="005B76FC" w:rsidP="005B76FC">
      <w:pPr>
        <w:numPr>
          <w:ilvl w:val="0"/>
          <w:numId w:val="23"/>
        </w:numPr>
        <w:contextualSpacing/>
        <w:jc w:val="both"/>
        <w:rPr>
          <w:rFonts w:ascii="Arial" w:hAnsi="Arial" w:cs="Arial"/>
          <w:sz w:val="24"/>
          <w:szCs w:val="24"/>
        </w:rPr>
      </w:pPr>
      <w:r w:rsidRPr="00212F68">
        <w:rPr>
          <w:rFonts w:ascii="Arial" w:hAnsi="Arial" w:cs="Arial"/>
          <w:sz w:val="24"/>
          <w:szCs w:val="24"/>
        </w:rPr>
        <w:t xml:space="preserve">There are </w:t>
      </w:r>
      <w:r w:rsidRPr="00212F68">
        <w:rPr>
          <w:rFonts w:ascii="Arial" w:hAnsi="Arial" w:cs="Arial"/>
          <w:b/>
          <w:sz w:val="24"/>
          <w:szCs w:val="24"/>
        </w:rPr>
        <w:t>significant differences in the proportion of working-age people receiving Job Seekers Allowance in different wards</w:t>
      </w:r>
      <w:r w:rsidRPr="00212F68">
        <w:rPr>
          <w:rFonts w:ascii="Arial" w:hAnsi="Arial" w:cs="Arial"/>
          <w:sz w:val="24"/>
          <w:szCs w:val="24"/>
        </w:rPr>
        <w:t>, the areas with the highest proportions being in Burnt Oak, Childs Hill and Underhill.</w:t>
      </w:r>
    </w:p>
    <w:p w:rsidR="005B76FC" w:rsidRPr="00212F68" w:rsidRDefault="005B76FC" w:rsidP="005B76FC">
      <w:pPr>
        <w:numPr>
          <w:ilvl w:val="0"/>
          <w:numId w:val="23"/>
        </w:numPr>
        <w:contextualSpacing/>
        <w:jc w:val="both"/>
        <w:rPr>
          <w:rFonts w:ascii="Arial" w:hAnsi="Arial" w:cs="Arial"/>
          <w:sz w:val="24"/>
          <w:szCs w:val="24"/>
        </w:rPr>
      </w:pPr>
      <w:r w:rsidRPr="00212F68">
        <w:rPr>
          <w:rFonts w:ascii="Arial" w:hAnsi="Arial" w:cs="Arial"/>
          <w:sz w:val="24"/>
          <w:szCs w:val="24"/>
        </w:rPr>
        <w:t xml:space="preserve">Employers in Barnet say </w:t>
      </w:r>
      <w:r w:rsidRPr="00212F68">
        <w:rPr>
          <w:rFonts w:ascii="Arial" w:hAnsi="Arial" w:cs="Arial"/>
          <w:b/>
          <w:sz w:val="24"/>
          <w:szCs w:val="24"/>
        </w:rPr>
        <w:t xml:space="preserve">they can find it difficult to find people with the right employability skills, </w:t>
      </w:r>
      <w:r w:rsidRPr="00212F68">
        <w:rPr>
          <w:rFonts w:ascii="Arial" w:hAnsi="Arial" w:cs="Arial"/>
          <w:sz w:val="24"/>
          <w:szCs w:val="24"/>
        </w:rPr>
        <w:t xml:space="preserve">particularly in relation to having the right attitude, motivation and numeracy/literacy amongst candidates. </w:t>
      </w:r>
    </w:p>
    <w:p w:rsidR="005B76FC" w:rsidRPr="00212F68" w:rsidRDefault="005B76FC" w:rsidP="005B76FC">
      <w:pPr>
        <w:numPr>
          <w:ilvl w:val="0"/>
          <w:numId w:val="23"/>
        </w:numPr>
        <w:contextualSpacing/>
        <w:jc w:val="both"/>
        <w:rPr>
          <w:rFonts w:ascii="Arial" w:hAnsi="Arial" w:cs="Arial"/>
          <w:sz w:val="24"/>
          <w:szCs w:val="24"/>
        </w:rPr>
      </w:pPr>
      <w:r w:rsidRPr="00212F68">
        <w:rPr>
          <w:rFonts w:ascii="Arial" w:hAnsi="Arial" w:cs="Arial"/>
          <w:b/>
          <w:sz w:val="24"/>
          <w:szCs w:val="24"/>
        </w:rPr>
        <w:lastRenderedPageBreak/>
        <w:t>There are shortages of people available to fill vacancies in the caring, leisure and services sector, associate professionals sectors, and skilled trades sector in Barnet</w:t>
      </w:r>
      <w:r w:rsidRPr="00212F68">
        <w:rPr>
          <w:rFonts w:ascii="Arial" w:hAnsi="Arial" w:cs="Arial"/>
          <w:sz w:val="24"/>
          <w:szCs w:val="24"/>
        </w:rPr>
        <w:t>. Future careers advice and education/training offers could focus on filling these.</w:t>
      </w:r>
    </w:p>
    <w:p w:rsidR="005B76FC" w:rsidRPr="00212F68" w:rsidRDefault="005B76FC" w:rsidP="005B76FC">
      <w:pPr>
        <w:numPr>
          <w:ilvl w:val="0"/>
          <w:numId w:val="23"/>
        </w:numPr>
        <w:contextualSpacing/>
        <w:jc w:val="both"/>
        <w:rPr>
          <w:rFonts w:ascii="Arial" w:hAnsi="Arial" w:cs="Arial"/>
          <w:sz w:val="24"/>
          <w:szCs w:val="24"/>
        </w:rPr>
      </w:pPr>
      <w:r w:rsidRPr="00212F68">
        <w:rPr>
          <w:rFonts w:ascii="Arial" w:hAnsi="Arial" w:cs="Arial"/>
          <w:sz w:val="24"/>
          <w:szCs w:val="24"/>
        </w:rPr>
        <w:t>Barnet has a very low proportion of people with learning disabilities and mental health conditions in employment compared with similar Boroughs.</w:t>
      </w:r>
    </w:p>
    <w:p w:rsidR="005B76FC" w:rsidRPr="00212F68" w:rsidRDefault="005B76FC" w:rsidP="005B76FC">
      <w:pPr>
        <w:numPr>
          <w:ilvl w:val="0"/>
          <w:numId w:val="23"/>
        </w:numPr>
        <w:contextualSpacing/>
        <w:jc w:val="both"/>
        <w:rPr>
          <w:rFonts w:ascii="Arial" w:hAnsi="Arial" w:cs="Arial"/>
          <w:sz w:val="24"/>
          <w:szCs w:val="24"/>
        </w:rPr>
      </w:pPr>
      <w:r w:rsidRPr="00212F68">
        <w:rPr>
          <w:rFonts w:ascii="Arial" w:hAnsi="Arial" w:cs="Arial"/>
          <w:b/>
          <w:sz w:val="24"/>
          <w:szCs w:val="24"/>
        </w:rPr>
        <w:t xml:space="preserve">Pollution levels are higher along arterial routes, </w:t>
      </w:r>
      <w:r w:rsidRPr="00212F68">
        <w:rPr>
          <w:rFonts w:ascii="Arial" w:hAnsi="Arial" w:cs="Arial"/>
          <w:sz w:val="24"/>
          <w:szCs w:val="24"/>
        </w:rPr>
        <w:t>particularly the North Circular, M1, A1 and A5.</w:t>
      </w:r>
    </w:p>
    <w:p w:rsidR="005B76FC" w:rsidRPr="00212F68" w:rsidRDefault="005B76FC" w:rsidP="005B76FC">
      <w:pPr>
        <w:numPr>
          <w:ilvl w:val="0"/>
          <w:numId w:val="23"/>
        </w:numPr>
        <w:contextualSpacing/>
        <w:jc w:val="both"/>
        <w:rPr>
          <w:rFonts w:ascii="Arial" w:hAnsi="Arial" w:cs="Arial"/>
          <w:sz w:val="24"/>
          <w:szCs w:val="24"/>
        </w:rPr>
      </w:pPr>
      <w:r w:rsidRPr="00212F68">
        <w:rPr>
          <w:rFonts w:ascii="Arial" w:hAnsi="Arial" w:cs="Arial"/>
          <w:sz w:val="24"/>
          <w:szCs w:val="24"/>
        </w:rPr>
        <w:t>The majority of people visiting town centres in Barnet do so by foot, bicycle or public transport. Encouraging this, particularly in less healthy areas, could drive good lifestyle behaviours and reduced demand for health and social care services.</w:t>
      </w:r>
    </w:p>
    <w:p w:rsidR="005B76FC" w:rsidRPr="00212F68" w:rsidRDefault="005B76FC" w:rsidP="005B76FC">
      <w:pPr>
        <w:spacing w:after="240"/>
        <w:rPr>
          <w:rFonts w:ascii="Arial" w:hAnsi="Arial" w:cs="Arial"/>
          <w:sz w:val="24"/>
          <w:szCs w:val="24"/>
        </w:rPr>
      </w:pPr>
    </w:p>
    <w:p w:rsidR="005B76FC" w:rsidRPr="00212F68" w:rsidRDefault="005B76FC" w:rsidP="005B76FC">
      <w:pPr>
        <w:keepNext/>
        <w:keepLines/>
        <w:numPr>
          <w:ilvl w:val="0"/>
          <w:numId w:val="26"/>
        </w:numPr>
        <w:spacing w:before="200" w:after="240"/>
        <w:outlineLvl w:val="1"/>
        <w:rPr>
          <w:rFonts w:ascii="Arial" w:eastAsiaTheme="majorEastAsia" w:hAnsi="Arial" w:cs="Arial"/>
          <w:b/>
          <w:bCs/>
          <w:vanish/>
          <w:color w:val="4F81BD" w:themeColor="accent1"/>
          <w:sz w:val="24"/>
          <w:szCs w:val="24"/>
        </w:rPr>
      </w:pPr>
      <w:bookmarkStart w:id="87" w:name="_Toc427237111"/>
      <w:bookmarkStart w:id="88" w:name="_Toc427239102"/>
      <w:bookmarkStart w:id="89" w:name="_Toc427239285"/>
      <w:bookmarkStart w:id="90" w:name="_Toc427239469"/>
      <w:bookmarkStart w:id="91" w:name="_Toc427241441"/>
      <w:bookmarkStart w:id="92" w:name="_Toc427247096"/>
      <w:bookmarkStart w:id="93" w:name="_Toc427312373"/>
      <w:bookmarkStart w:id="94" w:name="_Toc427312556"/>
      <w:bookmarkStart w:id="95" w:name="_Toc427319748"/>
      <w:bookmarkStart w:id="96" w:name="_Toc427323135"/>
      <w:bookmarkStart w:id="97" w:name="_Toc427323319"/>
      <w:bookmarkStart w:id="98" w:name="_Toc427323815"/>
      <w:bookmarkStart w:id="99" w:name="_Toc427324120"/>
      <w:bookmarkStart w:id="100" w:name="_Toc427327338"/>
      <w:bookmarkStart w:id="101" w:name="_Toc427676370"/>
      <w:bookmarkStart w:id="102" w:name="_Toc427676554"/>
      <w:bookmarkStart w:id="103" w:name="_Toc427738509"/>
      <w:bookmarkStart w:id="104" w:name="_Toc427762960"/>
      <w:bookmarkStart w:id="105" w:name="_Toc427763155"/>
      <w:bookmarkStart w:id="106" w:name="_Toc427830153"/>
      <w:bookmarkStart w:id="107" w:name="_Toc427830348"/>
      <w:bookmarkStart w:id="108" w:name="_Toc428344087"/>
      <w:bookmarkStart w:id="109" w:name="_Toc430871115"/>
      <w:bookmarkStart w:id="110" w:name="_Toc431198816"/>
      <w:bookmarkStart w:id="111" w:name="_Toc431225093"/>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p>
    <w:p w:rsidR="005B76FC" w:rsidRPr="00212F68" w:rsidRDefault="005B76FC" w:rsidP="005B76FC">
      <w:pPr>
        <w:keepNext/>
        <w:keepLines/>
        <w:numPr>
          <w:ilvl w:val="0"/>
          <w:numId w:val="26"/>
        </w:numPr>
        <w:spacing w:before="200" w:after="240"/>
        <w:outlineLvl w:val="1"/>
        <w:rPr>
          <w:rFonts w:ascii="Arial" w:eastAsiaTheme="majorEastAsia" w:hAnsi="Arial" w:cs="Arial"/>
          <w:b/>
          <w:bCs/>
          <w:vanish/>
          <w:color w:val="4F81BD" w:themeColor="accent1"/>
          <w:sz w:val="24"/>
          <w:szCs w:val="24"/>
        </w:rPr>
      </w:pPr>
      <w:bookmarkStart w:id="112" w:name="_Toc427237112"/>
      <w:bookmarkStart w:id="113" w:name="_Toc427239103"/>
      <w:bookmarkStart w:id="114" w:name="_Toc427239286"/>
      <w:bookmarkStart w:id="115" w:name="_Toc427239470"/>
      <w:bookmarkStart w:id="116" w:name="_Toc427241442"/>
      <w:bookmarkStart w:id="117" w:name="_Toc427247097"/>
      <w:bookmarkStart w:id="118" w:name="_Toc427312374"/>
      <w:bookmarkStart w:id="119" w:name="_Toc427312557"/>
      <w:bookmarkStart w:id="120" w:name="_Toc427319749"/>
      <w:bookmarkStart w:id="121" w:name="_Toc427323136"/>
      <w:bookmarkStart w:id="122" w:name="_Toc427323320"/>
      <w:bookmarkStart w:id="123" w:name="_Toc427323816"/>
      <w:bookmarkStart w:id="124" w:name="_Toc427324121"/>
      <w:bookmarkStart w:id="125" w:name="_Toc427327339"/>
      <w:bookmarkStart w:id="126" w:name="_Toc427676371"/>
      <w:bookmarkStart w:id="127" w:name="_Toc427676555"/>
      <w:bookmarkStart w:id="128" w:name="_Toc427738510"/>
      <w:bookmarkStart w:id="129" w:name="_Toc427762961"/>
      <w:bookmarkStart w:id="130" w:name="_Toc427763156"/>
      <w:bookmarkStart w:id="131" w:name="_Toc427830154"/>
      <w:bookmarkStart w:id="132" w:name="_Toc427830349"/>
      <w:bookmarkStart w:id="133" w:name="_Toc428344088"/>
      <w:bookmarkStart w:id="134" w:name="_Toc430871116"/>
      <w:bookmarkStart w:id="135" w:name="_Toc431198817"/>
      <w:bookmarkStart w:id="136" w:name="_Toc431225094"/>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p>
    <w:p w:rsidR="005B76FC" w:rsidRPr="00212F68" w:rsidRDefault="005B76FC" w:rsidP="005B76FC">
      <w:pPr>
        <w:keepNext/>
        <w:keepLines/>
        <w:numPr>
          <w:ilvl w:val="0"/>
          <w:numId w:val="26"/>
        </w:numPr>
        <w:spacing w:before="200" w:after="240"/>
        <w:outlineLvl w:val="1"/>
        <w:rPr>
          <w:rFonts w:ascii="Arial" w:eastAsiaTheme="majorEastAsia" w:hAnsi="Arial" w:cs="Arial"/>
          <w:b/>
          <w:bCs/>
          <w:vanish/>
          <w:color w:val="4F81BD" w:themeColor="accent1"/>
          <w:sz w:val="24"/>
          <w:szCs w:val="24"/>
        </w:rPr>
      </w:pPr>
      <w:bookmarkStart w:id="137" w:name="_Toc427237113"/>
      <w:bookmarkStart w:id="138" w:name="_Toc427239104"/>
      <w:bookmarkStart w:id="139" w:name="_Toc427239287"/>
      <w:bookmarkStart w:id="140" w:name="_Toc427239471"/>
      <w:bookmarkStart w:id="141" w:name="_Toc427241443"/>
      <w:bookmarkStart w:id="142" w:name="_Toc427247098"/>
      <w:bookmarkStart w:id="143" w:name="_Toc427312375"/>
      <w:bookmarkStart w:id="144" w:name="_Toc427312558"/>
      <w:bookmarkStart w:id="145" w:name="_Toc427319750"/>
      <w:bookmarkStart w:id="146" w:name="_Toc427323137"/>
      <w:bookmarkStart w:id="147" w:name="_Toc427323321"/>
      <w:bookmarkStart w:id="148" w:name="_Toc427323817"/>
      <w:bookmarkStart w:id="149" w:name="_Toc427324122"/>
      <w:bookmarkStart w:id="150" w:name="_Toc427327340"/>
      <w:bookmarkStart w:id="151" w:name="_Toc427676372"/>
      <w:bookmarkStart w:id="152" w:name="_Toc427676556"/>
      <w:bookmarkStart w:id="153" w:name="_Toc427738511"/>
      <w:bookmarkStart w:id="154" w:name="_Toc427762962"/>
      <w:bookmarkStart w:id="155" w:name="_Toc427763157"/>
      <w:bookmarkStart w:id="156" w:name="_Toc427830155"/>
      <w:bookmarkStart w:id="157" w:name="_Toc427830350"/>
      <w:bookmarkStart w:id="158" w:name="_Toc428344089"/>
      <w:bookmarkStart w:id="159" w:name="_Toc430871117"/>
      <w:bookmarkStart w:id="160" w:name="_Toc431198818"/>
      <w:bookmarkStart w:id="161" w:name="_Toc431225095"/>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p>
    <w:p w:rsidR="005B76FC" w:rsidRPr="00212F68" w:rsidRDefault="005B76FC" w:rsidP="005B76FC">
      <w:pPr>
        <w:keepNext/>
        <w:keepLines/>
        <w:spacing w:after="0"/>
        <w:jc w:val="both"/>
        <w:outlineLvl w:val="0"/>
        <w:rPr>
          <w:rFonts w:ascii="Arial" w:eastAsiaTheme="majorEastAsia" w:hAnsi="Arial" w:cs="Arial"/>
          <w:b/>
          <w:bCs/>
          <w:color w:val="365F91" w:themeColor="accent1" w:themeShade="BF"/>
          <w:sz w:val="28"/>
          <w:szCs w:val="24"/>
        </w:rPr>
      </w:pPr>
      <w:bookmarkStart w:id="162" w:name="_Toc424291944"/>
      <w:bookmarkStart w:id="163" w:name="_Toc427237114"/>
      <w:bookmarkStart w:id="164" w:name="_Toc427239288"/>
      <w:bookmarkStart w:id="165" w:name="_Toc427239472"/>
      <w:bookmarkStart w:id="166" w:name="_Toc427241444"/>
      <w:bookmarkStart w:id="167" w:name="_Toc427247099"/>
      <w:bookmarkStart w:id="168" w:name="_Toc427312559"/>
      <w:bookmarkStart w:id="169" w:name="_Toc427324123"/>
      <w:bookmarkStart w:id="170" w:name="_Toc427327341"/>
      <w:bookmarkStart w:id="171" w:name="_Toc427676557"/>
      <w:bookmarkStart w:id="172" w:name="_Toc427738512"/>
      <w:bookmarkStart w:id="173" w:name="_Toc427763158"/>
      <w:bookmarkStart w:id="174" w:name="_Toc427830351"/>
      <w:bookmarkStart w:id="175" w:name="_Toc428344090"/>
      <w:bookmarkStart w:id="176" w:name="_Toc430871118"/>
      <w:bookmarkStart w:id="177" w:name="_Toc431198819"/>
      <w:bookmarkStart w:id="178" w:name="_Toc431225096"/>
      <w:r w:rsidRPr="00212F68">
        <w:rPr>
          <w:rFonts w:ascii="Arial" w:eastAsiaTheme="majorEastAsia" w:hAnsi="Arial" w:cs="Arial"/>
          <w:b/>
          <w:bCs/>
          <w:color w:val="365F91" w:themeColor="accent1" w:themeShade="BF"/>
          <w:sz w:val="28"/>
          <w:szCs w:val="24"/>
        </w:rPr>
        <w:t>3: Health</w:t>
      </w:r>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p>
    <w:p w:rsidR="005B76FC" w:rsidRPr="00212F68" w:rsidRDefault="005B76FC" w:rsidP="005B76FC">
      <w:pPr>
        <w:keepNext/>
        <w:keepLines/>
        <w:spacing w:after="0"/>
        <w:jc w:val="both"/>
        <w:outlineLvl w:val="0"/>
        <w:rPr>
          <w:rFonts w:ascii="Arial" w:eastAsiaTheme="majorEastAsia" w:hAnsi="Arial" w:cs="Arial"/>
          <w:b/>
          <w:bCs/>
          <w:color w:val="365F91" w:themeColor="accent1" w:themeShade="BF"/>
          <w:sz w:val="14"/>
          <w:szCs w:val="24"/>
        </w:rPr>
      </w:pPr>
    </w:p>
    <w:p w:rsidR="005B76FC" w:rsidRPr="00212F68" w:rsidRDefault="00886D1E" w:rsidP="005B76FC">
      <w:pPr>
        <w:numPr>
          <w:ilvl w:val="0"/>
          <w:numId w:val="38"/>
        </w:numPr>
        <w:contextualSpacing/>
        <w:jc w:val="both"/>
        <w:rPr>
          <w:rFonts w:ascii="Arial" w:hAnsi="Arial" w:cs="Arial"/>
          <w:sz w:val="24"/>
        </w:rPr>
      </w:pPr>
      <w:r>
        <w:rPr>
          <w:rFonts w:ascii="Arial" w:hAnsi="Arial" w:cs="Arial"/>
          <w:sz w:val="24"/>
        </w:rPr>
        <w:t xml:space="preserve">Barnet is healthy borough overall. </w:t>
      </w:r>
      <w:r w:rsidR="005B76FC" w:rsidRPr="00212F68">
        <w:rPr>
          <w:rFonts w:ascii="Arial" w:hAnsi="Arial" w:cs="Arial"/>
          <w:sz w:val="24"/>
        </w:rPr>
        <w:t xml:space="preserve">Coronary Heart Disease is the number one cause of death amongst men and women. </w:t>
      </w:r>
      <w:r w:rsidR="005B76FC" w:rsidRPr="00212F68">
        <w:rPr>
          <w:rFonts w:ascii="Arial" w:hAnsi="Arial" w:cs="Arial"/>
          <w:b/>
          <w:sz w:val="24"/>
        </w:rPr>
        <w:t xml:space="preserve">As male life expectancy continues to </w:t>
      </w:r>
      <w:r>
        <w:rPr>
          <w:rFonts w:ascii="Arial" w:hAnsi="Arial" w:cs="Arial"/>
          <w:b/>
          <w:sz w:val="24"/>
        </w:rPr>
        <w:t>catch up on and converge with</w:t>
      </w:r>
      <w:r w:rsidR="005B76FC" w:rsidRPr="00212F68">
        <w:rPr>
          <w:rFonts w:ascii="Arial" w:hAnsi="Arial" w:cs="Arial"/>
          <w:b/>
          <w:sz w:val="24"/>
        </w:rPr>
        <w:t xml:space="preserve"> women it is likely that the prevalence of some long term conditions will increase in men faster than in women. </w:t>
      </w:r>
    </w:p>
    <w:p w:rsidR="005B76FC" w:rsidRPr="00212F68" w:rsidRDefault="005B76FC" w:rsidP="005B76FC">
      <w:pPr>
        <w:numPr>
          <w:ilvl w:val="0"/>
          <w:numId w:val="38"/>
        </w:numPr>
        <w:contextualSpacing/>
        <w:jc w:val="both"/>
        <w:rPr>
          <w:rFonts w:ascii="Arial" w:hAnsi="Arial" w:cs="Arial"/>
          <w:sz w:val="24"/>
          <w:szCs w:val="24"/>
        </w:rPr>
      </w:pPr>
      <w:r w:rsidRPr="00212F68">
        <w:rPr>
          <w:rFonts w:ascii="Arial" w:hAnsi="Arial" w:cs="Arial"/>
          <w:b/>
          <w:sz w:val="24"/>
          <w:szCs w:val="24"/>
        </w:rPr>
        <w:t xml:space="preserve">There is </w:t>
      </w:r>
      <w:r>
        <w:rPr>
          <w:rFonts w:ascii="Arial" w:hAnsi="Arial" w:cs="Arial"/>
          <w:b/>
          <w:sz w:val="24"/>
          <w:szCs w:val="24"/>
        </w:rPr>
        <w:t xml:space="preserve">an </w:t>
      </w:r>
      <w:r w:rsidRPr="00212F68">
        <w:rPr>
          <w:rFonts w:ascii="Arial" w:hAnsi="Arial" w:cs="Arial"/>
          <w:b/>
          <w:sz w:val="24"/>
          <w:szCs w:val="24"/>
        </w:rPr>
        <w:t xml:space="preserve">8 </w:t>
      </w:r>
      <w:r>
        <w:rPr>
          <w:rFonts w:ascii="Arial" w:hAnsi="Arial" w:cs="Arial"/>
          <w:b/>
          <w:sz w:val="24"/>
          <w:szCs w:val="24"/>
        </w:rPr>
        <w:t>y</w:t>
      </w:r>
      <w:r w:rsidRPr="00212F68">
        <w:rPr>
          <w:rFonts w:ascii="Arial" w:hAnsi="Arial" w:cs="Arial"/>
          <w:b/>
          <w:sz w:val="24"/>
          <w:szCs w:val="24"/>
        </w:rPr>
        <w:t>ear difference in male life expectancy between Burnt Oak and Garden Suburb wards.</w:t>
      </w:r>
      <w:r w:rsidRPr="00212F68">
        <w:rPr>
          <w:rFonts w:ascii="Arial" w:hAnsi="Arial" w:cs="Arial"/>
          <w:sz w:val="24"/>
          <w:szCs w:val="24"/>
        </w:rPr>
        <w:t xml:space="preserve"> Bigger differences exist at lower geographical levels.</w:t>
      </w:r>
      <w:r w:rsidRPr="00212F68">
        <w:rPr>
          <w:rFonts w:ascii="Arial" w:hAnsi="Arial" w:cs="Arial"/>
          <w:b/>
          <w:sz w:val="24"/>
          <w:szCs w:val="24"/>
        </w:rPr>
        <w:t xml:space="preserve"> Circulatory diseases are the main contributors to differences in life expectancy between different areas</w:t>
      </w:r>
      <w:r w:rsidRPr="00212F68">
        <w:rPr>
          <w:rFonts w:ascii="Arial" w:hAnsi="Arial" w:cs="Arial"/>
          <w:sz w:val="24"/>
          <w:szCs w:val="24"/>
        </w:rPr>
        <w:t>.</w:t>
      </w:r>
    </w:p>
    <w:p w:rsidR="005B76FC" w:rsidRPr="00212F68" w:rsidRDefault="005B76FC" w:rsidP="005B76FC">
      <w:pPr>
        <w:numPr>
          <w:ilvl w:val="0"/>
          <w:numId w:val="38"/>
        </w:numPr>
        <w:contextualSpacing/>
        <w:jc w:val="both"/>
        <w:rPr>
          <w:rFonts w:ascii="Arial" w:hAnsi="Arial" w:cs="Arial"/>
          <w:sz w:val="24"/>
          <w:szCs w:val="24"/>
        </w:rPr>
      </w:pPr>
      <w:r w:rsidRPr="00212F68">
        <w:rPr>
          <w:rFonts w:ascii="Arial" w:hAnsi="Arial" w:cs="Arial"/>
          <w:sz w:val="24"/>
          <w:szCs w:val="24"/>
        </w:rPr>
        <w:t>Smoking, diet and alcohol are the main contributors to premature death in Barnet.</w:t>
      </w:r>
    </w:p>
    <w:p w:rsidR="005B76FC" w:rsidRPr="00212F68" w:rsidRDefault="005B76FC" w:rsidP="005B76FC">
      <w:pPr>
        <w:numPr>
          <w:ilvl w:val="0"/>
          <w:numId w:val="38"/>
        </w:numPr>
        <w:contextualSpacing/>
        <w:jc w:val="both"/>
        <w:rPr>
          <w:rFonts w:ascii="Arial" w:hAnsi="Arial" w:cs="Arial"/>
          <w:sz w:val="24"/>
          <w:szCs w:val="24"/>
        </w:rPr>
      </w:pPr>
      <w:r w:rsidRPr="00212F68">
        <w:rPr>
          <w:rFonts w:ascii="Arial" w:hAnsi="Arial" w:cs="Arial"/>
          <w:b/>
          <w:sz w:val="24"/>
          <w:szCs w:val="24"/>
        </w:rPr>
        <w:t xml:space="preserve">The rate of emergency hospital admissions due to stroke is significantly higher in Barnet than London or England. </w:t>
      </w:r>
      <w:r w:rsidRPr="00212F68">
        <w:rPr>
          <w:rFonts w:ascii="Arial" w:hAnsi="Arial" w:cs="Arial"/>
          <w:sz w:val="24"/>
          <w:szCs w:val="24"/>
        </w:rPr>
        <w:t>The wards with the highest rates of mortality from stroke are Burnt Oak, Childs Hill and Colindale.</w:t>
      </w:r>
    </w:p>
    <w:p w:rsidR="005B76FC" w:rsidRPr="00212F68" w:rsidRDefault="005B76FC" w:rsidP="005B76FC">
      <w:pPr>
        <w:numPr>
          <w:ilvl w:val="0"/>
          <w:numId w:val="38"/>
        </w:numPr>
        <w:contextualSpacing/>
        <w:jc w:val="both"/>
        <w:rPr>
          <w:rFonts w:ascii="Arial" w:hAnsi="Arial" w:cs="Arial"/>
          <w:sz w:val="24"/>
          <w:szCs w:val="24"/>
        </w:rPr>
      </w:pPr>
      <w:r w:rsidRPr="00212F68">
        <w:rPr>
          <w:rFonts w:ascii="Arial" w:hAnsi="Arial" w:cs="Arial"/>
          <w:b/>
          <w:sz w:val="24"/>
          <w:szCs w:val="24"/>
        </w:rPr>
        <w:t>Screening rates for cervical and breast cancer are significantly lower in Barnet than the England average</w:t>
      </w:r>
      <w:r w:rsidRPr="00212F68">
        <w:rPr>
          <w:rFonts w:ascii="Arial" w:hAnsi="Arial" w:cs="Arial"/>
          <w:sz w:val="24"/>
          <w:szCs w:val="24"/>
        </w:rPr>
        <w:t xml:space="preserve"> (23.3 per 100,000 vs. 15.5 per 100,000). More work is needed to understand why this is</w:t>
      </w:r>
      <w:r>
        <w:rPr>
          <w:rFonts w:ascii="Arial" w:hAnsi="Arial" w:cs="Arial"/>
          <w:sz w:val="24"/>
          <w:szCs w:val="24"/>
        </w:rPr>
        <w:t xml:space="preserve"> the case</w:t>
      </w:r>
      <w:r w:rsidRPr="00212F68">
        <w:rPr>
          <w:rFonts w:ascii="Arial" w:hAnsi="Arial" w:cs="Arial"/>
          <w:sz w:val="24"/>
          <w:szCs w:val="24"/>
        </w:rPr>
        <w:t>.</w:t>
      </w:r>
    </w:p>
    <w:p w:rsidR="00A37A07" w:rsidRPr="00A37A07" w:rsidRDefault="00A37A07" w:rsidP="00A37A07">
      <w:pPr>
        <w:numPr>
          <w:ilvl w:val="0"/>
          <w:numId w:val="38"/>
        </w:numPr>
        <w:contextualSpacing/>
        <w:jc w:val="both"/>
        <w:rPr>
          <w:rFonts w:ascii="Arial" w:hAnsi="Arial" w:cs="Arial"/>
          <w:sz w:val="24"/>
          <w:szCs w:val="24"/>
        </w:rPr>
      </w:pPr>
      <w:r w:rsidRPr="00A37A07">
        <w:rPr>
          <w:rFonts w:ascii="Arial" w:hAnsi="Arial" w:cs="Arial"/>
          <w:sz w:val="24"/>
          <w:szCs w:val="24"/>
        </w:rPr>
        <w:t xml:space="preserve">Overall rates of individual mental health problems are higher in Barnet than London and England; </w:t>
      </w:r>
      <w:r w:rsidRPr="00A37A07">
        <w:rPr>
          <w:rFonts w:ascii="Arial" w:hAnsi="Arial" w:cs="Arial"/>
          <w:b/>
          <w:bCs/>
          <w:sz w:val="24"/>
          <w:szCs w:val="24"/>
        </w:rPr>
        <w:t>the rate of detention for a mental health condition is significantly higher than the London or England averages.</w:t>
      </w:r>
    </w:p>
    <w:p w:rsidR="005B76FC" w:rsidRPr="00212F68" w:rsidRDefault="005B76FC" w:rsidP="005B76FC">
      <w:pPr>
        <w:numPr>
          <w:ilvl w:val="0"/>
          <w:numId w:val="38"/>
        </w:numPr>
        <w:contextualSpacing/>
        <w:jc w:val="both"/>
        <w:rPr>
          <w:rFonts w:ascii="Arial" w:hAnsi="Arial" w:cs="Arial"/>
          <w:b/>
          <w:sz w:val="24"/>
          <w:szCs w:val="24"/>
        </w:rPr>
      </w:pPr>
      <w:r w:rsidRPr="00212F68">
        <w:rPr>
          <w:rFonts w:ascii="Arial" w:hAnsi="Arial" w:cs="Arial"/>
          <w:sz w:val="24"/>
          <w:szCs w:val="24"/>
        </w:rPr>
        <w:t xml:space="preserve">Poor dental health is associated with poor health outcomes in later life. With this in mind, </w:t>
      </w:r>
      <w:r>
        <w:rPr>
          <w:rFonts w:ascii="Arial" w:hAnsi="Arial" w:cs="Arial"/>
          <w:b/>
          <w:sz w:val="24"/>
          <w:szCs w:val="24"/>
        </w:rPr>
        <w:t>c</w:t>
      </w:r>
      <w:r w:rsidRPr="00212F68">
        <w:rPr>
          <w:rFonts w:ascii="Arial" w:hAnsi="Arial" w:cs="Arial"/>
          <w:b/>
          <w:sz w:val="24"/>
          <w:szCs w:val="24"/>
        </w:rPr>
        <w:t>hild dental decay is the top cause for non-emergency hospital admissions in Barnet.</w:t>
      </w:r>
    </w:p>
    <w:p w:rsidR="005B76FC" w:rsidRPr="00212F68" w:rsidRDefault="00886D1E" w:rsidP="005B76FC">
      <w:pPr>
        <w:numPr>
          <w:ilvl w:val="0"/>
          <w:numId w:val="38"/>
        </w:numPr>
        <w:contextualSpacing/>
        <w:jc w:val="both"/>
        <w:rPr>
          <w:rFonts w:ascii="Arial" w:hAnsi="Arial" w:cs="Arial"/>
          <w:sz w:val="24"/>
          <w:szCs w:val="24"/>
        </w:rPr>
      </w:pPr>
      <w:r>
        <w:rPr>
          <w:rFonts w:ascii="Arial" w:hAnsi="Arial" w:cs="Arial"/>
          <w:b/>
          <w:sz w:val="24"/>
          <w:szCs w:val="24"/>
        </w:rPr>
        <w:t>Smoking is less prevalent in the Borough than the national average. However, w</w:t>
      </w:r>
      <w:r w:rsidR="005B76FC" w:rsidRPr="00212F68">
        <w:rPr>
          <w:rFonts w:ascii="Arial" w:hAnsi="Arial" w:cs="Arial"/>
          <w:b/>
          <w:sz w:val="24"/>
          <w:szCs w:val="24"/>
        </w:rPr>
        <w:t>omen in Barnet are significantly less likely to quit smoking in pregnancy</w:t>
      </w:r>
      <w:r w:rsidR="005B76FC" w:rsidRPr="00212F68">
        <w:rPr>
          <w:rFonts w:ascii="Arial" w:hAnsi="Arial" w:cs="Arial"/>
          <w:sz w:val="24"/>
          <w:szCs w:val="24"/>
        </w:rPr>
        <w:t xml:space="preserve"> than women on average in London.  </w:t>
      </w:r>
    </w:p>
    <w:p w:rsidR="005B76FC" w:rsidRPr="00212F68" w:rsidRDefault="005B76FC" w:rsidP="005B76FC">
      <w:pPr>
        <w:numPr>
          <w:ilvl w:val="0"/>
          <w:numId w:val="38"/>
        </w:numPr>
        <w:contextualSpacing/>
        <w:jc w:val="both"/>
        <w:rPr>
          <w:rFonts w:ascii="Arial" w:hAnsi="Arial" w:cs="Arial"/>
          <w:sz w:val="24"/>
          <w:szCs w:val="24"/>
        </w:rPr>
      </w:pPr>
      <w:r w:rsidRPr="00212F68">
        <w:rPr>
          <w:rFonts w:ascii="Arial" w:hAnsi="Arial" w:cs="Arial"/>
          <w:b/>
          <w:sz w:val="24"/>
          <w:szCs w:val="24"/>
        </w:rPr>
        <w:lastRenderedPageBreak/>
        <w:t>Barnet performs poorly for some immunisations that are strongly associated with poor outcomes and additional demand pressures later in life.</w:t>
      </w:r>
      <w:r w:rsidRPr="00212F68">
        <w:rPr>
          <w:rFonts w:ascii="Arial" w:hAnsi="Arial" w:cs="Arial"/>
          <w:sz w:val="24"/>
          <w:szCs w:val="24"/>
        </w:rPr>
        <w:t xml:space="preserve"> Particularly HPV, flu and pneumococcal (PCV) immunisation and childhood immunisations are lower than the average national rates.</w:t>
      </w:r>
    </w:p>
    <w:p w:rsidR="005B76FC" w:rsidRPr="00212F68" w:rsidRDefault="005B76FC" w:rsidP="005B76FC">
      <w:pPr>
        <w:numPr>
          <w:ilvl w:val="0"/>
          <w:numId w:val="38"/>
        </w:numPr>
        <w:contextualSpacing/>
        <w:jc w:val="both"/>
        <w:rPr>
          <w:rFonts w:ascii="Arial" w:hAnsi="Arial" w:cs="Arial"/>
          <w:sz w:val="24"/>
          <w:szCs w:val="24"/>
        </w:rPr>
      </w:pPr>
      <w:r w:rsidRPr="00212F68">
        <w:rPr>
          <w:rFonts w:ascii="Arial" w:hAnsi="Arial" w:cs="Arial"/>
          <w:b/>
          <w:sz w:val="24"/>
          <w:szCs w:val="24"/>
        </w:rPr>
        <w:t xml:space="preserve">Overall the percentage of diabetic people having all 8 health checks in Barnet is below the national rate </w:t>
      </w:r>
      <w:r w:rsidRPr="00212F68">
        <w:rPr>
          <w:rFonts w:ascii="Arial" w:hAnsi="Arial" w:cs="Arial"/>
          <w:sz w:val="24"/>
          <w:szCs w:val="24"/>
        </w:rPr>
        <w:t>and the risk of complication and additional demand pressures from people with diabetes in Barnet is higher compared to those without diabetes.</w:t>
      </w:r>
    </w:p>
    <w:p w:rsidR="005B76FC" w:rsidRPr="00212F68" w:rsidRDefault="005B76FC" w:rsidP="005B76FC">
      <w:pPr>
        <w:jc w:val="both"/>
        <w:rPr>
          <w:rFonts w:ascii="Arial" w:hAnsi="Arial" w:cs="Arial"/>
          <w:sz w:val="24"/>
          <w:szCs w:val="24"/>
        </w:rPr>
      </w:pPr>
    </w:p>
    <w:p w:rsidR="005B76FC" w:rsidRPr="00212F68" w:rsidRDefault="005B76FC" w:rsidP="005B76FC">
      <w:pPr>
        <w:keepNext/>
        <w:keepLines/>
        <w:spacing w:after="0"/>
        <w:jc w:val="both"/>
        <w:outlineLvl w:val="0"/>
        <w:rPr>
          <w:rFonts w:ascii="Arial" w:eastAsiaTheme="majorEastAsia" w:hAnsi="Arial" w:cs="Arial"/>
          <w:b/>
          <w:bCs/>
          <w:color w:val="365F91" w:themeColor="accent1" w:themeShade="BF"/>
          <w:sz w:val="28"/>
          <w:szCs w:val="24"/>
        </w:rPr>
      </w:pPr>
      <w:bookmarkStart w:id="179" w:name="_Toc424291957"/>
      <w:bookmarkStart w:id="180" w:name="_Toc427237115"/>
      <w:bookmarkStart w:id="181" w:name="_Toc427239289"/>
      <w:bookmarkStart w:id="182" w:name="_Toc427239473"/>
      <w:bookmarkStart w:id="183" w:name="_Toc427241445"/>
      <w:bookmarkStart w:id="184" w:name="_Toc427247100"/>
      <w:bookmarkStart w:id="185" w:name="_Toc427312560"/>
      <w:bookmarkStart w:id="186" w:name="_Toc427324124"/>
      <w:bookmarkStart w:id="187" w:name="_Toc427327342"/>
      <w:bookmarkStart w:id="188" w:name="_Toc427676558"/>
      <w:bookmarkStart w:id="189" w:name="_Toc427738513"/>
      <w:bookmarkStart w:id="190" w:name="_Toc427763159"/>
      <w:bookmarkStart w:id="191" w:name="_Toc427830352"/>
      <w:bookmarkStart w:id="192" w:name="_Toc428344091"/>
      <w:bookmarkStart w:id="193" w:name="_Toc430871119"/>
      <w:bookmarkStart w:id="194" w:name="_Toc431198820"/>
      <w:bookmarkStart w:id="195" w:name="_Toc431225097"/>
      <w:r w:rsidRPr="00212F68">
        <w:rPr>
          <w:rFonts w:ascii="Arial" w:eastAsiaTheme="majorEastAsia" w:hAnsi="Arial" w:cs="Arial"/>
          <w:b/>
          <w:bCs/>
          <w:color w:val="365F91" w:themeColor="accent1" w:themeShade="BF"/>
          <w:sz w:val="28"/>
          <w:szCs w:val="24"/>
        </w:rPr>
        <w:t>4: Lifestyle</w:t>
      </w:r>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p>
    <w:p w:rsidR="005B76FC" w:rsidRPr="00212F68" w:rsidRDefault="005B76FC" w:rsidP="005B76FC">
      <w:pPr>
        <w:keepNext/>
        <w:keepLines/>
        <w:spacing w:after="0"/>
        <w:jc w:val="both"/>
        <w:outlineLvl w:val="0"/>
        <w:rPr>
          <w:rFonts w:ascii="Arial" w:eastAsiaTheme="majorEastAsia" w:hAnsi="Arial" w:cs="Arial"/>
          <w:b/>
          <w:bCs/>
          <w:color w:val="365F91" w:themeColor="accent1" w:themeShade="BF"/>
          <w:sz w:val="14"/>
          <w:szCs w:val="24"/>
        </w:rPr>
      </w:pPr>
    </w:p>
    <w:p w:rsidR="005B76FC" w:rsidRPr="00212F68" w:rsidRDefault="005B76FC" w:rsidP="005B76FC">
      <w:pPr>
        <w:numPr>
          <w:ilvl w:val="0"/>
          <w:numId w:val="39"/>
        </w:numPr>
        <w:ind w:left="709"/>
        <w:contextualSpacing/>
        <w:jc w:val="both"/>
        <w:rPr>
          <w:rFonts w:ascii="Arial" w:hAnsi="Arial" w:cs="Arial"/>
          <w:sz w:val="24"/>
          <w:szCs w:val="24"/>
        </w:rPr>
      </w:pPr>
      <w:r w:rsidRPr="00212F68">
        <w:rPr>
          <w:rFonts w:ascii="Arial" w:hAnsi="Arial" w:cs="Arial"/>
          <w:sz w:val="24"/>
          <w:szCs w:val="24"/>
        </w:rPr>
        <w:t xml:space="preserve">Barnet has a relatively low level of smoking prevalence compared with other areas, however </w:t>
      </w:r>
      <w:r>
        <w:rPr>
          <w:rFonts w:ascii="Arial" w:hAnsi="Arial" w:cs="Arial"/>
          <w:b/>
          <w:sz w:val="24"/>
          <w:szCs w:val="24"/>
        </w:rPr>
        <w:t>s</w:t>
      </w:r>
      <w:r w:rsidRPr="00212F68">
        <w:rPr>
          <w:rFonts w:ascii="Arial" w:hAnsi="Arial" w:cs="Arial"/>
          <w:b/>
          <w:sz w:val="24"/>
          <w:szCs w:val="24"/>
        </w:rPr>
        <w:t>moking cessation programmes in Barnet are significantly less effective than in England on average</w:t>
      </w:r>
      <w:r w:rsidRPr="00212F68">
        <w:rPr>
          <w:rFonts w:ascii="Arial" w:hAnsi="Arial" w:cs="Arial"/>
          <w:sz w:val="24"/>
          <w:szCs w:val="24"/>
        </w:rPr>
        <w:t xml:space="preserve">, indicating that the current £8m cost </w:t>
      </w:r>
      <w:r>
        <w:rPr>
          <w:rFonts w:ascii="Arial" w:hAnsi="Arial" w:cs="Arial"/>
          <w:sz w:val="24"/>
          <w:szCs w:val="24"/>
        </w:rPr>
        <w:t xml:space="preserve">to </w:t>
      </w:r>
      <w:r w:rsidRPr="00212F68">
        <w:rPr>
          <w:rFonts w:ascii="Arial" w:hAnsi="Arial" w:cs="Arial"/>
          <w:sz w:val="24"/>
          <w:szCs w:val="24"/>
        </w:rPr>
        <w:t>the NHS of smoking in Barnet could be reduced.</w:t>
      </w:r>
    </w:p>
    <w:p w:rsidR="005B76FC" w:rsidRPr="00212F68" w:rsidRDefault="005B76FC" w:rsidP="005B76FC">
      <w:pPr>
        <w:numPr>
          <w:ilvl w:val="0"/>
          <w:numId w:val="39"/>
        </w:numPr>
        <w:ind w:left="709"/>
        <w:contextualSpacing/>
        <w:jc w:val="both"/>
        <w:rPr>
          <w:rFonts w:ascii="Arial" w:hAnsi="Arial" w:cs="Arial"/>
          <w:sz w:val="24"/>
          <w:szCs w:val="24"/>
        </w:rPr>
      </w:pPr>
      <w:r w:rsidRPr="00212F68">
        <w:rPr>
          <w:rFonts w:ascii="Arial" w:hAnsi="Arial" w:cs="Arial"/>
          <w:sz w:val="24"/>
          <w:szCs w:val="24"/>
        </w:rPr>
        <w:t>The wards with the highest prevalence of smoking in Barnet are Hendon, Mill Hill, and Underhill.</w:t>
      </w:r>
    </w:p>
    <w:p w:rsidR="005B76FC" w:rsidRPr="00212F68" w:rsidRDefault="005B76FC" w:rsidP="005B76FC">
      <w:pPr>
        <w:numPr>
          <w:ilvl w:val="0"/>
          <w:numId w:val="39"/>
        </w:numPr>
        <w:ind w:left="709"/>
        <w:contextualSpacing/>
        <w:jc w:val="both"/>
        <w:rPr>
          <w:rFonts w:ascii="Arial" w:hAnsi="Arial" w:cs="Arial"/>
          <w:sz w:val="24"/>
          <w:szCs w:val="24"/>
        </w:rPr>
      </w:pPr>
      <w:r w:rsidRPr="00212F68">
        <w:rPr>
          <w:rFonts w:ascii="Arial" w:hAnsi="Arial" w:cs="Arial"/>
          <w:b/>
          <w:sz w:val="24"/>
          <w:szCs w:val="24"/>
        </w:rPr>
        <w:t>Barnet has a higher rate of underweight adults and children</w:t>
      </w:r>
      <w:r w:rsidRPr="00212F68">
        <w:rPr>
          <w:rFonts w:ascii="Arial" w:hAnsi="Arial" w:cs="Arial"/>
          <w:sz w:val="24"/>
          <w:szCs w:val="24"/>
        </w:rPr>
        <w:t xml:space="preserve"> than London or England.</w:t>
      </w:r>
    </w:p>
    <w:p w:rsidR="005B76FC" w:rsidRPr="00212F68" w:rsidRDefault="005B76FC" w:rsidP="005B76FC">
      <w:pPr>
        <w:numPr>
          <w:ilvl w:val="0"/>
          <w:numId w:val="39"/>
        </w:numPr>
        <w:ind w:left="709"/>
        <w:contextualSpacing/>
        <w:jc w:val="both"/>
        <w:rPr>
          <w:rFonts w:ascii="Arial" w:hAnsi="Arial" w:cs="Arial"/>
          <w:sz w:val="24"/>
          <w:szCs w:val="24"/>
        </w:rPr>
      </w:pPr>
      <w:r w:rsidRPr="00212F68">
        <w:rPr>
          <w:rFonts w:ascii="Arial" w:hAnsi="Arial" w:cs="Arial"/>
          <w:b/>
          <w:sz w:val="24"/>
          <w:szCs w:val="24"/>
        </w:rPr>
        <w:t xml:space="preserve">The wards with the highest rates of child obesity are Colindale, Burnt Oak and Underhill. </w:t>
      </w:r>
      <w:r w:rsidRPr="00212F68">
        <w:rPr>
          <w:rFonts w:ascii="Arial" w:hAnsi="Arial" w:cs="Arial"/>
          <w:sz w:val="24"/>
          <w:szCs w:val="24"/>
        </w:rPr>
        <w:t>These are also the wards with amongst the lowest levels of participation in sport, the lowest levels of park use, and the lowest rate of volunteering.</w:t>
      </w:r>
    </w:p>
    <w:p w:rsidR="005B76FC" w:rsidRPr="00212F68" w:rsidRDefault="005B76FC" w:rsidP="005B76FC">
      <w:pPr>
        <w:numPr>
          <w:ilvl w:val="0"/>
          <w:numId w:val="39"/>
        </w:numPr>
        <w:ind w:left="709"/>
        <w:contextualSpacing/>
        <w:jc w:val="both"/>
        <w:rPr>
          <w:rFonts w:ascii="Arial" w:hAnsi="Arial" w:cs="Arial"/>
          <w:sz w:val="24"/>
          <w:szCs w:val="24"/>
        </w:rPr>
      </w:pPr>
      <w:r w:rsidRPr="00212F68">
        <w:rPr>
          <w:rFonts w:ascii="Arial" w:hAnsi="Arial" w:cs="Arial"/>
          <w:sz w:val="24"/>
          <w:szCs w:val="24"/>
        </w:rPr>
        <w:t>The rates for alcohol related mortality and hospital admissions in males are rising in Barnet</w:t>
      </w:r>
      <w:r w:rsidR="00886D1E">
        <w:rPr>
          <w:rFonts w:ascii="Arial" w:hAnsi="Arial" w:cs="Arial"/>
          <w:sz w:val="24"/>
          <w:szCs w:val="24"/>
        </w:rPr>
        <w:t>, although the Borough is the 20</w:t>
      </w:r>
      <w:r w:rsidR="00886D1E" w:rsidRPr="00886D1E">
        <w:rPr>
          <w:rFonts w:ascii="Arial" w:hAnsi="Arial" w:cs="Arial"/>
          <w:sz w:val="24"/>
          <w:szCs w:val="24"/>
          <w:vertAlign w:val="superscript"/>
        </w:rPr>
        <w:t>th</w:t>
      </w:r>
      <w:r w:rsidR="00886D1E">
        <w:rPr>
          <w:rFonts w:ascii="Arial" w:hAnsi="Arial" w:cs="Arial"/>
          <w:sz w:val="24"/>
          <w:szCs w:val="24"/>
        </w:rPr>
        <w:t xml:space="preserve"> lowest borough in England in terms of the rate of high-</w:t>
      </w:r>
      <w:proofErr w:type="spellStart"/>
      <w:r w:rsidR="00886D1E">
        <w:rPr>
          <w:rFonts w:ascii="Arial" w:hAnsi="Arial" w:cs="Arial"/>
          <w:sz w:val="24"/>
          <w:szCs w:val="24"/>
        </w:rPr>
        <w:t>risjk</w:t>
      </w:r>
      <w:proofErr w:type="spellEnd"/>
      <w:r w:rsidR="00886D1E">
        <w:rPr>
          <w:rFonts w:ascii="Arial" w:hAnsi="Arial" w:cs="Arial"/>
          <w:sz w:val="24"/>
          <w:szCs w:val="24"/>
        </w:rPr>
        <w:t xml:space="preserve"> drinkers</w:t>
      </w:r>
      <w:r w:rsidRPr="00212F68">
        <w:rPr>
          <w:rFonts w:ascii="Arial" w:hAnsi="Arial" w:cs="Arial"/>
          <w:sz w:val="24"/>
          <w:szCs w:val="24"/>
        </w:rPr>
        <w:t>.</w:t>
      </w:r>
    </w:p>
    <w:p w:rsidR="005B76FC" w:rsidRPr="00212F68" w:rsidRDefault="005B76FC" w:rsidP="005B76FC">
      <w:pPr>
        <w:numPr>
          <w:ilvl w:val="0"/>
          <w:numId w:val="39"/>
        </w:numPr>
        <w:ind w:left="709"/>
        <w:contextualSpacing/>
        <w:jc w:val="both"/>
        <w:rPr>
          <w:rFonts w:ascii="Arial" w:hAnsi="Arial" w:cs="Arial"/>
          <w:b/>
          <w:sz w:val="24"/>
          <w:szCs w:val="24"/>
        </w:rPr>
      </w:pPr>
      <w:r w:rsidRPr="00212F68">
        <w:rPr>
          <w:rFonts w:ascii="Arial" w:hAnsi="Arial" w:cs="Arial"/>
          <w:b/>
          <w:sz w:val="24"/>
          <w:szCs w:val="24"/>
        </w:rPr>
        <w:t>The wards with the highest rates of admission to hospital with alcohol-related conditions are Burnt Oak, West Hendon and Colindale.</w:t>
      </w:r>
    </w:p>
    <w:p w:rsidR="005B76FC" w:rsidRPr="00212F68" w:rsidRDefault="005B76FC" w:rsidP="005B76FC">
      <w:pPr>
        <w:numPr>
          <w:ilvl w:val="0"/>
          <w:numId w:val="39"/>
        </w:numPr>
        <w:ind w:left="709"/>
        <w:contextualSpacing/>
        <w:jc w:val="both"/>
        <w:rPr>
          <w:rFonts w:ascii="Arial" w:hAnsi="Arial" w:cs="Arial"/>
          <w:sz w:val="24"/>
          <w:szCs w:val="24"/>
        </w:rPr>
      </w:pPr>
      <w:r w:rsidRPr="00212F68">
        <w:rPr>
          <w:rFonts w:ascii="Arial" w:hAnsi="Arial" w:cs="Arial"/>
          <w:b/>
          <w:sz w:val="24"/>
          <w:szCs w:val="24"/>
        </w:rPr>
        <w:t>Treatment for alcohol dependency in Barnet is less effective than in the rest of the country.</w:t>
      </w:r>
      <w:r w:rsidRPr="00212F68">
        <w:rPr>
          <w:rFonts w:ascii="Arial" w:hAnsi="Arial" w:cs="Arial"/>
          <w:sz w:val="24"/>
          <w:szCs w:val="24"/>
        </w:rPr>
        <w:t xml:space="preserve"> Specifically, completion rates for treatment for alcohol dependency are below the national average, and the </w:t>
      </w:r>
      <w:proofErr w:type="gramStart"/>
      <w:r w:rsidRPr="00212F68">
        <w:rPr>
          <w:rFonts w:ascii="Arial" w:hAnsi="Arial" w:cs="Arial"/>
          <w:sz w:val="24"/>
          <w:szCs w:val="24"/>
        </w:rPr>
        <w:t>rate of re-presentations after treatment are</w:t>
      </w:r>
      <w:proofErr w:type="gramEnd"/>
      <w:r w:rsidRPr="00212F68">
        <w:rPr>
          <w:rFonts w:ascii="Arial" w:hAnsi="Arial" w:cs="Arial"/>
          <w:sz w:val="24"/>
          <w:szCs w:val="24"/>
        </w:rPr>
        <w:t xml:space="preserve"> higher.</w:t>
      </w:r>
    </w:p>
    <w:p w:rsidR="005B76FC" w:rsidRPr="00212F68" w:rsidRDefault="005B76FC" w:rsidP="005B76FC">
      <w:pPr>
        <w:numPr>
          <w:ilvl w:val="0"/>
          <w:numId w:val="39"/>
        </w:numPr>
        <w:ind w:left="709"/>
        <w:contextualSpacing/>
        <w:jc w:val="both"/>
        <w:rPr>
          <w:rFonts w:ascii="Arial" w:hAnsi="Arial" w:cs="Arial"/>
          <w:sz w:val="24"/>
          <w:szCs w:val="24"/>
        </w:rPr>
      </w:pPr>
      <w:r w:rsidRPr="00212F68">
        <w:rPr>
          <w:rFonts w:ascii="Arial" w:hAnsi="Arial" w:cs="Arial"/>
          <w:sz w:val="24"/>
          <w:szCs w:val="24"/>
        </w:rPr>
        <w:t xml:space="preserve">The number of MARAC </w:t>
      </w:r>
      <w:r w:rsidRPr="00212F68">
        <w:rPr>
          <w:rFonts w:ascii="Arial" w:hAnsi="Arial" w:cs="Arial"/>
          <w:b/>
          <w:sz w:val="24"/>
          <w:szCs w:val="24"/>
        </w:rPr>
        <w:t>cases of domestic abuse associated with drug and alcohol use in Barnet nearly doubled between 2011 and 2013</w:t>
      </w:r>
      <w:r w:rsidRPr="00212F68">
        <w:rPr>
          <w:rFonts w:ascii="Arial" w:hAnsi="Arial" w:cs="Arial"/>
          <w:sz w:val="24"/>
          <w:szCs w:val="24"/>
        </w:rPr>
        <w:t xml:space="preserve">. </w:t>
      </w:r>
    </w:p>
    <w:p w:rsidR="005B76FC" w:rsidRPr="00212F68" w:rsidRDefault="005B76FC" w:rsidP="005B76FC">
      <w:pPr>
        <w:numPr>
          <w:ilvl w:val="0"/>
          <w:numId w:val="39"/>
        </w:numPr>
        <w:ind w:left="709"/>
        <w:contextualSpacing/>
        <w:jc w:val="both"/>
        <w:rPr>
          <w:rFonts w:ascii="Arial" w:hAnsi="Arial" w:cs="Arial"/>
          <w:sz w:val="24"/>
          <w:szCs w:val="24"/>
        </w:rPr>
      </w:pPr>
      <w:r w:rsidRPr="00212F68">
        <w:rPr>
          <w:rFonts w:ascii="Arial" w:hAnsi="Arial" w:cs="Arial"/>
          <w:b/>
          <w:sz w:val="24"/>
          <w:szCs w:val="24"/>
        </w:rPr>
        <w:t>For non-opiate drug users successful completion rates are lower than in England,</w:t>
      </w:r>
      <w:r w:rsidRPr="00212F68">
        <w:rPr>
          <w:rFonts w:ascii="Arial" w:hAnsi="Arial" w:cs="Arial"/>
          <w:sz w:val="24"/>
          <w:szCs w:val="24"/>
        </w:rPr>
        <w:t xml:space="preserve"> and the proportion of those who successfully complete a programme and do not re-present for treatment within 6 months has decreased below the baseline and is also lower than the average for England.</w:t>
      </w:r>
    </w:p>
    <w:p w:rsidR="005B76FC" w:rsidRPr="00212F68" w:rsidRDefault="005B76FC" w:rsidP="005B76FC">
      <w:pPr>
        <w:numPr>
          <w:ilvl w:val="0"/>
          <w:numId w:val="39"/>
        </w:numPr>
        <w:ind w:left="709"/>
        <w:contextualSpacing/>
        <w:jc w:val="both"/>
        <w:rPr>
          <w:rFonts w:ascii="Arial" w:hAnsi="Arial" w:cs="Arial"/>
          <w:b/>
          <w:sz w:val="24"/>
          <w:szCs w:val="24"/>
        </w:rPr>
      </w:pPr>
      <w:r w:rsidRPr="00212F68">
        <w:rPr>
          <w:rFonts w:ascii="Arial" w:hAnsi="Arial" w:cs="Arial"/>
          <w:b/>
          <w:sz w:val="24"/>
          <w:szCs w:val="24"/>
        </w:rPr>
        <w:t>The rate of GP</w:t>
      </w:r>
      <w:r>
        <w:rPr>
          <w:rFonts w:ascii="Arial" w:hAnsi="Arial" w:cs="Arial"/>
          <w:b/>
          <w:sz w:val="24"/>
          <w:szCs w:val="24"/>
        </w:rPr>
        <w:t xml:space="preserve"> </w:t>
      </w:r>
      <w:r w:rsidRPr="00212F68">
        <w:rPr>
          <w:rFonts w:ascii="Arial" w:hAnsi="Arial" w:cs="Arial"/>
          <w:b/>
          <w:sz w:val="24"/>
          <w:szCs w:val="24"/>
        </w:rPr>
        <w:t>prescribed long acting reversible contraceptives in Barnet is lower than the average rates for the London region and England</w:t>
      </w:r>
      <w:r w:rsidRPr="00212F68">
        <w:rPr>
          <w:rFonts w:ascii="Arial" w:hAnsi="Arial" w:cs="Arial"/>
          <w:sz w:val="24"/>
          <w:szCs w:val="24"/>
        </w:rPr>
        <w:t>.</w:t>
      </w:r>
    </w:p>
    <w:p w:rsidR="005B76FC" w:rsidRPr="00886D1E" w:rsidRDefault="005B76FC" w:rsidP="005B76FC">
      <w:pPr>
        <w:numPr>
          <w:ilvl w:val="0"/>
          <w:numId w:val="39"/>
        </w:numPr>
        <w:ind w:left="709"/>
        <w:contextualSpacing/>
        <w:jc w:val="both"/>
        <w:rPr>
          <w:rFonts w:ascii="Arial" w:eastAsiaTheme="majorEastAsia" w:hAnsi="Arial" w:cs="Arial"/>
          <w:b/>
          <w:bCs/>
          <w:color w:val="365F91" w:themeColor="accent1" w:themeShade="BF"/>
          <w:sz w:val="24"/>
          <w:szCs w:val="24"/>
        </w:rPr>
      </w:pPr>
      <w:r w:rsidRPr="00212F68">
        <w:rPr>
          <w:rFonts w:ascii="Arial" w:hAnsi="Arial" w:cs="Arial"/>
          <w:sz w:val="24"/>
          <w:szCs w:val="24"/>
        </w:rPr>
        <w:t xml:space="preserve">The evidence-based public health interventions with the highest “return on investment” according to the respected Kings Fund are: </w:t>
      </w:r>
      <w:r w:rsidRPr="00212F68">
        <w:rPr>
          <w:rFonts w:ascii="Arial" w:hAnsi="Arial" w:cs="Arial"/>
          <w:b/>
          <w:sz w:val="24"/>
          <w:szCs w:val="24"/>
        </w:rPr>
        <w:t xml:space="preserve">housing </w:t>
      </w:r>
      <w:r w:rsidRPr="00212F68">
        <w:rPr>
          <w:rFonts w:ascii="Arial" w:hAnsi="Arial" w:cs="Arial"/>
          <w:b/>
          <w:sz w:val="24"/>
          <w:szCs w:val="24"/>
        </w:rPr>
        <w:lastRenderedPageBreak/>
        <w:t>interventions</w:t>
      </w:r>
      <w:r w:rsidRPr="00212F68">
        <w:rPr>
          <w:rFonts w:ascii="Arial" w:hAnsi="Arial" w:cs="Arial"/>
          <w:sz w:val="24"/>
          <w:szCs w:val="24"/>
        </w:rPr>
        <w:t xml:space="preserve"> (e.g. warm homes), </w:t>
      </w:r>
      <w:r w:rsidRPr="00212F68">
        <w:rPr>
          <w:rFonts w:ascii="Arial" w:hAnsi="Arial" w:cs="Arial"/>
          <w:b/>
          <w:sz w:val="24"/>
          <w:szCs w:val="24"/>
        </w:rPr>
        <w:t>school programmes</w:t>
      </w:r>
      <w:r w:rsidRPr="00212F68">
        <w:rPr>
          <w:rFonts w:ascii="Arial" w:hAnsi="Arial" w:cs="Arial"/>
          <w:sz w:val="24"/>
          <w:szCs w:val="24"/>
        </w:rPr>
        <w:t xml:space="preserve"> (e.g. to reduce child obesity and smoking), </w:t>
      </w:r>
      <w:r w:rsidRPr="00212F68">
        <w:rPr>
          <w:rFonts w:ascii="Arial" w:hAnsi="Arial" w:cs="Arial"/>
          <w:b/>
          <w:sz w:val="24"/>
          <w:szCs w:val="24"/>
        </w:rPr>
        <w:t>education to reduce teenage pregnancy</w:t>
      </w:r>
      <w:r w:rsidRPr="00212F68">
        <w:rPr>
          <w:rFonts w:ascii="Arial" w:hAnsi="Arial" w:cs="Arial"/>
          <w:sz w:val="24"/>
          <w:szCs w:val="24"/>
        </w:rPr>
        <w:t xml:space="preserve">, and </w:t>
      </w:r>
      <w:r w:rsidRPr="00212F68">
        <w:rPr>
          <w:rFonts w:ascii="Arial" w:hAnsi="Arial" w:cs="Arial"/>
          <w:b/>
          <w:sz w:val="24"/>
          <w:szCs w:val="24"/>
        </w:rPr>
        <w:t>good parenting classes</w:t>
      </w:r>
      <w:r w:rsidRPr="00212F68">
        <w:rPr>
          <w:rFonts w:ascii="Arial" w:hAnsi="Arial" w:cs="Arial"/>
          <w:sz w:val="24"/>
          <w:szCs w:val="24"/>
        </w:rPr>
        <w:t>.</w:t>
      </w:r>
      <w:bookmarkStart w:id="196" w:name="_Toc424291967"/>
    </w:p>
    <w:p w:rsidR="00886D1E" w:rsidRPr="00E41269" w:rsidRDefault="00886D1E" w:rsidP="00886D1E">
      <w:pPr>
        <w:ind w:left="709"/>
        <w:contextualSpacing/>
        <w:jc w:val="both"/>
        <w:rPr>
          <w:rFonts w:ascii="Arial" w:eastAsiaTheme="majorEastAsia" w:hAnsi="Arial" w:cs="Arial"/>
          <w:b/>
          <w:bCs/>
          <w:color w:val="365F91" w:themeColor="accent1" w:themeShade="BF"/>
          <w:sz w:val="24"/>
          <w:szCs w:val="24"/>
        </w:rPr>
      </w:pPr>
    </w:p>
    <w:p w:rsidR="005B76FC" w:rsidRPr="00212F68" w:rsidRDefault="005B76FC" w:rsidP="005B76FC">
      <w:pPr>
        <w:spacing w:after="0"/>
        <w:ind w:left="352"/>
        <w:jc w:val="both"/>
        <w:rPr>
          <w:rFonts w:ascii="Arial" w:eastAsiaTheme="majorEastAsia" w:hAnsi="Arial" w:cs="Arial"/>
          <w:b/>
          <w:bCs/>
          <w:color w:val="365F91" w:themeColor="accent1" w:themeShade="BF"/>
          <w:sz w:val="24"/>
          <w:szCs w:val="24"/>
        </w:rPr>
      </w:pPr>
      <w:r w:rsidRPr="00212F68">
        <w:rPr>
          <w:rFonts w:ascii="Arial" w:eastAsiaTheme="majorEastAsia" w:hAnsi="Arial" w:cs="Arial"/>
          <w:b/>
          <w:bCs/>
          <w:color w:val="365F91" w:themeColor="accent1" w:themeShade="BF"/>
          <w:sz w:val="28"/>
          <w:szCs w:val="24"/>
        </w:rPr>
        <w:t xml:space="preserve">5: </w:t>
      </w:r>
      <w:bookmarkEnd w:id="196"/>
      <w:r w:rsidRPr="00212F68">
        <w:rPr>
          <w:rFonts w:ascii="Arial" w:eastAsiaTheme="majorEastAsia" w:hAnsi="Arial" w:cs="Arial"/>
          <w:b/>
          <w:bCs/>
          <w:color w:val="365F91" w:themeColor="accent1" w:themeShade="BF"/>
          <w:sz w:val="28"/>
          <w:szCs w:val="24"/>
        </w:rPr>
        <w:t>Primary and Secondary Care</w:t>
      </w:r>
    </w:p>
    <w:p w:rsidR="005B76FC" w:rsidRPr="00212F68" w:rsidRDefault="005B76FC" w:rsidP="005B76FC">
      <w:pPr>
        <w:keepNext/>
        <w:keepLines/>
        <w:spacing w:after="0"/>
        <w:outlineLvl w:val="0"/>
        <w:rPr>
          <w:rFonts w:ascii="Arial" w:eastAsiaTheme="majorEastAsia" w:hAnsi="Arial" w:cs="Arial"/>
          <w:b/>
          <w:bCs/>
          <w:color w:val="365F91" w:themeColor="accent1" w:themeShade="BF"/>
          <w:sz w:val="14"/>
          <w:szCs w:val="24"/>
        </w:rPr>
      </w:pPr>
    </w:p>
    <w:p w:rsidR="005B76FC" w:rsidRPr="00212F68" w:rsidRDefault="005B76FC" w:rsidP="008921BF">
      <w:pPr>
        <w:keepNext/>
        <w:keepLines/>
        <w:numPr>
          <w:ilvl w:val="0"/>
          <w:numId w:val="112"/>
        </w:numPr>
        <w:spacing w:before="480" w:after="240"/>
        <w:outlineLvl w:val="0"/>
        <w:rPr>
          <w:rFonts w:ascii="Arial" w:eastAsiaTheme="majorEastAsia" w:hAnsi="Arial" w:cs="Arial"/>
          <w:b/>
          <w:bCs/>
          <w:vanish/>
          <w:color w:val="365F91" w:themeColor="accent1" w:themeShade="BF"/>
          <w:sz w:val="24"/>
          <w:szCs w:val="24"/>
        </w:rPr>
      </w:pPr>
      <w:bookmarkStart w:id="197" w:name="_Toc427237116"/>
      <w:bookmarkStart w:id="198" w:name="_Toc427239107"/>
      <w:bookmarkStart w:id="199" w:name="_Toc427239290"/>
      <w:bookmarkStart w:id="200" w:name="_Toc427239474"/>
      <w:bookmarkStart w:id="201" w:name="_Toc427241446"/>
      <w:bookmarkStart w:id="202" w:name="_Toc427247101"/>
      <w:bookmarkStart w:id="203" w:name="_Toc427312378"/>
      <w:bookmarkStart w:id="204" w:name="_Toc427312561"/>
      <w:bookmarkStart w:id="205" w:name="_Toc427319753"/>
      <w:bookmarkStart w:id="206" w:name="_Toc427323140"/>
      <w:bookmarkStart w:id="207" w:name="_Toc427323324"/>
      <w:bookmarkStart w:id="208" w:name="_Toc427323820"/>
      <w:bookmarkStart w:id="209" w:name="_Toc427324125"/>
      <w:bookmarkStart w:id="210" w:name="_Toc427327343"/>
      <w:bookmarkStart w:id="211" w:name="_Toc427676375"/>
      <w:bookmarkStart w:id="212" w:name="_Toc427676559"/>
      <w:bookmarkStart w:id="213" w:name="_Toc427738514"/>
      <w:bookmarkStart w:id="214" w:name="_Toc427762965"/>
      <w:bookmarkStart w:id="215" w:name="_Toc427763160"/>
      <w:bookmarkStart w:id="216" w:name="_Toc427830158"/>
      <w:bookmarkStart w:id="217" w:name="_Toc427830353"/>
      <w:bookmarkStart w:id="218" w:name="_Toc428344092"/>
      <w:bookmarkStart w:id="219" w:name="_Toc430871120"/>
      <w:bookmarkStart w:id="220" w:name="_Toc431198821"/>
      <w:bookmarkStart w:id="221" w:name="_Toc431225098"/>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p>
    <w:p w:rsidR="005B76FC" w:rsidRPr="00212F68" w:rsidRDefault="005B76FC" w:rsidP="008921BF">
      <w:pPr>
        <w:keepNext/>
        <w:keepLines/>
        <w:numPr>
          <w:ilvl w:val="0"/>
          <w:numId w:val="112"/>
        </w:numPr>
        <w:spacing w:before="480" w:after="240"/>
        <w:outlineLvl w:val="0"/>
        <w:rPr>
          <w:rFonts w:ascii="Arial" w:eastAsiaTheme="majorEastAsia" w:hAnsi="Arial" w:cs="Arial"/>
          <w:b/>
          <w:bCs/>
          <w:vanish/>
          <w:color w:val="365F91" w:themeColor="accent1" w:themeShade="BF"/>
          <w:sz w:val="24"/>
          <w:szCs w:val="24"/>
        </w:rPr>
      </w:pPr>
      <w:bookmarkStart w:id="222" w:name="_Toc427237117"/>
      <w:bookmarkStart w:id="223" w:name="_Toc427239108"/>
      <w:bookmarkStart w:id="224" w:name="_Toc427239291"/>
      <w:bookmarkStart w:id="225" w:name="_Toc427239475"/>
      <w:bookmarkStart w:id="226" w:name="_Toc427241447"/>
      <w:bookmarkStart w:id="227" w:name="_Toc427247102"/>
      <w:bookmarkStart w:id="228" w:name="_Toc427312379"/>
      <w:bookmarkStart w:id="229" w:name="_Toc427312562"/>
      <w:bookmarkStart w:id="230" w:name="_Toc427319754"/>
      <w:bookmarkStart w:id="231" w:name="_Toc427323141"/>
      <w:bookmarkStart w:id="232" w:name="_Toc427323325"/>
      <w:bookmarkStart w:id="233" w:name="_Toc427323821"/>
      <w:bookmarkStart w:id="234" w:name="_Toc427324126"/>
      <w:bookmarkStart w:id="235" w:name="_Toc427327344"/>
      <w:bookmarkStart w:id="236" w:name="_Toc427676376"/>
      <w:bookmarkStart w:id="237" w:name="_Toc427676560"/>
      <w:bookmarkStart w:id="238" w:name="_Toc427738515"/>
      <w:bookmarkStart w:id="239" w:name="_Toc427762966"/>
      <w:bookmarkStart w:id="240" w:name="_Toc427763161"/>
      <w:bookmarkStart w:id="241" w:name="_Toc427830159"/>
      <w:bookmarkStart w:id="242" w:name="_Toc427830354"/>
      <w:bookmarkStart w:id="243" w:name="_Toc428344093"/>
      <w:bookmarkStart w:id="244" w:name="_Toc430871121"/>
      <w:bookmarkStart w:id="245" w:name="_Toc431198822"/>
      <w:bookmarkStart w:id="246" w:name="_Toc431225099"/>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p>
    <w:p w:rsidR="005B76FC" w:rsidRPr="00212F68" w:rsidRDefault="005B76FC" w:rsidP="008921BF">
      <w:pPr>
        <w:keepNext/>
        <w:keepLines/>
        <w:numPr>
          <w:ilvl w:val="0"/>
          <w:numId w:val="112"/>
        </w:numPr>
        <w:spacing w:before="480" w:after="240"/>
        <w:outlineLvl w:val="0"/>
        <w:rPr>
          <w:rFonts w:ascii="Arial" w:eastAsiaTheme="majorEastAsia" w:hAnsi="Arial" w:cs="Arial"/>
          <w:b/>
          <w:bCs/>
          <w:vanish/>
          <w:color w:val="365F91" w:themeColor="accent1" w:themeShade="BF"/>
          <w:sz w:val="24"/>
          <w:szCs w:val="24"/>
        </w:rPr>
      </w:pPr>
      <w:bookmarkStart w:id="247" w:name="_Toc427237118"/>
      <w:bookmarkStart w:id="248" w:name="_Toc427239109"/>
      <w:bookmarkStart w:id="249" w:name="_Toc427239292"/>
      <w:bookmarkStart w:id="250" w:name="_Toc427239476"/>
      <w:bookmarkStart w:id="251" w:name="_Toc427241448"/>
      <w:bookmarkStart w:id="252" w:name="_Toc427247103"/>
      <w:bookmarkStart w:id="253" w:name="_Toc427312380"/>
      <w:bookmarkStart w:id="254" w:name="_Toc427312563"/>
      <w:bookmarkStart w:id="255" w:name="_Toc427319755"/>
      <w:bookmarkStart w:id="256" w:name="_Toc427323142"/>
      <w:bookmarkStart w:id="257" w:name="_Toc427323326"/>
      <w:bookmarkStart w:id="258" w:name="_Toc427323822"/>
      <w:bookmarkStart w:id="259" w:name="_Toc427324127"/>
      <w:bookmarkStart w:id="260" w:name="_Toc427327345"/>
      <w:bookmarkStart w:id="261" w:name="_Toc427676377"/>
      <w:bookmarkStart w:id="262" w:name="_Toc427676561"/>
      <w:bookmarkStart w:id="263" w:name="_Toc427738516"/>
      <w:bookmarkStart w:id="264" w:name="_Toc427762967"/>
      <w:bookmarkStart w:id="265" w:name="_Toc427763162"/>
      <w:bookmarkStart w:id="266" w:name="_Toc427830160"/>
      <w:bookmarkStart w:id="267" w:name="_Toc427830355"/>
      <w:bookmarkStart w:id="268" w:name="_Toc428344094"/>
      <w:bookmarkStart w:id="269" w:name="_Toc430871122"/>
      <w:bookmarkStart w:id="270" w:name="_Toc431198823"/>
      <w:bookmarkStart w:id="271" w:name="_Toc431225100"/>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p>
    <w:p w:rsidR="005B76FC" w:rsidRPr="00212F68" w:rsidRDefault="005B76FC" w:rsidP="008921BF">
      <w:pPr>
        <w:numPr>
          <w:ilvl w:val="0"/>
          <w:numId w:val="131"/>
        </w:numPr>
        <w:tabs>
          <w:tab w:val="left" w:pos="709"/>
        </w:tabs>
        <w:ind w:left="709" w:hanging="425"/>
        <w:contextualSpacing/>
        <w:jc w:val="both"/>
        <w:rPr>
          <w:rFonts w:ascii="Arial" w:hAnsi="Arial" w:cs="Arial"/>
          <w:sz w:val="24"/>
          <w:szCs w:val="24"/>
        </w:rPr>
      </w:pPr>
      <w:r w:rsidRPr="00212F68">
        <w:rPr>
          <w:rFonts w:ascii="Arial" w:hAnsi="Arial" w:cs="Arial"/>
          <w:sz w:val="24"/>
          <w:szCs w:val="24"/>
        </w:rPr>
        <w:t xml:space="preserve">Barnet has more than 100 care homes, with the highest number of residential beds in London, leading to </w:t>
      </w:r>
      <w:r w:rsidRPr="00212F68">
        <w:rPr>
          <w:rFonts w:ascii="Arial" w:hAnsi="Arial" w:cs="Arial"/>
          <w:b/>
          <w:sz w:val="24"/>
          <w:szCs w:val="24"/>
        </w:rPr>
        <w:t>a significant net import of residents with health needs</w:t>
      </w:r>
      <w:r w:rsidRPr="00212F68">
        <w:rPr>
          <w:rFonts w:ascii="Arial" w:hAnsi="Arial" w:cs="Arial"/>
          <w:sz w:val="24"/>
          <w:szCs w:val="24"/>
        </w:rPr>
        <w:t xml:space="preserve"> </w:t>
      </w:r>
      <w:r w:rsidRPr="00212F68">
        <w:rPr>
          <w:rFonts w:ascii="Arial" w:hAnsi="Arial" w:cs="Arial"/>
          <w:b/>
          <w:sz w:val="24"/>
          <w:szCs w:val="24"/>
        </w:rPr>
        <w:t xml:space="preserve">moving to Barnet </w:t>
      </w:r>
      <w:r w:rsidRPr="00212F68">
        <w:rPr>
          <w:rFonts w:ascii="Arial" w:hAnsi="Arial" w:cs="Arial"/>
          <w:sz w:val="24"/>
          <w:szCs w:val="24"/>
        </w:rPr>
        <w:t>from other areas.</w:t>
      </w:r>
    </w:p>
    <w:p w:rsidR="005B76FC" w:rsidRPr="00212F68" w:rsidRDefault="005B76FC" w:rsidP="008921BF">
      <w:pPr>
        <w:numPr>
          <w:ilvl w:val="0"/>
          <w:numId w:val="131"/>
        </w:numPr>
        <w:tabs>
          <w:tab w:val="left" w:pos="709"/>
        </w:tabs>
        <w:ind w:left="709" w:hanging="425"/>
        <w:contextualSpacing/>
        <w:jc w:val="both"/>
        <w:rPr>
          <w:rFonts w:ascii="Arial" w:hAnsi="Arial" w:cs="Arial"/>
          <w:sz w:val="24"/>
          <w:szCs w:val="24"/>
        </w:rPr>
      </w:pPr>
      <w:r w:rsidRPr="00212F68">
        <w:rPr>
          <w:rFonts w:ascii="Arial" w:hAnsi="Arial" w:cs="Arial"/>
          <w:b/>
          <w:sz w:val="24"/>
          <w:szCs w:val="24"/>
        </w:rPr>
        <w:t>Increasing levels of delayed discharges</w:t>
      </w:r>
      <w:r>
        <w:rPr>
          <w:rFonts w:ascii="Arial" w:hAnsi="Arial" w:cs="Arial"/>
          <w:sz w:val="24"/>
          <w:szCs w:val="24"/>
        </w:rPr>
        <w:t xml:space="preserve"> </w:t>
      </w:r>
      <w:r w:rsidRPr="00212F68">
        <w:rPr>
          <w:rFonts w:ascii="Arial" w:hAnsi="Arial" w:cs="Arial"/>
          <w:b/>
          <w:sz w:val="24"/>
          <w:szCs w:val="24"/>
        </w:rPr>
        <w:t>place added pressure on bed capacity and emergency admissions</w:t>
      </w:r>
      <w:r w:rsidRPr="00212F68">
        <w:rPr>
          <w:rFonts w:ascii="Arial" w:hAnsi="Arial" w:cs="Arial"/>
          <w:sz w:val="24"/>
          <w:szCs w:val="24"/>
        </w:rPr>
        <w:t>.</w:t>
      </w:r>
    </w:p>
    <w:p w:rsidR="005B76FC" w:rsidRPr="00212F68" w:rsidRDefault="005B76FC" w:rsidP="008921BF">
      <w:pPr>
        <w:numPr>
          <w:ilvl w:val="0"/>
          <w:numId w:val="131"/>
        </w:numPr>
        <w:tabs>
          <w:tab w:val="left" w:pos="709"/>
        </w:tabs>
        <w:ind w:left="709" w:hanging="425"/>
        <w:contextualSpacing/>
        <w:jc w:val="both"/>
        <w:rPr>
          <w:rFonts w:ascii="Arial" w:hAnsi="Arial" w:cs="Arial"/>
          <w:sz w:val="24"/>
          <w:szCs w:val="24"/>
        </w:rPr>
      </w:pPr>
      <w:r w:rsidRPr="00212F68">
        <w:rPr>
          <w:rFonts w:ascii="Arial" w:hAnsi="Arial" w:cs="Arial"/>
          <w:sz w:val="24"/>
          <w:szCs w:val="24"/>
        </w:rPr>
        <w:t xml:space="preserve">Need for the </w:t>
      </w:r>
      <w:r w:rsidRPr="00212F68">
        <w:rPr>
          <w:rFonts w:ascii="Arial" w:hAnsi="Arial" w:cs="Arial"/>
          <w:b/>
          <w:sz w:val="24"/>
          <w:szCs w:val="24"/>
        </w:rPr>
        <w:t>development of high standard integrated out-of-hospital community services</w:t>
      </w:r>
      <w:r w:rsidRPr="00212F68">
        <w:rPr>
          <w:rFonts w:ascii="Arial" w:hAnsi="Arial" w:cs="Arial"/>
          <w:sz w:val="24"/>
          <w:szCs w:val="24"/>
        </w:rPr>
        <w:t>, with the appropriate skills mix/capacity, available 24/7 to halt rising use of hospital care.</w:t>
      </w:r>
    </w:p>
    <w:p w:rsidR="005B76FC" w:rsidRPr="00212F68" w:rsidRDefault="005B76FC" w:rsidP="008921BF">
      <w:pPr>
        <w:numPr>
          <w:ilvl w:val="0"/>
          <w:numId w:val="131"/>
        </w:numPr>
        <w:tabs>
          <w:tab w:val="left" w:pos="709"/>
        </w:tabs>
        <w:ind w:left="709" w:hanging="425"/>
        <w:contextualSpacing/>
        <w:jc w:val="both"/>
        <w:rPr>
          <w:rFonts w:ascii="Arial" w:hAnsi="Arial" w:cs="Arial"/>
          <w:sz w:val="24"/>
          <w:szCs w:val="24"/>
        </w:rPr>
      </w:pPr>
      <w:r w:rsidRPr="00212F68">
        <w:rPr>
          <w:rFonts w:ascii="Arial" w:hAnsi="Arial" w:cs="Arial"/>
          <w:sz w:val="24"/>
          <w:szCs w:val="24"/>
        </w:rPr>
        <w:t xml:space="preserve">An </w:t>
      </w:r>
      <w:r w:rsidRPr="00212F68">
        <w:rPr>
          <w:rFonts w:ascii="Arial" w:hAnsi="Arial" w:cs="Arial"/>
          <w:b/>
          <w:sz w:val="24"/>
          <w:szCs w:val="24"/>
        </w:rPr>
        <w:t>insufficient level of capacity outside of acute hospitals</w:t>
      </w:r>
      <w:r w:rsidRPr="00212F68">
        <w:rPr>
          <w:rFonts w:ascii="Arial" w:hAnsi="Arial" w:cs="Arial"/>
          <w:sz w:val="24"/>
          <w:szCs w:val="24"/>
        </w:rPr>
        <w:t xml:space="preserve"> is resulting in some patients having extended stays in </w:t>
      </w:r>
      <w:r>
        <w:rPr>
          <w:rFonts w:ascii="Arial" w:hAnsi="Arial" w:cs="Arial"/>
          <w:sz w:val="24"/>
          <w:szCs w:val="24"/>
        </w:rPr>
        <w:t>such hospital</w:t>
      </w:r>
      <w:r w:rsidRPr="00212F68">
        <w:rPr>
          <w:rFonts w:ascii="Arial" w:hAnsi="Arial" w:cs="Arial"/>
          <w:sz w:val="24"/>
          <w:szCs w:val="24"/>
        </w:rPr>
        <w:t>.</w:t>
      </w:r>
    </w:p>
    <w:p w:rsidR="005B76FC" w:rsidRPr="00212F68" w:rsidRDefault="005B76FC" w:rsidP="008921BF">
      <w:pPr>
        <w:numPr>
          <w:ilvl w:val="0"/>
          <w:numId w:val="131"/>
        </w:numPr>
        <w:tabs>
          <w:tab w:val="left" w:pos="709"/>
        </w:tabs>
        <w:ind w:left="709" w:hanging="425"/>
        <w:contextualSpacing/>
        <w:jc w:val="both"/>
        <w:rPr>
          <w:rFonts w:ascii="Arial" w:hAnsi="Arial" w:cs="Arial"/>
          <w:sz w:val="24"/>
          <w:szCs w:val="24"/>
        </w:rPr>
      </w:pPr>
      <w:r>
        <w:rPr>
          <w:rFonts w:ascii="Arial" w:hAnsi="Arial" w:cs="Arial"/>
          <w:b/>
          <w:sz w:val="24"/>
          <w:szCs w:val="24"/>
        </w:rPr>
        <w:t>There is i</w:t>
      </w:r>
      <w:r w:rsidRPr="00212F68">
        <w:rPr>
          <w:rFonts w:ascii="Arial" w:hAnsi="Arial" w:cs="Arial"/>
          <w:b/>
          <w:sz w:val="24"/>
          <w:szCs w:val="24"/>
        </w:rPr>
        <w:t xml:space="preserve">ncreasing demand </w:t>
      </w:r>
      <w:r>
        <w:rPr>
          <w:rFonts w:ascii="Arial" w:hAnsi="Arial" w:cs="Arial"/>
          <w:b/>
          <w:sz w:val="24"/>
          <w:szCs w:val="24"/>
        </w:rPr>
        <w:t>for</w:t>
      </w:r>
      <w:r w:rsidRPr="00212F68">
        <w:rPr>
          <w:rFonts w:ascii="Arial" w:hAnsi="Arial" w:cs="Arial"/>
          <w:b/>
          <w:sz w:val="24"/>
          <w:szCs w:val="24"/>
        </w:rPr>
        <w:t xml:space="preserve"> urgent and emergency care</w:t>
      </w:r>
      <w:r>
        <w:rPr>
          <w:rFonts w:ascii="Arial" w:hAnsi="Arial" w:cs="Arial"/>
          <w:b/>
          <w:sz w:val="24"/>
          <w:szCs w:val="24"/>
        </w:rPr>
        <w:t>,</w:t>
      </w:r>
      <w:r w:rsidRPr="00212F68">
        <w:rPr>
          <w:rFonts w:ascii="Arial" w:hAnsi="Arial" w:cs="Arial"/>
          <w:sz w:val="24"/>
          <w:szCs w:val="24"/>
        </w:rPr>
        <w:t xml:space="preserve"> with Barnet A&amp;E activity recording an increase in 14/15 compared to 13/14.</w:t>
      </w:r>
    </w:p>
    <w:p w:rsidR="005B76FC" w:rsidRPr="00212F68" w:rsidRDefault="005B76FC" w:rsidP="008921BF">
      <w:pPr>
        <w:numPr>
          <w:ilvl w:val="0"/>
          <w:numId w:val="131"/>
        </w:numPr>
        <w:tabs>
          <w:tab w:val="left" w:pos="709"/>
        </w:tabs>
        <w:ind w:left="709" w:hanging="425"/>
        <w:contextualSpacing/>
        <w:jc w:val="both"/>
        <w:rPr>
          <w:rFonts w:ascii="Arial" w:hAnsi="Arial" w:cs="Arial"/>
          <w:sz w:val="24"/>
          <w:szCs w:val="24"/>
        </w:rPr>
      </w:pPr>
      <w:r>
        <w:rPr>
          <w:rFonts w:ascii="Arial" w:hAnsi="Arial" w:cs="Arial"/>
          <w:b/>
          <w:sz w:val="24"/>
          <w:szCs w:val="24"/>
        </w:rPr>
        <w:t xml:space="preserve">The 95% national target for </w:t>
      </w:r>
      <w:r w:rsidRPr="00212F68">
        <w:rPr>
          <w:rFonts w:ascii="Arial" w:hAnsi="Arial" w:cs="Arial"/>
          <w:b/>
          <w:sz w:val="24"/>
          <w:szCs w:val="24"/>
        </w:rPr>
        <w:t xml:space="preserve">Accident and Emergency (A&amp;E) patients waiting no longer than four hours from the time </w:t>
      </w:r>
      <w:r>
        <w:rPr>
          <w:rFonts w:ascii="Arial" w:hAnsi="Arial" w:cs="Arial"/>
          <w:b/>
          <w:sz w:val="24"/>
          <w:szCs w:val="24"/>
        </w:rPr>
        <w:t>of</w:t>
      </w:r>
      <w:r w:rsidRPr="00212F68">
        <w:rPr>
          <w:rFonts w:ascii="Arial" w:hAnsi="Arial" w:cs="Arial"/>
          <w:b/>
          <w:sz w:val="24"/>
          <w:szCs w:val="24"/>
        </w:rPr>
        <w:t xml:space="preserve"> booking in to either admission to hospital or discharge</w:t>
      </w:r>
      <w:r>
        <w:rPr>
          <w:rFonts w:ascii="Arial" w:hAnsi="Arial" w:cs="Arial"/>
          <w:sz w:val="24"/>
          <w:szCs w:val="24"/>
        </w:rPr>
        <w:t xml:space="preserve"> was missed in quarter 4 14/15</w:t>
      </w:r>
      <w:r w:rsidRPr="00212F68">
        <w:rPr>
          <w:rFonts w:ascii="Arial" w:hAnsi="Arial" w:cs="Arial"/>
          <w:sz w:val="24"/>
          <w:szCs w:val="24"/>
        </w:rPr>
        <w:t xml:space="preserve"> (Q4 RFL 94.3%).</w:t>
      </w:r>
    </w:p>
    <w:p w:rsidR="005B76FC" w:rsidRPr="00212F68" w:rsidRDefault="005B76FC" w:rsidP="008921BF">
      <w:pPr>
        <w:numPr>
          <w:ilvl w:val="0"/>
          <w:numId w:val="131"/>
        </w:numPr>
        <w:tabs>
          <w:tab w:val="left" w:pos="709"/>
        </w:tabs>
        <w:ind w:left="709" w:hanging="425"/>
        <w:contextualSpacing/>
        <w:jc w:val="both"/>
        <w:rPr>
          <w:rFonts w:ascii="Arial" w:hAnsi="Arial" w:cs="Arial"/>
          <w:sz w:val="24"/>
          <w:szCs w:val="24"/>
        </w:rPr>
      </w:pPr>
      <w:r w:rsidRPr="00212F68">
        <w:rPr>
          <w:rFonts w:ascii="Arial" w:hAnsi="Arial" w:cs="Arial"/>
          <w:sz w:val="24"/>
          <w:szCs w:val="24"/>
        </w:rPr>
        <w:t>Limited capacity/inability to move patients onto rehabilitation pathways.</w:t>
      </w:r>
    </w:p>
    <w:p w:rsidR="005B76FC" w:rsidRPr="00212F68" w:rsidRDefault="005B76FC" w:rsidP="008921BF">
      <w:pPr>
        <w:numPr>
          <w:ilvl w:val="0"/>
          <w:numId w:val="131"/>
        </w:numPr>
        <w:tabs>
          <w:tab w:val="left" w:pos="709"/>
        </w:tabs>
        <w:ind w:left="709" w:hanging="425"/>
        <w:contextualSpacing/>
        <w:jc w:val="both"/>
        <w:rPr>
          <w:rFonts w:ascii="Arial" w:hAnsi="Arial" w:cs="Arial"/>
          <w:sz w:val="24"/>
          <w:szCs w:val="24"/>
        </w:rPr>
      </w:pPr>
      <w:r w:rsidRPr="00212F68">
        <w:rPr>
          <w:rFonts w:ascii="Arial" w:hAnsi="Arial" w:cs="Arial"/>
          <w:b/>
          <w:sz w:val="24"/>
          <w:szCs w:val="24"/>
        </w:rPr>
        <w:t>Obesity growth in middle-age population</w:t>
      </w:r>
      <w:r w:rsidRPr="00212F68">
        <w:rPr>
          <w:rFonts w:ascii="Arial" w:hAnsi="Arial" w:cs="Arial"/>
          <w:sz w:val="24"/>
          <w:szCs w:val="24"/>
        </w:rPr>
        <w:t xml:space="preserve"> (45-65) year olds places additional risk of them developing long-term conditions.</w:t>
      </w:r>
    </w:p>
    <w:p w:rsidR="005B76FC" w:rsidRPr="00212F68" w:rsidRDefault="005B76FC" w:rsidP="005B76FC">
      <w:pPr>
        <w:spacing w:after="240"/>
        <w:contextualSpacing/>
        <w:jc w:val="both"/>
        <w:rPr>
          <w:rFonts w:ascii="Arial" w:hAnsi="Arial" w:cs="Arial"/>
          <w:b/>
          <w:sz w:val="24"/>
          <w:szCs w:val="24"/>
        </w:rPr>
      </w:pPr>
    </w:p>
    <w:p w:rsidR="005B76FC" w:rsidRPr="00212F68" w:rsidRDefault="005B76FC" w:rsidP="005B76FC">
      <w:pPr>
        <w:spacing w:after="0"/>
        <w:contextualSpacing/>
        <w:outlineLvl w:val="0"/>
        <w:rPr>
          <w:rFonts w:ascii="Arial" w:eastAsiaTheme="majorEastAsia" w:hAnsi="Arial" w:cs="Arial"/>
          <w:b/>
          <w:bCs/>
          <w:color w:val="365F91" w:themeColor="accent1" w:themeShade="BF"/>
          <w:sz w:val="28"/>
          <w:szCs w:val="24"/>
        </w:rPr>
      </w:pPr>
      <w:bookmarkStart w:id="272" w:name="_Toc424291987"/>
      <w:bookmarkStart w:id="273" w:name="_Toc427237119"/>
      <w:bookmarkStart w:id="274" w:name="_Toc427239293"/>
      <w:bookmarkStart w:id="275" w:name="_Toc427239477"/>
      <w:bookmarkStart w:id="276" w:name="_Toc427241449"/>
      <w:bookmarkStart w:id="277" w:name="_Toc427247104"/>
      <w:bookmarkStart w:id="278" w:name="_Toc427312564"/>
      <w:bookmarkStart w:id="279" w:name="_Toc427324128"/>
      <w:bookmarkStart w:id="280" w:name="_Toc427327346"/>
      <w:bookmarkStart w:id="281" w:name="_Toc427676562"/>
      <w:bookmarkStart w:id="282" w:name="_Toc427738517"/>
      <w:bookmarkStart w:id="283" w:name="_Toc427763163"/>
      <w:bookmarkStart w:id="284" w:name="_Toc427830356"/>
      <w:bookmarkStart w:id="285" w:name="_Toc428344095"/>
      <w:bookmarkStart w:id="286" w:name="_Toc430871123"/>
      <w:bookmarkStart w:id="287" w:name="_Toc431198824"/>
      <w:bookmarkStart w:id="288" w:name="_Toc431225101"/>
      <w:r w:rsidRPr="00212F68">
        <w:rPr>
          <w:rFonts w:ascii="Arial" w:eastAsiaTheme="majorEastAsia" w:hAnsi="Arial" w:cs="Arial"/>
          <w:b/>
          <w:bCs/>
          <w:color w:val="365F91" w:themeColor="accent1" w:themeShade="BF"/>
          <w:sz w:val="28"/>
          <w:szCs w:val="24"/>
        </w:rPr>
        <w:t>6: Children and Young People</w:t>
      </w:r>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p>
    <w:p w:rsidR="005B76FC" w:rsidRPr="00212F68" w:rsidRDefault="005B76FC" w:rsidP="005B76FC">
      <w:pPr>
        <w:spacing w:after="0"/>
        <w:contextualSpacing/>
        <w:outlineLvl w:val="0"/>
        <w:rPr>
          <w:rFonts w:ascii="Arial" w:eastAsiaTheme="majorEastAsia" w:hAnsi="Arial" w:cs="Arial"/>
          <w:b/>
          <w:bCs/>
          <w:color w:val="365F91" w:themeColor="accent1" w:themeShade="BF"/>
          <w:sz w:val="14"/>
          <w:szCs w:val="24"/>
        </w:rPr>
      </w:pPr>
    </w:p>
    <w:p w:rsidR="005B76FC" w:rsidRPr="00212F68" w:rsidRDefault="005B76FC" w:rsidP="008921BF">
      <w:pPr>
        <w:numPr>
          <w:ilvl w:val="0"/>
          <w:numId w:val="94"/>
        </w:numPr>
        <w:spacing w:after="0"/>
        <w:ind w:left="714" w:right="-23" w:hanging="357"/>
        <w:contextualSpacing/>
        <w:jc w:val="both"/>
        <w:rPr>
          <w:rFonts w:ascii="Arial" w:eastAsia="Times New Roman" w:hAnsi="Arial" w:cs="Arial"/>
          <w:sz w:val="24"/>
          <w:szCs w:val="24"/>
          <w:lang w:eastAsia="en-GB"/>
        </w:rPr>
      </w:pPr>
      <w:r w:rsidRPr="00212F68">
        <w:rPr>
          <w:rFonts w:ascii="Arial" w:hAnsi="Arial" w:cs="Arial"/>
          <w:b/>
          <w:sz w:val="24"/>
          <w:szCs w:val="24"/>
        </w:rPr>
        <w:t>The high rates of population growth for children</w:t>
      </w:r>
      <w:r w:rsidRPr="00212F68">
        <w:rPr>
          <w:rFonts w:ascii="Arial" w:hAnsi="Arial" w:cs="Arial"/>
          <w:sz w:val="24"/>
          <w:szCs w:val="24"/>
        </w:rPr>
        <w:t xml:space="preserve"> </w:t>
      </w:r>
      <w:r w:rsidRPr="00212F68">
        <w:rPr>
          <w:rFonts w:ascii="Arial" w:hAnsi="Arial" w:cs="Arial"/>
          <w:b/>
          <w:sz w:val="24"/>
          <w:szCs w:val="24"/>
        </w:rPr>
        <w:t>and young people (CYP)</w:t>
      </w:r>
      <w:r w:rsidRPr="00212F68">
        <w:rPr>
          <w:rFonts w:ascii="Arial" w:hAnsi="Arial" w:cs="Arial"/>
          <w:sz w:val="24"/>
          <w:szCs w:val="24"/>
        </w:rPr>
        <w:t xml:space="preserve"> will occur in wards with planned development works and </w:t>
      </w:r>
      <w:r w:rsidRPr="00212F68">
        <w:rPr>
          <w:rFonts w:ascii="Arial" w:eastAsia="Times New Roman" w:hAnsi="Arial" w:cs="Arial"/>
          <w:b/>
          <w:sz w:val="24"/>
          <w:szCs w:val="24"/>
          <w:lang w:eastAsia="en-GB"/>
        </w:rPr>
        <w:t>are predominantly in the west</w:t>
      </w:r>
      <w:r w:rsidRPr="00212F68">
        <w:rPr>
          <w:rFonts w:ascii="Arial" w:eastAsia="Times New Roman" w:hAnsi="Arial" w:cs="Arial"/>
          <w:sz w:val="24"/>
          <w:szCs w:val="24"/>
          <w:lang w:eastAsia="en-GB"/>
        </w:rPr>
        <w:t xml:space="preserve"> of the Borough. The growth of CYP combined with </w:t>
      </w:r>
      <w:r w:rsidRPr="00212F68">
        <w:rPr>
          <w:rFonts w:ascii="Arial" w:eastAsia="Times New Roman" w:hAnsi="Arial" w:cs="Arial"/>
          <w:b/>
          <w:sz w:val="24"/>
          <w:szCs w:val="24"/>
          <w:lang w:eastAsia="en-GB"/>
        </w:rPr>
        <w:t>benefit cuts will place significant pressure on the demand for services</w:t>
      </w:r>
      <w:r w:rsidRPr="00212F68">
        <w:rPr>
          <w:rFonts w:ascii="Arial" w:eastAsia="Times New Roman" w:hAnsi="Arial" w:cs="Arial"/>
          <w:sz w:val="24"/>
          <w:szCs w:val="24"/>
          <w:lang w:eastAsia="en-GB"/>
        </w:rPr>
        <w:t xml:space="preserve"> from children’s social care and specialist resources from other agencies (notably health). </w:t>
      </w:r>
    </w:p>
    <w:p w:rsidR="005B76FC" w:rsidRPr="00212F68" w:rsidRDefault="005B76FC" w:rsidP="008921BF">
      <w:pPr>
        <w:numPr>
          <w:ilvl w:val="0"/>
          <w:numId w:val="94"/>
        </w:numPr>
        <w:spacing w:after="0"/>
        <w:ind w:left="714" w:right="-23" w:hanging="357"/>
        <w:contextualSpacing/>
        <w:jc w:val="both"/>
        <w:rPr>
          <w:rFonts w:ascii="Arial" w:eastAsia="Times New Roman" w:hAnsi="Arial" w:cs="Arial"/>
          <w:sz w:val="24"/>
          <w:szCs w:val="24"/>
          <w:lang w:eastAsia="en-GB"/>
        </w:rPr>
      </w:pPr>
      <w:r w:rsidRPr="00212F68">
        <w:rPr>
          <w:rFonts w:ascii="Arial" w:eastAsia="Times New Roman" w:hAnsi="Arial" w:cs="Arial"/>
          <w:sz w:val="24"/>
          <w:szCs w:val="24"/>
          <w:lang w:eastAsia="en-GB"/>
        </w:rPr>
        <w:t>Domestic violence, parental mental ill health and parental substance abuse (toxic trio) are the most common and consistent contributory factors in referrals into social care</w:t>
      </w:r>
      <w:r w:rsidRPr="00212F68">
        <w:rPr>
          <w:rFonts w:ascii="Arial" w:eastAsia="Times New Roman" w:hAnsi="Arial" w:cs="Arial"/>
          <w:b/>
          <w:sz w:val="24"/>
          <w:szCs w:val="24"/>
          <w:lang w:eastAsia="en-GB"/>
        </w:rPr>
        <w:t>. Effective prevention and early intervention could help to reduce impact on CYP and their families</w:t>
      </w:r>
      <w:r w:rsidRPr="00212F68">
        <w:rPr>
          <w:rFonts w:ascii="Arial" w:eastAsia="Times New Roman" w:hAnsi="Arial" w:cs="Arial"/>
          <w:sz w:val="24"/>
          <w:szCs w:val="24"/>
          <w:lang w:eastAsia="en-GB"/>
        </w:rPr>
        <w:t xml:space="preserve"> and </w:t>
      </w:r>
      <w:r>
        <w:rPr>
          <w:rFonts w:ascii="Arial" w:eastAsia="Times New Roman" w:hAnsi="Arial" w:cs="Arial"/>
          <w:sz w:val="24"/>
          <w:szCs w:val="24"/>
          <w:lang w:eastAsia="en-GB"/>
        </w:rPr>
        <w:t>minimise</w:t>
      </w:r>
      <w:r w:rsidRPr="00212F68">
        <w:rPr>
          <w:rFonts w:ascii="Arial" w:eastAsia="Times New Roman" w:hAnsi="Arial" w:cs="Arial"/>
          <w:sz w:val="24"/>
          <w:szCs w:val="24"/>
          <w:lang w:eastAsia="en-GB"/>
        </w:rPr>
        <w:t xml:space="preserve"> referrals to children’s social care and other specialist services within health and criminal justice system.</w:t>
      </w:r>
    </w:p>
    <w:p w:rsidR="005B76FC" w:rsidRPr="00212F68" w:rsidRDefault="005B76FC" w:rsidP="008921BF">
      <w:pPr>
        <w:numPr>
          <w:ilvl w:val="0"/>
          <w:numId w:val="94"/>
        </w:numPr>
        <w:spacing w:after="0"/>
        <w:ind w:left="714" w:right="-23" w:hanging="357"/>
        <w:contextualSpacing/>
        <w:jc w:val="both"/>
        <w:rPr>
          <w:rFonts w:ascii="Arial" w:eastAsia="Times New Roman" w:hAnsi="Arial" w:cs="Arial"/>
          <w:sz w:val="24"/>
          <w:szCs w:val="24"/>
          <w:lang w:eastAsia="en-GB"/>
        </w:rPr>
      </w:pPr>
      <w:r w:rsidRPr="00212F68">
        <w:rPr>
          <w:rFonts w:ascii="Arial" w:eastAsia="Times New Roman" w:hAnsi="Arial" w:cs="Arial"/>
          <w:b/>
          <w:sz w:val="24"/>
          <w:szCs w:val="24"/>
          <w:lang w:eastAsia="en-GB"/>
        </w:rPr>
        <w:t>Child poverty is entrenched in specific areas of Barnet (notably west)</w:t>
      </w:r>
      <w:r>
        <w:rPr>
          <w:rFonts w:ascii="Arial" w:eastAsia="Times New Roman" w:hAnsi="Arial" w:cs="Arial"/>
          <w:b/>
          <w:sz w:val="24"/>
          <w:szCs w:val="24"/>
          <w:lang w:eastAsia="en-GB"/>
        </w:rPr>
        <w:t>;</w:t>
      </w:r>
      <w:r w:rsidRPr="00212F68">
        <w:rPr>
          <w:rFonts w:ascii="Arial" w:eastAsia="Times New Roman" w:hAnsi="Arial" w:cs="Arial"/>
          <w:b/>
          <w:sz w:val="24"/>
          <w:szCs w:val="24"/>
          <w:lang w:eastAsia="en-GB"/>
        </w:rPr>
        <w:t xml:space="preserve"> </w:t>
      </w:r>
      <w:r w:rsidRPr="00212F68">
        <w:rPr>
          <w:rFonts w:ascii="Arial" w:eastAsia="Times New Roman" w:hAnsi="Arial" w:cs="Arial"/>
          <w:sz w:val="24"/>
          <w:szCs w:val="24"/>
          <w:lang w:eastAsia="en-GB"/>
        </w:rPr>
        <w:t xml:space="preserve">targeted multi-agency, locality based interventions could better support families. </w:t>
      </w:r>
    </w:p>
    <w:p w:rsidR="005B76FC" w:rsidRPr="00212F68" w:rsidRDefault="005B76FC" w:rsidP="008921BF">
      <w:pPr>
        <w:numPr>
          <w:ilvl w:val="0"/>
          <w:numId w:val="94"/>
        </w:numPr>
        <w:spacing w:after="0"/>
        <w:ind w:left="714" w:right="-23" w:hanging="357"/>
        <w:contextualSpacing/>
        <w:jc w:val="both"/>
        <w:rPr>
          <w:rFonts w:ascii="Arial" w:eastAsia="Times New Roman" w:hAnsi="Arial" w:cs="Arial"/>
          <w:sz w:val="24"/>
          <w:szCs w:val="24"/>
          <w:lang w:eastAsia="en-GB"/>
        </w:rPr>
      </w:pPr>
      <w:r w:rsidRPr="00212F68">
        <w:rPr>
          <w:rFonts w:ascii="Arial" w:eastAsia="Times New Roman" w:hAnsi="Arial" w:cs="Arial"/>
          <w:b/>
          <w:sz w:val="24"/>
          <w:szCs w:val="24"/>
          <w:lang w:eastAsia="en-GB"/>
        </w:rPr>
        <w:lastRenderedPageBreak/>
        <w:t>The Young Carers Act and Children and Families Act 2014</w:t>
      </w:r>
      <w:r w:rsidRPr="00212F68">
        <w:rPr>
          <w:rFonts w:ascii="Arial" w:eastAsia="Times New Roman" w:hAnsi="Arial" w:cs="Arial"/>
          <w:sz w:val="24"/>
          <w:szCs w:val="24"/>
          <w:lang w:eastAsia="en-GB"/>
        </w:rPr>
        <w:t xml:space="preserve"> represent significant reform of care and support to children and young people with special educational needs and disabilities, and those caring for others. It is expected to raise the expectations of parents and carers. This </w:t>
      </w:r>
      <w:r w:rsidRPr="00212F68">
        <w:rPr>
          <w:rFonts w:ascii="Arial" w:eastAsia="Times New Roman" w:hAnsi="Arial" w:cs="Arial"/>
          <w:b/>
          <w:sz w:val="24"/>
          <w:szCs w:val="24"/>
          <w:lang w:eastAsia="en-GB"/>
        </w:rPr>
        <w:t>will represent a challenge to the Local Authority and partner agencies.</w:t>
      </w:r>
    </w:p>
    <w:p w:rsidR="005B76FC" w:rsidRPr="00212F68" w:rsidRDefault="005B76FC" w:rsidP="008921BF">
      <w:pPr>
        <w:numPr>
          <w:ilvl w:val="0"/>
          <w:numId w:val="94"/>
        </w:numPr>
        <w:spacing w:after="0"/>
        <w:ind w:left="714" w:right="-23" w:hanging="357"/>
        <w:contextualSpacing/>
        <w:jc w:val="both"/>
        <w:rPr>
          <w:rFonts w:ascii="Arial" w:eastAsia="Times New Roman" w:hAnsi="Arial" w:cs="Arial"/>
          <w:sz w:val="24"/>
          <w:szCs w:val="24"/>
          <w:lang w:eastAsia="en-GB"/>
        </w:rPr>
      </w:pPr>
      <w:r w:rsidRPr="00212F68">
        <w:rPr>
          <w:rFonts w:ascii="Arial" w:eastAsia="Times New Roman" w:hAnsi="Arial" w:cs="Arial"/>
          <w:sz w:val="24"/>
          <w:szCs w:val="24"/>
          <w:lang w:eastAsia="en-GB"/>
        </w:rPr>
        <w:t>The number of post-16 pupils</w:t>
      </w:r>
      <w:r w:rsidR="00881CC4">
        <w:rPr>
          <w:rFonts w:ascii="Arial" w:eastAsia="Times New Roman" w:hAnsi="Arial" w:cs="Arial"/>
          <w:sz w:val="24"/>
          <w:szCs w:val="24"/>
          <w:lang w:eastAsia="en-GB"/>
        </w:rPr>
        <w:t xml:space="preserve"> remaining</w:t>
      </w:r>
      <w:r w:rsidRPr="00212F68">
        <w:rPr>
          <w:rFonts w:ascii="Arial" w:eastAsia="Times New Roman" w:hAnsi="Arial" w:cs="Arial"/>
          <w:sz w:val="24"/>
          <w:szCs w:val="24"/>
          <w:lang w:eastAsia="en-GB"/>
        </w:rPr>
        <w:t xml:space="preserve"> in special schools is </w:t>
      </w:r>
      <w:r>
        <w:rPr>
          <w:rFonts w:ascii="Arial" w:eastAsia="Times New Roman" w:hAnsi="Arial" w:cs="Arial"/>
          <w:sz w:val="24"/>
          <w:szCs w:val="24"/>
          <w:lang w:eastAsia="en-GB"/>
        </w:rPr>
        <w:t>placing</w:t>
      </w:r>
      <w:r w:rsidRPr="00212F68">
        <w:rPr>
          <w:rFonts w:ascii="Arial" w:eastAsia="Times New Roman" w:hAnsi="Arial" w:cs="Arial"/>
          <w:b/>
          <w:sz w:val="24"/>
          <w:szCs w:val="24"/>
          <w:lang w:eastAsia="en-GB"/>
        </w:rPr>
        <w:t xml:space="preserve"> pressure on the availability of places for admission of younger pupils. </w:t>
      </w:r>
    </w:p>
    <w:p w:rsidR="005B76FC" w:rsidRPr="00212F68" w:rsidRDefault="005B76FC" w:rsidP="008921BF">
      <w:pPr>
        <w:numPr>
          <w:ilvl w:val="0"/>
          <w:numId w:val="94"/>
        </w:numPr>
        <w:spacing w:after="0"/>
        <w:ind w:left="714" w:right="-23" w:hanging="357"/>
        <w:contextualSpacing/>
        <w:jc w:val="both"/>
        <w:rPr>
          <w:rFonts w:ascii="Arial" w:eastAsia="Times New Roman" w:hAnsi="Arial" w:cs="Arial"/>
          <w:sz w:val="24"/>
          <w:szCs w:val="24"/>
          <w:lang w:eastAsia="en-GB"/>
        </w:rPr>
      </w:pPr>
      <w:r w:rsidRPr="00212F68">
        <w:rPr>
          <w:rFonts w:ascii="Arial" w:eastAsia="Times New Roman" w:hAnsi="Arial" w:cs="Arial"/>
          <w:sz w:val="24"/>
          <w:szCs w:val="24"/>
          <w:lang w:eastAsia="en-GB"/>
        </w:rPr>
        <w:t>Overall</w:t>
      </w:r>
      <w:r>
        <w:rPr>
          <w:rFonts w:ascii="Arial" w:eastAsia="Times New Roman" w:hAnsi="Arial" w:cs="Arial"/>
          <w:sz w:val="24"/>
          <w:szCs w:val="24"/>
          <w:lang w:eastAsia="en-GB"/>
        </w:rPr>
        <w:t>,</w:t>
      </w:r>
      <w:r w:rsidRPr="00212F68">
        <w:rPr>
          <w:rFonts w:ascii="Arial" w:eastAsia="Times New Roman" w:hAnsi="Arial" w:cs="Arial"/>
          <w:sz w:val="24"/>
          <w:szCs w:val="24"/>
          <w:lang w:eastAsia="en-GB"/>
        </w:rPr>
        <w:t xml:space="preserve"> all </w:t>
      </w:r>
      <w:r w:rsidRPr="00212F68">
        <w:rPr>
          <w:rFonts w:ascii="Arial" w:eastAsia="Times New Roman" w:hAnsi="Arial" w:cs="Arial"/>
          <w:b/>
          <w:sz w:val="24"/>
          <w:szCs w:val="24"/>
          <w:lang w:eastAsia="en-GB"/>
        </w:rPr>
        <w:t xml:space="preserve">children in Barnet achieve good levels of educational attainment </w:t>
      </w:r>
      <w:r w:rsidRPr="00212F68">
        <w:rPr>
          <w:rFonts w:ascii="Arial" w:eastAsia="Times New Roman" w:hAnsi="Arial" w:cs="Arial"/>
          <w:sz w:val="24"/>
          <w:szCs w:val="24"/>
          <w:lang w:eastAsia="en-GB"/>
        </w:rPr>
        <w:t>against statistical neighbours and national averages. However</w:t>
      </w:r>
      <w:r>
        <w:rPr>
          <w:rFonts w:ascii="Arial" w:eastAsia="Times New Roman" w:hAnsi="Arial" w:cs="Arial"/>
          <w:sz w:val="24"/>
          <w:szCs w:val="24"/>
          <w:lang w:eastAsia="en-GB"/>
        </w:rPr>
        <w:t>,</w:t>
      </w:r>
      <w:r w:rsidRPr="00212F68">
        <w:rPr>
          <w:rFonts w:ascii="Arial" w:eastAsia="Times New Roman" w:hAnsi="Arial" w:cs="Arial"/>
          <w:sz w:val="24"/>
          <w:szCs w:val="24"/>
          <w:lang w:eastAsia="en-GB"/>
        </w:rPr>
        <w:t xml:space="preserve"> </w:t>
      </w:r>
      <w:r w:rsidRPr="00212F68">
        <w:rPr>
          <w:rFonts w:ascii="Arial" w:eastAsia="Times New Roman" w:hAnsi="Arial" w:cs="Arial"/>
          <w:b/>
          <w:sz w:val="24"/>
          <w:szCs w:val="24"/>
          <w:lang w:eastAsia="en-GB"/>
        </w:rPr>
        <w:t xml:space="preserve">the attainment for disadvantaged groups against their peers in Barnet has widened </w:t>
      </w:r>
      <w:r w:rsidRPr="00212F68">
        <w:rPr>
          <w:rFonts w:ascii="Arial" w:eastAsia="Times New Roman" w:hAnsi="Arial" w:cs="Arial"/>
          <w:sz w:val="24"/>
          <w:szCs w:val="24"/>
          <w:lang w:eastAsia="en-GB"/>
        </w:rPr>
        <w:t>compared to the London gap. Data shows the gap is wider for black boys in Barnet.</w:t>
      </w:r>
    </w:p>
    <w:p w:rsidR="005B76FC" w:rsidRPr="00212F68" w:rsidRDefault="005B76FC" w:rsidP="008921BF">
      <w:pPr>
        <w:numPr>
          <w:ilvl w:val="0"/>
          <w:numId w:val="94"/>
        </w:numPr>
        <w:spacing w:after="0"/>
        <w:ind w:left="714" w:right="-23" w:hanging="357"/>
        <w:contextualSpacing/>
        <w:jc w:val="both"/>
        <w:rPr>
          <w:rFonts w:ascii="Arial" w:eastAsia="Times New Roman" w:hAnsi="Arial" w:cs="Arial"/>
          <w:sz w:val="24"/>
          <w:szCs w:val="24"/>
          <w:lang w:eastAsia="en-GB"/>
        </w:rPr>
      </w:pPr>
      <w:r w:rsidRPr="00212F68">
        <w:rPr>
          <w:rFonts w:ascii="Arial" w:eastAsia="Times New Roman" w:hAnsi="Arial" w:cs="Arial"/>
          <w:b/>
          <w:sz w:val="24"/>
          <w:szCs w:val="24"/>
          <w:lang w:eastAsia="en-GB"/>
        </w:rPr>
        <w:t>Neglect</w:t>
      </w:r>
      <w:r w:rsidRPr="00212F68">
        <w:rPr>
          <w:rFonts w:ascii="Arial" w:eastAsia="Times New Roman" w:hAnsi="Arial" w:cs="Arial"/>
          <w:sz w:val="24"/>
          <w:szCs w:val="24"/>
          <w:lang w:eastAsia="en-GB"/>
        </w:rPr>
        <w:t xml:space="preserve"> is the primary reason for children and young people to have a child protection plan.</w:t>
      </w:r>
    </w:p>
    <w:p w:rsidR="005B76FC" w:rsidRPr="00212F68" w:rsidRDefault="005B76FC" w:rsidP="008921BF">
      <w:pPr>
        <w:numPr>
          <w:ilvl w:val="0"/>
          <w:numId w:val="94"/>
        </w:numPr>
        <w:spacing w:after="0"/>
        <w:ind w:left="714" w:right="-23" w:hanging="357"/>
        <w:contextualSpacing/>
        <w:jc w:val="both"/>
        <w:rPr>
          <w:rFonts w:ascii="Arial" w:eastAsia="Times New Roman" w:hAnsi="Arial" w:cs="Arial"/>
          <w:sz w:val="24"/>
          <w:szCs w:val="24"/>
          <w:lang w:eastAsia="en-GB"/>
        </w:rPr>
      </w:pPr>
      <w:r w:rsidRPr="00212F68">
        <w:rPr>
          <w:rFonts w:ascii="Arial" w:hAnsi="Arial" w:cs="Arial"/>
          <w:kern w:val="24"/>
          <w:sz w:val="24"/>
          <w:szCs w:val="24"/>
        </w:rPr>
        <w:t xml:space="preserve">The </w:t>
      </w:r>
      <w:r w:rsidRPr="00212F68">
        <w:rPr>
          <w:rFonts w:ascii="Arial" w:hAnsi="Arial" w:cs="Arial"/>
          <w:b/>
          <w:kern w:val="24"/>
          <w:sz w:val="24"/>
          <w:szCs w:val="24"/>
        </w:rPr>
        <w:t>rate of re-offending is decreasing</w:t>
      </w:r>
      <w:r>
        <w:rPr>
          <w:rFonts w:ascii="Arial" w:hAnsi="Arial" w:cs="Arial"/>
          <w:b/>
          <w:kern w:val="24"/>
          <w:sz w:val="24"/>
          <w:szCs w:val="24"/>
        </w:rPr>
        <w:t xml:space="preserve">. </w:t>
      </w:r>
      <w:r w:rsidRPr="0093229C">
        <w:rPr>
          <w:rFonts w:ascii="Arial" w:hAnsi="Arial" w:cs="Arial"/>
          <w:kern w:val="24"/>
          <w:sz w:val="24"/>
          <w:szCs w:val="24"/>
        </w:rPr>
        <w:t>H</w:t>
      </w:r>
      <w:r>
        <w:rPr>
          <w:rFonts w:ascii="Arial" w:hAnsi="Arial" w:cs="Arial"/>
          <w:kern w:val="24"/>
          <w:sz w:val="24"/>
          <w:szCs w:val="24"/>
        </w:rPr>
        <w:t xml:space="preserve">owever, </w:t>
      </w:r>
      <w:r w:rsidRPr="00212F68">
        <w:rPr>
          <w:rFonts w:ascii="Arial" w:hAnsi="Arial" w:cs="Arial"/>
          <w:kern w:val="24"/>
          <w:sz w:val="24"/>
          <w:szCs w:val="24"/>
        </w:rPr>
        <w:t xml:space="preserve">there has been </w:t>
      </w:r>
      <w:r w:rsidRPr="00212F68">
        <w:rPr>
          <w:rFonts w:ascii="Arial" w:hAnsi="Arial" w:cs="Arial"/>
          <w:b/>
          <w:kern w:val="24"/>
          <w:sz w:val="24"/>
          <w:szCs w:val="24"/>
        </w:rPr>
        <w:t>an increase in the seriousness</w:t>
      </w:r>
      <w:r w:rsidRPr="00212F68">
        <w:rPr>
          <w:rFonts w:ascii="Arial" w:hAnsi="Arial" w:cs="Arial"/>
          <w:kern w:val="24"/>
          <w:sz w:val="24"/>
          <w:szCs w:val="24"/>
        </w:rPr>
        <w:t xml:space="preserve"> of offending by a small proportion of young people who are </w:t>
      </w:r>
      <w:r w:rsidRPr="00212F68">
        <w:rPr>
          <w:rFonts w:ascii="Arial" w:hAnsi="Arial" w:cs="Arial"/>
          <w:b/>
          <w:kern w:val="24"/>
          <w:sz w:val="24"/>
          <w:szCs w:val="24"/>
        </w:rPr>
        <w:t>associated with gangs.</w:t>
      </w:r>
    </w:p>
    <w:p w:rsidR="005B76FC" w:rsidRPr="00212F68" w:rsidRDefault="005B76FC" w:rsidP="008921BF">
      <w:pPr>
        <w:numPr>
          <w:ilvl w:val="0"/>
          <w:numId w:val="94"/>
        </w:numPr>
        <w:spacing w:after="0"/>
        <w:ind w:left="714" w:right="-23" w:hanging="357"/>
        <w:contextualSpacing/>
        <w:jc w:val="both"/>
        <w:rPr>
          <w:rFonts w:ascii="Arial" w:eastAsia="Times New Roman" w:hAnsi="Arial" w:cs="Arial"/>
          <w:sz w:val="24"/>
          <w:szCs w:val="24"/>
          <w:lang w:eastAsia="en-GB"/>
        </w:rPr>
      </w:pPr>
      <w:r w:rsidRPr="00212F68">
        <w:rPr>
          <w:rFonts w:ascii="Arial" w:hAnsi="Arial" w:cs="Arial"/>
          <w:sz w:val="24"/>
          <w:szCs w:val="24"/>
        </w:rPr>
        <w:t>65% of known cases of child sexual exploitation (CSE) in Barnet are females in their teenage years</w:t>
      </w:r>
      <w:r>
        <w:rPr>
          <w:rFonts w:ascii="Arial" w:hAnsi="Arial" w:cs="Arial"/>
          <w:sz w:val="24"/>
          <w:szCs w:val="24"/>
        </w:rPr>
        <w:t xml:space="preserve"> and </w:t>
      </w:r>
      <w:r w:rsidRPr="00212F68">
        <w:rPr>
          <w:rFonts w:ascii="Arial" w:hAnsi="Arial" w:cs="Arial"/>
          <w:sz w:val="24"/>
          <w:szCs w:val="24"/>
        </w:rPr>
        <w:t xml:space="preserve">35% are male.  </w:t>
      </w:r>
      <w:r w:rsidRPr="00212F68">
        <w:rPr>
          <w:rFonts w:ascii="Arial" w:hAnsi="Arial" w:cs="Arial"/>
          <w:b/>
          <w:sz w:val="24"/>
          <w:szCs w:val="24"/>
        </w:rPr>
        <w:t>The pattern of CSE in Barnet is wide and varied</w:t>
      </w:r>
      <w:r w:rsidRPr="00212F68">
        <w:rPr>
          <w:rFonts w:ascii="Arial" w:hAnsi="Arial" w:cs="Arial"/>
          <w:sz w:val="24"/>
          <w:szCs w:val="24"/>
        </w:rPr>
        <w:t>. Key characteristics have been youth violence or gang related activity, male adults ‘talking’ to young females and boys through the internet. There is a strong correlation between children who go missing and those known to be victims and or at risk of CSE.</w:t>
      </w:r>
    </w:p>
    <w:p w:rsidR="005B76FC" w:rsidRPr="00212F68" w:rsidRDefault="005B76FC" w:rsidP="008921BF">
      <w:pPr>
        <w:numPr>
          <w:ilvl w:val="0"/>
          <w:numId w:val="94"/>
        </w:numPr>
        <w:spacing w:after="0"/>
        <w:ind w:left="714" w:right="-23" w:hanging="357"/>
        <w:contextualSpacing/>
        <w:jc w:val="both"/>
        <w:rPr>
          <w:rFonts w:ascii="Arial" w:eastAsia="Times New Roman" w:hAnsi="Arial" w:cs="Arial"/>
          <w:sz w:val="24"/>
          <w:szCs w:val="24"/>
          <w:lang w:eastAsia="en-GB"/>
        </w:rPr>
      </w:pPr>
      <w:r w:rsidRPr="00212F68">
        <w:rPr>
          <w:rFonts w:ascii="Arial" w:eastAsia="Times New Roman" w:hAnsi="Arial" w:cs="Arial"/>
          <w:sz w:val="24"/>
          <w:szCs w:val="24"/>
          <w:lang w:eastAsia="en-GB"/>
        </w:rPr>
        <w:t xml:space="preserve">The </w:t>
      </w:r>
      <w:r w:rsidRPr="00212F68">
        <w:rPr>
          <w:rFonts w:ascii="Arial" w:eastAsia="Times New Roman" w:hAnsi="Arial" w:cs="Arial"/>
          <w:b/>
          <w:sz w:val="24"/>
          <w:szCs w:val="24"/>
          <w:lang w:eastAsia="en-GB"/>
        </w:rPr>
        <w:t xml:space="preserve">numbers of </w:t>
      </w:r>
      <w:r>
        <w:rPr>
          <w:rFonts w:ascii="Arial" w:eastAsia="Times New Roman" w:hAnsi="Arial" w:cs="Arial"/>
          <w:b/>
          <w:sz w:val="24"/>
          <w:szCs w:val="24"/>
          <w:lang w:eastAsia="en-GB"/>
        </w:rPr>
        <w:t>c</w:t>
      </w:r>
      <w:r w:rsidRPr="00212F68">
        <w:rPr>
          <w:rFonts w:ascii="Arial" w:eastAsia="Times New Roman" w:hAnsi="Arial" w:cs="Arial"/>
          <w:b/>
          <w:sz w:val="24"/>
          <w:szCs w:val="24"/>
          <w:lang w:eastAsia="en-GB"/>
        </w:rPr>
        <w:t>hildren in Barnet that go missing have remained fairly consistent</w:t>
      </w:r>
      <w:r w:rsidRPr="00212F68">
        <w:rPr>
          <w:rFonts w:ascii="Arial" w:eastAsia="Times New Roman" w:hAnsi="Arial" w:cs="Arial"/>
          <w:sz w:val="24"/>
          <w:szCs w:val="24"/>
          <w:lang w:eastAsia="en-GB"/>
        </w:rPr>
        <w:t xml:space="preserve"> throughout 14/15</w:t>
      </w:r>
      <w:r>
        <w:rPr>
          <w:rFonts w:ascii="Arial" w:eastAsia="Times New Roman" w:hAnsi="Arial" w:cs="Arial"/>
          <w:sz w:val="24"/>
          <w:szCs w:val="24"/>
          <w:lang w:eastAsia="en-GB"/>
        </w:rPr>
        <w:t>,</w:t>
      </w:r>
      <w:r w:rsidRPr="00212F68">
        <w:rPr>
          <w:rFonts w:ascii="Arial" w:eastAsia="Times New Roman" w:hAnsi="Arial" w:cs="Arial"/>
          <w:sz w:val="24"/>
          <w:szCs w:val="24"/>
          <w:lang w:eastAsia="en-GB"/>
        </w:rPr>
        <w:t xml:space="preserve"> averaging 5 or less children per month. This requires resources which can assess, collate and analyse information provided by the young people who go missing to determine what interventions are required to </w:t>
      </w:r>
      <w:proofErr w:type="gramStart"/>
      <w:r w:rsidRPr="00212F68">
        <w:rPr>
          <w:rFonts w:ascii="Arial" w:eastAsia="Times New Roman" w:hAnsi="Arial" w:cs="Arial"/>
          <w:sz w:val="24"/>
          <w:szCs w:val="24"/>
          <w:lang w:eastAsia="en-GB"/>
        </w:rPr>
        <w:t>mitigate</w:t>
      </w:r>
      <w:proofErr w:type="gramEnd"/>
      <w:r w:rsidRPr="00212F68">
        <w:rPr>
          <w:rFonts w:ascii="Arial" w:eastAsia="Times New Roman" w:hAnsi="Arial" w:cs="Arial"/>
          <w:sz w:val="24"/>
          <w:szCs w:val="24"/>
          <w:lang w:eastAsia="en-GB"/>
        </w:rPr>
        <w:t xml:space="preserve"> against this.</w:t>
      </w:r>
    </w:p>
    <w:p w:rsidR="005B76FC" w:rsidRPr="00212F68" w:rsidRDefault="005B76FC" w:rsidP="005B76FC">
      <w:pPr>
        <w:keepNext/>
        <w:keepLines/>
        <w:spacing w:after="0"/>
        <w:outlineLvl w:val="0"/>
        <w:rPr>
          <w:rFonts w:ascii="Arial" w:eastAsiaTheme="majorEastAsia" w:hAnsi="Arial" w:cs="Arial"/>
          <w:b/>
          <w:bCs/>
          <w:color w:val="365F91" w:themeColor="accent1" w:themeShade="BF"/>
          <w:sz w:val="28"/>
          <w:szCs w:val="24"/>
        </w:rPr>
      </w:pPr>
      <w:bookmarkStart w:id="289" w:name="_Toc424292004"/>
    </w:p>
    <w:p w:rsidR="005B76FC" w:rsidRPr="00212F68" w:rsidRDefault="005B76FC" w:rsidP="000637B3">
      <w:pPr>
        <w:keepNext/>
        <w:keepLines/>
        <w:spacing w:after="0"/>
        <w:outlineLvl w:val="0"/>
        <w:rPr>
          <w:rFonts w:ascii="Arial" w:eastAsiaTheme="majorEastAsia" w:hAnsi="Arial" w:cs="Arial"/>
          <w:b/>
          <w:bCs/>
          <w:color w:val="365F91" w:themeColor="accent1" w:themeShade="BF"/>
          <w:sz w:val="28"/>
          <w:szCs w:val="24"/>
        </w:rPr>
      </w:pPr>
      <w:bookmarkStart w:id="290" w:name="_Toc427237120"/>
      <w:bookmarkStart w:id="291" w:name="_Toc427239294"/>
      <w:bookmarkStart w:id="292" w:name="_Toc427239478"/>
      <w:bookmarkStart w:id="293" w:name="_Toc427241450"/>
      <w:bookmarkStart w:id="294" w:name="_Toc427247105"/>
      <w:bookmarkStart w:id="295" w:name="_Toc427312565"/>
      <w:bookmarkStart w:id="296" w:name="_Toc427324129"/>
      <w:bookmarkStart w:id="297" w:name="_Toc427327347"/>
      <w:bookmarkStart w:id="298" w:name="_Toc427676563"/>
      <w:bookmarkStart w:id="299" w:name="_Toc427738518"/>
      <w:bookmarkStart w:id="300" w:name="_Toc427763164"/>
      <w:bookmarkStart w:id="301" w:name="_Toc427830357"/>
      <w:bookmarkStart w:id="302" w:name="_Toc428344096"/>
      <w:bookmarkStart w:id="303" w:name="_Toc430871124"/>
      <w:bookmarkStart w:id="304" w:name="_Toc431198825"/>
      <w:bookmarkStart w:id="305" w:name="_Toc431225102"/>
      <w:r w:rsidRPr="00212F68">
        <w:rPr>
          <w:rFonts w:ascii="Arial" w:eastAsiaTheme="majorEastAsia" w:hAnsi="Arial" w:cs="Arial"/>
          <w:b/>
          <w:bCs/>
          <w:color w:val="365F91" w:themeColor="accent1" w:themeShade="BF"/>
          <w:sz w:val="28"/>
          <w:szCs w:val="24"/>
        </w:rPr>
        <w:t>7: Adult Social Care</w:t>
      </w:r>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p>
    <w:p w:rsidR="005B76FC" w:rsidRPr="00212F68" w:rsidRDefault="005B76FC" w:rsidP="000637B3">
      <w:pPr>
        <w:keepNext/>
        <w:keepLines/>
        <w:spacing w:after="0"/>
        <w:outlineLvl w:val="0"/>
        <w:rPr>
          <w:rFonts w:ascii="Arial" w:eastAsiaTheme="majorEastAsia" w:hAnsi="Arial" w:cs="Arial"/>
          <w:b/>
          <w:bCs/>
          <w:color w:val="365F91" w:themeColor="accent1" w:themeShade="BF"/>
          <w:sz w:val="14"/>
          <w:szCs w:val="24"/>
        </w:rPr>
      </w:pPr>
    </w:p>
    <w:p w:rsidR="005B76FC" w:rsidRPr="00212F68" w:rsidRDefault="005B76FC" w:rsidP="000637B3">
      <w:pPr>
        <w:numPr>
          <w:ilvl w:val="0"/>
          <w:numId w:val="54"/>
        </w:numPr>
        <w:spacing w:after="0"/>
        <w:contextualSpacing/>
        <w:jc w:val="both"/>
        <w:rPr>
          <w:rFonts w:ascii="Arial" w:hAnsi="Arial" w:cs="Arial"/>
          <w:b/>
          <w:sz w:val="24"/>
          <w:szCs w:val="24"/>
        </w:rPr>
      </w:pPr>
      <w:r w:rsidRPr="00212F68">
        <w:rPr>
          <w:rFonts w:ascii="Arial" w:hAnsi="Arial" w:cs="Arial"/>
          <w:sz w:val="24"/>
          <w:szCs w:val="24"/>
        </w:rPr>
        <w:t xml:space="preserve">The </w:t>
      </w:r>
      <w:r w:rsidRPr="00212F68">
        <w:rPr>
          <w:rFonts w:ascii="Arial" w:hAnsi="Arial" w:cs="Arial"/>
          <w:b/>
          <w:sz w:val="24"/>
          <w:szCs w:val="24"/>
        </w:rPr>
        <w:t xml:space="preserve">highest </w:t>
      </w:r>
      <w:proofErr w:type="gramStart"/>
      <w:r w:rsidRPr="00212F68">
        <w:rPr>
          <w:rFonts w:ascii="Arial" w:hAnsi="Arial" w:cs="Arial"/>
          <w:b/>
          <w:sz w:val="24"/>
          <w:szCs w:val="24"/>
        </w:rPr>
        <w:t xml:space="preserve">proportion of referrals </w:t>
      </w:r>
      <w:r w:rsidRPr="00212F68">
        <w:rPr>
          <w:rFonts w:ascii="Arial" w:hAnsi="Arial" w:cs="Arial"/>
          <w:sz w:val="24"/>
          <w:szCs w:val="24"/>
        </w:rPr>
        <w:t>into Adult Social Care</w:t>
      </w:r>
      <w:r w:rsidRPr="00212F68">
        <w:rPr>
          <w:rFonts w:ascii="Arial" w:hAnsi="Arial" w:cs="Arial"/>
          <w:b/>
          <w:sz w:val="24"/>
          <w:szCs w:val="24"/>
        </w:rPr>
        <w:t xml:space="preserve"> are</w:t>
      </w:r>
      <w:proofErr w:type="gramEnd"/>
      <w:r w:rsidRPr="00212F68">
        <w:rPr>
          <w:rFonts w:ascii="Arial" w:hAnsi="Arial" w:cs="Arial"/>
          <w:b/>
          <w:sz w:val="24"/>
          <w:szCs w:val="24"/>
        </w:rPr>
        <w:t xml:space="preserve"> from secondary health care teams</w:t>
      </w:r>
      <w:r w:rsidRPr="00212F68">
        <w:rPr>
          <w:rFonts w:ascii="Arial" w:hAnsi="Arial" w:cs="Arial"/>
          <w:sz w:val="24"/>
          <w:szCs w:val="24"/>
        </w:rPr>
        <w:t xml:space="preserve">. </w:t>
      </w:r>
    </w:p>
    <w:p w:rsidR="005B76FC" w:rsidRPr="00212F68" w:rsidRDefault="005B76FC" w:rsidP="000637B3">
      <w:pPr>
        <w:numPr>
          <w:ilvl w:val="0"/>
          <w:numId w:val="54"/>
        </w:numPr>
        <w:spacing w:after="0"/>
        <w:contextualSpacing/>
        <w:jc w:val="both"/>
        <w:rPr>
          <w:rFonts w:ascii="Arial" w:hAnsi="Arial" w:cs="Arial"/>
          <w:sz w:val="24"/>
          <w:szCs w:val="24"/>
        </w:rPr>
      </w:pPr>
      <w:r w:rsidRPr="00212F68">
        <w:rPr>
          <w:rFonts w:ascii="Arial" w:hAnsi="Arial" w:cs="Arial"/>
          <w:b/>
          <w:sz w:val="24"/>
          <w:szCs w:val="24"/>
        </w:rPr>
        <w:t>Mental disorder</w:t>
      </w:r>
      <w:r w:rsidRPr="00212F68">
        <w:rPr>
          <w:rFonts w:ascii="Arial" w:hAnsi="Arial" w:cs="Arial"/>
          <w:sz w:val="24"/>
          <w:szCs w:val="24"/>
        </w:rPr>
        <w:t xml:space="preserve"> is responsible for the </w:t>
      </w:r>
      <w:r w:rsidRPr="00212F68">
        <w:rPr>
          <w:rFonts w:ascii="Arial" w:hAnsi="Arial" w:cs="Arial"/>
          <w:b/>
          <w:sz w:val="24"/>
          <w:szCs w:val="24"/>
        </w:rPr>
        <w:t>largest burden of disease in England</w:t>
      </w:r>
      <w:r w:rsidRPr="00212F68">
        <w:rPr>
          <w:rFonts w:ascii="Arial" w:hAnsi="Arial" w:cs="Arial"/>
          <w:sz w:val="24"/>
          <w:szCs w:val="24"/>
        </w:rPr>
        <w:t xml:space="preserve"> – 23% of the total burden. Within Barnet, by far the </w:t>
      </w:r>
      <w:r w:rsidRPr="00212F68">
        <w:rPr>
          <w:rFonts w:ascii="Arial" w:hAnsi="Arial" w:cs="Arial"/>
          <w:b/>
          <w:sz w:val="24"/>
          <w:szCs w:val="24"/>
        </w:rPr>
        <w:t>most significant element of the CCG’s mental health expenditure is in secondary mental health</w:t>
      </w:r>
      <w:r w:rsidRPr="00212F68">
        <w:rPr>
          <w:rFonts w:ascii="Arial" w:hAnsi="Arial" w:cs="Arial"/>
          <w:sz w:val="24"/>
          <w:szCs w:val="24"/>
        </w:rPr>
        <w:t xml:space="preserve"> (i.e. hospital/residential settings). </w:t>
      </w:r>
    </w:p>
    <w:p w:rsidR="005B76FC" w:rsidRPr="00212F68" w:rsidRDefault="005B76FC" w:rsidP="000637B3">
      <w:pPr>
        <w:numPr>
          <w:ilvl w:val="0"/>
          <w:numId w:val="54"/>
        </w:numPr>
        <w:spacing w:after="0"/>
        <w:jc w:val="both"/>
        <w:rPr>
          <w:rFonts w:ascii="Arial" w:hAnsi="Arial" w:cs="Arial"/>
          <w:sz w:val="24"/>
          <w:szCs w:val="24"/>
        </w:rPr>
      </w:pPr>
      <w:r w:rsidRPr="00212F68">
        <w:rPr>
          <w:rFonts w:ascii="Arial" w:hAnsi="Arial" w:cs="Arial"/>
          <w:sz w:val="24"/>
          <w:szCs w:val="24"/>
        </w:rPr>
        <w:t xml:space="preserve">As more young people with complex needs survive into adulthood, there is a national and local drive to help them to </w:t>
      </w:r>
      <w:r w:rsidRPr="00212F68">
        <w:rPr>
          <w:rFonts w:ascii="Arial" w:hAnsi="Arial" w:cs="Arial"/>
          <w:b/>
          <w:sz w:val="24"/>
          <w:szCs w:val="24"/>
        </w:rPr>
        <w:t>live as independently</w:t>
      </w:r>
      <w:r>
        <w:rPr>
          <w:rFonts w:ascii="Arial" w:hAnsi="Arial" w:cs="Arial"/>
          <w:sz w:val="24"/>
          <w:szCs w:val="24"/>
        </w:rPr>
        <w:t xml:space="preserve"> and</w:t>
      </w:r>
      <w:r w:rsidRPr="00212F68">
        <w:rPr>
          <w:rFonts w:ascii="Arial" w:hAnsi="Arial" w:cs="Arial"/>
          <w:sz w:val="24"/>
          <w:szCs w:val="24"/>
        </w:rPr>
        <w:t xml:space="preserve"> </w:t>
      </w:r>
      <w:r w:rsidRPr="00212F68">
        <w:rPr>
          <w:rFonts w:ascii="Arial" w:hAnsi="Arial" w:cs="Arial"/>
          <w:b/>
          <w:sz w:val="24"/>
          <w:szCs w:val="24"/>
        </w:rPr>
        <w:t>within the community</w:t>
      </w:r>
      <w:r w:rsidRPr="00212F68">
        <w:rPr>
          <w:rFonts w:ascii="Arial" w:hAnsi="Arial" w:cs="Arial"/>
          <w:sz w:val="24"/>
          <w:szCs w:val="24"/>
        </w:rPr>
        <w:t xml:space="preserve"> as possible. This places significant pressure on ensuring that the right services such as </w:t>
      </w:r>
      <w:r w:rsidRPr="00212F68">
        <w:rPr>
          <w:rFonts w:ascii="Arial" w:hAnsi="Arial" w:cs="Arial"/>
          <w:b/>
          <w:sz w:val="24"/>
          <w:szCs w:val="24"/>
        </w:rPr>
        <w:t>appropriate housing and support needs</w:t>
      </w:r>
      <w:r w:rsidRPr="00212F68">
        <w:rPr>
          <w:rFonts w:ascii="Arial" w:hAnsi="Arial" w:cs="Arial"/>
          <w:sz w:val="24"/>
          <w:szCs w:val="24"/>
        </w:rPr>
        <w:t xml:space="preserve"> are available to </w:t>
      </w:r>
      <w:r w:rsidRPr="00212F68">
        <w:rPr>
          <w:rFonts w:ascii="Arial" w:hAnsi="Arial" w:cs="Arial"/>
          <w:b/>
          <w:sz w:val="24"/>
          <w:szCs w:val="24"/>
        </w:rPr>
        <w:t>meet their requirements</w:t>
      </w:r>
      <w:r w:rsidRPr="00212F68">
        <w:rPr>
          <w:rFonts w:ascii="Arial" w:hAnsi="Arial" w:cs="Arial"/>
          <w:sz w:val="24"/>
          <w:szCs w:val="24"/>
        </w:rPr>
        <w:t xml:space="preserve">. </w:t>
      </w:r>
    </w:p>
    <w:p w:rsidR="005B76FC" w:rsidRPr="00212F68" w:rsidRDefault="005B76FC" w:rsidP="000637B3">
      <w:pPr>
        <w:numPr>
          <w:ilvl w:val="0"/>
          <w:numId w:val="54"/>
        </w:numPr>
        <w:contextualSpacing/>
        <w:jc w:val="both"/>
        <w:rPr>
          <w:rFonts w:ascii="Arial" w:hAnsi="Arial" w:cs="Arial"/>
          <w:sz w:val="24"/>
          <w:szCs w:val="24"/>
        </w:rPr>
      </w:pPr>
      <w:r w:rsidRPr="00212F68">
        <w:rPr>
          <w:rFonts w:ascii="Arial" w:hAnsi="Arial" w:cs="Arial"/>
          <w:sz w:val="24"/>
          <w:szCs w:val="24"/>
        </w:rPr>
        <w:lastRenderedPageBreak/>
        <w:t xml:space="preserve">There is a significant shift in the way in which support is delivered with more </w:t>
      </w:r>
      <w:r w:rsidRPr="00212F68">
        <w:rPr>
          <w:rFonts w:ascii="Arial" w:hAnsi="Arial" w:cs="Arial"/>
          <w:b/>
          <w:sz w:val="24"/>
          <w:szCs w:val="24"/>
        </w:rPr>
        <w:t>people choosing to remain at home</w:t>
      </w:r>
      <w:r w:rsidRPr="00212F68">
        <w:rPr>
          <w:rFonts w:ascii="Arial" w:hAnsi="Arial" w:cs="Arial"/>
          <w:sz w:val="24"/>
          <w:szCs w:val="24"/>
        </w:rPr>
        <w:t xml:space="preserve"> for a longer period of time. This requires </w:t>
      </w:r>
      <w:r w:rsidRPr="00212F68">
        <w:rPr>
          <w:rFonts w:ascii="Arial" w:hAnsi="Arial" w:cs="Arial"/>
          <w:b/>
          <w:sz w:val="24"/>
          <w:szCs w:val="24"/>
        </w:rPr>
        <w:t>effective,</w:t>
      </w:r>
      <w:r w:rsidRPr="00212F68">
        <w:rPr>
          <w:rFonts w:ascii="Arial" w:hAnsi="Arial" w:cs="Arial"/>
          <w:sz w:val="24"/>
          <w:szCs w:val="24"/>
        </w:rPr>
        <w:t xml:space="preserve"> </w:t>
      </w:r>
      <w:r w:rsidRPr="00212F68">
        <w:rPr>
          <w:rFonts w:ascii="Arial" w:hAnsi="Arial" w:cs="Arial"/>
          <w:b/>
          <w:sz w:val="24"/>
          <w:szCs w:val="24"/>
        </w:rPr>
        <w:t xml:space="preserve">targeted, local based provision. </w:t>
      </w:r>
    </w:p>
    <w:p w:rsidR="005B76FC" w:rsidRPr="00212F68" w:rsidRDefault="005B76FC" w:rsidP="000637B3">
      <w:pPr>
        <w:numPr>
          <w:ilvl w:val="0"/>
          <w:numId w:val="54"/>
        </w:numPr>
        <w:spacing w:after="0"/>
        <w:jc w:val="both"/>
        <w:rPr>
          <w:rFonts w:ascii="Arial" w:hAnsi="Arial" w:cs="Arial"/>
          <w:sz w:val="24"/>
          <w:szCs w:val="24"/>
        </w:rPr>
      </w:pPr>
      <w:r w:rsidRPr="00212F68">
        <w:rPr>
          <w:rFonts w:ascii="Arial" w:hAnsi="Arial" w:cs="Arial"/>
          <w:sz w:val="24"/>
          <w:szCs w:val="24"/>
        </w:rPr>
        <w:t xml:space="preserve">Feelings of social isolation and loneliness can be detrimental to a person’s health and wellbeing. In Barnet, social isolation is especially prominent in </w:t>
      </w:r>
      <w:r w:rsidRPr="00212F68">
        <w:rPr>
          <w:rFonts w:ascii="Arial" w:hAnsi="Arial" w:cs="Arial"/>
          <w:b/>
          <w:sz w:val="24"/>
          <w:szCs w:val="24"/>
        </w:rPr>
        <w:t>elderly women who live alone</w:t>
      </w:r>
      <w:r w:rsidRPr="00212F68">
        <w:rPr>
          <w:rFonts w:ascii="Arial" w:hAnsi="Arial" w:cs="Arial"/>
          <w:sz w:val="24"/>
          <w:szCs w:val="24"/>
        </w:rPr>
        <w:t xml:space="preserve">, especially in </w:t>
      </w:r>
      <w:r w:rsidRPr="00212F68">
        <w:rPr>
          <w:rFonts w:ascii="Arial" w:hAnsi="Arial" w:cs="Arial"/>
          <w:b/>
          <w:sz w:val="24"/>
          <w:szCs w:val="24"/>
        </w:rPr>
        <w:t>areas of higher affluence and lower population density.</w:t>
      </w:r>
    </w:p>
    <w:p w:rsidR="005B76FC" w:rsidRPr="00212F68" w:rsidRDefault="005B76FC" w:rsidP="000637B3">
      <w:pPr>
        <w:numPr>
          <w:ilvl w:val="0"/>
          <w:numId w:val="54"/>
        </w:numPr>
        <w:contextualSpacing/>
        <w:jc w:val="both"/>
        <w:rPr>
          <w:rFonts w:ascii="Arial" w:hAnsi="Arial" w:cs="Arial"/>
          <w:sz w:val="24"/>
          <w:szCs w:val="24"/>
        </w:rPr>
      </w:pPr>
      <w:r w:rsidRPr="00212F68">
        <w:rPr>
          <w:rFonts w:ascii="Arial" w:hAnsi="Arial" w:cs="Arial"/>
          <w:b/>
          <w:sz w:val="24"/>
          <w:szCs w:val="24"/>
        </w:rPr>
        <w:t xml:space="preserve">Demand for enablement services </w:t>
      </w:r>
      <w:r w:rsidRPr="00212F68">
        <w:rPr>
          <w:rFonts w:ascii="Arial" w:hAnsi="Arial" w:cs="Arial"/>
          <w:sz w:val="24"/>
          <w:szCs w:val="24"/>
        </w:rPr>
        <w:t>should be around</w:t>
      </w:r>
      <w:r w:rsidRPr="00212F68">
        <w:rPr>
          <w:rFonts w:ascii="Arial" w:hAnsi="Arial" w:cs="Arial"/>
          <w:b/>
          <w:sz w:val="24"/>
          <w:szCs w:val="24"/>
        </w:rPr>
        <w:t xml:space="preserve"> 5% of the 65 and over population</w:t>
      </w:r>
      <w:r w:rsidRPr="00212F68">
        <w:rPr>
          <w:rFonts w:ascii="Arial" w:hAnsi="Arial" w:cs="Arial"/>
          <w:sz w:val="24"/>
          <w:szCs w:val="24"/>
        </w:rPr>
        <w:t xml:space="preserve">. In </w:t>
      </w:r>
      <w:r w:rsidRPr="00212F68">
        <w:rPr>
          <w:rFonts w:ascii="Arial" w:hAnsi="Arial" w:cs="Arial"/>
          <w:b/>
          <w:sz w:val="24"/>
          <w:szCs w:val="24"/>
        </w:rPr>
        <w:t>2013/14</w:t>
      </w:r>
      <w:r w:rsidRPr="00212F68">
        <w:rPr>
          <w:rFonts w:ascii="Arial" w:hAnsi="Arial" w:cs="Arial"/>
          <w:sz w:val="24"/>
          <w:szCs w:val="24"/>
        </w:rPr>
        <w:t xml:space="preserve"> the service was used by </w:t>
      </w:r>
      <w:r w:rsidRPr="00212F68">
        <w:rPr>
          <w:rFonts w:ascii="Arial" w:hAnsi="Arial" w:cs="Arial"/>
          <w:b/>
          <w:sz w:val="24"/>
          <w:szCs w:val="24"/>
        </w:rPr>
        <w:t>1,660 people, 3.3% of the 65 and over population</w:t>
      </w:r>
      <w:r w:rsidRPr="00212F68">
        <w:rPr>
          <w:rFonts w:ascii="Arial" w:hAnsi="Arial" w:cs="Arial"/>
          <w:sz w:val="24"/>
          <w:szCs w:val="24"/>
        </w:rPr>
        <w:t xml:space="preserve">, which indicates a </w:t>
      </w:r>
      <w:r w:rsidRPr="00212F68">
        <w:rPr>
          <w:rFonts w:ascii="Arial" w:hAnsi="Arial" w:cs="Arial"/>
          <w:b/>
          <w:sz w:val="24"/>
          <w:szCs w:val="24"/>
        </w:rPr>
        <w:t>deficiency or potential unmet need of around 800 people.</w:t>
      </w:r>
    </w:p>
    <w:p w:rsidR="005B76FC" w:rsidRPr="00212F68" w:rsidRDefault="005B76FC" w:rsidP="000637B3">
      <w:pPr>
        <w:numPr>
          <w:ilvl w:val="0"/>
          <w:numId w:val="54"/>
        </w:numPr>
        <w:contextualSpacing/>
        <w:jc w:val="both"/>
        <w:rPr>
          <w:rFonts w:ascii="Arial" w:hAnsi="Arial" w:cs="Arial"/>
          <w:sz w:val="24"/>
          <w:szCs w:val="24"/>
        </w:rPr>
      </w:pPr>
      <w:r w:rsidRPr="00212F68">
        <w:rPr>
          <w:rFonts w:ascii="Arial" w:hAnsi="Arial" w:cs="Arial"/>
          <w:sz w:val="24"/>
          <w:szCs w:val="24"/>
        </w:rPr>
        <w:t xml:space="preserve">In 2011 there were 32,256 residents who classified themselves as a </w:t>
      </w:r>
      <w:proofErr w:type="spellStart"/>
      <w:r w:rsidRPr="00212F68">
        <w:rPr>
          <w:rFonts w:ascii="Arial" w:hAnsi="Arial" w:cs="Arial"/>
          <w:sz w:val="24"/>
          <w:szCs w:val="24"/>
        </w:rPr>
        <w:t>carer</w:t>
      </w:r>
      <w:proofErr w:type="spellEnd"/>
      <w:r w:rsidRPr="00212F68">
        <w:rPr>
          <w:rFonts w:ascii="Arial" w:hAnsi="Arial" w:cs="Arial"/>
          <w:sz w:val="24"/>
          <w:szCs w:val="24"/>
        </w:rPr>
        <w:t xml:space="preserve"> in Barnet. The 25-49 year old age group had the largest number of carers (12,746). </w:t>
      </w:r>
    </w:p>
    <w:p w:rsidR="005B76FC" w:rsidRPr="00212F68" w:rsidRDefault="005B76FC" w:rsidP="000637B3">
      <w:pPr>
        <w:numPr>
          <w:ilvl w:val="0"/>
          <w:numId w:val="54"/>
        </w:numPr>
        <w:spacing w:after="0"/>
        <w:contextualSpacing/>
        <w:jc w:val="both"/>
        <w:rPr>
          <w:rFonts w:ascii="Arial" w:hAnsi="Arial" w:cs="Arial"/>
          <w:sz w:val="24"/>
          <w:szCs w:val="24"/>
        </w:rPr>
      </w:pPr>
      <w:r w:rsidRPr="00212F68">
        <w:rPr>
          <w:rFonts w:ascii="Arial" w:hAnsi="Arial" w:cs="Arial"/>
          <w:b/>
          <w:sz w:val="24"/>
          <w:szCs w:val="24"/>
        </w:rPr>
        <w:t>Carers</w:t>
      </w:r>
      <w:r w:rsidRPr="00212F68">
        <w:rPr>
          <w:rFonts w:ascii="Arial" w:hAnsi="Arial" w:cs="Arial"/>
          <w:sz w:val="24"/>
          <w:szCs w:val="24"/>
        </w:rPr>
        <w:t xml:space="preserve"> </w:t>
      </w:r>
      <w:r w:rsidRPr="00212F68">
        <w:rPr>
          <w:rFonts w:ascii="Arial" w:hAnsi="Arial" w:cs="Arial"/>
          <w:b/>
          <w:sz w:val="24"/>
          <w:szCs w:val="24"/>
        </w:rPr>
        <w:t>have the potential</w:t>
      </w:r>
      <w:r w:rsidRPr="00212F68">
        <w:rPr>
          <w:rFonts w:ascii="Arial" w:hAnsi="Arial" w:cs="Arial"/>
          <w:sz w:val="24"/>
          <w:szCs w:val="24"/>
        </w:rPr>
        <w:t xml:space="preserve"> to make </w:t>
      </w:r>
      <w:r w:rsidRPr="00212F68">
        <w:rPr>
          <w:rFonts w:ascii="Arial" w:hAnsi="Arial" w:cs="Arial"/>
          <w:b/>
          <w:sz w:val="24"/>
          <w:szCs w:val="24"/>
        </w:rPr>
        <w:t>significant savings to health and social care services</w:t>
      </w:r>
      <w:r w:rsidRPr="00212F68">
        <w:rPr>
          <w:rFonts w:ascii="Arial" w:hAnsi="Arial" w:cs="Arial"/>
          <w:sz w:val="24"/>
          <w:szCs w:val="24"/>
        </w:rPr>
        <w:t xml:space="preserve"> each year. However, on average </w:t>
      </w:r>
      <w:r w:rsidRPr="00212F68">
        <w:rPr>
          <w:rFonts w:ascii="Arial" w:hAnsi="Arial" w:cs="Arial"/>
          <w:b/>
          <w:sz w:val="24"/>
          <w:szCs w:val="24"/>
        </w:rPr>
        <w:t>carers are more likely to report having poor health than non-carers</w:t>
      </w:r>
      <w:r w:rsidRPr="00212F68">
        <w:rPr>
          <w:rFonts w:ascii="Arial" w:hAnsi="Arial" w:cs="Arial"/>
          <w:sz w:val="24"/>
          <w:szCs w:val="24"/>
        </w:rPr>
        <w:t xml:space="preserve">, especially amongst carers who deliver in excess of 50 hours of care per week. </w:t>
      </w:r>
    </w:p>
    <w:p w:rsidR="005B76FC" w:rsidRPr="00212F68" w:rsidRDefault="005B76FC" w:rsidP="000637B3">
      <w:pPr>
        <w:numPr>
          <w:ilvl w:val="0"/>
          <w:numId w:val="54"/>
        </w:numPr>
        <w:contextualSpacing/>
        <w:jc w:val="both"/>
        <w:rPr>
          <w:rFonts w:ascii="Arial" w:hAnsi="Arial" w:cs="Arial"/>
          <w:sz w:val="24"/>
          <w:szCs w:val="24"/>
        </w:rPr>
      </w:pPr>
      <w:r w:rsidRPr="00212F68">
        <w:rPr>
          <w:rFonts w:ascii="Arial" w:hAnsi="Arial" w:cs="Arial"/>
          <w:b/>
          <w:sz w:val="24"/>
          <w:szCs w:val="24"/>
        </w:rPr>
        <w:t>Demand for carers is projected to grow</w:t>
      </w:r>
      <w:r w:rsidRPr="00212F68">
        <w:rPr>
          <w:rFonts w:ascii="Arial" w:hAnsi="Arial" w:cs="Arial"/>
          <w:sz w:val="24"/>
          <w:szCs w:val="24"/>
        </w:rPr>
        <w:t xml:space="preserve"> with the increase in life expectancy, the increase in people living with a disability needing care and with the changes to community based support services.  </w:t>
      </w:r>
    </w:p>
    <w:p w:rsidR="005B76FC" w:rsidRPr="00212F68" w:rsidRDefault="005B76FC" w:rsidP="000637B3">
      <w:pPr>
        <w:numPr>
          <w:ilvl w:val="0"/>
          <w:numId w:val="54"/>
        </w:numPr>
        <w:contextualSpacing/>
        <w:jc w:val="both"/>
        <w:rPr>
          <w:rFonts w:ascii="Arial" w:hAnsi="Arial" w:cs="Arial"/>
          <w:sz w:val="24"/>
          <w:szCs w:val="24"/>
        </w:rPr>
      </w:pPr>
      <w:r w:rsidRPr="00212F68">
        <w:rPr>
          <w:rFonts w:ascii="Arial" w:hAnsi="Arial" w:cs="Arial"/>
          <w:b/>
          <w:sz w:val="24"/>
          <w:szCs w:val="24"/>
        </w:rPr>
        <w:t>Barnet</w:t>
      </w:r>
      <w:r w:rsidRPr="00212F68">
        <w:rPr>
          <w:rFonts w:ascii="Arial" w:hAnsi="Arial" w:cs="Arial"/>
          <w:sz w:val="24"/>
          <w:szCs w:val="24"/>
        </w:rPr>
        <w:t xml:space="preserve"> has a </w:t>
      </w:r>
      <w:r w:rsidRPr="00212F68">
        <w:rPr>
          <w:rFonts w:ascii="Arial" w:hAnsi="Arial" w:cs="Arial"/>
          <w:b/>
          <w:sz w:val="24"/>
          <w:szCs w:val="24"/>
        </w:rPr>
        <w:t>higher population of people with dementia than</w:t>
      </w:r>
      <w:r w:rsidRPr="00212F68">
        <w:rPr>
          <w:rFonts w:ascii="Arial" w:hAnsi="Arial" w:cs="Arial"/>
          <w:sz w:val="24"/>
          <w:szCs w:val="24"/>
        </w:rPr>
        <w:t xml:space="preserve"> </w:t>
      </w:r>
      <w:r w:rsidRPr="00212F68">
        <w:rPr>
          <w:rFonts w:ascii="Arial" w:hAnsi="Arial" w:cs="Arial"/>
          <w:b/>
          <w:sz w:val="24"/>
          <w:szCs w:val="24"/>
        </w:rPr>
        <w:t>many London Boroughs</w:t>
      </w:r>
      <w:r w:rsidRPr="00212F68">
        <w:rPr>
          <w:rFonts w:ascii="Arial" w:hAnsi="Arial" w:cs="Arial"/>
          <w:sz w:val="24"/>
          <w:szCs w:val="24"/>
        </w:rPr>
        <w:t xml:space="preserve"> and the </w:t>
      </w:r>
      <w:r w:rsidRPr="00212F68">
        <w:rPr>
          <w:rFonts w:ascii="Arial" w:hAnsi="Arial" w:cs="Arial"/>
          <w:b/>
          <w:sz w:val="24"/>
          <w:szCs w:val="24"/>
        </w:rPr>
        <w:t>highest number of care home places</w:t>
      </w:r>
      <w:r w:rsidRPr="00212F68">
        <w:rPr>
          <w:rFonts w:ascii="Arial" w:hAnsi="Arial" w:cs="Arial"/>
          <w:sz w:val="24"/>
          <w:szCs w:val="24"/>
        </w:rPr>
        <w:t xml:space="preserve"> registered </w:t>
      </w:r>
      <w:r w:rsidRPr="00212F68">
        <w:rPr>
          <w:rFonts w:ascii="Arial" w:hAnsi="Arial" w:cs="Arial"/>
          <w:b/>
          <w:sz w:val="24"/>
          <w:szCs w:val="24"/>
        </w:rPr>
        <w:t>for dementia per 100 population</w:t>
      </w:r>
      <w:r w:rsidRPr="00212F68">
        <w:rPr>
          <w:rFonts w:ascii="Arial" w:hAnsi="Arial" w:cs="Arial"/>
          <w:sz w:val="24"/>
          <w:szCs w:val="24"/>
        </w:rPr>
        <w:t xml:space="preserve"> aged 65 and over in London. </w:t>
      </w:r>
      <w:r w:rsidRPr="00212F68">
        <w:rPr>
          <w:rFonts w:ascii="Arial" w:hAnsi="Arial" w:cs="Arial"/>
          <w:b/>
          <w:sz w:val="24"/>
          <w:szCs w:val="24"/>
        </w:rPr>
        <w:t>By 2021</w:t>
      </w:r>
      <w:r>
        <w:rPr>
          <w:rFonts w:ascii="Arial" w:hAnsi="Arial" w:cs="Arial"/>
          <w:b/>
          <w:sz w:val="24"/>
          <w:szCs w:val="24"/>
        </w:rPr>
        <w:t>,</w:t>
      </w:r>
      <w:r w:rsidRPr="00212F68">
        <w:rPr>
          <w:rFonts w:ascii="Arial" w:hAnsi="Arial" w:cs="Arial"/>
          <w:sz w:val="24"/>
          <w:szCs w:val="24"/>
        </w:rPr>
        <w:t xml:space="preserve"> </w:t>
      </w:r>
      <w:r w:rsidRPr="00212F68">
        <w:rPr>
          <w:rFonts w:ascii="Arial" w:hAnsi="Arial" w:cs="Arial"/>
          <w:b/>
          <w:sz w:val="24"/>
          <w:szCs w:val="24"/>
        </w:rPr>
        <w:t>the number of people with dementia</w:t>
      </w:r>
      <w:r w:rsidRPr="00212F68">
        <w:rPr>
          <w:rFonts w:ascii="Arial" w:hAnsi="Arial" w:cs="Arial"/>
          <w:sz w:val="24"/>
          <w:szCs w:val="24"/>
        </w:rPr>
        <w:t xml:space="preserve"> in Barnet is expected to </w:t>
      </w:r>
      <w:r w:rsidRPr="00212F68">
        <w:rPr>
          <w:rFonts w:ascii="Arial" w:hAnsi="Arial" w:cs="Arial"/>
          <w:b/>
          <w:sz w:val="24"/>
          <w:szCs w:val="24"/>
        </w:rPr>
        <w:t>increase by 24%</w:t>
      </w:r>
      <w:r w:rsidRPr="00212F68">
        <w:rPr>
          <w:rFonts w:ascii="Arial" w:hAnsi="Arial" w:cs="Arial"/>
          <w:sz w:val="24"/>
          <w:szCs w:val="24"/>
        </w:rPr>
        <w:t xml:space="preserve"> compared with a London-wide figure of 19%.</w:t>
      </w:r>
    </w:p>
    <w:p w:rsidR="005B76FC" w:rsidRPr="00212F68" w:rsidRDefault="005B76FC" w:rsidP="008921BF">
      <w:pPr>
        <w:keepNext/>
        <w:keepLines/>
        <w:numPr>
          <w:ilvl w:val="0"/>
          <w:numId w:val="112"/>
        </w:numPr>
        <w:spacing w:before="480" w:after="240"/>
        <w:outlineLvl w:val="0"/>
        <w:rPr>
          <w:rFonts w:ascii="Arial" w:eastAsiaTheme="majorEastAsia" w:hAnsi="Arial" w:cs="Arial"/>
          <w:b/>
          <w:bCs/>
          <w:vanish/>
          <w:color w:val="365F91" w:themeColor="accent1" w:themeShade="BF"/>
          <w:sz w:val="24"/>
          <w:szCs w:val="24"/>
        </w:rPr>
      </w:pPr>
      <w:bookmarkStart w:id="306" w:name="_Toc427237121"/>
      <w:bookmarkStart w:id="307" w:name="_Toc427239112"/>
      <w:bookmarkStart w:id="308" w:name="_Toc427239295"/>
      <w:bookmarkStart w:id="309" w:name="_Toc427239479"/>
      <w:bookmarkStart w:id="310" w:name="_Toc427241451"/>
      <w:bookmarkStart w:id="311" w:name="_Toc427247106"/>
      <w:bookmarkStart w:id="312" w:name="_Toc427312383"/>
      <w:bookmarkStart w:id="313" w:name="_Toc427312566"/>
      <w:bookmarkStart w:id="314" w:name="_Toc427319758"/>
      <w:bookmarkStart w:id="315" w:name="_Toc427323145"/>
      <w:bookmarkStart w:id="316" w:name="_Toc427323329"/>
      <w:bookmarkStart w:id="317" w:name="_Toc427323825"/>
      <w:bookmarkStart w:id="318" w:name="_Toc427324130"/>
      <w:bookmarkStart w:id="319" w:name="_Toc427327348"/>
      <w:bookmarkStart w:id="320" w:name="_Toc427676380"/>
      <w:bookmarkStart w:id="321" w:name="_Toc427676564"/>
      <w:bookmarkStart w:id="322" w:name="_Toc427738519"/>
      <w:bookmarkStart w:id="323" w:name="_Toc427762970"/>
      <w:bookmarkStart w:id="324" w:name="_Toc427763165"/>
      <w:bookmarkStart w:id="325" w:name="_Toc427830163"/>
      <w:bookmarkStart w:id="326" w:name="_Toc427830358"/>
      <w:bookmarkStart w:id="327" w:name="_Toc428344097"/>
      <w:bookmarkStart w:id="328" w:name="_Toc430871125"/>
      <w:bookmarkStart w:id="329" w:name="_Toc431198826"/>
      <w:bookmarkStart w:id="330" w:name="_Toc431225103"/>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p>
    <w:p w:rsidR="005B76FC" w:rsidRPr="00212F68" w:rsidRDefault="005B76FC" w:rsidP="005B76FC">
      <w:pPr>
        <w:keepNext/>
        <w:keepLines/>
        <w:spacing w:after="0"/>
        <w:outlineLvl w:val="0"/>
        <w:rPr>
          <w:rFonts w:ascii="Arial" w:eastAsiaTheme="majorEastAsia" w:hAnsi="Arial" w:cs="Arial"/>
          <w:b/>
          <w:bCs/>
          <w:color w:val="365F91" w:themeColor="accent1" w:themeShade="BF"/>
          <w:sz w:val="28"/>
          <w:szCs w:val="24"/>
        </w:rPr>
      </w:pPr>
      <w:bookmarkStart w:id="331" w:name="_Toc424292019"/>
    </w:p>
    <w:p w:rsidR="005B76FC" w:rsidRPr="00212F68" w:rsidRDefault="005B76FC" w:rsidP="005B76FC">
      <w:pPr>
        <w:keepNext/>
        <w:keepLines/>
        <w:spacing w:after="0"/>
        <w:outlineLvl w:val="0"/>
        <w:rPr>
          <w:rFonts w:ascii="Arial" w:eastAsiaTheme="majorEastAsia" w:hAnsi="Arial" w:cs="Arial"/>
          <w:b/>
          <w:bCs/>
          <w:color w:val="365F91" w:themeColor="accent1" w:themeShade="BF"/>
          <w:sz w:val="28"/>
          <w:szCs w:val="24"/>
        </w:rPr>
      </w:pPr>
      <w:bookmarkStart w:id="332" w:name="_Toc427237122"/>
      <w:bookmarkStart w:id="333" w:name="_Toc427239296"/>
      <w:bookmarkStart w:id="334" w:name="_Toc427239480"/>
      <w:bookmarkStart w:id="335" w:name="_Toc427241452"/>
      <w:bookmarkStart w:id="336" w:name="_Toc427247107"/>
      <w:bookmarkStart w:id="337" w:name="_Toc427312567"/>
      <w:bookmarkStart w:id="338" w:name="_Toc427324131"/>
      <w:bookmarkStart w:id="339" w:name="_Toc427327349"/>
      <w:bookmarkStart w:id="340" w:name="_Toc427676565"/>
      <w:bookmarkStart w:id="341" w:name="_Toc427738520"/>
      <w:bookmarkStart w:id="342" w:name="_Toc427763166"/>
      <w:bookmarkStart w:id="343" w:name="_Toc427830359"/>
      <w:bookmarkStart w:id="344" w:name="_Toc428344098"/>
      <w:bookmarkStart w:id="345" w:name="_Toc430871126"/>
      <w:bookmarkStart w:id="346" w:name="_Toc431198827"/>
      <w:bookmarkStart w:id="347" w:name="_Toc431225104"/>
      <w:r w:rsidRPr="00212F68">
        <w:rPr>
          <w:rFonts w:ascii="Arial" w:eastAsiaTheme="majorEastAsia" w:hAnsi="Arial" w:cs="Arial"/>
          <w:b/>
          <w:bCs/>
          <w:color w:val="365F91" w:themeColor="accent1" w:themeShade="BF"/>
          <w:sz w:val="28"/>
          <w:szCs w:val="24"/>
        </w:rPr>
        <w:t>8: Community Safety</w:t>
      </w:r>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r w:rsidRPr="00212F68">
        <w:rPr>
          <w:rFonts w:ascii="Arial" w:eastAsiaTheme="majorEastAsia" w:hAnsi="Arial" w:cs="Arial"/>
          <w:b/>
          <w:bCs/>
          <w:color w:val="365F91" w:themeColor="accent1" w:themeShade="BF"/>
          <w:sz w:val="28"/>
          <w:szCs w:val="24"/>
        </w:rPr>
        <w:t xml:space="preserve"> </w:t>
      </w:r>
    </w:p>
    <w:p w:rsidR="005B76FC" w:rsidRPr="00212F68" w:rsidRDefault="005B76FC" w:rsidP="005B76FC">
      <w:pPr>
        <w:keepNext/>
        <w:keepLines/>
        <w:spacing w:after="0"/>
        <w:outlineLvl w:val="0"/>
        <w:rPr>
          <w:rFonts w:ascii="Arial" w:eastAsiaTheme="majorEastAsia" w:hAnsi="Arial" w:cs="Arial"/>
          <w:b/>
          <w:bCs/>
          <w:color w:val="365F91" w:themeColor="accent1" w:themeShade="BF"/>
          <w:sz w:val="14"/>
          <w:szCs w:val="24"/>
        </w:rPr>
      </w:pPr>
    </w:p>
    <w:p w:rsidR="005B76FC" w:rsidRPr="00212F68" w:rsidRDefault="005B76FC" w:rsidP="008921BF">
      <w:pPr>
        <w:numPr>
          <w:ilvl w:val="0"/>
          <w:numId w:val="73"/>
        </w:numPr>
        <w:spacing w:after="0"/>
        <w:ind w:left="714" w:hanging="357"/>
        <w:contextualSpacing/>
        <w:jc w:val="both"/>
        <w:rPr>
          <w:rFonts w:ascii="Arial" w:hAnsi="Arial" w:cs="Arial"/>
          <w:color w:val="000000"/>
          <w:sz w:val="24"/>
          <w:szCs w:val="24"/>
        </w:rPr>
      </w:pPr>
      <w:r w:rsidRPr="00212F68">
        <w:rPr>
          <w:rFonts w:ascii="Arial" w:hAnsi="Arial" w:cs="Arial"/>
          <w:b/>
          <w:color w:val="000000"/>
          <w:sz w:val="24"/>
          <w:szCs w:val="24"/>
        </w:rPr>
        <w:t xml:space="preserve">Barnet has the 5th highest rate of Residential burglary out of the 32 London Boroughs </w:t>
      </w:r>
      <w:r w:rsidRPr="00212F68">
        <w:rPr>
          <w:rFonts w:ascii="Arial" w:hAnsi="Arial" w:cs="Arial"/>
          <w:color w:val="000000"/>
          <w:sz w:val="24"/>
          <w:szCs w:val="24"/>
        </w:rPr>
        <w:t xml:space="preserve">(per 1000 households). The rate of residential burglary climbed substantially between 2008 and 2012; despite a sharp fall since April 2013 burglary remains above the London average and is still a prominent issue of community concern. </w:t>
      </w:r>
    </w:p>
    <w:p w:rsidR="005B76FC" w:rsidRPr="00212F68" w:rsidRDefault="005B76FC" w:rsidP="008921BF">
      <w:pPr>
        <w:numPr>
          <w:ilvl w:val="0"/>
          <w:numId w:val="70"/>
        </w:numPr>
        <w:spacing w:after="0"/>
        <w:ind w:left="714" w:hanging="357"/>
        <w:contextualSpacing/>
        <w:jc w:val="both"/>
        <w:rPr>
          <w:rFonts w:ascii="Arial" w:hAnsi="Arial" w:cs="Arial"/>
          <w:color w:val="000000"/>
          <w:sz w:val="24"/>
          <w:szCs w:val="24"/>
        </w:rPr>
      </w:pPr>
      <w:r w:rsidRPr="00212F68">
        <w:rPr>
          <w:rFonts w:ascii="Arial" w:hAnsi="Arial" w:cs="Arial"/>
          <w:color w:val="000000"/>
          <w:sz w:val="24"/>
          <w:szCs w:val="24"/>
        </w:rPr>
        <w:t xml:space="preserve">Across the Borough </w:t>
      </w:r>
      <w:r w:rsidRPr="00212F68">
        <w:rPr>
          <w:rFonts w:ascii="Arial" w:hAnsi="Arial" w:cs="Arial"/>
          <w:b/>
          <w:color w:val="000000"/>
          <w:sz w:val="24"/>
          <w:szCs w:val="24"/>
        </w:rPr>
        <w:t>the cost of recorded crime is estimated at over £73.9 million</w:t>
      </w:r>
      <w:r w:rsidRPr="00212F68">
        <w:rPr>
          <w:rFonts w:ascii="Arial" w:hAnsi="Arial" w:cs="Arial"/>
          <w:color w:val="000000"/>
          <w:sz w:val="24"/>
          <w:szCs w:val="24"/>
        </w:rPr>
        <w:t xml:space="preserve"> in the 12 months up to Feb 2014.  When considering underreporting the </w:t>
      </w:r>
      <w:r w:rsidRPr="00212F68">
        <w:rPr>
          <w:rFonts w:ascii="Arial" w:hAnsi="Arial" w:cs="Arial"/>
          <w:b/>
          <w:color w:val="000000"/>
          <w:sz w:val="24"/>
          <w:szCs w:val="24"/>
        </w:rPr>
        <w:t>true cost could be nearer £169 million.</w:t>
      </w:r>
      <w:r w:rsidRPr="00212F68">
        <w:rPr>
          <w:rFonts w:ascii="Arial" w:hAnsi="Arial" w:cs="Arial"/>
          <w:color w:val="000000"/>
          <w:sz w:val="24"/>
          <w:szCs w:val="24"/>
        </w:rPr>
        <w:t xml:space="preserve"> The reduction in crime achieved in the last 12 months equates to an estimated saving of £1.7 million over the 12 months.</w:t>
      </w:r>
    </w:p>
    <w:p w:rsidR="005B76FC" w:rsidRPr="00212F68" w:rsidRDefault="005B76FC" w:rsidP="008921BF">
      <w:pPr>
        <w:numPr>
          <w:ilvl w:val="0"/>
          <w:numId w:val="70"/>
        </w:numPr>
        <w:spacing w:after="0"/>
        <w:ind w:left="714" w:hanging="357"/>
        <w:contextualSpacing/>
        <w:jc w:val="both"/>
        <w:rPr>
          <w:rFonts w:ascii="Arial" w:hAnsi="Arial" w:cs="Arial"/>
          <w:color w:val="000000"/>
          <w:sz w:val="24"/>
          <w:szCs w:val="24"/>
        </w:rPr>
      </w:pPr>
      <w:r w:rsidRPr="00212F68">
        <w:rPr>
          <w:rFonts w:ascii="Arial" w:hAnsi="Arial" w:cs="Arial"/>
          <w:color w:val="000000"/>
          <w:sz w:val="24"/>
          <w:szCs w:val="24"/>
        </w:rPr>
        <w:t xml:space="preserve">There is evidence that young people are significantly more likely to be a victim of crime, </w:t>
      </w:r>
      <w:r w:rsidRPr="00212F68">
        <w:rPr>
          <w:rFonts w:ascii="Arial" w:hAnsi="Arial" w:cs="Arial"/>
          <w:b/>
          <w:color w:val="000000"/>
          <w:sz w:val="24"/>
          <w:szCs w:val="24"/>
        </w:rPr>
        <w:t>and also that they are less likely to report that they have been a victim of crime</w:t>
      </w:r>
      <w:r w:rsidRPr="00212F68">
        <w:rPr>
          <w:rFonts w:ascii="Arial" w:hAnsi="Arial" w:cs="Arial"/>
          <w:color w:val="000000"/>
          <w:sz w:val="24"/>
          <w:szCs w:val="24"/>
        </w:rPr>
        <w:t xml:space="preserve">. More work is needed to understand this phenomenon and to </w:t>
      </w:r>
      <w:r>
        <w:rPr>
          <w:rFonts w:ascii="Arial" w:hAnsi="Arial" w:cs="Arial"/>
          <w:color w:val="000000"/>
          <w:sz w:val="24"/>
          <w:szCs w:val="24"/>
        </w:rPr>
        <w:t>address</w:t>
      </w:r>
      <w:r w:rsidRPr="00212F68">
        <w:rPr>
          <w:rFonts w:ascii="Arial" w:hAnsi="Arial" w:cs="Arial"/>
          <w:color w:val="000000"/>
          <w:sz w:val="24"/>
          <w:szCs w:val="24"/>
        </w:rPr>
        <w:t xml:space="preserve"> </w:t>
      </w:r>
      <w:r>
        <w:rPr>
          <w:rFonts w:ascii="Arial" w:hAnsi="Arial" w:cs="Arial"/>
          <w:color w:val="000000"/>
          <w:sz w:val="24"/>
          <w:szCs w:val="24"/>
        </w:rPr>
        <w:t xml:space="preserve">possible </w:t>
      </w:r>
      <w:r w:rsidRPr="00212F68">
        <w:rPr>
          <w:rFonts w:ascii="Arial" w:hAnsi="Arial" w:cs="Arial"/>
          <w:color w:val="000000"/>
          <w:sz w:val="24"/>
          <w:szCs w:val="24"/>
        </w:rPr>
        <w:t>underreporting.</w:t>
      </w:r>
    </w:p>
    <w:p w:rsidR="005B76FC" w:rsidRPr="00212F68" w:rsidRDefault="005B76FC" w:rsidP="008921BF">
      <w:pPr>
        <w:numPr>
          <w:ilvl w:val="0"/>
          <w:numId w:val="70"/>
        </w:numPr>
        <w:spacing w:after="0"/>
        <w:ind w:left="714" w:hanging="357"/>
        <w:contextualSpacing/>
        <w:jc w:val="both"/>
        <w:rPr>
          <w:rFonts w:ascii="Arial" w:hAnsi="Arial" w:cs="Arial"/>
          <w:color w:val="000000"/>
          <w:sz w:val="24"/>
          <w:szCs w:val="24"/>
        </w:rPr>
      </w:pPr>
      <w:r>
        <w:rPr>
          <w:rFonts w:ascii="Arial" w:hAnsi="Arial" w:cs="Arial"/>
          <w:b/>
          <w:color w:val="000000"/>
          <w:sz w:val="24"/>
          <w:szCs w:val="24"/>
        </w:rPr>
        <w:lastRenderedPageBreak/>
        <w:t>Despite constituting just 6.5% of offences, v</w:t>
      </w:r>
      <w:r w:rsidRPr="00212F68">
        <w:rPr>
          <w:rFonts w:ascii="Arial" w:hAnsi="Arial" w:cs="Arial"/>
          <w:b/>
          <w:color w:val="000000"/>
          <w:sz w:val="24"/>
          <w:szCs w:val="24"/>
        </w:rPr>
        <w:t>iolent assaults</w:t>
      </w:r>
      <w:r w:rsidRPr="00212F68">
        <w:rPr>
          <w:rFonts w:ascii="Arial" w:hAnsi="Arial" w:cs="Arial"/>
          <w:color w:val="000000"/>
          <w:sz w:val="24"/>
          <w:szCs w:val="24"/>
        </w:rPr>
        <w:t xml:space="preserve"> (ABH and GBH) </w:t>
      </w:r>
      <w:r w:rsidRPr="00212F68">
        <w:rPr>
          <w:rFonts w:ascii="Arial" w:hAnsi="Arial" w:cs="Arial"/>
          <w:b/>
          <w:color w:val="000000"/>
          <w:sz w:val="24"/>
          <w:szCs w:val="24"/>
        </w:rPr>
        <w:t>have the greatest associated costs, accounting for 29% of the total costs</w:t>
      </w:r>
      <w:r>
        <w:rPr>
          <w:rFonts w:ascii="Arial" w:hAnsi="Arial" w:cs="Arial"/>
          <w:b/>
          <w:color w:val="000000"/>
          <w:sz w:val="24"/>
          <w:szCs w:val="24"/>
        </w:rPr>
        <w:t>.</w:t>
      </w:r>
    </w:p>
    <w:p w:rsidR="005B76FC" w:rsidRPr="00212F68" w:rsidRDefault="005B76FC" w:rsidP="008921BF">
      <w:pPr>
        <w:numPr>
          <w:ilvl w:val="0"/>
          <w:numId w:val="70"/>
        </w:numPr>
        <w:spacing w:after="0"/>
        <w:ind w:left="714" w:hanging="357"/>
        <w:contextualSpacing/>
        <w:jc w:val="both"/>
        <w:textAlignment w:val="baseline"/>
        <w:rPr>
          <w:rFonts w:ascii="Arial" w:eastAsiaTheme="minorEastAsia" w:hAnsi="Arial" w:cs="Arial"/>
          <w:kern w:val="24"/>
          <w:sz w:val="24"/>
          <w:szCs w:val="24"/>
          <w:lang w:eastAsia="en-GB"/>
        </w:rPr>
      </w:pPr>
      <w:r w:rsidRPr="00212F68">
        <w:rPr>
          <w:rFonts w:ascii="Arial" w:eastAsiaTheme="minorEastAsia" w:hAnsi="Arial" w:cs="Arial"/>
          <w:b/>
          <w:iCs/>
          <w:kern w:val="24"/>
          <w:sz w:val="24"/>
          <w:szCs w:val="24"/>
          <w:lang w:eastAsia="en-GB"/>
        </w:rPr>
        <w:t xml:space="preserve">Domestic violence is more familiar and bedded down within some services and organisations than other Violence </w:t>
      </w:r>
      <w:proofErr w:type="gramStart"/>
      <w:r w:rsidRPr="00212F68">
        <w:rPr>
          <w:rFonts w:ascii="Arial" w:eastAsiaTheme="minorEastAsia" w:hAnsi="Arial" w:cs="Arial"/>
          <w:b/>
          <w:iCs/>
          <w:kern w:val="24"/>
          <w:sz w:val="24"/>
          <w:szCs w:val="24"/>
          <w:lang w:eastAsia="en-GB"/>
        </w:rPr>
        <w:t>Against</w:t>
      </w:r>
      <w:proofErr w:type="gramEnd"/>
      <w:r w:rsidRPr="00212F68">
        <w:rPr>
          <w:rFonts w:ascii="Arial" w:eastAsiaTheme="minorEastAsia" w:hAnsi="Arial" w:cs="Arial"/>
          <w:b/>
          <w:iCs/>
          <w:kern w:val="24"/>
          <w:sz w:val="24"/>
          <w:szCs w:val="24"/>
          <w:lang w:eastAsia="en-GB"/>
        </w:rPr>
        <w:t xml:space="preserve"> Women and Girls (VAWG) issues</w:t>
      </w:r>
      <w:r w:rsidRPr="00212F68">
        <w:rPr>
          <w:rFonts w:ascii="Arial" w:eastAsiaTheme="minorEastAsia" w:hAnsi="Arial" w:cs="Arial"/>
          <w:iCs/>
          <w:kern w:val="24"/>
          <w:sz w:val="24"/>
          <w:szCs w:val="24"/>
          <w:lang w:eastAsia="en-GB"/>
        </w:rPr>
        <w:t xml:space="preserve">; further work needs to take place to identify if </w:t>
      </w:r>
      <w:r w:rsidRPr="00212F68">
        <w:rPr>
          <w:rFonts w:ascii="Arial" w:eastAsiaTheme="minorEastAsia" w:hAnsi="Arial" w:cs="Arial"/>
          <w:kern w:val="24"/>
          <w:sz w:val="24"/>
          <w:szCs w:val="24"/>
          <w:lang w:eastAsia="en-GB"/>
        </w:rPr>
        <w:t>additional</w:t>
      </w:r>
      <w:r w:rsidRPr="00212F68">
        <w:rPr>
          <w:rFonts w:ascii="Arial" w:eastAsiaTheme="minorEastAsia" w:hAnsi="Arial" w:cs="Arial"/>
          <w:iCs/>
          <w:kern w:val="24"/>
          <w:sz w:val="24"/>
          <w:szCs w:val="24"/>
          <w:lang w:eastAsia="en-GB"/>
        </w:rPr>
        <w:t xml:space="preserve"> VAWG services are needed within the Borough.</w:t>
      </w:r>
    </w:p>
    <w:p w:rsidR="005B76FC" w:rsidRPr="00212F68" w:rsidRDefault="005B76FC" w:rsidP="005B76FC">
      <w:pPr>
        <w:spacing w:after="240"/>
        <w:ind w:left="360"/>
        <w:contextualSpacing/>
        <w:jc w:val="both"/>
        <w:textAlignment w:val="baseline"/>
        <w:rPr>
          <w:rFonts w:ascii="Arial" w:eastAsiaTheme="minorEastAsia" w:hAnsi="Arial" w:cs="Arial"/>
          <w:kern w:val="24"/>
          <w:sz w:val="24"/>
          <w:szCs w:val="24"/>
          <w:lang w:eastAsia="en-GB"/>
        </w:rPr>
      </w:pPr>
    </w:p>
    <w:p w:rsidR="005B76FC" w:rsidRPr="00212F68" w:rsidRDefault="005B76FC" w:rsidP="005B76FC">
      <w:pPr>
        <w:keepNext/>
        <w:keepLines/>
        <w:spacing w:after="0"/>
        <w:outlineLvl w:val="0"/>
        <w:rPr>
          <w:rFonts w:ascii="Arial" w:eastAsiaTheme="majorEastAsia" w:hAnsi="Arial" w:cs="Arial"/>
          <w:b/>
          <w:bCs/>
          <w:color w:val="365F91" w:themeColor="accent1" w:themeShade="BF"/>
          <w:sz w:val="28"/>
          <w:szCs w:val="24"/>
        </w:rPr>
      </w:pPr>
      <w:bookmarkStart w:id="348" w:name="_Toc424292036"/>
      <w:bookmarkStart w:id="349" w:name="_Toc427237123"/>
      <w:bookmarkStart w:id="350" w:name="_Toc427239297"/>
      <w:bookmarkStart w:id="351" w:name="_Toc427239481"/>
      <w:bookmarkStart w:id="352" w:name="_Toc427241453"/>
      <w:bookmarkStart w:id="353" w:name="_Toc427247108"/>
      <w:bookmarkStart w:id="354" w:name="_Toc427312568"/>
      <w:bookmarkStart w:id="355" w:name="_Toc427324132"/>
      <w:bookmarkStart w:id="356" w:name="_Toc427327350"/>
      <w:bookmarkStart w:id="357" w:name="_Toc427676566"/>
      <w:bookmarkStart w:id="358" w:name="_Toc427738521"/>
      <w:bookmarkStart w:id="359" w:name="_Toc427763167"/>
      <w:bookmarkStart w:id="360" w:name="_Toc427830360"/>
      <w:bookmarkStart w:id="361" w:name="_Toc428344099"/>
      <w:bookmarkStart w:id="362" w:name="_Toc430871127"/>
      <w:bookmarkStart w:id="363" w:name="_Toc431198828"/>
      <w:bookmarkStart w:id="364" w:name="_Toc431225105"/>
      <w:r w:rsidRPr="00212F68">
        <w:rPr>
          <w:rFonts w:ascii="Arial" w:eastAsiaTheme="majorEastAsia" w:hAnsi="Arial" w:cs="Arial"/>
          <w:b/>
          <w:bCs/>
          <w:color w:val="365F91" w:themeColor="accent1" w:themeShade="BF"/>
          <w:sz w:val="28"/>
          <w:szCs w:val="24"/>
        </w:rPr>
        <w:t>9: Community Assets</w:t>
      </w:r>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p>
    <w:p w:rsidR="005B76FC" w:rsidRPr="00212F68" w:rsidRDefault="005B76FC" w:rsidP="005B76FC">
      <w:pPr>
        <w:keepNext/>
        <w:keepLines/>
        <w:spacing w:after="0"/>
        <w:outlineLvl w:val="0"/>
        <w:rPr>
          <w:rFonts w:ascii="Arial" w:eastAsiaTheme="majorEastAsia" w:hAnsi="Arial" w:cs="Arial"/>
          <w:b/>
          <w:bCs/>
          <w:color w:val="365F91" w:themeColor="accent1" w:themeShade="BF"/>
          <w:sz w:val="14"/>
          <w:szCs w:val="24"/>
        </w:rPr>
      </w:pPr>
    </w:p>
    <w:p w:rsidR="005B76FC" w:rsidRPr="00212F68" w:rsidRDefault="005B76FC" w:rsidP="008921BF">
      <w:pPr>
        <w:numPr>
          <w:ilvl w:val="0"/>
          <w:numId w:val="122"/>
        </w:numPr>
        <w:contextualSpacing/>
        <w:jc w:val="both"/>
        <w:rPr>
          <w:rFonts w:ascii="Arial" w:hAnsi="Arial" w:cs="Arial"/>
          <w:sz w:val="24"/>
          <w:szCs w:val="24"/>
        </w:rPr>
      </w:pPr>
      <w:r w:rsidRPr="00212F68">
        <w:rPr>
          <w:rFonts w:ascii="Arial" w:hAnsi="Arial" w:cs="Arial"/>
          <w:sz w:val="24"/>
          <w:szCs w:val="24"/>
        </w:rPr>
        <w:t>Key areas of activity in relation to the voluntary and community sector over the next five years include:</w:t>
      </w:r>
    </w:p>
    <w:p w:rsidR="005B76FC" w:rsidRPr="00212F68" w:rsidRDefault="005B76FC" w:rsidP="008921BF">
      <w:pPr>
        <w:numPr>
          <w:ilvl w:val="1"/>
          <w:numId w:val="123"/>
        </w:numPr>
        <w:ind w:left="1071" w:hanging="357"/>
        <w:contextualSpacing/>
        <w:jc w:val="both"/>
        <w:rPr>
          <w:rFonts w:ascii="Arial" w:hAnsi="Arial" w:cs="Arial"/>
          <w:sz w:val="24"/>
          <w:szCs w:val="24"/>
        </w:rPr>
      </w:pPr>
      <w:r w:rsidRPr="00212F68">
        <w:rPr>
          <w:rFonts w:ascii="Arial" w:hAnsi="Arial" w:cs="Arial"/>
          <w:sz w:val="24"/>
          <w:szCs w:val="24"/>
        </w:rPr>
        <w:t xml:space="preserve">In adult social care and health, </w:t>
      </w:r>
      <w:r w:rsidRPr="00212F68">
        <w:rPr>
          <w:rFonts w:ascii="Arial" w:hAnsi="Arial" w:cs="Arial"/>
          <w:b/>
          <w:sz w:val="24"/>
          <w:szCs w:val="24"/>
        </w:rPr>
        <w:t>increased community care to reduce the need for services by meeting people’s daily needs</w:t>
      </w:r>
      <w:r w:rsidRPr="00212F68">
        <w:rPr>
          <w:rFonts w:ascii="Arial" w:hAnsi="Arial" w:cs="Arial"/>
          <w:sz w:val="24"/>
          <w:szCs w:val="24"/>
        </w:rPr>
        <w:t>, as well as providing activities which reduce isolation and have other preventative benefits.</w:t>
      </w:r>
    </w:p>
    <w:p w:rsidR="005B76FC" w:rsidRPr="00212F68" w:rsidRDefault="005B76FC" w:rsidP="008921BF">
      <w:pPr>
        <w:numPr>
          <w:ilvl w:val="1"/>
          <w:numId w:val="123"/>
        </w:numPr>
        <w:ind w:left="1071" w:hanging="357"/>
        <w:contextualSpacing/>
        <w:jc w:val="both"/>
        <w:rPr>
          <w:rFonts w:ascii="Arial" w:hAnsi="Arial" w:cs="Arial"/>
          <w:sz w:val="24"/>
          <w:szCs w:val="24"/>
        </w:rPr>
      </w:pPr>
      <w:r w:rsidRPr="00212F68">
        <w:rPr>
          <w:rFonts w:ascii="Arial" w:hAnsi="Arial" w:cs="Arial"/>
          <w:sz w:val="24"/>
          <w:szCs w:val="24"/>
        </w:rPr>
        <w:t xml:space="preserve">In children’s services, as well as preventative activity, </w:t>
      </w:r>
      <w:r w:rsidRPr="00212F68">
        <w:rPr>
          <w:rFonts w:ascii="Arial" w:hAnsi="Arial" w:cs="Arial"/>
          <w:b/>
          <w:sz w:val="24"/>
          <w:szCs w:val="24"/>
        </w:rPr>
        <w:t>increased childcare in community settings;</w:t>
      </w:r>
      <w:r w:rsidRPr="00212F68">
        <w:rPr>
          <w:rFonts w:ascii="Arial" w:hAnsi="Arial" w:cs="Arial"/>
          <w:sz w:val="24"/>
          <w:szCs w:val="24"/>
        </w:rPr>
        <w:t xml:space="preserve"> more diverse community provision particularly around mental health, and increased community involvement in the governance of services such as children’s centres or libraries.</w:t>
      </w:r>
    </w:p>
    <w:p w:rsidR="005B76FC" w:rsidRPr="00212F68" w:rsidRDefault="005B76FC" w:rsidP="008921BF">
      <w:pPr>
        <w:numPr>
          <w:ilvl w:val="1"/>
          <w:numId w:val="123"/>
        </w:numPr>
        <w:ind w:left="1071" w:hanging="357"/>
        <w:contextualSpacing/>
        <w:jc w:val="both"/>
        <w:rPr>
          <w:rFonts w:ascii="Arial" w:hAnsi="Arial" w:cs="Arial"/>
          <w:sz w:val="24"/>
          <w:szCs w:val="24"/>
        </w:rPr>
      </w:pPr>
      <w:r w:rsidRPr="00212F68">
        <w:rPr>
          <w:rFonts w:ascii="Arial" w:hAnsi="Arial" w:cs="Arial"/>
          <w:b/>
          <w:sz w:val="24"/>
          <w:szCs w:val="24"/>
        </w:rPr>
        <w:t>Working with VCS groups to target areas with higher levels of social isolation</w:t>
      </w:r>
      <w:r w:rsidRPr="00212F68">
        <w:rPr>
          <w:rFonts w:ascii="Arial" w:hAnsi="Arial" w:cs="Arial"/>
          <w:sz w:val="24"/>
          <w:szCs w:val="24"/>
        </w:rPr>
        <w:t>, to encourage greater social contact and develop new volunteering opportunities, particularly in the Borough’s parks and green spaces.</w:t>
      </w:r>
    </w:p>
    <w:p w:rsidR="005B76FC" w:rsidRPr="00212F68" w:rsidRDefault="005B76FC" w:rsidP="008921BF">
      <w:pPr>
        <w:numPr>
          <w:ilvl w:val="1"/>
          <w:numId w:val="123"/>
        </w:numPr>
        <w:ind w:left="1071" w:hanging="357"/>
        <w:contextualSpacing/>
        <w:jc w:val="both"/>
        <w:rPr>
          <w:rFonts w:ascii="Arial" w:hAnsi="Arial" w:cs="Arial"/>
          <w:b/>
          <w:sz w:val="24"/>
          <w:szCs w:val="24"/>
        </w:rPr>
      </w:pPr>
      <w:r w:rsidRPr="00212F68">
        <w:rPr>
          <w:rFonts w:ascii="Arial" w:hAnsi="Arial" w:cs="Arial"/>
          <w:sz w:val="24"/>
          <w:szCs w:val="24"/>
        </w:rPr>
        <w:t xml:space="preserve">In housing, growth and regeneration, </w:t>
      </w:r>
      <w:r w:rsidRPr="00212F68">
        <w:rPr>
          <w:rFonts w:ascii="Arial" w:hAnsi="Arial" w:cs="Arial"/>
          <w:b/>
          <w:sz w:val="24"/>
          <w:szCs w:val="24"/>
        </w:rPr>
        <w:t>supporting people affected by welfare reforms and/or on-going poverty.</w:t>
      </w:r>
    </w:p>
    <w:p w:rsidR="005B76FC" w:rsidRPr="00212F68" w:rsidRDefault="005B76FC" w:rsidP="008921BF">
      <w:pPr>
        <w:numPr>
          <w:ilvl w:val="1"/>
          <w:numId w:val="123"/>
        </w:numPr>
        <w:ind w:left="1071" w:hanging="357"/>
        <w:contextualSpacing/>
        <w:jc w:val="both"/>
        <w:rPr>
          <w:rFonts w:ascii="Arial" w:hAnsi="Arial" w:cs="Arial"/>
          <w:b/>
          <w:sz w:val="24"/>
          <w:szCs w:val="24"/>
        </w:rPr>
      </w:pPr>
      <w:r w:rsidRPr="00212F68">
        <w:rPr>
          <w:rFonts w:ascii="Arial" w:hAnsi="Arial" w:cs="Arial"/>
          <w:sz w:val="24"/>
          <w:szCs w:val="24"/>
        </w:rPr>
        <w:t xml:space="preserve">In environmental services, </w:t>
      </w:r>
      <w:r w:rsidRPr="00212F68">
        <w:rPr>
          <w:rFonts w:ascii="Arial" w:hAnsi="Arial" w:cs="Arial"/>
          <w:b/>
          <w:sz w:val="24"/>
          <w:szCs w:val="24"/>
        </w:rPr>
        <w:t>getting more people proactively engaged in developing and maintaining their local areas.</w:t>
      </w:r>
    </w:p>
    <w:p w:rsidR="005B76FC" w:rsidRPr="00212F68" w:rsidRDefault="005B76FC" w:rsidP="008921BF">
      <w:pPr>
        <w:numPr>
          <w:ilvl w:val="0"/>
          <w:numId w:val="122"/>
        </w:numPr>
        <w:contextualSpacing/>
        <w:jc w:val="both"/>
        <w:rPr>
          <w:rFonts w:ascii="Arial" w:hAnsi="Arial" w:cs="Arial"/>
          <w:sz w:val="24"/>
          <w:szCs w:val="24"/>
        </w:rPr>
      </w:pPr>
      <w:r w:rsidRPr="00212F68">
        <w:rPr>
          <w:rFonts w:ascii="Arial" w:hAnsi="Arial" w:cs="Arial"/>
          <w:b/>
          <w:sz w:val="24"/>
          <w:szCs w:val="24"/>
        </w:rPr>
        <w:t>Local community sports provision is reasonably well matched to need. There is</w:t>
      </w:r>
      <w:r>
        <w:rPr>
          <w:rFonts w:ascii="Arial" w:hAnsi="Arial" w:cs="Arial"/>
          <w:b/>
          <w:sz w:val="24"/>
          <w:szCs w:val="24"/>
        </w:rPr>
        <w:t>,</w:t>
      </w:r>
      <w:r w:rsidRPr="00212F68">
        <w:rPr>
          <w:rFonts w:ascii="Arial" w:hAnsi="Arial" w:cs="Arial"/>
          <w:b/>
          <w:sz w:val="24"/>
          <w:szCs w:val="24"/>
        </w:rPr>
        <w:t xml:space="preserve"> however</w:t>
      </w:r>
      <w:r>
        <w:rPr>
          <w:rFonts w:ascii="Arial" w:hAnsi="Arial" w:cs="Arial"/>
          <w:b/>
          <w:sz w:val="24"/>
          <w:szCs w:val="24"/>
        </w:rPr>
        <w:t>,</w:t>
      </w:r>
      <w:r w:rsidRPr="00212F68">
        <w:rPr>
          <w:rFonts w:ascii="Arial" w:hAnsi="Arial" w:cs="Arial"/>
          <w:b/>
          <w:sz w:val="24"/>
          <w:szCs w:val="24"/>
        </w:rPr>
        <w:t xml:space="preserve"> the potential to develop this further in areas where childhood obesity rates are high</w:t>
      </w:r>
      <w:r w:rsidRPr="00212F68">
        <w:rPr>
          <w:rFonts w:ascii="Arial" w:hAnsi="Arial" w:cs="Arial"/>
          <w:sz w:val="24"/>
          <w:szCs w:val="24"/>
        </w:rPr>
        <w:t xml:space="preserve"> (Colindale, Burnt Oak and Underhill).</w:t>
      </w:r>
    </w:p>
    <w:p w:rsidR="005B76FC" w:rsidRPr="00212F68" w:rsidRDefault="005B76FC" w:rsidP="008921BF">
      <w:pPr>
        <w:numPr>
          <w:ilvl w:val="0"/>
          <w:numId w:val="122"/>
        </w:numPr>
        <w:contextualSpacing/>
        <w:jc w:val="both"/>
        <w:rPr>
          <w:rFonts w:ascii="Arial" w:hAnsi="Arial" w:cs="Arial"/>
          <w:sz w:val="24"/>
          <w:szCs w:val="24"/>
        </w:rPr>
      </w:pPr>
      <w:r w:rsidRPr="00212F68">
        <w:rPr>
          <w:rFonts w:ascii="Arial" w:hAnsi="Arial" w:cs="Arial"/>
          <w:b/>
          <w:sz w:val="24"/>
          <w:szCs w:val="24"/>
        </w:rPr>
        <w:t>Local VCS provision for children is relatively low in the areas where the population of children and young people is forecast to be amongst the highest in the future</w:t>
      </w:r>
      <w:r w:rsidRPr="00212F68">
        <w:rPr>
          <w:rFonts w:ascii="Arial" w:hAnsi="Arial" w:cs="Arial"/>
          <w:sz w:val="24"/>
          <w:szCs w:val="24"/>
        </w:rPr>
        <w:t xml:space="preserve"> (Colindale).</w:t>
      </w:r>
    </w:p>
    <w:p w:rsidR="005B76FC" w:rsidRPr="00212F68" w:rsidRDefault="005B76FC" w:rsidP="008921BF">
      <w:pPr>
        <w:numPr>
          <w:ilvl w:val="0"/>
          <w:numId w:val="122"/>
        </w:numPr>
        <w:contextualSpacing/>
        <w:jc w:val="both"/>
        <w:rPr>
          <w:rFonts w:ascii="Arial" w:hAnsi="Arial" w:cs="Arial"/>
          <w:b/>
          <w:sz w:val="24"/>
          <w:szCs w:val="24"/>
        </w:rPr>
      </w:pPr>
      <w:r w:rsidRPr="00212F68">
        <w:rPr>
          <w:rFonts w:ascii="Arial" w:hAnsi="Arial" w:cs="Arial"/>
          <w:sz w:val="24"/>
          <w:szCs w:val="24"/>
        </w:rPr>
        <w:t xml:space="preserve">VCS activity relating to economic development and unemployment is well developed in Colindale and Burnt Oak, the wards with the highest unemployment rates in Barnet.  </w:t>
      </w:r>
      <w:r>
        <w:rPr>
          <w:rFonts w:ascii="Arial" w:hAnsi="Arial" w:cs="Arial"/>
          <w:sz w:val="24"/>
          <w:szCs w:val="24"/>
        </w:rPr>
        <w:t>However, there</w:t>
      </w:r>
      <w:r>
        <w:rPr>
          <w:rFonts w:ascii="Arial" w:hAnsi="Arial" w:cs="Arial"/>
          <w:b/>
          <w:sz w:val="24"/>
          <w:szCs w:val="24"/>
        </w:rPr>
        <w:t xml:space="preserve"> is</w:t>
      </w:r>
      <w:r w:rsidRPr="00212F68">
        <w:rPr>
          <w:rFonts w:ascii="Arial" w:hAnsi="Arial" w:cs="Arial"/>
          <w:b/>
          <w:sz w:val="24"/>
          <w:szCs w:val="24"/>
        </w:rPr>
        <w:t xml:space="preserve"> weaker VCS provision in East Finchley and Underhill, wards which also have significant levels of deprivation.</w:t>
      </w:r>
    </w:p>
    <w:p w:rsidR="005B76FC" w:rsidRPr="00212F68" w:rsidRDefault="005B76FC" w:rsidP="008921BF">
      <w:pPr>
        <w:numPr>
          <w:ilvl w:val="0"/>
          <w:numId w:val="122"/>
        </w:numPr>
        <w:contextualSpacing/>
        <w:jc w:val="both"/>
        <w:rPr>
          <w:rFonts w:ascii="Arial" w:hAnsi="Arial" w:cs="Arial"/>
          <w:sz w:val="24"/>
          <w:szCs w:val="24"/>
        </w:rPr>
      </w:pPr>
      <w:r w:rsidRPr="00212F68">
        <w:rPr>
          <w:rFonts w:ascii="Arial" w:hAnsi="Arial" w:cs="Arial"/>
          <w:sz w:val="24"/>
          <w:szCs w:val="24"/>
        </w:rPr>
        <w:t>More generally, there are opportunities to:</w:t>
      </w:r>
    </w:p>
    <w:p w:rsidR="005B76FC" w:rsidRPr="00212F68" w:rsidRDefault="005B76FC" w:rsidP="008921BF">
      <w:pPr>
        <w:numPr>
          <w:ilvl w:val="0"/>
          <w:numId w:val="124"/>
        </w:numPr>
        <w:ind w:left="1071" w:hanging="357"/>
        <w:contextualSpacing/>
        <w:jc w:val="both"/>
        <w:rPr>
          <w:rFonts w:ascii="Arial" w:hAnsi="Arial" w:cs="Arial"/>
          <w:sz w:val="24"/>
          <w:szCs w:val="24"/>
        </w:rPr>
      </w:pPr>
      <w:proofErr w:type="gramStart"/>
      <w:r w:rsidRPr="00212F68">
        <w:rPr>
          <w:rFonts w:ascii="Arial" w:hAnsi="Arial" w:cs="Arial"/>
          <w:b/>
          <w:sz w:val="24"/>
          <w:szCs w:val="24"/>
        </w:rPr>
        <w:t>support</w:t>
      </w:r>
      <w:proofErr w:type="gramEnd"/>
      <w:r w:rsidRPr="00212F68">
        <w:rPr>
          <w:rFonts w:ascii="Arial" w:hAnsi="Arial" w:cs="Arial"/>
          <w:b/>
          <w:sz w:val="24"/>
          <w:szCs w:val="24"/>
        </w:rPr>
        <w:t xml:space="preserve"> and develop the broader volunteering base through diversifying the offer to volunteers</w:t>
      </w:r>
      <w:r w:rsidRPr="00212F68">
        <w:rPr>
          <w:rFonts w:ascii="Arial" w:hAnsi="Arial" w:cs="Arial"/>
          <w:sz w:val="24"/>
          <w:szCs w:val="24"/>
        </w:rPr>
        <w:t xml:space="preserve">, promoting opportunities such as </w:t>
      </w:r>
      <w:proofErr w:type="spellStart"/>
      <w:r w:rsidRPr="00212F68">
        <w:rPr>
          <w:rFonts w:ascii="Arial" w:hAnsi="Arial" w:cs="Arial"/>
          <w:sz w:val="24"/>
          <w:szCs w:val="24"/>
        </w:rPr>
        <w:t>timebanking</w:t>
      </w:r>
      <w:proofErr w:type="spellEnd"/>
      <w:r w:rsidRPr="00212F68">
        <w:rPr>
          <w:rFonts w:ascii="Arial" w:hAnsi="Arial" w:cs="Arial"/>
          <w:sz w:val="24"/>
          <w:szCs w:val="24"/>
        </w:rPr>
        <w:t>, employer supported volunteering, corporate social responsibility and community action (coordinated through the core volunteer offer).</w:t>
      </w:r>
    </w:p>
    <w:p w:rsidR="005B76FC" w:rsidRPr="00212F68" w:rsidRDefault="005B76FC" w:rsidP="008921BF">
      <w:pPr>
        <w:numPr>
          <w:ilvl w:val="0"/>
          <w:numId w:val="124"/>
        </w:numPr>
        <w:ind w:left="1071" w:hanging="357"/>
        <w:contextualSpacing/>
        <w:jc w:val="both"/>
        <w:rPr>
          <w:rFonts w:ascii="Arial" w:hAnsi="Arial" w:cs="Arial"/>
          <w:b/>
          <w:sz w:val="24"/>
          <w:szCs w:val="24"/>
        </w:rPr>
      </w:pPr>
      <w:proofErr w:type="gramStart"/>
      <w:r w:rsidRPr="00212F68">
        <w:rPr>
          <w:rFonts w:ascii="Arial" w:hAnsi="Arial" w:cs="Arial"/>
          <w:b/>
          <w:sz w:val="24"/>
          <w:szCs w:val="24"/>
        </w:rPr>
        <w:lastRenderedPageBreak/>
        <w:t>rethink</w:t>
      </w:r>
      <w:proofErr w:type="gramEnd"/>
      <w:r w:rsidRPr="00212F68">
        <w:rPr>
          <w:rFonts w:ascii="Arial" w:hAnsi="Arial" w:cs="Arial"/>
          <w:b/>
          <w:sz w:val="24"/>
          <w:szCs w:val="24"/>
        </w:rPr>
        <w:t xml:space="preserve"> physical asset provision, including the lower levels of physical community assets present in the North West and centre of the Borough.</w:t>
      </w:r>
    </w:p>
    <w:p w:rsidR="005B76FC" w:rsidRPr="00212F68" w:rsidRDefault="005B76FC" w:rsidP="008921BF">
      <w:pPr>
        <w:numPr>
          <w:ilvl w:val="0"/>
          <w:numId w:val="124"/>
        </w:numPr>
        <w:ind w:left="1071" w:hanging="357"/>
        <w:contextualSpacing/>
        <w:jc w:val="both"/>
        <w:rPr>
          <w:rFonts w:ascii="Arial" w:hAnsi="Arial" w:cs="Arial"/>
          <w:sz w:val="24"/>
          <w:szCs w:val="24"/>
        </w:rPr>
      </w:pPr>
      <w:proofErr w:type="gramStart"/>
      <w:r w:rsidRPr="00212F68">
        <w:rPr>
          <w:rFonts w:ascii="Arial" w:hAnsi="Arial" w:cs="Arial"/>
          <w:sz w:val="24"/>
          <w:szCs w:val="24"/>
        </w:rPr>
        <w:t>respond</w:t>
      </w:r>
      <w:proofErr w:type="gramEnd"/>
      <w:r w:rsidRPr="00212F68">
        <w:rPr>
          <w:rFonts w:ascii="Arial" w:hAnsi="Arial" w:cs="Arial"/>
          <w:sz w:val="24"/>
          <w:szCs w:val="24"/>
        </w:rPr>
        <w:t xml:space="preserve"> to the fact that a significant proportion of local charitable activity in Barnet is focused within faith communities, and this capacity could be </w:t>
      </w:r>
      <w:r>
        <w:rPr>
          <w:rFonts w:ascii="Arial" w:hAnsi="Arial" w:cs="Arial"/>
          <w:sz w:val="24"/>
          <w:szCs w:val="24"/>
        </w:rPr>
        <w:t xml:space="preserve">better </w:t>
      </w:r>
      <w:r w:rsidRPr="00212F68">
        <w:rPr>
          <w:rFonts w:ascii="Arial" w:hAnsi="Arial" w:cs="Arial"/>
          <w:sz w:val="24"/>
          <w:szCs w:val="24"/>
        </w:rPr>
        <w:t xml:space="preserve">engaged with to deliver health and wellbeing outcomes.  </w:t>
      </w:r>
    </w:p>
    <w:p w:rsidR="005B76FC" w:rsidRPr="00212F68" w:rsidRDefault="005B76FC" w:rsidP="005B76FC">
      <w:pPr>
        <w:keepNext/>
        <w:keepLines/>
        <w:spacing w:after="0"/>
        <w:outlineLvl w:val="0"/>
        <w:rPr>
          <w:rFonts w:ascii="Arial" w:eastAsiaTheme="majorEastAsia" w:hAnsi="Arial" w:cs="Arial"/>
          <w:b/>
          <w:bCs/>
          <w:color w:val="365F91" w:themeColor="accent1" w:themeShade="BF"/>
          <w:sz w:val="28"/>
          <w:szCs w:val="24"/>
        </w:rPr>
      </w:pPr>
      <w:bookmarkStart w:id="365" w:name="_Toc424292046"/>
    </w:p>
    <w:p w:rsidR="005B76FC" w:rsidRPr="00212F68" w:rsidRDefault="005B76FC" w:rsidP="005B76FC">
      <w:pPr>
        <w:keepNext/>
        <w:keepLines/>
        <w:spacing w:after="0"/>
        <w:outlineLvl w:val="0"/>
        <w:rPr>
          <w:rFonts w:ascii="Arial" w:eastAsiaTheme="majorEastAsia" w:hAnsi="Arial" w:cs="Arial"/>
          <w:b/>
          <w:bCs/>
          <w:color w:val="365F91" w:themeColor="accent1" w:themeShade="BF"/>
          <w:sz w:val="28"/>
          <w:szCs w:val="24"/>
        </w:rPr>
      </w:pPr>
      <w:bookmarkStart w:id="366" w:name="_Toc427237124"/>
      <w:bookmarkStart w:id="367" w:name="_Toc427239298"/>
      <w:bookmarkStart w:id="368" w:name="_Toc427239482"/>
      <w:bookmarkStart w:id="369" w:name="_Toc427241454"/>
      <w:bookmarkStart w:id="370" w:name="_Toc427247109"/>
      <w:bookmarkStart w:id="371" w:name="_Toc427312569"/>
      <w:bookmarkStart w:id="372" w:name="_Toc427324133"/>
      <w:bookmarkStart w:id="373" w:name="_Toc427327351"/>
      <w:bookmarkStart w:id="374" w:name="_Toc427676567"/>
      <w:bookmarkStart w:id="375" w:name="_Toc427738522"/>
      <w:bookmarkStart w:id="376" w:name="_Toc427763168"/>
      <w:bookmarkStart w:id="377" w:name="_Toc427830361"/>
      <w:bookmarkStart w:id="378" w:name="_Toc428344100"/>
      <w:bookmarkStart w:id="379" w:name="_Toc430871128"/>
      <w:bookmarkStart w:id="380" w:name="_Toc431198829"/>
      <w:bookmarkStart w:id="381" w:name="_Toc431225106"/>
      <w:r w:rsidRPr="00212F68">
        <w:rPr>
          <w:rFonts w:ascii="Arial" w:eastAsiaTheme="majorEastAsia" w:hAnsi="Arial" w:cs="Arial"/>
          <w:b/>
          <w:bCs/>
          <w:color w:val="365F91" w:themeColor="accent1" w:themeShade="BF"/>
          <w:sz w:val="28"/>
          <w:szCs w:val="24"/>
        </w:rPr>
        <w:t>10: Resident Voice</w:t>
      </w:r>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p>
    <w:p w:rsidR="005B76FC" w:rsidRPr="00212F68" w:rsidRDefault="005B76FC" w:rsidP="005B76FC">
      <w:pPr>
        <w:keepNext/>
        <w:keepLines/>
        <w:spacing w:after="0"/>
        <w:outlineLvl w:val="0"/>
        <w:rPr>
          <w:rFonts w:ascii="Arial" w:eastAsiaTheme="majorEastAsia" w:hAnsi="Arial" w:cs="Arial"/>
          <w:b/>
          <w:bCs/>
          <w:color w:val="365F91" w:themeColor="accent1" w:themeShade="BF"/>
          <w:sz w:val="14"/>
          <w:szCs w:val="24"/>
        </w:rPr>
      </w:pPr>
    </w:p>
    <w:p w:rsidR="005B76FC" w:rsidRPr="00212F68" w:rsidRDefault="005B76FC" w:rsidP="005B76FC">
      <w:pPr>
        <w:numPr>
          <w:ilvl w:val="0"/>
          <w:numId w:val="57"/>
        </w:numPr>
        <w:contextualSpacing/>
        <w:jc w:val="both"/>
        <w:rPr>
          <w:rFonts w:ascii="Arial" w:hAnsi="Arial" w:cs="Arial"/>
          <w:sz w:val="24"/>
          <w:szCs w:val="24"/>
        </w:rPr>
      </w:pPr>
      <w:r w:rsidRPr="00212F68">
        <w:rPr>
          <w:rFonts w:ascii="Arial" w:hAnsi="Arial" w:cs="Arial"/>
          <w:sz w:val="24"/>
          <w:szCs w:val="24"/>
        </w:rPr>
        <w:t xml:space="preserve">Over 40% of respondents rated </w:t>
      </w:r>
      <w:r w:rsidRPr="00212F68">
        <w:rPr>
          <w:rFonts w:ascii="Arial" w:hAnsi="Arial" w:cs="Arial"/>
          <w:b/>
          <w:sz w:val="24"/>
          <w:szCs w:val="24"/>
        </w:rPr>
        <w:t>‘Quality of payments’</w:t>
      </w:r>
      <w:r w:rsidRPr="00212F68">
        <w:rPr>
          <w:rFonts w:ascii="Arial" w:hAnsi="Arial" w:cs="Arial"/>
          <w:sz w:val="24"/>
          <w:szCs w:val="24"/>
        </w:rPr>
        <w:t>, ‘</w:t>
      </w:r>
      <w:r w:rsidRPr="00212F68">
        <w:rPr>
          <w:rFonts w:ascii="Arial" w:hAnsi="Arial" w:cs="Arial"/>
          <w:b/>
          <w:sz w:val="24"/>
          <w:szCs w:val="24"/>
        </w:rPr>
        <w:t>Parking services’</w:t>
      </w:r>
      <w:r w:rsidRPr="00212F68">
        <w:rPr>
          <w:rFonts w:ascii="Arial" w:hAnsi="Arial" w:cs="Arial"/>
          <w:sz w:val="24"/>
          <w:szCs w:val="24"/>
        </w:rPr>
        <w:t xml:space="preserve"> </w:t>
      </w:r>
      <w:r w:rsidRPr="00212F68">
        <w:rPr>
          <w:rFonts w:ascii="Arial" w:hAnsi="Arial" w:cs="Arial"/>
          <w:b/>
          <w:sz w:val="24"/>
          <w:szCs w:val="24"/>
        </w:rPr>
        <w:t>and</w:t>
      </w:r>
      <w:r w:rsidRPr="00212F68">
        <w:rPr>
          <w:rFonts w:ascii="Arial" w:hAnsi="Arial" w:cs="Arial"/>
          <w:sz w:val="24"/>
          <w:szCs w:val="24"/>
        </w:rPr>
        <w:t xml:space="preserve"> ‘</w:t>
      </w:r>
      <w:r w:rsidRPr="00212F68">
        <w:rPr>
          <w:rFonts w:ascii="Arial" w:hAnsi="Arial" w:cs="Arial"/>
          <w:b/>
          <w:sz w:val="24"/>
          <w:szCs w:val="24"/>
        </w:rPr>
        <w:t>Repair of roads’</w:t>
      </w:r>
      <w:r w:rsidRPr="00212F68">
        <w:rPr>
          <w:rFonts w:ascii="Arial" w:hAnsi="Arial" w:cs="Arial"/>
          <w:sz w:val="24"/>
          <w:szCs w:val="24"/>
        </w:rPr>
        <w:t xml:space="preserve"> </w:t>
      </w:r>
      <w:r w:rsidRPr="00212F68">
        <w:rPr>
          <w:rFonts w:ascii="Arial" w:hAnsi="Arial" w:cs="Arial"/>
          <w:b/>
          <w:sz w:val="24"/>
          <w:szCs w:val="24"/>
        </w:rPr>
        <w:t>as being poor or extremely poor services</w:t>
      </w:r>
      <w:r w:rsidRPr="00212F68">
        <w:rPr>
          <w:rFonts w:ascii="Arial" w:hAnsi="Arial" w:cs="Arial"/>
          <w:sz w:val="24"/>
          <w:szCs w:val="24"/>
        </w:rPr>
        <w:t xml:space="preserve"> provided by the council. </w:t>
      </w:r>
    </w:p>
    <w:p w:rsidR="005B76FC" w:rsidRPr="00212F68" w:rsidRDefault="005B76FC" w:rsidP="005B76FC">
      <w:pPr>
        <w:numPr>
          <w:ilvl w:val="0"/>
          <w:numId w:val="57"/>
        </w:numPr>
        <w:contextualSpacing/>
        <w:jc w:val="both"/>
        <w:rPr>
          <w:rFonts w:ascii="Arial" w:hAnsi="Arial" w:cs="Arial"/>
          <w:sz w:val="24"/>
          <w:szCs w:val="24"/>
        </w:rPr>
      </w:pPr>
      <w:r w:rsidRPr="00212F68">
        <w:rPr>
          <w:rFonts w:ascii="Arial" w:hAnsi="Arial" w:cs="Arial"/>
          <w:sz w:val="24"/>
          <w:szCs w:val="24"/>
        </w:rPr>
        <w:t xml:space="preserve">The </w:t>
      </w:r>
      <w:r w:rsidRPr="00212F68">
        <w:rPr>
          <w:rFonts w:ascii="Arial" w:hAnsi="Arial" w:cs="Arial"/>
          <w:b/>
          <w:sz w:val="24"/>
          <w:szCs w:val="24"/>
        </w:rPr>
        <w:t>top three concerns</w:t>
      </w:r>
      <w:r w:rsidRPr="00212F68">
        <w:rPr>
          <w:rFonts w:ascii="Arial" w:hAnsi="Arial" w:cs="Arial"/>
          <w:sz w:val="24"/>
          <w:szCs w:val="24"/>
        </w:rPr>
        <w:t xml:space="preserve"> for residents according to the spring 2015 Residents</w:t>
      </w:r>
      <w:r>
        <w:rPr>
          <w:rFonts w:ascii="Arial" w:hAnsi="Arial" w:cs="Arial"/>
          <w:sz w:val="24"/>
          <w:szCs w:val="24"/>
        </w:rPr>
        <w:t>’</w:t>
      </w:r>
      <w:r w:rsidRPr="00212F68">
        <w:rPr>
          <w:rFonts w:ascii="Arial" w:hAnsi="Arial" w:cs="Arial"/>
          <w:sz w:val="24"/>
          <w:szCs w:val="24"/>
        </w:rPr>
        <w:t xml:space="preserve"> Perception Survey were ‘</w:t>
      </w:r>
      <w:r w:rsidRPr="00212F68">
        <w:rPr>
          <w:rFonts w:ascii="Arial" w:hAnsi="Arial" w:cs="Arial"/>
          <w:b/>
          <w:sz w:val="24"/>
          <w:szCs w:val="24"/>
        </w:rPr>
        <w:t>Conditions of roads and pavements (38%); Lack of affordable housing (33%); and Crime (25%)</w:t>
      </w:r>
      <w:r w:rsidRPr="00212F68">
        <w:rPr>
          <w:rFonts w:ascii="Arial" w:hAnsi="Arial" w:cs="Arial"/>
          <w:sz w:val="24"/>
          <w:szCs w:val="24"/>
        </w:rPr>
        <w:t>.</w:t>
      </w:r>
    </w:p>
    <w:p w:rsidR="005B76FC" w:rsidRPr="00212F68" w:rsidRDefault="005B76FC" w:rsidP="005B76FC">
      <w:pPr>
        <w:numPr>
          <w:ilvl w:val="0"/>
          <w:numId w:val="57"/>
        </w:numPr>
        <w:contextualSpacing/>
        <w:rPr>
          <w:rFonts w:ascii="Arial" w:hAnsi="Arial" w:cs="Arial"/>
          <w:b/>
          <w:sz w:val="24"/>
          <w:szCs w:val="24"/>
        </w:rPr>
      </w:pPr>
      <w:r w:rsidRPr="00212F68">
        <w:rPr>
          <w:rFonts w:ascii="Arial" w:hAnsi="Arial" w:cs="Arial"/>
          <w:bCs/>
          <w:sz w:val="24"/>
          <w:szCs w:val="24"/>
        </w:rPr>
        <w:t xml:space="preserve">Since autumn 2014 there has been a </w:t>
      </w:r>
      <w:r w:rsidRPr="00212F68">
        <w:rPr>
          <w:rFonts w:ascii="Arial" w:hAnsi="Arial" w:cs="Arial"/>
          <w:b/>
          <w:bCs/>
          <w:sz w:val="24"/>
          <w:szCs w:val="24"/>
        </w:rPr>
        <w:t>significant increase in residents’ concerns</w:t>
      </w:r>
      <w:r w:rsidRPr="00212F68">
        <w:rPr>
          <w:rFonts w:ascii="Arial" w:hAnsi="Arial" w:cs="Arial"/>
          <w:bCs/>
          <w:sz w:val="24"/>
          <w:szCs w:val="24"/>
        </w:rPr>
        <w:t xml:space="preserve"> about the </w:t>
      </w:r>
      <w:r w:rsidRPr="00212F68">
        <w:rPr>
          <w:rFonts w:ascii="Arial" w:hAnsi="Arial" w:cs="Arial"/>
          <w:b/>
          <w:bCs/>
          <w:sz w:val="24"/>
          <w:szCs w:val="24"/>
        </w:rPr>
        <w:t>conditions of roads and pavements</w:t>
      </w:r>
      <w:r w:rsidRPr="00212F68">
        <w:rPr>
          <w:rFonts w:ascii="Arial" w:hAnsi="Arial" w:cs="Arial"/>
          <w:bCs/>
          <w:sz w:val="24"/>
          <w:szCs w:val="24"/>
        </w:rPr>
        <w:t xml:space="preserve">, </w:t>
      </w:r>
      <w:r w:rsidRPr="00212F68">
        <w:rPr>
          <w:rFonts w:ascii="Arial" w:hAnsi="Arial" w:cs="Arial"/>
          <w:b/>
          <w:bCs/>
          <w:sz w:val="24"/>
          <w:szCs w:val="24"/>
        </w:rPr>
        <w:t>quality of health service</w:t>
      </w:r>
      <w:r w:rsidRPr="00212F68">
        <w:rPr>
          <w:rFonts w:ascii="Arial" w:hAnsi="Arial" w:cs="Arial"/>
          <w:bCs/>
          <w:sz w:val="24"/>
          <w:szCs w:val="24"/>
        </w:rPr>
        <w:t xml:space="preserve"> </w:t>
      </w:r>
      <w:r w:rsidRPr="00212F68">
        <w:rPr>
          <w:rFonts w:ascii="Arial" w:hAnsi="Arial" w:cs="Arial"/>
          <w:b/>
          <w:bCs/>
          <w:sz w:val="24"/>
          <w:szCs w:val="24"/>
        </w:rPr>
        <w:t xml:space="preserve">and lack of affordable housing. </w:t>
      </w:r>
    </w:p>
    <w:p w:rsidR="005B76FC" w:rsidRPr="00212F68" w:rsidRDefault="005B76FC" w:rsidP="005B76FC">
      <w:pPr>
        <w:numPr>
          <w:ilvl w:val="0"/>
          <w:numId w:val="57"/>
        </w:numPr>
        <w:contextualSpacing/>
        <w:jc w:val="both"/>
        <w:rPr>
          <w:rFonts w:ascii="Arial" w:hAnsi="Arial" w:cs="Arial"/>
          <w:sz w:val="24"/>
          <w:szCs w:val="24"/>
        </w:rPr>
      </w:pPr>
      <w:r w:rsidRPr="00212F68">
        <w:rPr>
          <w:rFonts w:ascii="Arial" w:hAnsi="Arial" w:cs="Arial"/>
          <w:b/>
          <w:sz w:val="24"/>
          <w:szCs w:val="24"/>
        </w:rPr>
        <w:t>Satisfaction levels of Barnet vary throughout the Borough</w:t>
      </w:r>
      <w:r w:rsidRPr="00212F68">
        <w:rPr>
          <w:rFonts w:ascii="Arial" w:hAnsi="Arial" w:cs="Arial"/>
          <w:sz w:val="24"/>
          <w:szCs w:val="24"/>
        </w:rPr>
        <w:t>, with residents living in Finchley Church End, Garden Suburb, or Totteridge significantly more likely to be satisfied with Barnet as a place to live</w:t>
      </w:r>
      <w:r>
        <w:rPr>
          <w:rFonts w:ascii="Arial" w:hAnsi="Arial" w:cs="Arial"/>
          <w:sz w:val="24"/>
          <w:szCs w:val="24"/>
        </w:rPr>
        <w:t>,</w:t>
      </w:r>
      <w:r w:rsidRPr="00212F68">
        <w:rPr>
          <w:rFonts w:ascii="Arial" w:hAnsi="Arial" w:cs="Arial"/>
          <w:sz w:val="24"/>
          <w:szCs w:val="24"/>
        </w:rPr>
        <w:t xml:space="preserve"> whereas </w:t>
      </w:r>
      <w:r w:rsidRPr="00212F68">
        <w:rPr>
          <w:rFonts w:ascii="Arial" w:hAnsi="Arial" w:cs="Arial"/>
          <w:b/>
          <w:sz w:val="24"/>
          <w:szCs w:val="24"/>
        </w:rPr>
        <w:t xml:space="preserve">those living in Burnt Oak </w:t>
      </w:r>
      <w:r>
        <w:rPr>
          <w:rFonts w:ascii="Arial" w:hAnsi="Arial" w:cs="Arial"/>
          <w:b/>
          <w:sz w:val="24"/>
          <w:szCs w:val="24"/>
        </w:rPr>
        <w:t>are</w:t>
      </w:r>
      <w:r w:rsidRPr="00212F68">
        <w:rPr>
          <w:rFonts w:ascii="Arial" w:hAnsi="Arial" w:cs="Arial"/>
          <w:b/>
          <w:sz w:val="24"/>
          <w:szCs w:val="24"/>
        </w:rPr>
        <w:t xml:space="preserve"> less likely to be satisfied with Barnet as a place to live</w:t>
      </w:r>
      <w:r w:rsidRPr="00212F68">
        <w:rPr>
          <w:rFonts w:ascii="Arial" w:hAnsi="Arial" w:cs="Arial"/>
          <w:sz w:val="24"/>
          <w:szCs w:val="24"/>
        </w:rPr>
        <w:t>.</w:t>
      </w:r>
    </w:p>
    <w:p w:rsidR="005B76FC" w:rsidRPr="00212F68" w:rsidRDefault="005B76FC" w:rsidP="005B76FC">
      <w:pPr>
        <w:numPr>
          <w:ilvl w:val="0"/>
          <w:numId w:val="57"/>
        </w:numPr>
        <w:contextualSpacing/>
        <w:jc w:val="both"/>
        <w:rPr>
          <w:rFonts w:ascii="Arial" w:hAnsi="Arial" w:cs="Arial"/>
          <w:sz w:val="24"/>
          <w:szCs w:val="24"/>
        </w:rPr>
      </w:pPr>
      <w:r w:rsidRPr="00212F68">
        <w:rPr>
          <w:rFonts w:ascii="Arial" w:hAnsi="Arial" w:cs="Arial"/>
          <w:sz w:val="24"/>
          <w:szCs w:val="24"/>
        </w:rPr>
        <w:t>According to data from the spring 2014 Resident</w:t>
      </w:r>
      <w:r>
        <w:rPr>
          <w:rFonts w:ascii="Arial" w:hAnsi="Arial" w:cs="Arial"/>
          <w:sz w:val="24"/>
          <w:szCs w:val="24"/>
        </w:rPr>
        <w:t>s’</w:t>
      </w:r>
      <w:r w:rsidRPr="00212F68">
        <w:rPr>
          <w:rFonts w:ascii="Arial" w:hAnsi="Arial" w:cs="Arial"/>
          <w:sz w:val="24"/>
          <w:szCs w:val="24"/>
        </w:rPr>
        <w:t xml:space="preserve"> Perception Survey, </w:t>
      </w:r>
      <w:r w:rsidRPr="00212F68">
        <w:rPr>
          <w:rFonts w:ascii="Arial" w:hAnsi="Arial" w:cs="Arial"/>
          <w:b/>
          <w:sz w:val="24"/>
          <w:szCs w:val="24"/>
        </w:rPr>
        <w:t>those living in Burnt Oak or West Hendon</w:t>
      </w:r>
      <w:r w:rsidRPr="00212F68">
        <w:rPr>
          <w:rFonts w:ascii="Arial" w:hAnsi="Arial" w:cs="Arial"/>
          <w:sz w:val="24"/>
          <w:szCs w:val="24"/>
        </w:rPr>
        <w:t xml:space="preserve"> were significantly </w:t>
      </w:r>
      <w:r w:rsidRPr="00212F68">
        <w:rPr>
          <w:rFonts w:ascii="Arial" w:hAnsi="Arial" w:cs="Arial"/>
          <w:b/>
          <w:sz w:val="24"/>
          <w:szCs w:val="24"/>
        </w:rPr>
        <w:t>more likely to feel that those from different backgrounds do not get on well together</w:t>
      </w:r>
      <w:r w:rsidRPr="00212F68">
        <w:rPr>
          <w:rFonts w:ascii="Arial" w:hAnsi="Arial" w:cs="Arial"/>
          <w:sz w:val="24"/>
          <w:szCs w:val="24"/>
        </w:rPr>
        <w:t xml:space="preserve">. </w:t>
      </w:r>
    </w:p>
    <w:p w:rsidR="005B76FC" w:rsidRPr="00212F68" w:rsidRDefault="005B76FC" w:rsidP="005B76FC">
      <w:pPr>
        <w:spacing w:after="240"/>
        <w:rPr>
          <w:rFonts w:ascii="Arial" w:hAnsi="Arial" w:cs="Arial"/>
        </w:rPr>
      </w:pPr>
    </w:p>
    <w:p w:rsidR="005B76FC" w:rsidRPr="00212F68" w:rsidRDefault="005B76FC" w:rsidP="005B76FC"/>
    <w:p w:rsidR="005B76FC" w:rsidRPr="00212F68" w:rsidRDefault="005B76FC" w:rsidP="005B76FC"/>
    <w:p w:rsidR="005B76FC" w:rsidRPr="00212F68" w:rsidRDefault="005B76FC" w:rsidP="005B76FC"/>
    <w:p w:rsidR="005B76FC" w:rsidRPr="00212F68" w:rsidRDefault="005B76FC" w:rsidP="005B76FC"/>
    <w:p w:rsidR="005B76FC" w:rsidRPr="00212F68" w:rsidRDefault="005B76FC" w:rsidP="005B76FC"/>
    <w:p w:rsidR="005B76FC" w:rsidRPr="00212F68" w:rsidRDefault="005B76FC" w:rsidP="005B76FC"/>
    <w:p w:rsidR="005B76FC" w:rsidRPr="00212F68" w:rsidRDefault="005B76FC" w:rsidP="005B76FC"/>
    <w:p w:rsidR="005B76FC" w:rsidRPr="00212F68" w:rsidRDefault="005B76FC" w:rsidP="005B76FC"/>
    <w:p w:rsidR="005B76FC" w:rsidRPr="00212F68" w:rsidRDefault="005B76FC" w:rsidP="005B76FC"/>
    <w:p w:rsidR="005B76FC" w:rsidRPr="00212F68" w:rsidRDefault="005B76FC" w:rsidP="005B76FC"/>
    <w:p w:rsidR="005B76FC" w:rsidRPr="00212F68" w:rsidRDefault="005B76FC" w:rsidP="005B76FC"/>
    <w:p w:rsidR="005B76FC" w:rsidRPr="00212F68" w:rsidRDefault="005B76FC" w:rsidP="008921BF">
      <w:pPr>
        <w:keepNext/>
        <w:keepLines/>
        <w:numPr>
          <w:ilvl w:val="0"/>
          <w:numId w:val="130"/>
        </w:numPr>
        <w:spacing w:before="480" w:after="0"/>
        <w:outlineLvl w:val="0"/>
        <w:rPr>
          <w:rFonts w:asciiTheme="majorHAnsi" w:eastAsiaTheme="majorEastAsia" w:hAnsiTheme="majorHAnsi" w:cstheme="majorBidi"/>
          <w:b/>
          <w:bCs/>
          <w:color w:val="365F91" w:themeColor="accent1" w:themeShade="BF"/>
          <w:sz w:val="28"/>
          <w:szCs w:val="28"/>
        </w:rPr>
      </w:pPr>
      <w:bookmarkStart w:id="382" w:name="_Toc431225107"/>
      <w:r w:rsidRPr="00212F68">
        <w:rPr>
          <w:rFonts w:asciiTheme="majorHAnsi" w:eastAsiaTheme="majorEastAsia" w:hAnsiTheme="majorHAnsi" w:cstheme="majorBidi"/>
          <w:b/>
          <w:bCs/>
          <w:color w:val="365F91" w:themeColor="accent1" w:themeShade="BF"/>
          <w:sz w:val="28"/>
          <w:szCs w:val="28"/>
        </w:rPr>
        <w:lastRenderedPageBreak/>
        <w:t>Introduction</w:t>
      </w:r>
      <w:bookmarkEnd w:id="382"/>
    </w:p>
    <w:p w:rsidR="005B76FC" w:rsidRPr="00212F68" w:rsidRDefault="005B76FC" w:rsidP="005B76FC">
      <w:pPr>
        <w:pStyle w:val="Heading2"/>
      </w:pPr>
      <w:bookmarkStart w:id="383" w:name="_Toc431225108"/>
      <w:r w:rsidRPr="00212F68">
        <w:t>What is the JSNA?</w:t>
      </w:r>
      <w:bookmarkEnd w:id="383"/>
    </w:p>
    <w:p w:rsidR="005B76FC" w:rsidRPr="00212F68" w:rsidRDefault="005B76FC" w:rsidP="005B76FC">
      <w:pPr>
        <w:spacing w:after="0" w:line="264" w:lineRule="auto"/>
        <w:rPr>
          <w:rFonts w:eastAsia="Times New Roman" w:cs="Arial"/>
          <w:sz w:val="24"/>
          <w:szCs w:val="24"/>
        </w:rPr>
      </w:pPr>
      <w:r w:rsidRPr="00212F68">
        <w:rPr>
          <w:rFonts w:eastAsia="Times New Roman" w:cs="Arial"/>
          <w:sz w:val="24"/>
          <w:szCs w:val="24"/>
        </w:rPr>
        <w:t xml:space="preserve">This refreshed Joint Strategic Needs Assessment (JSNA) is the evidence base for understanding population-level need in Barnet. It has been designed to inform joined up decision making and commissioning by the Barnet Health and Wellbeing Board, Barnet CCG, social care, public health, the wider public and voluntary sectors, and private sector service providers. </w:t>
      </w:r>
    </w:p>
    <w:p w:rsidR="005B76FC" w:rsidRPr="00212F68" w:rsidRDefault="005B76FC" w:rsidP="005B76FC">
      <w:pPr>
        <w:spacing w:after="0" w:line="264" w:lineRule="auto"/>
        <w:rPr>
          <w:rFonts w:eastAsia="Times New Roman" w:cs="Arial"/>
          <w:sz w:val="24"/>
          <w:szCs w:val="24"/>
        </w:rPr>
      </w:pPr>
    </w:p>
    <w:p w:rsidR="005B76FC" w:rsidRPr="00212F68" w:rsidRDefault="005B76FC" w:rsidP="005B76FC">
      <w:pPr>
        <w:spacing w:after="0" w:line="264" w:lineRule="auto"/>
        <w:rPr>
          <w:rFonts w:eastAsia="Times New Roman" w:cs="Arial"/>
          <w:sz w:val="24"/>
          <w:szCs w:val="24"/>
        </w:rPr>
      </w:pPr>
      <w:r w:rsidRPr="00212F68">
        <w:rPr>
          <w:rFonts w:eastAsia="Times New Roman" w:cs="Arial"/>
          <w:sz w:val="24"/>
          <w:szCs w:val="24"/>
        </w:rPr>
        <w:t>The intention is that by having a shared understanding of the size and nature of Barnet’s residents in one place that focuses on 1) the needs of the population, irrespective of organisational or service boundaries, 2) areas of common interest and 3) reducing demand for public resources, the JSNA will act as a tool to help partners come together to share expertise and resources to improve the prospects of people living here. It will also ensure that every penny of public money is used as efficiently as possible and with maximum positive impact.</w:t>
      </w:r>
    </w:p>
    <w:p w:rsidR="005B76FC" w:rsidRPr="00212F68" w:rsidRDefault="005B76FC" w:rsidP="005B76FC">
      <w:pPr>
        <w:spacing w:after="0" w:line="264" w:lineRule="auto"/>
        <w:rPr>
          <w:rFonts w:eastAsia="Times New Roman" w:cs="Arial"/>
          <w:sz w:val="24"/>
          <w:szCs w:val="24"/>
        </w:rPr>
      </w:pPr>
    </w:p>
    <w:p w:rsidR="005B76FC" w:rsidRPr="00212F68" w:rsidRDefault="005B76FC" w:rsidP="005B76FC">
      <w:pPr>
        <w:spacing w:after="120" w:line="264" w:lineRule="auto"/>
        <w:rPr>
          <w:rFonts w:eastAsia="Times New Roman" w:cs="Arial"/>
          <w:sz w:val="24"/>
          <w:szCs w:val="24"/>
        </w:rPr>
      </w:pPr>
      <w:r w:rsidRPr="00212F68">
        <w:rPr>
          <w:rFonts w:eastAsia="Times New Roman" w:cs="Arial"/>
          <w:sz w:val="24"/>
          <w:szCs w:val="24"/>
        </w:rPr>
        <w:t>A large number of officers, analysts and service users have been involved with developing the refreshed JSNA across the CCG, the Council and CommUNITY Barnet between January 2015 and July 2015, requiring a significant focus on partner engagement, communications and expectations setting, alongside high quality multi-disciplinary analytical work to actually write the JSNA documentation</w:t>
      </w:r>
      <w:r>
        <w:rPr>
          <w:rFonts w:eastAsia="Times New Roman" w:cs="Arial"/>
          <w:sz w:val="24"/>
          <w:szCs w:val="24"/>
        </w:rPr>
        <w:t>.</w:t>
      </w:r>
    </w:p>
    <w:p w:rsidR="005B76FC" w:rsidRPr="00212F68" w:rsidRDefault="005B76FC" w:rsidP="005B76FC">
      <w:pPr>
        <w:spacing w:after="120" w:line="264" w:lineRule="auto"/>
        <w:rPr>
          <w:rFonts w:eastAsia="Times New Roman" w:cs="Arial"/>
          <w:sz w:val="6"/>
          <w:szCs w:val="24"/>
        </w:rPr>
      </w:pPr>
    </w:p>
    <w:p w:rsidR="005B76FC" w:rsidRPr="00212F68" w:rsidRDefault="005B76FC" w:rsidP="005B76FC">
      <w:pPr>
        <w:spacing w:after="120" w:line="264" w:lineRule="auto"/>
        <w:rPr>
          <w:rFonts w:eastAsia="Times New Roman" w:cs="Arial"/>
          <w:sz w:val="24"/>
          <w:szCs w:val="24"/>
        </w:rPr>
      </w:pPr>
      <w:r w:rsidRPr="00212F68">
        <w:rPr>
          <w:rFonts w:eastAsia="Times New Roman" w:cs="Arial"/>
          <w:sz w:val="24"/>
          <w:szCs w:val="24"/>
        </w:rPr>
        <w:t>This balance between</w:t>
      </w:r>
      <w:r>
        <w:rPr>
          <w:rFonts w:eastAsia="Times New Roman" w:cs="Arial"/>
          <w:sz w:val="24"/>
          <w:szCs w:val="24"/>
        </w:rPr>
        <w:t xml:space="preserve"> </w:t>
      </w:r>
      <w:r w:rsidRPr="00212F68">
        <w:rPr>
          <w:rFonts w:eastAsia="Times New Roman" w:cs="Arial"/>
          <w:sz w:val="24"/>
          <w:szCs w:val="24"/>
        </w:rPr>
        <w:t>engagement at a senior level and analysis has been a critical part of developing a successful JSNA because it has:</w:t>
      </w:r>
    </w:p>
    <w:p w:rsidR="005B76FC" w:rsidRPr="00212F68" w:rsidRDefault="005B76FC" w:rsidP="008921BF">
      <w:pPr>
        <w:numPr>
          <w:ilvl w:val="0"/>
          <w:numId w:val="60"/>
        </w:numPr>
        <w:spacing w:after="120" w:line="264" w:lineRule="auto"/>
        <w:contextualSpacing/>
        <w:rPr>
          <w:rFonts w:eastAsia="Times New Roman" w:cs="Arial"/>
          <w:sz w:val="24"/>
          <w:szCs w:val="24"/>
        </w:rPr>
      </w:pPr>
      <w:r w:rsidRPr="00212F68">
        <w:rPr>
          <w:rFonts w:eastAsia="Times New Roman" w:cs="Arial"/>
          <w:sz w:val="24"/>
          <w:szCs w:val="24"/>
        </w:rPr>
        <w:t>allowed the JSNA team to tailor the content to reflect what local partners want, value, and consider important</w:t>
      </w:r>
    </w:p>
    <w:p w:rsidR="005B76FC" w:rsidRPr="00212F68" w:rsidRDefault="005B76FC" w:rsidP="008921BF">
      <w:pPr>
        <w:numPr>
          <w:ilvl w:val="0"/>
          <w:numId w:val="60"/>
        </w:numPr>
        <w:spacing w:after="120" w:line="264" w:lineRule="auto"/>
        <w:contextualSpacing/>
        <w:rPr>
          <w:rFonts w:eastAsia="Times New Roman" w:cs="Arial"/>
          <w:sz w:val="24"/>
          <w:szCs w:val="24"/>
        </w:rPr>
      </w:pPr>
      <w:proofErr w:type="gramStart"/>
      <w:r w:rsidRPr="00212F68">
        <w:rPr>
          <w:rFonts w:eastAsia="Times New Roman" w:cs="Arial"/>
          <w:sz w:val="24"/>
          <w:szCs w:val="24"/>
        </w:rPr>
        <w:t>resulted</w:t>
      </w:r>
      <w:proofErr w:type="gramEnd"/>
      <w:r w:rsidRPr="00212F68">
        <w:rPr>
          <w:rFonts w:eastAsia="Times New Roman" w:cs="Arial"/>
          <w:sz w:val="24"/>
          <w:szCs w:val="24"/>
        </w:rPr>
        <w:t xml:space="preserve"> in a JSNA that has credibility locally as an impartial, high quality, and up-to date evidence base for effective and joined up decision making across all sectors. </w:t>
      </w:r>
    </w:p>
    <w:p w:rsidR="005B76FC" w:rsidRPr="00212F68" w:rsidRDefault="005B76FC" w:rsidP="005B76FC">
      <w:pPr>
        <w:pStyle w:val="Heading2"/>
      </w:pPr>
      <w:bookmarkStart w:id="384" w:name="_Toc431225109"/>
      <w:r w:rsidRPr="00212F68">
        <w:t>Purpose of the JSNA</w:t>
      </w:r>
      <w:bookmarkEnd w:id="384"/>
    </w:p>
    <w:p w:rsidR="005B76FC" w:rsidRPr="00212F68" w:rsidRDefault="005B76FC" w:rsidP="005B76FC">
      <w:pPr>
        <w:spacing w:after="0" w:line="264" w:lineRule="auto"/>
        <w:rPr>
          <w:rFonts w:eastAsia="Times New Roman" w:cs="Arial"/>
          <w:sz w:val="24"/>
          <w:szCs w:val="24"/>
        </w:rPr>
      </w:pPr>
      <w:r w:rsidRPr="00212F68">
        <w:rPr>
          <w:rFonts w:eastAsia="Times New Roman" w:cs="Arial"/>
          <w:sz w:val="24"/>
          <w:szCs w:val="24"/>
        </w:rPr>
        <w:t xml:space="preserve">The purpose of a JSNA is to allow local partners to improve the health and wellbeing of the population and to reduce inequalities for all groups, leading to reduced demand for public services and better lives for people who live in Barnet. It does this by acting as a common, shared evidence base across partners in the Health and Well Being Board and wider public services, enabling alignment of activity and resources around common issues and needs. </w:t>
      </w:r>
    </w:p>
    <w:p w:rsidR="005B76FC" w:rsidRPr="00212F68" w:rsidRDefault="005B76FC" w:rsidP="005B76FC">
      <w:pPr>
        <w:spacing w:after="0" w:line="264" w:lineRule="auto"/>
        <w:rPr>
          <w:rFonts w:eastAsia="Times New Roman" w:cs="Arial"/>
          <w:sz w:val="14"/>
          <w:szCs w:val="24"/>
        </w:rPr>
      </w:pPr>
    </w:p>
    <w:p w:rsidR="005B76FC" w:rsidRPr="00212F68" w:rsidRDefault="005B76FC" w:rsidP="005B76FC">
      <w:pPr>
        <w:spacing w:after="0" w:line="264" w:lineRule="auto"/>
        <w:rPr>
          <w:rFonts w:eastAsia="Times New Roman" w:cs="Arial"/>
          <w:sz w:val="24"/>
          <w:szCs w:val="24"/>
        </w:rPr>
      </w:pPr>
      <w:r w:rsidRPr="00212F68">
        <w:rPr>
          <w:rFonts w:eastAsia="Times New Roman" w:cs="Arial"/>
          <w:sz w:val="24"/>
          <w:szCs w:val="24"/>
        </w:rPr>
        <w:t>There is an opportunity in the JSNA to use it to ensure that public services more broadly are supporting the wellbeing of the population in a more joined up way.</w:t>
      </w:r>
      <w:r w:rsidR="00702B67">
        <w:rPr>
          <w:rFonts w:eastAsia="Times New Roman" w:cs="Arial"/>
          <w:sz w:val="24"/>
          <w:szCs w:val="24"/>
        </w:rPr>
        <w:t xml:space="preserve"> For example, to ensure that</w:t>
      </w:r>
      <w:r w:rsidRPr="00212F68">
        <w:rPr>
          <w:rFonts w:eastAsia="Times New Roman" w:cs="Arial"/>
          <w:sz w:val="24"/>
          <w:szCs w:val="24"/>
        </w:rPr>
        <w:t xml:space="preserve"> sports centres, parks and open spaces, employability and apprenticeship schemes, and use of community assets are explicitly targeting their services at those groups in the population who stand to benefit most from using them.</w:t>
      </w:r>
    </w:p>
    <w:p w:rsidR="005B76FC" w:rsidRPr="00212F68" w:rsidRDefault="005B76FC" w:rsidP="005B76FC">
      <w:pPr>
        <w:spacing w:after="0" w:line="264" w:lineRule="auto"/>
        <w:rPr>
          <w:rFonts w:eastAsia="Times New Roman" w:cs="Arial"/>
          <w:sz w:val="24"/>
          <w:szCs w:val="24"/>
        </w:rPr>
      </w:pPr>
    </w:p>
    <w:p w:rsidR="005B76FC" w:rsidRDefault="005B76FC" w:rsidP="005B76FC">
      <w:pPr>
        <w:spacing w:after="0" w:line="264" w:lineRule="auto"/>
        <w:rPr>
          <w:rFonts w:eastAsia="Times New Roman" w:cs="Arial"/>
          <w:b/>
          <w:i/>
          <w:sz w:val="24"/>
          <w:szCs w:val="24"/>
        </w:rPr>
      </w:pPr>
    </w:p>
    <w:p w:rsidR="005B76FC" w:rsidRPr="00212F68" w:rsidRDefault="005B76FC" w:rsidP="005B76FC">
      <w:pPr>
        <w:spacing w:after="0" w:line="264" w:lineRule="auto"/>
        <w:rPr>
          <w:rFonts w:eastAsia="Times New Roman" w:cs="Arial"/>
          <w:b/>
          <w:i/>
          <w:sz w:val="24"/>
          <w:szCs w:val="24"/>
        </w:rPr>
      </w:pPr>
      <w:r w:rsidRPr="00212F68">
        <w:rPr>
          <w:rFonts w:eastAsia="Times New Roman" w:cs="Arial"/>
          <w:b/>
          <w:i/>
          <w:sz w:val="24"/>
          <w:szCs w:val="24"/>
        </w:rPr>
        <w:t>Figure 1: How to use the JSNA</w:t>
      </w:r>
    </w:p>
    <w:p w:rsidR="005B76FC" w:rsidRPr="00212F68" w:rsidRDefault="005B76FC" w:rsidP="005B76FC">
      <w:pPr>
        <w:spacing w:after="0" w:line="264" w:lineRule="auto"/>
        <w:rPr>
          <w:rFonts w:eastAsia="Times New Roman" w:cs="Arial"/>
          <w:b/>
          <w:i/>
          <w:szCs w:val="24"/>
        </w:rPr>
      </w:pPr>
      <w:r w:rsidRPr="00212F68">
        <w:rPr>
          <w:rFonts w:eastAsia="Times New Roman" w:cs="Arial"/>
          <w:b/>
          <w:i/>
          <w:noProof/>
          <w:szCs w:val="24"/>
          <w:lang w:eastAsia="en-GB"/>
        </w:rPr>
        <mc:AlternateContent>
          <mc:Choice Requires="wps">
            <w:drawing>
              <wp:anchor distT="0" distB="0" distL="114300" distR="114300" simplePos="0" relativeHeight="251795456" behindDoc="0" locked="0" layoutInCell="1" allowOverlap="1" wp14:anchorId="4B1EE289" wp14:editId="7AE57DC7">
                <wp:simplePos x="0" y="0"/>
                <wp:positionH relativeFrom="column">
                  <wp:posOffset>2974340</wp:posOffset>
                </wp:positionH>
                <wp:positionV relativeFrom="paragraph">
                  <wp:posOffset>113617</wp:posOffset>
                </wp:positionV>
                <wp:extent cx="2717165" cy="2984500"/>
                <wp:effectExtent l="0" t="0" r="26035" b="25400"/>
                <wp:wrapNone/>
                <wp:docPr id="4110" name="Rounded Rectangle 4110"/>
                <wp:cNvGraphicFramePr/>
                <a:graphic xmlns:a="http://schemas.openxmlformats.org/drawingml/2006/main">
                  <a:graphicData uri="http://schemas.microsoft.com/office/word/2010/wordprocessingShape">
                    <wps:wsp>
                      <wps:cNvSpPr/>
                      <wps:spPr>
                        <a:xfrm>
                          <a:off x="0" y="0"/>
                          <a:ext cx="2717165" cy="2984500"/>
                        </a:xfrm>
                        <a:prstGeom prst="roundRect">
                          <a:avLst/>
                        </a:prstGeom>
                        <a:solidFill>
                          <a:srgbClr val="C0504D">
                            <a:lumMod val="20000"/>
                            <a:lumOff val="8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110" o:spid="_x0000_s1026" style="position:absolute;margin-left:234.2pt;margin-top:8.95pt;width:213.95pt;height:23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" fillcolor="#f2dcdb" strokecolor="#385d8a" strokeweight="2pt"/>
            </w:pict>
          </mc:Fallback>
        </mc:AlternateContent>
      </w:r>
    </w:p>
    <w:p w:rsidR="005B76FC" w:rsidRPr="00212F68" w:rsidRDefault="005B76FC" w:rsidP="005B76FC">
      <w:pPr>
        <w:spacing w:after="0" w:line="264" w:lineRule="auto"/>
        <w:rPr>
          <w:rFonts w:eastAsia="Times New Roman" w:cs="Arial"/>
          <w:b/>
          <w:i/>
          <w:szCs w:val="24"/>
        </w:rPr>
      </w:pPr>
      <w:r w:rsidRPr="00212F68">
        <w:rPr>
          <w:rFonts w:eastAsia="Times New Roman" w:cs="Arial"/>
          <w:b/>
          <w:i/>
          <w:noProof/>
          <w:szCs w:val="24"/>
          <w:lang w:eastAsia="en-GB"/>
        </w:rPr>
        <mc:AlternateContent>
          <mc:Choice Requires="wps">
            <w:drawing>
              <wp:anchor distT="0" distB="0" distL="114300" distR="114300" simplePos="0" relativeHeight="251796480" behindDoc="0" locked="0" layoutInCell="1" allowOverlap="1" wp14:anchorId="51173D98" wp14:editId="03A2C544">
                <wp:simplePos x="0" y="0"/>
                <wp:positionH relativeFrom="column">
                  <wp:posOffset>3131185</wp:posOffset>
                </wp:positionH>
                <wp:positionV relativeFrom="paragraph">
                  <wp:posOffset>110490</wp:posOffset>
                </wp:positionV>
                <wp:extent cx="2432050" cy="465455"/>
                <wp:effectExtent l="0" t="0" r="25400" b="10795"/>
                <wp:wrapNone/>
                <wp:docPr id="4122" name="Rounded Rectangle 4122"/>
                <wp:cNvGraphicFramePr/>
                <a:graphic xmlns:a="http://schemas.openxmlformats.org/drawingml/2006/main">
                  <a:graphicData uri="http://schemas.microsoft.com/office/word/2010/wordprocessingShape">
                    <wps:wsp>
                      <wps:cNvSpPr/>
                      <wps:spPr>
                        <a:xfrm>
                          <a:off x="0" y="0"/>
                          <a:ext cx="2432050" cy="465455"/>
                        </a:xfrm>
                        <a:prstGeom prst="roundRect">
                          <a:avLst/>
                        </a:prstGeom>
                        <a:solidFill>
                          <a:srgbClr val="1F497D">
                            <a:lumMod val="20000"/>
                            <a:lumOff val="80000"/>
                          </a:srgbClr>
                        </a:solidFill>
                        <a:ln w="25400" cap="flat" cmpd="sng" algn="ctr">
                          <a:solidFill>
                            <a:srgbClr val="4F81BD">
                              <a:shade val="50000"/>
                            </a:srgbClr>
                          </a:solidFill>
                          <a:prstDash val="solid"/>
                        </a:ln>
                        <a:effectLst/>
                      </wps:spPr>
                      <wps:txbx>
                        <w:txbxContent>
                          <w:p w:rsidR="00890277" w:rsidRPr="004B405E" w:rsidRDefault="00890277" w:rsidP="005B76FC">
                            <w:pPr>
                              <w:jc w:val="center"/>
                              <w:rPr>
                                <w:sz w:val="20"/>
                              </w:rPr>
                            </w:pPr>
                            <w:r w:rsidRPr="004B405E">
                              <w:rPr>
                                <w:sz w:val="20"/>
                              </w:rPr>
                              <w:t>Identification of local priorities</w:t>
                            </w:r>
                          </w:p>
                          <w:p w:rsidR="00890277" w:rsidRPr="001062E5" w:rsidRDefault="00890277" w:rsidP="005B76FC">
                            <w:pPr>
                              <w:spacing w:after="0" w:line="240" w:lineRule="auto"/>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122" o:spid="_x0000_s1026" style="position:absolute;margin-left:246.55pt;margin-top:8.7pt;width:191.5pt;height:36.6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" fillcolor="#c6d9f1" strokecolor="#385d8a" strokeweight="2pt">
                <v:textbox>
                  <w:txbxContent>
                    <w:p w:rsidR="00D7687B" w:rsidRPr="004B405E" w:rsidRDefault="00D7687B" w:rsidP="005B76FC">
                      <w:pPr>
                        <w:jc w:val="center"/>
                        <w:rPr>
                          <w:sz w:val="20"/>
                        </w:rPr>
                      </w:pPr>
                      <w:r w:rsidRPr="004B405E">
                        <w:rPr>
                          <w:sz w:val="20"/>
                        </w:rPr>
                        <w:t>Identification of local priorities</w:t>
                      </w:r>
                    </w:p>
                    <w:p w:rsidR="00D7687B" w:rsidRPr="001062E5" w:rsidRDefault="00D7687B" w:rsidP="005B76FC">
                      <w:pPr>
                        <w:spacing w:after="0" w:line="240" w:lineRule="auto"/>
                        <w:jc w:val="center"/>
                        <w:rPr>
                          <w:sz w:val="20"/>
                          <w:szCs w:val="20"/>
                        </w:rPr>
                      </w:pPr>
                    </w:p>
                  </w:txbxContent>
                </v:textbox>
              </v:roundrect>
            </w:pict>
          </mc:Fallback>
        </mc:AlternateContent>
      </w:r>
    </w:p>
    <w:p w:rsidR="005B76FC" w:rsidRPr="00212F68" w:rsidRDefault="005B76FC" w:rsidP="005B76FC">
      <w:pPr>
        <w:spacing w:after="0" w:line="264" w:lineRule="auto"/>
        <w:rPr>
          <w:rFonts w:eastAsia="Times New Roman" w:cs="Arial"/>
          <w:b/>
          <w:i/>
          <w:szCs w:val="24"/>
        </w:rPr>
      </w:pPr>
    </w:p>
    <w:p w:rsidR="005B76FC" w:rsidRPr="00212F68" w:rsidRDefault="005B76FC" w:rsidP="005B76FC">
      <w:pPr>
        <w:spacing w:after="0" w:line="264" w:lineRule="auto"/>
        <w:rPr>
          <w:rFonts w:eastAsia="Times New Roman" w:cs="Arial"/>
          <w:b/>
          <w:i/>
          <w:color w:val="000000" w:themeColor="text1"/>
          <w:szCs w:val="24"/>
        </w:rPr>
      </w:pPr>
      <w:r w:rsidRPr="00212F68">
        <w:rPr>
          <w:rFonts w:eastAsia="Times New Roman" w:cs="Arial"/>
          <w:b/>
          <w:i/>
          <w:noProof/>
          <w:color w:val="000000" w:themeColor="text1"/>
          <w:szCs w:val="24"/>
          <w:lang w:eastAsia="en-GB"/>
        </w:rPr>
        <mc:AlternateContent>
          <mc:Choice Requires="wps">
            <w:drawing>
              <wp:anchor distT="0" distB="0" distL="114300" distR="114300" simplePos="0" relativeHeight="251801600" behindDoc="0" locked="0" layoutInCell="1" allowOverlap="1" wp14:anchorId="16767B67" wp14:editId="5A68CCA6">
                <wp:simplePos x="0" y="0"/>
                <wp:positionH relativeFrom="column">
                  <wp:posOffset>1871932</wp:posOffset>
                </wp:positionH>
                <wp:positionV relativeFrom="paragraph">
                  <wp:posOffset>67094</wp:posOffset>
                </wp:positionV>
                <wp:extent cx="1103319" cy="862234"/>
                <wp:effectExtent l="19050" t="38100" r="40005" b="33655"/>
                <wp:wrapNone/>
                <wp:docPr id="4127" name="Straight Arrow Connector 4127"/>
                <wp:cNvGraphicFramePr/>
                <a:graphic xmlns:a="http://schemas.openxmlformats.org/drawingml/2006/main">
                  <a:graphicData uri="http://schemas.microsoft.com/office/word/2010/wordprocessingShape">
                    <wps:wsp>
                      <wps:cNvCnPr/>
                      <wps:spPr>
                        <a:xfrm flipV="1">
                          <a:off x="0" y="0"/>
                          <a:ext cx="1103319" cy="862234"/>
                        </a:xfrm>
                        <a:prstGeom prst="straightConnector1">
                          <a:avLst/>
                        </a:prstGeom>
                        <a:noFill/>
                        <a:ln w="28575" cap="flat" cmpd="sng" algn="ctr">
                          <a:solidFill>
                            <a:sysClr val="windowText" lastClr="000000"/>
                          </a:solidFill>
                          <a:prstDash val="solid"/>
                          <a:tailEnd type="arrow"/>
                        </a:ln>
                        <a:effectLst/>
                      </wps:spPr>
                      <wps:bodyPr/>
                    </wps:wsp>
                  </a:graphicData>
                </a:graphic>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4127" o:spid="_x0000_s1026" type="#_x0000_t32" style="position:absolute;margin-left:147.4pt;margin-top:5.3pt;width:86.9pt;height:67.9pt;flip:y;z-index:251801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" strokecolor="windowText" strokeweight="2.25pt">
                <v:stroke endarrow="open"/>
              </v:shape>
            </w:pict>
          </mc:Fallback>
        </mc:AlternateContent>
      </w:r>
      <w:r w:rsidRPr="00212F68">
        <w:rPr>
          <w:rFonts w:eastAsia="Times New Roman" w:cs="Arial"/>
          <w:b/>
          <w:i/>
          <w:noProof/>
          <w:color w:val="000000" w:themeColor="text1"/>
          <w:szCs w:val="24"/>
          <w:lang w:eastAsia="en-GB"/>
        </w:rPr>
        <mc:AlternateContent>
          <mc:Choice Requires="wps">
            <w:drawing>
              <wp:anchor distT="0" distB="0" distL="114300" distR="114300" simplePos="0" relativeHeight="251794432" behindDoc="0" locked="0" layoutInCell="1" allowOverlap="1" wp14:anchorId="017FD8EC" wp14:editId="20B17655">
                <wp:simplePos x="0" y="0"/>
                <wp:positionH relativeFrom="column">
                  <wp:posOffset>568960</wp:posOffset>
                </wp:positionH>
                <wp:positionV relativeFrom="paragraph">
                  <wp:posOffset>3175</wp:posOffset>
                </wp:positionV>
                <wp:extent cx="1302385" cy="1802765"/>
                <wp:effectExtent l="0" t="0" r="12065" b="26035"/>
                <wp:wrapNone/>
                <wp:docPr id="4109" name="Rounded Rectangle 4109"/>
                <wp:cNvGraphicFramePr/>
                <a:graphic xmlns:a="http://schemas.openxmlformats.org/drawingml/2006/main">
                  <a:graphicData uri="http://schemas.microsoft.com/office/word/2010/wordprocessingShape">
                    <wps:wsp>
                      <wps:cNvSpPr/>
                      <wps:spPr>
                        <a:xfrm>
                          <a:off x="0" y="0"/>
                          <a:ext cx="1302385" cy="1802765"/>
                        </a:xfrm>
                        <a:prstGeom prst="roundRect">
                          <a:avLst/>
                        </a:prstGeom>
                        <a:solidFill>
                          <a:srgbClr val="1F497D">
                            <a:lumMod val="40000"/>
                            <a:lumOff val="60000"/>
                          </a:srgbClr>
                        </a:solidFill>
                        <a:ln w="25400" cap="flat" cmpd="sng" algn="ctr">
                          <a:solidFill>
                            <a:srgbClr val="4F81BD">
                              <a:shade val="50000"/>
                            </a:srgbClr>
                          </a:solidFill>
                          <a:prstDash val="solid"/>
                        </a:ln>
                        <a:effectLst/>
                      </wps:spPr>
                      <wps:txbx>
                        <w:txbxContent>
                          <w:p w:rsidR="00890277" w:rsidRDefault="00890277" w:rsidP="005B76FC">
                            <w:pPr>
                              <w:jc w:val="center"/>
                            </w:pPr>
                            <w:r>
                              <w:t>JSNA</w:t>
                            </w:r>
                          </w:p>
                          <w:p w:rsidR="00890277" w:rsidRPr="001062E5" w:rsidRDefault="00890277" w:rsidP="005B76FC">
                            <w:pPr>
                              <w:spacing w:after="0" w:line="240" w:lineRule="auto"/>
                              <w:jc w:val="center"/>
                              <w:rPr>
                                <w:sz w:val="20"/>
                              </w:rPr>
                            </w:pPr>
                            <w:r w:rsidRPr="001062E5">
                              <w:rPr>
                                <w:sz w:val="20"/>
                              </w:rPr>
                              <w:t xml:space="preserve">The health and wellbeing needs of the population now and in the future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109" o:spid="_x0000_s1027" style="position:absolute;margin-left:44.8pt;margin-top:.25pt;width:102.55pt;height:141.9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" fillcolor="#8eb4e3" strokecolor="#385d8a" strokeweight="2pt">
                <v:textbox>
                  <w:txbxContent>
                    <w:p w:rsidR="00D7687B" w:rsidRDefault="00D7687B" w:rsidP="005B76FC">
                      <w:pPr>
                        <w:jc w:val="center"/>
                      </w:pPr>
                      <w:r>
                        <w:t>JSNA</w:t>
                      </w:r>
                    </w:p>
                    <w:p w:rsidR="00D7687B" w:rsidRPr="001062E5" w:rsidRDefault="00D7687B" w:rsidP="005B76FC">
                      <w:pPr>
                        <w:spacing w:after="0" w:line="240" w:lineRule="auto"/>
                        <w:jc w:val="center"/>
                        <w:rPr>
                          <w:sz w:val="20"/>
                        </w:rPr>
                      </w:pPr>
                      <w:r w:rsidRPr="001062E5">
                        <w:rPr>
                          <w:sz w:val="20"/>
                        </w:rPr>
                        <w:t xml:space="preserve">The health and wellbeing needs of the population now and in the future </w:t>
                      </w:r>
                    </w:p>
                  </w:txbxContent>
                </v:textbox>
              </v:roundrect>
            </w:pict>
          </mc:Fallback>
        </mc:AlternateContent>
      </w:r>
    </w:p>
    <w:p w:rsidR="005B76FC" w:rsidRPr="00212F68" w:rsidRDefault="005B76FC" w:rsidP="005B76FC">
      <w:pPr>
        <w:spacing w:after="0" w:line="264" w:lineRule="auto"/>
        <w:rPr>
          <w:rFonts w:eastAsia="Times New Roman" w:cs="Arial"/>
          <w:b/>
          <w:i/>
          <w:color w:val="000000" w:themeColor="text1"/>
          <w:szCs w:val="24"/>
        </w:rPr>
      </w:pPr>
      <w:r w:rsidRPr="00212F68">
        <w:rPr>
          <w:rFonts w:eastAsia="Times New Roman" w:cs="Arial"/>
          <w:b/>
          <w:i/>
          <w:noProof/>
          <w:color w:val="000000" w:themeColor="text1"/>
          <w:szCs w:val="24"/>
          <w:lang w:eastAsia="en-GB"/>
        </w:rPr>
        <mc:AlternateContent>
          <mc:Choice Requires="wps">
            <w:drawing>
              <wp:anchor distT="0" distB="0" distL="114300" distR="114300" simplePos="0" relativeHeight="251797504" behindDoc="0" locked="0" layoutInCell="1" allowOverlap="1" wp14:anchorId="53154EE1" wp14:editId="737FF553">
                <wp:simplePos x="0" y="0"/>
                <wp:positionH relativeFrom="column">
                  <wp:posOffset>3131185</wp:posOffset>
                </wp:positionH>
                <wp:positionV relativeFrom="paragraph">
                  <wp:posOffset>82550</wp:posOffset>
                </wp:positionV>
                <wp:extent cx="2432050" cy="448310"/>
                <wp:effectExtent l="0" t="0" r="25400" b="27940"/>
                <wp:wrapNone/>
                <wp:docPr id="4123" name="Rounded Rectangle 4123"/>
                <wp:cNvGraphicFramePr/>
                <a:graphic xmlns:a="http://schemas.openxmlformats.org/drawingml/2006/main">
                  <a:graphicData uri="http://schemas.microsoft.com/office/word/2010/wordprocessingShape">
                    <wps:wsp>
                      <wps:cNvSpPr/>
                      <wps:spPr>
                        <a:xfrm>
                          <a:off x="0" y="0"/>
                          <a:ext cx="2432050" cy="448310"/>
                        </a:xfrm>
                        <a:prstGeom prst="roundRect">
                          <a:avLst/>
                        </a:prstGeom>
                        <a:solidFill>
                          <a:srgbClr val="1F497D">
                            <a:lumMod val="20000"/>
                            <a:lumOff val="80000"/>
                          </a:srgbClr>
                        </a:solidFill>
                        <a:ln w="25400" cap="flat" cmpd="sng" algn="ctr">
                          <a:solidFill>
                            <a:srgbClr val="4F81BD">
                              <a:shade val="50000"/>
                            </a:srgbClr>
                          </a:solidFill>
                          <a:prstDash val="solid"/>
                        </a:ln>
                        <a:effectLst/>
                      </wps:spPr>
                      <wps:txbx>
                        <w:txbxContent>
                          <w:p w:rsidR="00890277" w:rsidRPr="001062E5" w:rsidRDefault="00890277" w:rsidP="005B76FC">
                            <w:pPr>
                              <w:spacing w:after="0" w:line="240" w:lineRule="auto"/>
                              <w:jc w:val="center"/>
                              <w:rPr>
                                <w:sz w:val="20"/>
                              </w:rPr>
                            </w:pPr>
                            <w:r w:rsidRPr="001062E5">
                              <w:rPr>
                                <w:sz w:val="20"/>
                              </w:rPr>
                              <w:t xml:space="preserve">Market making and shaping activity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123" o:spid="_x0000_s1028" style="position:absolute;margin-left:246.55pt;margin-top:6.5pt;width:191.5pt;height:35.3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" fillcolor="#c6d9f1" strokecolor="#385d8a" strokeweight="2pt">
                <v:textbox>
                  <w:txbxContent>
                    <w:p w:rsidR="00D7687B" w:rsidRPr="001062E5" w:rsidRDefault="00D7687B" w:rsidP="005B76FC">
                      <w:pPr>
                        <w:spacing w:after="0" w:line="240" w:lineRule="auto"/>
                        <w:jc w:val="center"/>
                        <w:rPr>
                          <w:sz w:val="20"/>
                        </w:rPr>
                      </w:pPr>
                      <w:r w:rsidRPr="001062E5">
                        <w:rPr>
                          <w:sz w:val="20"/>
                        </w:rPr>
                        <w:t xml:space="preserve">Market making and shaping activity </w:t>
                      </w:r>
                    </w:p>
                  </w:txbxContent>
                </v:textbox>
              </v:roundrect>
            </w:pict>
          </mc:Fallback>
        </mc:AlternateContent>
      </w:r>
    </w:p>
    <w:p w:rsidR="005B76FC" w:rsidRPr="00212F68" w:rsidRDefault="005B76FC" w:rsidP="005B76FC">
      <w:pPr>
        <w:spacing w:after="0" w:line="264" w:lineRule="auto"/>
        <w:rPr>
          <w:rFonts w:eastAsia="Times New Roman" w:cs="Arial"/>
          <w:b/>
          <w:i/>
          <w:color w:val="000000" w:themeColor="text1"/>
          <w:szCs w:val="24"/>
        </w:rPr>
      </w:pPr>
      <w:r w:rsidRPr="00212F68">
        <w:rPr>
          <w:rFonts w:eastAsia="Times New Roman" w:cs="Arial"/>
          <w:b/>
          <w:i/>
          <w:noProof/>
          <w:color w:val="000000" w:themeColor="text1"/>
          <w:szCs w:val="24"/>
          <w:lang w:eastAsia="en-GB"/>
        </w:rPr>
        <mc:AlternateContent>
          <mc:Choice Requires="wps">
            <w:drawing>
              <wp:anchor distT="0" distB="0" distL="114300" distR="114300" simplePos="0" relativeHeight="251802624" behindDoc="0" locked="0" layoutInCell="1" allowOverlap="1" wp14:anchorId="0EF362BF" wp14:editId="2A1FFAF3">
                <wp:simplePos x="0" y="0"/>
                <wp:positionH relativeFrom="column">
                  <wp:posOffset>1871345</wp:posOffset>
                </wp:positionH>
                <wp:positionV relativeFrom="paragraph">
                  <wp:posOffset>165735</wp:posOffset>
                </wp:positionV>
                <wp:extent cx="1103630" cy="387350"/>
                <wp:effectExtent l="19050" t="76200" r="0" b="31750"/>
                <wp:wrapNone/>
                <wp:docPr id="49152" name="Straight Arrow Connector 49152"/>
                <wp:cNvGraphicFramePr/>
                <a:graphic xmlns:a="http://schemas.openxmlformats.org/drawingml/2006/main">
                  <a:graphicData uri="http://schemas.microsoft.com/office/word/2010/wordprocessingShape">
                    <wps:wsp>
                      <wps:cNvCnPr/>
                      <wps:spPr>
                        <a:xfrm flipV="1">
                          <a:off x="0" y="0"/>
                          <a:ext cx="1103630" cy="387350"/>
                        </a:xfrm>
                        <a:prstGeom prst="straightConnector1">
                          <a:avLst/>
                        </a:prstGeom>
                        <a:noFill/>
                        <a:ln w="2857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9152" o:spid="_x0000_s1026" type="#_x0000_t32" style="position:absolute;margin-left:147.35pt;margin-top:13.05pt;width:86.9pt;height:30.5pt;flip:y;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" strokecolor="windowText" strokeweight="2.25pt">
                <v:stroke endarrow="open"/>
              </v:shape>
            </w:pict>
          </mc:Fallback>
        </mc:AlternateContent>
      </w:r>
    </w:p>
    <w:p w:rsidR="005B76FC" w:rsidRPr="00212F68" w:rsidRDefault="005B76FC" w:rsidP="005B76FC">
      <w:pPr>
        <w:spacing w:after="0" w:line="264" w:lineRule="auto"/>
        <w:rPr>
          <w:rFonts w:eastAsia="Times New Roman" w:cs="Arial"/>
          <w:b/>
          <w:i/>
          <w:color w:val="000000" w:themeColor="text1"/>
          <w:szCs w:val="24"/>
        </w:rPr>
      </w:pPr>
    </w:p>
    <w:p w:rsidR="005B76FC" w:rsidRPr="00212F68" w:rsidRDefault="005B76FC" w:rsidP="005B76FC">
      <w:pPr>
        <w:spacing w:after="0" w:line="264" w:lineRule="auto"/>
        <w:rPr>
          <w:rFonts w:eastAsia="Times New Roman" w:cs="Arial"/>
          <w:b/>
          <w:i/>
          <w:szCs w:val="24"/>
        </w:rPr>
      </w:pPr>
      <w:r w:rsidRPr="00212F68">
        <w:rPr>
          <w:rFonts w:eastAsia="Times New Roman" w:cs="Arial"/>
          <w:b/>
          <w:i/>
          <w:noProof/>
          <w:color w:val="000000" w:themeColor="text1"/>
          <w:szCs w:val="24"/>
          <w:lang w:eastAsia="en-GB"/>
        </w:rPr>
        <mc:AlternateContent>
          <mc:Choice Requires="wps">
            <w:drawing>
              <wp:anchor distT="0" distB="0" distL="114300" distR="114300" simplePos="0" relativeHeight="251805696" behindDoc="0" locked="0" layoutInCell="1" allowOverlap="1" wp14:anchorId="27EB13A5" wp14:editId="005D72D8">
                <wp:simplePos x="0" y="0"/>
                <wp:positionH relativeFrom="column">
                  <wp:posOffset>1871345</wp:posOffset>
                </wp:positionH>
                <wp:positionV relativeFrom="paragraph">
                  <wp:posOffset>179070</wp:posOffset>
                </wp:positionV>
                <wp:extent cx="1102995" cy="1069975"/>
                <wp:effectExtent l="19050" t="19050" r="40005" b="53975"/>
                <wp:wrapNone/>
                <wp:docPr id="49155" name="Straight Arrow Connector 49155"/>
                <wp:cNvGraphicFramePr/>
                <a:graphic xmlns:a="http://schemas.openxmlformats.org/drawingml/2006/main">
                  <a:graphicData uri="http://schemas.microsoft.com/office/word/2010/wordprocessingShape">
                    <wps:wsp>
                      <wps:cNvCnPr/>
                      <wps:spPr>
                        <a:xfrm>
                          <a:off x="0" y="0"/>
                          <a:ext cx="1102995" cy="1069975"/>
                        </a:xfrm>
                        <a:prstGeom prst="straightConnector1">
                          <a:avLst/>
                        </a:prstGeom>
                        <a:noFill/>
                        <a:ln w="2857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9155" o:spid="_x0000_s1026" type="#_x0000_t32" style="position:absolute;margin-left:147.35pt;margin-top:14.1pt;width:86.85pt;height:84.2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" strokecolor="windowText" strokeweight="2.25pt">
                <v:stroke endarrow="open"/>
              </v:shape>
            </w:pict>
          </mc:Fallback>
        </mc:AlternateContent>
      </w:r>
      <w:r w:rsidRPr="00212F68">
        <w:rPr>
          <w:rFonts w:eastAsia="Times New Roman" w:cs="Arial"/>
          <w:b/>
          <w:i/>
          <w:noProof/>
          <w:color w:val="000000" w:themeColor="text1"/>
          <w:szCs w:val="24"/>
          <w:lang w:eastAsia="en-GB"/>
        </w:rPr>
        <mc:AlternateContent>
          <mc:Choice Requires="wps">
            <w:drawing>
              <wp:anchor distT="0" distB="0" distL="114300" distR="114300" simplePos="0" relativeHeight="251803648" behindDoc="0" locked="0" layoutInCell="1" allowOverlap="1" wp14:anchorId="1C0B6A0A" wp14:editId="7CEFC37E">
                <wp:simplePos x="0" y="0"/>
                <wp:positionH relativeFrom="column">
                  <wp:posOffset>1871345</wp:posOffset>
                </wp:positionH>
                <wp:positionV relativeFrom="paragraph">
                  <wp:posOffset>179070</wp:posOffset>
                </wp:positionV>
                <wp:extent cx="1103630" cy="103505"/>
                <wp:effectExtent l="19050" t="57150" r="58420" b="125095"/>
                <wp:wrapNone/>
                <wp:docPr id="49153" name="Straight Arrow Connector 49153"/>
                <wp:cNvGraphicFramePr/>
                <a:graphic xmlns:a="http://schemas.openxmlformats.org/drawingml/2006/main">
                  <a:graphicData uri="http://schemas.microsoft.com/office/word/2010/wordprocessingShape">
                    <wps:wsp>
                      <wps:cNvCnPr/>
                      <wps:spPr>
                        <a:xfrm>
                          <a:off x="0" y="0"/>
                          <a:ext cx="1103630" cy="103505"/>
                        </a:xfrm>
                        <a:prstGeom prst="straightConnector1">
                          <a:avLst/>
                        </a:prstGeom>
                        <a:noFill/>
                        <a:ln w="2857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9153" o:spid="_x0000_s1026" type="#_x0000_t32" style="position:absolute;margin-left:147.35pt;margin-top:14.1pt;width:86.9pt;height:8.1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" strokecolor="windowText" strokeweight="2.25pt">
                <v:stroke endarrow="open"/>
              </v:shape>
            </w:pict>
          </mc:Fallback>
        </mc:AlternateContent>
      </w:r>
      <w:r w:rsidRPr="00212F68">
        <w:rPr>
          <w:rFonts w:eastAsia="Times New Roman" w:cs="Arial"/>
          <w:b/>
          <w:i/>
          <w:noProof/>
          <w:color w:val="000000" w:themeColor="text1"/>
          <w:szCs w:val="24"/>
          <w:lang w:eastAsia="en-GB"/>
        </w:rPr>
        <mc:AlternateContent>
          <mc:Choice Requires="wps">
            <w:drawing>
              <wp:anchor distT="0" distB="0" distL="114300" distR="114300" simplePos="0" relativeHeight="251804672" behindDoc="0" locked="0" layoutInCell="1" allowOverlap="1" wp14:anchorId="152BBA67" wp14:editId="499ABE09">
                <wp:simplePos x="0" y="0"/>
                <wp:positionH relativeFrom="column">
                  <wp:posOffset>1871345</wp:posOffset>
                </wp:positionH>
                <wp:positionV relativeFrom="paragraph">
                  <wp:posOffset>177800</wp:posOffset>
                </wp:positionV>
                <wp:extent cx="1103630" cy="603885"/>
                <wp:effectExtent l="19050" t="19050" r="58420" b="43815"/>
                <wp:wrapNone/>
                <wp:docPr id="49154" name="Straight Arrow Connector 49154"/>
                <wp:cNvGraphicFramePr/>
                <a:graphic xmlns:a="http://schemas.openxmlformats.org/drawingml/2006/main">
                  <a:graphicData uri="http://schemas.microsoft.com/office/word/2010/wordprocessingShape">
                    <wps:wsp>
                      <wps:cNvCnPr/>
                      <wps:spPr>
                        <a:xfrm>
                          <a:off x="0" y="0"/>
                          <a:ext cx="1103630" cy="603885"/>
                        </a:xfrm>
                        <a:prstGeom prst="straightConnector1">
                          <a:avLst/>
                        </a:prstGeom>
                        <a:noFill/>
                        <a:ln w="2857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9154" o:spid="_x0000_s1026" type="#_x0000_t32" style="position:absolute;margin-left:147.35pt;margin-top:14pt;width:86.9pt;height:47.5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" strokecolor="windowText" strokeweight="2.25pt">
                <v:stroke endarrow="open"/>
              </v:shape>
            </w:pict>
          </mc:Fallback>
        </mc:AlternateContent>
      </w:r>
      <w:r w:rsidRPr="00212F68">
        <w:rPr>
          <w:rFonts w:eastAsia="Times New Roman" w:cs="Arial"/>
          <w:b/>
          <w:i/>
          <w:noProof/>
          <w:szCs w:val="24"/>
          <w:lang w:eastAsia="en-GB"/>
        </w:rPr>
        <mc:AlternateContent>
          <mc:Choice Requires="wps">
            <w:drawing>
              <wp:anchor distT="0" distB="0" distL="114300" distR="114300" simplePos="0" relativeHeight="251798528" behindDoc="0" locked="0" layoutInCell="1" allowOverlap="1" wp14:anchorId="50793716" wp14:editId="55431C56">
                <wp:simplePos x="0" y="0"/>
                <wp:positionH relativeFrom="column">
                  <wp:posOffset>3131185</wp:posOffset>
                </wp:positionH>
                <wp:positionV relativeFrom="paragraph">
                  <wp:posOffset>55245</wp:posOffset>
                </wp:positionV>
                <wp:extent cx="2432050" cy="465455"/>
                <wp:effectExtent l="0" t="0" r="25400" b="10795"/>
                <wp:wrapNone/>
                <wp:docPr id="4124" name="Rounded Rectangle 4124"/>
                <wp:cNvGraphicFramePr/>
                <a:graphic xmlns:a="http://schemas.openxmlformats.org/drawingml/2006/main">
                  <a:graphicData uri="http://schemas.microsoft.com/office/word/2010/wordprocessingShape">
                    <wps:wsp>
                      <wps:cNvSpPr/>
                      <wps:spPr>
                        <a:xfrm>
                          <a:off x="0" y="0"/>
                          <a:ext cx="2432050" cy="465455"/>
                        </a:xfrm>
                        <a:prstGeom prst="roundRect">
                          <a:avLst/>
                        </a:prstGeom>
                        <a:solidFill>
                          <a:srgbClr val="1F497D">
                            <a:lumMod val="20000"/>
                            <a:lumOff val="80000"/>
                          </a:srgbClr>
                        </a:solidFill>
                        <a:ln w="25400" cap="flat" cmpd="sng" algn="ctr">
                          <a:solidFill>
                            <a:srgbClr val="4F81BD">
                              <a:shade val="50000"/>
                            </a:srgbClr>
                          </a:solidFill>
                          <a:prstDash val="solid"/>
                        </a:ln>
                        <a:effectLst/>
                      </wps:spPr>
                      <wps:txbx>
                        <w:txbxContent>
                          <w:p w:rsidR="00890277" w:rsidRDefault="00890277" w:rsidP="005B76FC">
                            <w:pPr>
                              <w:spacing w:after="0" w:line="240" w:lineRule="auto"/>
                              <w:jc w:val="center"/>
                            </w:pPr>
                            <w:r>
                              <w:rPr>
                                <w:sz w:val="20"/>
                              </w:rPr>
                              <w:t xml:space="preserve">Identification of </w:t>
                            </w:r>
                            <w:r w:rsidRPr="001062E5">
                              <w:rPr>
                                <w:sz w:val="20"/>
                              </w:rPr>
                              <w:t>areas we want to know more about and services to be</w:t>
                            </w:r>
                            <w:r w:rsidRPr="002C7E7C">
                              <w:rPr>
                                <w:sz w:val="20"/>
                              </w:rPr>
                              <w:t xml:space="preserve"> reviewed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124" o:spid="_x0000_s1029" style="position:absolute;margin-left:246.55pt;margin-top:4.35pt;width:191.5pt;height:36.6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" fillcolor="#c6d9f1" strokecolor="#385d8a" strokeweight="2pt">
                <v:textbox>
                  <w:txbxContent>
                    <w:p w:rsidR="00D7687B" w:rsidRDefault="00D7687B" w:rsidP="005B76FC">
                      <w:pPr>
                        <w:spacing w:after="0" w:line="240" w:lineRule="auto"/>
                        <w:jc w:val="center"/>
                      </w:pPr>
                      <w:r>
                        <w:rPr>
                          <w:sz w:val="20"/>
                        </w:rPr>
                        <w:t xml:space="preserve">Identification of </w:t>
                      </w:r>
                      <w:r w:rsidRPr="001062E5">
                        <w:rPr>
                          <w:sz w:val="20"/>
                        </w:rPr>
                        <w:t>areas we want to know more about and services to be</w:t>
                      </w:r>
                      <w:r w:rsidRPr="002C7E7C">
                        <w:rPr>
                          <w:sz w:val="20"/>
                        </w:rPr>
                        <w:t xml:space="preserve"> reviewed</w:t>
                      </w:r>
                    </w:p>
                  </w:txbxContent>
                </v:textbox>
              </v:roundrect>
            </w:pict>
          </mc:Fallback>
        </mc:AlternateContent>
      </w:r>
    </w:p>
    <w:p w:rsidR="005B76FC" w:rsidRPr="00212F68" w:rsidRDefault="005B76FC" w:rsidP="005B76FC">
      <w:pPr>
        <w:spacing w:after="0" w:line="264" w:lineRule="auto"/>
        <w:rPr>
          <w:rFonts w:eastAsia="Times New Roman" w:cs="Arial"/>
          <w:b/>
          <w:i/>
          <w:szCs w:val="24"/>
        </w:rPr>
      </w:pPr>
    </w:p>
    <w:p w:rsidR="005B76FC" w:rsidRPr="00212F68" w:rsidRDefault="005B76FC" w:rsidP="005B76FC">
      <w:pPr>
        <w:spacing w:after="0" w:line="264" w:lineRule="auto"/>
        <w:rPr>
          <w:rFonts w:eastAsia="Times New Roman" w:cs="Arial"/>
          <w:b/>
          <w:i/>
          <w:szCs w:val="24"/>
        </w:rPr>
      </w:pPr>
    </w:p>
    <w:p w:rsidR="005B76FC" w:rsidRPr="00212F68" w:rsidRDefault="005B76FC" w:rsidP="005B76FC">
      <w:pPr>
        <w:spacing w:after="0" w:line="264" w:lineRule="auto"/>
        <w:rPr>
          <w:rFonts w:eastAsia="Times New Roman" w:cs="Arial"/>
          <w:b/>
          <w:i/>
          <w:szCs w:val="24"/>
        </w:rPr>
      </w:pPr>
      <w:r w:rsidRPr="00212F68">
        <w:rPr>
          <w:rFonts w:eastAsia="Times New Roman" w:cs="Arial"/>
          <w:b/>
          <w:i/>
          <w:noProof/>
          <w:szCs w:val="24"/>
          <w:lang w:eastAsia="en-GB"/>
        </w:rPr>
        <mc:AlternateContent>
          <mc:Choice Requires="wps">
            <w:drawing>
              <wp:anchor distT="0" distB="0" distL="114300" distR="114300" simplePos="0" relativeHeight="251799552" behindDoc="0" locked="0" layoutInCell="1" allowOverlap="1" wp14:anchorId="0AA2E4D0" wp14:editId="2630C3AD">
                <wp:simplePos x="0" y="0"/>
                <wp:positionH relativeFrom="column">
                  <wp:posOffset>3131185</wp:posOffset>
                </wp:positionH>
                <wp:positionV relativeFrom="paragraph">
                  <wp:posOffset>44450</wp:posOffset>
                </wp:positionV>
                <wp:extent cx="2432050" cy="448310"/>
                <wp:effectExtent l="0" t="0" r="25400" b="27940"/>
                <wp:wrapNone/>
                <wp:docPr id="4125" name="Rounded Rectangle 4125"/>
                <wp:cNvGraphicFramePr/>
                <a:graphic xmlns:a="http://schemas.openxmlformats.org/drawingml/2006/main">
                  <a:graphicData uri="http://schemas.microsoft.com/office/word/2010/wordprocessingShape">
                    <wps:wsp>
                      <wps:cNvSpPr/>
                      <wps:spPr>
                        <a:xfrm>
                          <a:off x="0" y="0"/>
                          <a:ext cx="2432050" cy="448310"/>
                        </a:xfrm>
                        <a:prstGeom prst="roundRect">
                          <a:avLst/>
                        </a:prstGeom>
                        <a:solidFill>
                          <a:srgbClr val="1F497D">
                            <a:lumMod val="20000"/>
                            <a:lumOff val="80000"/>
                          </a:srgbClr>
                        </a:solidFill>
                        <a:ln w="25400" cap="flat" cmpd="sng" algn="ctr">
                          <a:solidFill>
                            <a:srgbClr val="4F81BD">
                              <a:shade val="50000"/>
                            </a:srgbClr>
                          </a:solidFill>
                          <a:prstDash val="solid"/>
                        </a:ln>
                        <a:effectLst/>
                      </wps:spPr>
                      <wps:txbx>
                        <w:txbxContent>
                          <w:p w:rsidR="00890277" w:rsidRPr="004B405E" w:rsidRDefault="00890277" w:rsidP="005B76FC">
                            <w:pPr>
                              <w:spacing w:after="0" w:line="240" w:lineRule="auto"/>
                              <w:jc w:val="center"/>
                              <w:rPr>
                                <w:sz w:val="20"/>
                              </w:rPr>
                            </w:pPr>
                            <w:r w:rsidRPr="004B405E">
                              <w:rPr>
                                <w:sz w:val="20"/>
                              </w:rPr>
                              <w:t>Capital investment plans across the local NHS, council, and private sector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125" o:spid="_x0000_s1030" style="position:absolute;margin-left:246.55pt;margin-top:3.5pt;width:191.5pt;height:35.3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" fillcolor="#c6d9f1" strokecolor="#385d8a" strokeweight="2pt">
                <v:textbox>
                  <w:txbxContent>
                    <w:p w:rsidR="00D7687B" w:rsidRPr="004B405E" w:rsidRDefault="00D7687B" w:rsidP="005B76FC">
                      <w:pPr>
                        <w:spacing w:after="0" w:line="240" w:lineRule="auto"/>
                        <w:jc w:val="center"/>
                        <w:rPr>
                          <w:sz w:val="20"/>
                        </w:rPr>
                      </w:pPr>
                      <w:r w:rsidRPr="004B405E">
                        <w:rPr>
                          <w:sz w:val="20"/>
                        </w:rPr>
                        <w:t>Capital investment plans across the local NHS, council, and private sector</w:t>
                      </w:r>
                    </w:p>
                  </w:txbxContent>
                </v:textbox>
              </v:roundrect>
            </w:pict>
          </mc:Fallback>
        </mc:AlternateContent>
      </w:r>
    </w:p>
    <w:p w:rsidR="005B76FC" w:rsidRPr="00212F68" w:rsidRDefault="005B76FC" w:rsidP="005B76FC">
      <w:pPr>
        <w:spacing w:after="0" w:line="264" w:lineRule="auto"/>
        <w:rPr>
          <w:rFonts w:eastAsia="Times New Roman" w:cs="Arial"/>
          <w:b/>
          <w:i/>
          <w:szCs w:val="24"/>
        </w:rPr>
      </w:pPr>
    </w:p>
    <w:p w:rsidR="005B76FC" w:rsidRPr="00212F68" w:rsidRDefault="005B76FC" w:rsidP="005B76FC">
      <w:pPr>
        <w:spacing w:after="0" w:line="264" w:lineRule="auto"/>
        <w:rPr>
          <w:rFonts w:eastAsia="Times New Roman" w:cs="Arial"/>
          <w:b/>
          <w:i/>
          <w:szCs w:val="24"/>
        </w:rPr>
      </w:pPr>
    </w:p>
    <w:p w:rsidR="005B76FC" w:rsidRPr="00212F68" w:rsidRDefault="005B76FC" w:rsidP="005B76FC">
      <w:pPr>
        <w:spacing w:after="0" w:line="264" w:lineRule="auto"/>
        <w:rPr>
          <w:rFonts w:eastAsia="Times New Roman" w:cs="Arial"/>
          <w:sz w:val="24"/>
          <w:szCs w:val="24"/>
        </w:rPr>
      </w:pPr>
      <w:r w:rsidRPr="00212F68">
        <w:rPr>
          <w:rFonts w:eastAsia="Times New Roman" w:cs="Arial"/>
          <w:b/>
          <w:i/>
          <w:noProof/>
          <w:szCs w:val="24"/>
          <w:lang w:eastAsia="en-GB"/>
        </w:rPr>
        <mc:AlternateContent>
          <mc:Choice Requires="wps">
            <w:drawing>
              <wp:anchor distT="0" distB="0" distL="114300" distR="114300" simplePos="0" relativeHeight="251800576" behindDoc="0" locked="0" layoutInCell="1" allowOverlap="1" wp14:anchorId="37CF7B98" wp14:editId="2DC55574">
                <wp:simplePos x="0" y="0"/>
                <wp:positionH relativeFrom="column">
                  <wp:posOffset>3134097</wp:posOffset>
                </wp:positionH>
                <wp:positionV relativeFrom="paragraph">
                  <wp:posOffset>43492</wp:posOffset>
                </wp:positionV>
                <wp:extent cx="2432050" cy="435610"/>
                <wp:effectExtent l="0" t="0" r="25400" b="21590"/>
                <wp:wrapNone/>
                <wp:docPr id="4126" name="Rounded Rectangle 4126"/>
                <wp:cNvGraphicFramePr/>
                <a:graphic xmlns:a="http://schemas.openxmlformats.org/drawingml/2006/main">
                  <a:graphicData uri="http://schemas.microsoft.com/office/word/2010/wordprocessingShape">
                    <wps:wsp>
                      <wps:cNvSpPr/>
                      <wps:spPr>
                        <a:xfrm>
                          <a:off x="0" y="0"/>
                          <a:ext cx="2432050" cy="435610"/>
                        </a:xfrm>
                        <a:prstGeom prst="roundRect">
                          <a:avLst/>
                        </a:prstGeom>
                        <a:solidFill>
                          <a:srgbClr val="1F497D">
                            <a:lumMod val="20000"/>
                            <a:lumOff val="80000"/>
                          </a:srgbClr>
                        </a:solidFill>
                        <a:ln w="25400" cap="flat" cmpd="sng" algn="ctr">
                          <a:solidFill>
                            <a:srgbClr val="4F81BD">
                              <a:shade val="50000"/>
                            </a:srgbClr>
                          </a:solidFill>
                          <a:prstDash val="solid"/>
                        </a:ln>
                        <a:effectLst/>
                      </wps:spPr>
                      <wps:txbx>
                        <w:txbxContent>
                          <w:p w:rsidR="00890277" w:rsidRPr="001062E5" w:rsidRDefault="00890277" w:rsidP="005B76FC">
                            <w:pPr>
                              <w:spacing w:after="0" w:line="240" w:lineRule="auto"/>
                              <w:jc w:val="center"/>
                              <w:rPr>
                                <w:sz w:val="20"/>
                                <w:szCs w:val="20"/>
                              </w:rPr>
                            </w:pPr>
                            <w:r w:rsidRPr="001062E5">
                              <w:rPr>
                                <w:sz w:val="20"/>
                                <w:szCs w:val="20"/>
                              </w:rPr>
                              <w:t>CCG, council, partner and provider investment and commissioning decisions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126" o:spid="_x0000_s1031" style="position:absolute;margin-left:246.8pt;margin-top:3.4pt;width:191.5pt;height:34.3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" fillcolor="#c6d9f1" strokecolor="#385d8a" strokeweight="2pt">
                <v:textbox>
                  <w:txbxContent>
                    <w:p w:rsidR="00D7687B" w:rsidRPr="001062E5" w:rsidRDefault="00D7687B" w:rsidP="005B76FC">
                      <w:pPr>
                        <w:spacing w:after="0" w:line="240" w:lineRule="auto"/>
                        <w:jc w:val="center"/>
                        <w:rPr>
                          <w:sz w:val="20"/>
                          <w:szCs w:val="20"/>
                        </w:rPr>
                      </w:pPr>
                      <w:r w:rsidRPr="001062E5">
                        <w:rPr>
                          <w:sz w:val="20"/>
                          <w:szCs w:val="20"/>
                        </w:rPr>
                        <w:t>CCG, council, partner and provider investment and commissioning decisions</w:t>
                      </w:r>
                    </w:p>
                  </w:txbxContent>
                </v:textbox>
              </v:roundrect>
            </w:pict>
          </mc:Fallback>
        </mc:AlternateContent>
      </w:r>
    </w:p>
    <w:p w:rsidR="005B76FC" w:rsidRPr="00212F68" w:rsidRDefault="005B76FC" w:rsidP="005B76FC">
      <w:pPr>
        <w:spacing w:after="0" w:line="264" w:lineRule="auto"/>
        <w:jc w:val="center"/>
        <w:rPr>
          <w:rFonts w:eastAsia="Times New Roman" w:cs="Arial"/>
          <w:sz w:val="24"/>
          <w:szCs w:val="24"/>
        </w:rPr>
      </w:pPr>
    </w:p>
    <w:p w:rsidR="005B76FC" w:rsidRPr="00212F68" w:rsidRDefault="005B76FC" w:rsidP="005B76FC">
      <w:pPr>
        <w:spacing w:after="0" w:line="264" w:lineRule="auto"/>
        <w:rPr>
          <w:rFonts w:eastAsia="Times New Roman" w:cs="Arial"/>
          <w:sz w:val="24"/>
          <w:szCs w:val="24"/>
        </w:rPr>
      </w:pPr>
    </w:p>
    <w:p w:rsidR="005B76FC" w:rsidRPr="00212F68" w:rsidRDefault="005B76FC" w:rsidP="005B76FC">
      <w:pPr>
        <w:pStyle w:val="Heading2"/>
      </w:pPr>
      <w:bookmarkStart w:id="385" w:name="_Toc431225110"/>
      <w:r w:rsidRPr="00212F68">
        <w:t>Principles</w:t>
      </w:r>
      <w:bookmarkEnd w:id="385"/>
    </w:p>
    <w:p w:rsidR="005B76FC" w:rsidRPr="00212F68" w:rsidRDefault="005B76FC" w:rsidP="005B76FC">
      <w:pPr>
        <w:spacing w:line="264" w:lineRule="auto"/>
        <w:rPr>
          <w:sz w:val="24"/>
          <w:szCs w:val="24"/>
        </w:rPr>
      </w:pPr>
      <w:r w:rsidRPr="00212F68">
        <w:rPr>
          <w:sz w:val="24"/>
          <w:szCs w:val="24"/>
        </w:rPr>
        <w:t xml:space="preserve">It is important that the JSNA does more than just describe statistics and information relating to the Borough’s population. To add real value it is important that it aligns with and informs the big strategy decisions that need to be made across the public sector, including health and social care, over the next five years. With this in mind </w:t>
      </w:r>
      <w:r w:rsidRPr="00212F68">
        <w:rPr>
          <w:b/>
          <w:sz w:val="24"/>
          <w:szCs w:val="24"/>
        </w:rPr>
        <w:t>the following principles have been developed to guide the development of the JSNA</w:t>
      </w:r>
      <w:r w:rsidRPr="00212F68">
        <w:rPr>
          <w:sz w:val="24"/>
          <w:szCs w:val="24"/>
        </w:rPr>
        <w:t xml:space="preserve">. </w:t>
      </w:r>
    </w:p>
    <w:p w:rsidR="005B76FC" w:rsidRPr="00212F68" w:rsidRDefault="005B76FC" w:rsidP="005B76FC">
      <w:pPr>
        <w:spacing w:line="264" w:lineRule="auto"/>
        <w:rPr>
          <w:sz w:val="24"/>
          <w:szCs w:val="24"/>
        </w:rPr>
      </w:pPr>
      <w:r w:rsidRPr="00212F68">
        <w:rPr>
          <w:sz w:val="24"/>
          <w:szCs w:val="24"/>
        </w:rPr>
        <w:t>This Barnet JSNA will:</w:t>
      </w:r>
    </w:p>
    <w:p w:rsidR="005B76FC" w:rsidRPr="00212F68" w:rsidRDefault="005B76FC" w:rsidP="008921BF">
      <w:pPr>
        <w:numPr>
          <w:ilvl w:val="1"/>
          <w:numId w:val="59"/>
        </w:numPr>
        <w:spacing w:line="264" w:lineRule="auto"/>
        <w:ind w:left="709"/>
        <w:contextualSpacing/>
        <w:rPr>
          <w:sz w:val="24"/>
          <w:szCs w:val="24"/>
        </w:rPr>
      </w:pPr>
      <w:r w:rsidRPr="00212F68">
        <w:rPr>
          <w:b/>
          <w:sz w:val="24"/>
          <w:szCs w:val="24"/>
        </w:rPr>
        <w:t>Focus on prevention, early intervention and demand management:</w:t>
      </w:r>
      <w:r w:rsidRPr="00212F68">
        <w:rPr>
          <w:sz w:val="24"/>
          <w:szCs w:val="24"/>
        </w:rPr>
        <w:t xml:space="preserve"> Delivering better outcomes for individuals and communities whilst also meeting the challenges of scarce public resources means that it is more important than ever to encourage and support all residents to live longer, healthier, happ</w:t>
      </w:r>
      <w:r>
        <w:rPr>
          <w:sz w:val="24"/>
          <w:szCs w:val="24"/>
        </w:rPr>
        <w:t>ier</w:t>
      </w:r>
      <w:r w:rsidRPr="00212F68">
        <w:rPr>
          <w:sz w:val="24"/>
          <w:szCs w:val="24"/>
        </w:rPr>
        <w:t xml:space="preserve"> lives that are free of long</w:t>
      </w:r>
      <w:r>
        <w:rPr>
          <w:sz w:val="24"/>
          <w:szCs w:val="24"/>
        </w:rPr>
        <w:t>-</w:t>
      </w:r>
      <w:r w:rsidRPr="00212F68">
        <w:rPr>
          <w:sz w:val="24"/>
          <w:szCs w:val="24"/>
        </w:rPr>
        <w:t>term conditions and illness. With that in mind, every section of this JSNA is based around understanding the root drivers of need for different services and providing commissioners across the public sector with the intelligence and insight they need to address them and to reduce long term demand for things like hospital beds, social care, and mental health services.</w:t>
      </w:r>
    </w:p>
    <w:p w:rsidR="005B76FC" w:rsidRPr="00212F68" w:rsidRDefault="005B76FC" w:rsidP="008921BF">
      <w:pPr>
        <w:numPr>
          <w:ilvl w:val="1"/>
          <w:numId w:val="59"/>
        </w:numPr>
        <w:spacing w:line="264" w:lineRule="auto"/>
        <w:ind w:left="709"/>
        <w:contextualSpacing/>
        <w:rPr>
          <w:sz w:val="24"/>
          <w:szCs w:val="24"/>
        </w:rPr>
      </w:pPr>
      <w:r w:rsidRPr="00212F68">
        <w:rPr>
          <w:b/>
          <w:sz w:val="24"/>
          <w:szCs w:val="24"/>
        </w:rPr>
        <w:t>Identify shared agendas across public services:</w:t>
      </w:r>
      <w:r w:rsidRPr="00212F68">
        <w:rPr>
          <w:sz w:val="24"/>
          <w:szCs w:val="24"/>
        </w:rPr>
        <w:t xml:space="preserve"> The nature of JSNA as a joint evidence base means that the issues it focuses on should be cross-cutting “shared” agendas by definition. For example</w:t>
      </w:r>
      <w:r>
        <w:rPr>
          <w:sz w:val="24"/>
          <w:szCs w:val="24"/>
        </w:rPr>
        <w:t>,</w:t>
      </w:r>
      <w:r w:rsidRPr="00212F68">
        <w:rPr>
          <w:sz w:val="24"/>
          <w:szCs w:val="24"/>
        </w:rPr>
        <w:t xml:space="preserve"> mental health, carers, and long</w:t>
      </w:r>
      <w:r>
        <w:rPr>
          <w:sz w:val="24"/>
          <w:szCs w:val="24"/>
        </w:rPr>
        <w:t>-</w:t>
      </w:r>
      <w:r w:rsidRPr="00212F68">
        <w:rPr>
          <w:sz w:val="24"/>
          <w:szCs w:val="24"/>
        </w:rPr>
        <w:t xml:space="preserve">term conditions. Crucially though, it also includes any early intervention opportunities that evidence shows can reduce the probability of an individual developing higher needs later on in life such as child immunisations and promoting good dental health in children, good parenting classes, quality housing, improving the effectiveness of smoking cessation activity, and promoting healthy lifestyles. The JSNA supports different agencies to </w:t>
      </w:r>
      <w:r w:rsidRPr="00212F68">
        <w:rPr>
          <w:sz w:val="24"/>
          <w:szCs w:val="24"/>
        </w:rPr>
        <w:lastRenderedPageBreak/>
        <w:t>identify the links between different service areas, keeping the person at the centre of care irrespective of who is providing it.</w:t>
      </w:r>
    </w:p>
    <w:p w:rsidR="005B76FC" w:rsidRPr="00212F68" w:rsidRDefault="005B76FC" w:rsidP="008921BF">
      <w:pPr>
        <w:numPr>
          <w:ilvl w:val="1"/>
          <w:numId w:val="59"/>
        </w:numPr>
        <w:spacing w:line="264" w:lineRule="auto"/>
        <w:ind w:left="709"/>
        <w:contextualSpacing/>
        <w:rPr>
          <w:sz w:val="24"/>
          <w:szCs w:val="24"/>
        </w:rPr>
      </w:pPr>
      <w:r w:rsidRPr="00212F68">
        <w:rPr>
          <w:b/>
          <w:sz w:val="24"/>
          <w:szCs w:val="24"/>
        </w:rPr>
        <w:t xml:space="preserve">Use existing data only: </w:t>
      </w:r>
      <w:r w:rsidRPr="00212F68">
        <w:rPr>
          <w:sz w:val="24"/>
          <w:szCs w:val="24"/>
        </w:rPr>
        <w:t>There has been no primary data collection associated with this JSNA, which only includes insight and analysis that already exists in the Public Sector. This reflects the fact that analyst time is increasingly valuable and scarce, but also the huge amount of information that already exists in the Barnet public sector and which could be used more effectively to inform decision making than has always been the case in the past.</w:t>
      </w:r>
    </w:p>
    <w:p w:rsidR="005B76FC" w:rsidRPr="00212F68" w:rsidRDefault="005B76FC" w:rsidP="008921BF">
      <w:pPr>
        <w:numPr>
          <w:ilvl w:val="1"/>
          <w:numId w:val="59"/>
        </w:numPr>
        <w:spacing w:line="264" w:lineRule="auto"/>
        <w:ind w:left="709"/>
        <w:contextualSpacing/>
        <w:rPr>
          <w:sz w:val="24"/>
          <w:szCs w:val="24"/>
        </w:rPr>
      </w:pPr>
      <w:r w:rsidRPr="00212F68">
        <w:rPr>
          <w:b/>
          <w:sz w:val="24"/>
          <w:szCs w:val="24"/>
        </w:rPr>
        <w:t>Look ahead up to 20 years:</w:t>
      </w:r>
      <w:r w:rsidRPr="00212F68">
        <w:rPr>
          <w:sz w:val="24"/>
          <w:szCs w:val="24"/>
        </w:rPr>
        <w:t xml:space="preserve"> As well as looking at the more current needs of the population over the next 3-5 years, this JSNA adopts a more strategic time horizon of up to 20 years, enabling a longer term approach to prevention, early intervention and demand management than has always been the case in the past. This approach is prudent given the long</w:t>
      </w:r>
      <w:r>
        <w:rPr>
          <w:sz w:val="24"/>
          <w:szCs w:val="24"/>
        </w:rPr>
        <w:t>-</w:t>
      </w:r>
      <w:r w:rsidRPr="00212F68">
        <w:rPr>
          <w:sz w:val="24"/>
          <w:szCs w:val="24"/>
        </w:rPr>
        <w:t>term increase in population level demand and continued constraints on resources that we know will be a feature of strategy and decision making for the foreseeable future.</w:t>
      </w:r>
    </w:p>
    <w:p w:rsidR="005B76FC" w:rsidRPr="00212F68" w:rsidRDefault="005B76FC" w:rsidP="008921BF">
      <w:pPr>
        <w:numPr>
          <w:ilvl w:val="1"/>
          <w:numId w:val="59"/>
        </w:numPr>
        <w:spacing w:line="264" w:lineRule="auto"/>
        <w:ind w:left="709"/>
        <w:contextualSpacing/>
        <w:rPr>
          <w:sz w:val="24"/>
          <w:szCs w:val="24"/>
        </w:rPr>
      </w:pPr>
      <w:r w:rsidRPr="00212F68">
        <w:rPr>
          <w:b/>
          <w:sz w:val="24"/>
          <w:szCs w:val="24"/>
        </w:rPr>
        <w:t xml:space="preserve">Support and align with existing service-level needs assessments: </w:t>
      </w:r>
      <w:r w:rsidRPr="00212F68">
        <w:rPr>
          <w:sz w:val="24"/>
          <w:szCs w:val="24"/>
        </w:rPr>
        <w:t>The JSNA draws on the significant amount of high quality needs assessment that has already been undertaken by the Council and the CCG, for example relating to mental health, special educational needs (SEN) and parks and green spaces. What the JSNA does is contextualise these and draw connections between them at a more strategic level, as well as makes their findings available to a wider audience of commissioners, members, and strategic decision makers.</w:t>
      </w:r>
    </w:p>
    <w:p w:rsidR="005B76FC" w:rsidRPr="00212F68" w:rsidRDefault="005B76FC" w:rsidP="008921BF">
      <w:pPr>
        <w:numPr>
          <w:ilvl w:val="1"/>
          <w:numId w:val="59"/>
        </w:numPr>
        <w:spacing w:line="264" w:lineRule="auto"/>
        <w:ind w:left="709"/>
        <w:contextualSpacing/>
        <w:rPr>
          <w:sz w:val="24"/>
          <w:szCs w:val="24"/>
        </w:rPr>
      </w:pPr>
      <w:r w:rsidRPr="00212F68">
        <w:rPr>
          <w:b/>
          <w:sz w:val="24"/>
          <w:szCs w:val="24"/>
        </w:rPr>
        <w:t>Be a way of working, not a document or product:</w:t>
      </w:r>
      <w:r w:rsidRPr="00212F68">
        <w:rPr>
          <w:sz w:val="24"/>
          <w:szCs w:val="24"/>
        </w:rPr>
        <w:t xml:space="preserve"> The JSNA will be updated as required over the coming years. In particular, the new Barnet JSNA micro-site will be updated with current analysis as soon as it is available and interpreted for commissioning purposes. This will reduce the risk of the JSNA losing its usefulness as the data within it becomes increasingly out of date.</w:t>
      </w:r>
      <w:r>
        <w:rPr>
          <w:sz w:val="24"/>
          <w:szCs w:val="24"/>
        </w:rPr>
        <w:br/>
      </w:r>
    </w:p>
    <w:p w:rsidR="005B76FC" w:rsidRPr="00212F68" w:rsidRDefault="005B76FC" w:rsidP="005B76FC">
      <w:pPr>
        <w:pStyle w:val="Heading2"/>
      </w:pPr>
      <w:bookmarkStart w:id="386" w:name="_Toc431225111"/>
      <w:r w:rsidRPr="00212F68">
        <w:t>Theoretical underpinnings</w:t>
      </w:r>
      <w:bookmarkEnd w:id="386"/>
      <w:r w:rsidRPr="00212F68">
        <w:t xml:space="preserve"> </w:t>
      </w:r>
    </w:p>
    <w:p w:rsidR="005B76FC" w:rsidRPr="00212F68" w:rsidRDefault="005B76FC" w:rsidP="005B76FC">
      <w:pPr>
        <w:spacing w:line="264" w:lineRule="auto"/>
        <w:rPr>
          <w:sz w:val="24"/>
          <w:szCs w:val="24"/>
        </w:rPr>
      </w:pPr>
      <w:r w:rsidRPr="00212F68">
        <w:rPr>
          <w:sz w:val="24"/>
          <w:szCs w:val="24"/>
        </w:rPr>
        <w:t xml:space="preserve">The focus on prevention, early intervention and demand management embedded across the JSNA requires a broad view of health and wellbeing that accounts for the wider socio-economic factors affecting the health and happiness of individuals and communities now and in the future. </w:t>
      </w:r>
    </w:p>
    <w:p w:rsidR="005B76FC" w:rsidRPr="00212F68" w:rsidRDefault="005B76FC" w:rsidP="005B76FC">
      <w:pPr>
        <w:spacing w:line="264" w:lineRule="auto"/>
        <w:rPr>
          <w:sz w:val="24"/>
          <w:szCs w:val="24"/>
        </w:rPr>
      </w:pPr>
      <w:r w:rsidRPr="00212F68">
        <w:rPr>
          <w:sz w:val="24"/>
          <w:szCs w:val="24"/>
        </w:rPr>
        <w:t>This JSNA uses Dahlgren and Whitehead’s Model of Health and Well Being as its theoretical basis, and incorporates not only the important lifestyle and health behaviours of the population, but also wider issues such as employment, volunteering, crime, and housing because all the evidence tells us that these issues are important to engage with if we want to improve health and wellbeing for the population and reduce demand for scarce public resources:</w:t>
      </w:r>
    </w:p>
    <w:p w:rsidR="005B76FC" w:rsidRDefault="005B76FC" w:rsidP="005B76FC">
      <w:pPr>
        <w:spacing w:line="264" w:lineRule="auto"/>
        <w:rPr>
          <w:sz w:val="24"/>
          <w:szCs w:val="24"/>
        </w:rPr>
      </w:pPr>
    </w:p>
    <w:p w:rsidR="005B76FC" w:rsidRPr="00212F68" w:rsidRDefault="005B76FC" w:rsidP="005B76FC">
      <w:pPr>
        <w:spacing w:line="264" w:lineRule="auto"/>
        <w:rPr>
          <w:sz w:val="24"/>
          <w:szCs w:val="24"/>
        </w:rPr>
      </w:pPr>
    </w:p>
    <w:p w:rsidR="005B76FC" w:rsidRPr="00212F68" w:rsidRDefault="005B76FC" w:rsidP="005B76FC">
      <w:pPr>
        <w:spacing w:line="264" w:lineRule="auto"/>
        <w:rPr>
          <w:sz w:val="24"/>
          <w:szCs w:val="24"/>
        </w:rPr>
      </w:pPr>
      <w:r w:rsidRPr="00212F68">
        <w:rPr>
          <w:sz w:val="24"/>
          <w:szCs w:val="24"/>
        </w:rPr>
        <w:t xml:space="preserve">Figure 1: </w:t>
      </w:r>
      <w:r w:rsidRPr="00212F68">
        <w:rPr>
          <w:i/>
          <w:sz w:val="24"/>
          <w:szCs w:val="24"/>
        </w:rPr>
        <w:t>Da</w:t>
      </w:r>
      <w:r>
        <w:rPr>
          <w:i/>
          <w:sz w:val="24"/>
          <w:szCs w:val="24"/>
        </w:rPr>
        <w:t>h</w:t>
      </w:r>
      <w:r w:rsidRPr="00212F68">
        <w:rPr>
          <w:i/>
          <w:sz w:val="24"/>
          <w:szCs w:val="24"/>
        </w:rPr>
        <w:t>lgren and Whitehead’s model of the wider determinants of health</w:t>
      </w:r>
    </w:p>
    <w:p w:rsidR="005B76FC" w:rsidRPr="00212F68" w:rsidRDefault="005B76FC" w:rsidP="005B76FC">
      <w:pPr>
        <w:spacing w:line="264" w:lineRule="auto"/>
        <w:jc w:val="center"/>
        <w:rPr>
          <w:sz w:val="24"/>
          <w:szCs w:val="24"/>
        </w:rPr>
      </w:pPr>
      <w:r w:rsidRPr="00212F68">
        <w:rPr>
          <w:noProof/>
          <w:sz w:val="24"/>
          <w:szCs w:val="24"/>
          <w:lang w:eastAsia="en-GB"/>
        </w:rPr>
        <w:drawing>
          <wp:inline distT="0" distB="0" distL="0" distR="0" wp14:anchorId="066C17D0" wp14:editId="7BDA43C7">
            <wp:extent cx="3433313" cy="2529810"/>
            <wp:effectExtent l="0" t="0" r="0" b="4445"/>
            <wp:docPr id="43009" name="Picture 43009" descr="http://www.nnotts.nhs.uk/publichealth/phprofiles/PublicHealth/NNPHN/Profiles/Determinants/DE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nnotts.nhs.uk/publichealth/phprofiles/PublicHealth/NNPHN/Profiles/Determinants/DETER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434155" cy="2530430"/>
                    </a:xfrm>
                    <a:prstGeom prst="rect">
                      <a:avLst/>
                    </a:prstGeom>
                    <a:noFill/>
                    <a:ln>
                      <a:noFill/>
                    </a:ln>
                  </pic:spPr>
                </pic:pic>
              </a:graphicData>
            </a:graphic>
          </wp:inline>
        </w:drawing>
      </w:r>
    </w:p>
    <w:p w:rsidR="005B76FC" w:rsidRPr="00212F68" w:rsidRDefault="005B76FC" w:rsidP="005B76FC">
      <w:pPr>
        <w:pStyle w:val="Heading2"/>
      </w:pPr>
      <w:bookmarkStart w:id="387" w:name="_Toc431225112"/>
      <w:r w:rsidRPr="00212F68">
        <w:t>Structure of the JSNA</w:t>
      </w:r>
      <w:bookmarkEnd w:id="387"/>
    </w:p>
    <w:p w:rsidR="005B76FC" w:rsidRPr="00212F68" w:rsidRDefault="005B76FC" w:rsidP="005B76FC">
      <w:pPr>
        <w:spacing w:line="264" w:lineRule="auto"/>
        <w:rPr>
          <w:sz w:val="24"/>
          <w:szCs w:val="24"/>
        </w:rPr>
      </w:pPr>
      <w:r w:rsidRPr="00212F68">
        <w:rPr>
          <w:sz w:val="24"/>
          <w:szCs w:val="24"/>
        </w:rPr>
        <w:t xml:space="preserve">The JSNA consists of a written document and an interactive, constantly updated website that has been designed to be accessible and useful to residents, elected members, commissioners, and providers. The written JSNA consists of the following sections, with connections made between them in the analysis where relevant: </w:t>
      </w:r>
    </w:p>
    <w:p w:rsidR="005B76FC" w:rsidRPr="00212F68" w:rsidRDefault="005B76FC" w:rsidP="008921BF">
      <w:pPr>
        <w:numPr>
          <w:ilvl w:val="0"/>
          <w:numId w:val="62"/>
        </w:numPr>
        <w:spacing w:line="264" w:lineRule="auto"/>
        <w:contextualSpacing/>
        <w:rPr>
          <w:sz w:val="24"/>
          <w:szCs w:val="24"/>
        </w:rPr>
      </w:pPr>
      <w:r w:rsidRPr="00212F68">
        <w:rPr>
          <w:sz w:val="24"/>
          <w:szCs w:val="24"/>
        </w:rPr>
        <w:t>Demography</w:t>
      </w:r>
    </w:p>
    <w:p w:rsidR="005B76FC" w:rsidRPr="00212F68" w:rsidRDefault="005B76FC" w:rsidP="008921BF">
      <w:pPr>
        <w:numPr>
          <w:ilvl w:val="0"/>
          <w:numId w:val="62"/>
        </w:numPr>
        <w:spacing w:line="264" w:lineRule="auto"/>
        <w:contextualSpacing/>
        <w:rPr>
          <w:sz w:val="24"/>
          <w:szCs w:val="24"/>
        </w:rPr>
      </w:pPr>
      <w:r w:rsidRPr="00212F68">
        <w:rPr>
          <w:sz w:val="24"/>
          <w:szCs w:val="24"/>
        </w:rPr>
        <w:t xml:space="preserve">Socio-economic </w:t>
      </w:r>
      <w:r>
        <w:rPr>
          <w:sz w:val="24"/>
          <w:szCs w:val="24"/>
        </w:rPr>
        <w:t xml:space="preserve">and environmental </w:t>
      </w:r>
      <w:r w:rsidRPr="00212F68">
        <w:rPr>
          <w:sz w:val="24"/>
          <w:szCs w:val="24"/>
        </w:rPr>
        <w:t>context</w:t>
      </w:r>
    </w:p>
    <w:p w:rsidR="005B76FC" w:rsidRPr="00212F68" w:rsidRDefault="005B76FC" w:rsidP="008921BF">
      <w:pPr>
        <w:numPr>
          <w:ilvl w:val="0"/>
          <w:numId w:val="62"/>
        </w:numPr>
        <w:spacing w:line="264" w:lineRule="auto"/>
        <w:contextualSpacing/>
        <w:rPr>
          <w:sz w:val="24"/>
          <w:szCs w:val="24"/>
        </w:rPr>
      </w:pPr>
      <w:r>
        <w:rPr>
          <w:sz w:val="24"/>
          <w:szCs w:val="24"/>
        </w:rPr>
        <w:t>Barnet Customer Segments</w:t>
      </w:r>
    </w:p>
    <w:p w:rsidR="005B76FC" w:rsidRDefault="005B76FC" w:rsidP="008921BF">
      <w:pPr>
        <w:numPr>
          <w:ilvl w:val="0"/>
          <w:numId w:val="62"/>
        </w:numPr>
        <w:spacing w:line="264" w:lineRule="auto"/>
        <w:contextualSpacing/>
        <w:rPr>
          <w:sz w:val="24"/>
          <w:szCs w:val="24"/>
        </w:rPr>
      </w:pPr>
      <w:r w:rsidRPr="00212F68">
        <w:rPr>
          <w:sz w:val="24"/>
          <w:szCs w:val="24"/>
        </w:rPr>
        <w:t>Health of the population</w:t>
      </w:r>
    </w:p>
    <w:p w:rsidR="005B76FC" w:rsidRDefault="005B76FC" w:rsidP="008921BF">
      <w:pPr>
        <w:numPr>
          <w:ilvl w:val="0"/>
          <w:numId w:val="62"/>
        </w:numPr>
        <w:spacing w:line="264" w:lineRule="auto"/>
        <w:contextualSpacing/>
        <w:rPr>
          <w:sz w:val="24"/>
          <w:szCs w:val="24"/>
        </w:rPr>
      </w:pPr>
      <w:r>
        <w:rPr>
          <w:sz w:val="24"/>
          <w:szCs w:val="24"/>
        </w:rPr>
        <w:t>Lifestyle</w:t>
      </w:r>
    </w:p>
    <w:p w:rsidR="005B76FC" w:rsidRPr="00212F68" w:rsidRDefault="005B76FC" w:rsidP="008921BF">
      <w:pPr>
        <w:numPr>
          <w:ilvl w:val="0"/>
          <w:numId w:val="62"/>
        </w:numPr>
        <w:spacing w:line="264" w:lineRule="auto"/>
        <w:contextualSpacing/>
        <w:rPr>
          <w:sz w:val="24"/>
          <w:szCs w:val="24"/>
        </w:rPr>
      </w:pPr>
      <w:r>
        <w:rPr>
          <w:sz w:val="24"/>
          <w:szCs w:val="24"/>
        </w:rPr>
        <w:t>Primary and Secondary Care</w:t>
      </w:r>
    </w:p>
    <w:p w:rsidR="005B76FC" w:rsidRPr="00212F68" w:rsidRDefault="005B76FC" w:rsidP="008921BF">
      <w:pPr>
        <w:numPr>
          <w:ilvl w:val="0"/>
          <w:numId w:val="62"/>
        </w:numPr>
        <w:spacing w:line="264" w:lineRule="auto"/>
        <w:contextualSpacing/>
        <w:rPr>
          <w:sz w:val="24"/>
          <w:szCs w:val="24"/>
        </w:rPr>
      </w:pPr>
      <w:r w:rsidRPr="00212F68">
        <w:rPr>
          <w:sz w:val="24"/>
          <w:szCs w:val="24"/>
        </w:rPr>
        <w:t xml:space="preserve">Children </w:t>
      </w:r>
      <w:r>
        <w:rPr>
          <w:sz w:val="24"/>
          <w:szCs w:val="24"/>
        </w:rPr>
        <w:t>and Young People</w:t>
      </w:r>
      <w:r w:rsidRPr="00212F68">
        <w:rPr>
          <w:sz w:val="24"/>
          <w:szCs w:val="24"/>
        </w:rPr>
        <w:t xml:space="preserve"> </w:t>
      </w:r>
    </w:p>
    <w:p w:rsidR="005B76FC" w:rsidRPr="00212F68" w:rsidRDefault="005B76FC" w:rsidP="008921BF">
      <w:pPr>
        <w:numPr>
          <w:ilvl w:val="0"/>
          <w:numId w:val="62"/>
        </w:numPr>
        <w:spacing w:line="264" w:lineRule="auto"/>
        <w:contextualSpacing/>
        <w:rPr>
          <w:sz w:val="24"/>
          <w:szCs w:val="24"/>
        </w:rPr>
      </w:pPr>
      <w:r w:rsidRPr="00212F68">
        <w:rPr>
          <w:sz w:val="24"/>
          <w:szCs w:val="24"/>
        </w:rPr>
        <w:t xml:space="preserve">Adult </w:t>
      </w:r>
      <w:r>
        <w:rPr>
          <w:sz w:val="24"/>
          <w:szCs w:val="24"/>
        </w:rPr>
        <w:t>Social Care</w:t>
      </w:r>
    </w:p>
    <w:p w:rsidR="005B76FC" w:rsidRPr="00212F68" w:rsidRDefault="005B76FC" w:rsidP="008921BF">
      <w:pPr>
        <w:numPr>
          <w:ilvl w:val="0"/>
          <w:numId w:val="62"/>
        </w:numPr>
        <w:spacing w:line="264" w:lineRule="auto"/>
        <w:contextualSpacing/>
        <w:rPr>
          <w:sz w:val="24"/>
          <w:szCs w:val="24"/>
        </w:rPr>
      </w:pPr>
      <w:r w:rsidRPr="00212F68">
        <w:rPr>
          <w:sz w:val="24"/>
          <w:szCs w:val="24"/>
        </w:rPr>
        <w:t>Community Safety</w:t>
      </w:r>
    </w:p>
    <w:p w:rsidR="005B76FC" w:rsidRPr="00212F68" w:rsidRDefault="005B76FC" w:rsidP="008921BF">
      <w:pPr>
        <w:numPr>
          <w:ilvl w:val="0"/>
          <w:numId w:val="62"/>
        </w:numPr>
        <w:spacing w:line="264" w:lineRule="auto"/>
        <w:contextualSpacing/>
        <w:rPr>
          <w:sz w:val="24"/>
          <w:szCs w:val="24"/>
        </w:rPr>
      </w:pPr>
      <w:r w:rsidRPr="00212F68">
        <w:rPr>
          <w:sz w:val="24"/>
          <w:szCs w:val="24"/>
        </w:rPr>
        <w:t>Community Assets</w:t>
      </w:r>
    </w:p>
    <w:p w:rsidR="005B76FC" w:rsidRPr="00212F68" w:rsidRDefault="005B76FC" w:rsidP="008921BF">
      <w:pPr>
        <w:numPr>
          <w:ilvl w:val="0"/>
          <w:numId w:val="62"/>
        </w:numPr>
        <w:spacing w:line="264" w:lineRule="auto"/>
        <w:contextualSpacing/>
        <w:rPr>
          <w:sz w:val="24"/>
          <w:szCs w:val="24"/>
        </w:rPr>
      </w:pPr>
      <w:r w:rsidRPr="00212F68">
        <w:rPr>
          <w:sz w:val="24"/>
          <w:szCs w:val="24"/>
        </w:rPr>
        <w:t>Resident voice</w:t>
      </w:r>
    </w:p>
    <w:p w:rsidR="005B76FC" w:rsidRPr="00212F68" w:rsidRDefault="005B76FC" w:rsidP="008921BF">
      <w:pPr>
        <w:numPr>
          <w:ilvl w:val="0"/>
          <w:numId w:val="62"/>
        </w:numPr>
        <w:spacing w:line="264" w:lineRule="auto"/>
        <w:contextualSpacing/>
        <w:rPr>
          <w:sz w:val="24"/>
          <w:szCs w:val="24"/>
        </w:rPr>
      </w:pPr>
      <w:r>
        <w:rPr>
          <w:sz w:val="24"/>
          <w:szCs w:val="24"/>
        </w:rPr>
        <w:t>Public Sector Finance</w:t>
      </w:r>
    </w:p>
    <w:p w:rsidR="005B76FC" w:rsidRDefault="005B76FC" w:rsidP="005B76FC">
      <w:pPr>
        <w:keepNext/>
        <w:keepLines/>
        <w:numPr>
          <w:ilvl w:val="1"/>
          <w:numId w:val="0"/>
        </w:numPr>
        <w:spacing w:before="200" w:after="0"/>
        <w:ind w:left="576" w:hanging="576"/>
        <w:outlineLvl w:val="1"/>
        <w:rPr>
          <w:rFonts w:asciiTheme="majorHAnsi" w:eastAsiaTheme="majorEastAsia" w:hAnsiTheme="majorHAnsi" w:cstheme="majorBidi"/>
          <w:b/>
          <w:bCs/>
          <w:color w:val="4F81BD" w:themeColor="accent1"/>
          <w:sz w:val="26"/>
          <w:szCs w:val="26"/>
        </w:rPr>
      </w:pPr>
    </w:p>
    <w:p w:rsidR="005B76FC" w:rsidRPr="00212F68" w:rsidRDefault="005B76FC" w:rsidP="005B76FC">
      <w:pPr>
        <w:pStyle w:val="Heading2"/>
      </w:pPr>
      <w:bookmarkStart w:id="388" w:name="_Toc431225113"/>
      <w:r w:rsidRPr="00212F68">
        <w:t>Who should use the JSNA?</w:t>
      </w:r>
      <w:bookmarkEnd w:id="388"/>
    </w:p>
    <w:p w:rsidR="005B76FC" w:rsidRPr="00212F68" w:rsidRDefault="005B76FC" w:rsidP="005B76FC">
      <w:pPr>
        <w:spacing w:line="264" w:lineRule="auto"/>
        <w:rPr>
          <w:sz w:val="24"/>
          <w:szCs w:val="24"/>
        </w:rPr>
      </w:pPr>
      <w:r w:rsidRPr="00212F68">
        <w:rPr>
          <w:sz w:val="24"/>
          <w:szCs w:val="24"/>
        </w:rPr>
        <w:t>The JSNA is a public, published document and is available to anyone who wants to understand the local population and its associated needs and trends. There are a number of specific groups who will either need or want to use the JSNA to inform priority setting and strategic commissioning, or to shape the targeting and delivery of front-line services at the areas of highest population need:</w:t>
      </w:r>
    </w:p>
    <w:p w:rsidR="005B76FC" w:rsidRPr="00212F68" w:rsidRDefault="005B76FC" w:rsidP="008921BF">
      <w:pPr>
        <w:numPr>
          <w:ilvl w:val="0"/>
          <w:numId w:val="61"/>
        </w:numPr>
        <w:spacing w:line="264" w:lineRule="auto"/>
        <w:contextualSpacing/>
        <w:rPr>
          <w:sz w:val="24"/>
          <w:szCs w:val="24"/>
        </w:rPr>
      </w:pPr>
      <w:r w:rsidRPr="00212F68">
        <w:rPr>
          <w:sz w:val="24"/>
          <w:szCs w:val="24"/>
        </w:rPr>
        <w:lastRenderedPageBreak/>
        <w:t>Barnet Health and Well Being Board members</w:t>
      </w:r>
    </w:p>
    <w:p w:rsidR="005B76FC" w:rsidRPr="00212F68" w:rsidRDefault="005B76FC" w:rsidP="008921BF">
      <w:pPr>
        <w:numPr>
          <w:ilvl w:val="0"/>
          <w:numId w:val="61"/>
        </w:numPr>
        <w:spacing w:line="264" w:lineRule="auto"/>
        <w:contextualSpacing/>
        <w:rPr>
          <w:sz w:val="24"/>
          <w:szCs w:val="24"/>
        </w:rPr>
      </w:pPr>
      <w:r w:rsidRPr="00212F68">
        <w:rPr>
          <w:sz w:val="24"/>
          <w:szCs w:val="24"/>
        </w:rPr>
        <w:t xml:space="preserve">Elected members </w:t>
      </w:r>
    </w:p>
    <w:p w:rsidR="005B76FC" w:rsidRPr="00212F68" w:rsidRDefault="005B76FC" w:rsidP="008921BF">
      <w:pPr>
        <w:numPr>
          <w:ilvl w:val="0"/>
          <w:numId w:val="61"/>
        </w:numPr>
        <w:spacing w:line="264" w:lineRule="auto"/>
        <w:contextualSpacing/>
        <w:rPr>
          <w:sz w:val="24"/>
          <w:szCs w:val="24"/>
        </w:rPr>
      </w:pPr>
      <w:r w:rsidRPr="00212F68">
        <w:rPr>
          <w:sz w:val="24"/>
          <w:szCs w:val="24"/>
        </w:rPr>
        <w:t>NHS Clinical Cabinet Board members</w:t>
      </w:r>
    </w:p>
    <w:p w:rsidR="005B76FC" w:rsidRPr="00212F68" w:rsidRDefault="005B76FC" w:rsidP="008921BF">
      <w:pPr>
        <w:numPr>
          <w:ilvl w:val="0"/>
          <w:numId w:val="61"/>
        </w:numPr>
        <w:spacing w:line="264" w:lineRule="auto"/>
        <w:contextualSpacing/>
        <w:rPr>
          <w:sz w:val="24"/>
          <w:szCs w:val="24"/>
        </w:rPr>
      </w:pPr>
      <w:r w:rsidRPr="00212F68">
        <w:rPr>
          <w:sz w:val="24"/>
          <w:szCs w:val="24"/>
        </w:rPr>
        <w:t xml:space="preserve">Senior officers </w:t>
      </w:r>
    </w:p>
    <w:p w:rsidR="005B76FC" w:rsidRPr="00212F68" w:rsidRDefault="005B76FC" w:rsidP="008921BF">
      <w:pPr>
        <w:numPr>
          <w:ilvl w:val="0"/>
          <w:numId w:val="61"/>
        </w:numPr>
        <w:spacing w:line="264" w:lineRule="auto"/>
        <w:contextualSpacing/>
        <w:rPr>
          <w:sz w:val="24"/>
          <w:szCs w:val="24"/>
        </w:rPr>
      </w:pPr>
      <w:r w:rsidRPr="00212F68">
        <w:rPr>
          <w:sz w:val="24"/>
          <w:szCs w:val="24"/>
        </w:rPr>
        <w:t xml:space="preserve">commissioners </w:t>
      </w:r>
    </w:p>
    <w:p w:rsidR="005B76FC" w:rsidRPr="00212F68" w:rsidRDefault="005B76FC" w:rsidP="008921BF">
      <w:pPr>
        <w:numPr>
          <w:ilvl w:val="0"/>
          <w:numId w:val="61"/>
        </w:numPr>
        <w:spacing w:line="264" w:lineRule="auto"/>
        <w:contextualSpacing/>
        <w:rPr>
          <w:sz w:val="24"/>
          <w:szCs w:val="24"/>
        </w:rPr>
      </w:pPr>
      <w:r w:rsidRPr="00212F68">
        <w:rPr>
          <w:sz w:val="24"/>
          <w:szCs w:val="24"/>
        </w:rPr>
        <w:t>Providers who want to develop services to be commissioned by the Barnet public sector</w:t>
      </w:r>
    </w:p>
    <w:p w:rsidR="005B76FC" w:rsidRPr="00212F68" w:rsidRDefault="005B76FC" w:rsidP="008921BF">
      <w:pPr>
        <w:numPr>
          <w:ilvl w:val="0"/>
          <w:numId w:val="61"/>
        </w:numPr>
        <w:spacing w:line="264" w:lineRule="auto"/>
        <w:contextualSpacing/>
        <w:rPr>
          <w:sz w:val="24"/>
          <w:szCs w:val="24"/>
        </w:rPr>
      </w:pPr>
      <w:r w:rsidRPr="00212F68">
        <w:rPr>
          <w:sz w:val="24"/>
          <w:szCs w:val="24"/>
        </w:rPr>
        <w:t>Strategic planners who want to understand and plan for future demand pressures</w:t>
      </w:r>
    </w:p>
    <w:p w:rsidR="005B76FC" w:rsidRPr="00212F68" w:rsidRDefault="005B76FC" w:rsidP="008921BF">
      <w:pPr>
        <w:numPr>
          <w:ilvl w:val="0"/>
          <w:numId w:val="61"/>
        </w:numPr>
        <w:spacing w:line="264" w:lineRule="auto"/>
        <w:contextualSpacing/>
        <w:rPr>
          <w:sz w:val="24"/>
          <w:szCs w:val="24"/>
        </w:rPr>
      </w:pPr>
      <w:r w:rsidRPr="00212F68">
        <w:rPr>
          <w:sz w:val="24"/>
          <w:szCs w:val="24"/>
        </w:rPr>
        <w:t>Voluntary and Community Sector organisations</w:t>
      </w:r>
      <w:r>
        <w:rPr>
          <w:sz w:val="24"/>
          <w:szCs w:val="24"/>
        </w:rPr>
        <w:br/>
      </w:r>
    </w:p>
    <w:p w:rsidR="005B76FC" w:rsidRPr="00212F68" w:rsidRDefault="005B76FC" w:rsidP="005B76FC">
      <w:pPr>
        <w:pStyle w:val="Heading2"/>
      </w:pPr>
      <w:bookmarkStart w:id="389" w:name="_Toc431225114"/>
      <w:r w:rsidRPr="00212F68">
        <w:t>Methodology</w:t>
      </w:r>
      <w:bookmarkEnd w:id="389"/>
    </w:p>
    <w:p w:rsidR="005B76FC" w:rsidRPr="00212F68" w:rsidRDefault="005B76FC" w:rsidP="005B76FC">
      <w:pPr>
        <w:spacing w:after="120" w:line="264" w:lineRule="auto"/>
        <w:rPr>
          <w:rFonts w:eastAsia="Times New Roman" w:cs="Arial"/>
          <w:sz w:val="24"/>
          <w:szCs w:val="24"/>
        </w:rPr>
      </w:pPr>
      <w:r w:rsidRPr="00212F68">
        <w:rPr>
          <w:rFonts w:eastAsia="Times New Roman" w:cs="Arial"/>
          <w:sz w:val="24"/>
          <w:szCs w:val="24"/>
        </w:rPr>
        <w:t>The JSNA contains a wide range of data from national and local sources, and where possible this has been benchmarked against other areas and put into time series so that the major trends in Barnet can be understood over time and compared.</w:t>
      </w:r>
    </w:p>
    <w:p w:rsidR="005B76FC" w:rsidRPr="00212F68" w:rsidRDefault="005B76FC" w:rsidP="005B76FC">
      <w:pPr>
        <w:spacing w:after="120" w:line="264" w:lineRule="auto"/>
        <w:rPr>
          <w:rFonts w:eastAsia="Times New Roman" w:cs="Arial"/>
          <w:sz w:val="24"/>
          <w:szCs w:val="24"/>
        </w:rPr>
      </w:pPr>
      <w:r w:rsidRPr="00212F68">
        <w:rPr>
          <w:rFonts w:eastAsia="Times New Roman" w:cs="Arial"/>
          <w:sz w:val="24"/>
          <w:szCs w:val="24"/>
        </w:rPr>
        <w:t>The JSNA was developed in four distinct phases:</w:t>
      </w:r>
    </w:p>
    <w:p w:rsidR="005B76FC" w:rsidRPr="00212F68" w:rsidRDefault="005B76FC" w:rsidP="005B76FC">
      <w:pPr>
        <w:spacing w:after="0" w:line="264" w:lineRule="auto"/>
        <w:rPr>
          <w:rFonts w:eastAsia="Times New Roman" w:cs="Arial"/>
          <w:sz w:val="12"/>
          <w:szCs w:val="24"/>
        </w:rPr>
      </w:pPr>
    </w:p>
    <w:p w:rsidR="005B76FC" w:rsidRPr="00212F68" w:rsidRDefault="005B76FC" w:rsidP="008921BF">
      <w:pPr>
        <w:numPr>
          <w:ilvl w:val="0"/>
          <w:numId w:val="58"/>
        </w:numPr>
        <w:spacing w:after="0" w:line="264" w:lineRule="auto"/>
        <w:contextualSpacing/>
        <w:rPr>
          <w:rFonts w:cs="Arial"/>
          <w:bCs/>
          <w:i/>
          <w:iCs/>
          <w:sz w:val="24"/>
          <w:szCs w:val="24"/>
        </w:rPr>
      </w:pPr>
      <w:r w:rsidRPr="00212F68">
        <w:rPr>
          <w:rFonts w:cs="Arial"/>
          <w:bCs/>
          <w:i/>
          <w:iCs/>
          <w:sz w:val="24"/>
          <w:szCs w:val="24"/>
        </w:rPr>
        <w:t>SCOPING (January-February 2015)</w:t>
      </w:r>
    </w:p>
    <w:p w:rsidR="005B76FC" w:rsidRPr="00212F68" w:rsidRDefault="005B76FC" w:rsidP="008921BF">
      <w:pPr>
        <w:numPr>
          <w:ilvl w:val="0"/>
          <w:numId w:val="58"/>
        </w:numPr>
        <w:spacing w:after="0" w:line="264" w:lineRule="auto"/>
        <w:contextualSpacing/>
        <w:rPr>
          <w:rFonts w:cs="Arial"/>
          <w:bCs/>
          <w:i/>
          <w:iCs/>
          <w:sz w:val="24"/>
          <w:szCs w:val="24"/>
        </w:rPr>
      </w:pPr>
      <w:r w:rsidRPr="00212F68">
        <w:rPr>
          <w:rFonts w:cs="Arial"/>
          <w:bCs/>
          <w:i/>
          <w:iCs/>
          <w:sz w:val="24"/>
          <w:szCs w:val="24"/>
        </w:rPr>
        <w:t>DATA COLLECTION (February – March 2015)</w:t>
      </w:r>
    </w:p>
    <w:p w:rsidR="005B76FC" w:rsidRPr="00212F68" w:rsidRDefault="005B76FC" w:rsidP="008921BF">
      <w:pPr>
        <w:numPr>
          <w:ilvl w:val="0"/>
          <w:numId w:val="58"/>
        </w:numPr>
        <w:spacing w:after="0" w:line="264" w:lineRule="auto"/>
        <w:contextualSpacing/>
        <w:rPr>
          <w:rFonts w:cs="Arial"/>
          <w:bCs/>
          <w:i/>
          <w:iCs/>
          <w:sz w:val="24"/>
          <w:szCs w:val="24"/>
        </w:rPr>
      </w:pPr>
      <w:r w:rsidRPr="00212F68">
        <w:rPr>
          <w:rFonts w:cs="Arial"/>
          <w:bCs/>
          <w:i/>
          <w:iCs/>
          <w:sz w:val="24"/>
          <w:szCs w:val="24"/>
        </w:rPr>
        <w:t>ANALYSIS, DRAFTING, VALIDATION, TESTING INTERNALLY (April – June 2015)</w:t>
      </w:r>
    </w:p>
    <w:p w:rsidR="005B76FC" w:rsidRPr="00212F68" w:rsidRDefault="005B76FC" w:rsidP="008921BF">
      <w:pPr>
        <w:numPr>
          <w:ilvl w:val="0"/>
          <w:numId w:val="58"/>
        </w:numPr>
        <w:spacing w:after="0" w:line="264" w:lineRule="auto"/>
        <w:contextualSpacing/>
        <w:rPr>
          <w:rFonts w:cs="Arial"/>
          <w:bCs/>
          <w:i/>
          <w:iCs/>
          <w:sz w:val="24"/>
          <w:szCs w:val="24"/>
        </w:rPr>
      </w:pPr>
      <w:r w:rsidRPr="00212F68">
        <w:rPr>
          <w:rFonts w:cs="Arial"/>
          <w:bCs/>
          <w:i/>
          <w:iCs/>
          <w:sz w:val="24"/>
          <w:szCs w:val="24"/>
        </w:rPr>
        <w:t>BOARD AND PARTNER ENGAGEMENT AND FINALISATION (July – September 2015)</w:t>
      </w:r>
    </w:p>
    <w:p w:rsidR="005B76FC" w:rsidRPr="00212F68" w:rsidRDefault="005B76FC" w:rsidP="005B76FC">
      <w:pPr>
        <w:pStyle w:val="Heading2"/>
      </w:pPr>
      <w:bookmarkStart w:id="390" w:name="_Toc431225115"/>
      <w:r w:rsidRPr="00212F68">
        <w:t>Alignment and Strategic fit</w:t>
      </w:r>
      <w:bookmarkEnd w:id="390"/>
    </w:p>
    <w:p w:rsidR="005B76FC" w:rsidRPr="00212F68" w:rsidRDefault="005B76FC" w:rsidP="005B76FC">
      <w:pPr>
        <w:spacing w:line="264" w:lineRule="auto"/>
        <w:rPr>
          <w:sz w:val="24"/>
          <w:szCs w:val="24"/>
        </w:rPr>
      </w:pPr>
      <w:r w:rsidRPr="00212F68">
        <w:rPr>
          <w:sz w:val="24"/>
          <w:szCs w:val="24"/>
        </w:rPr>
        <w:t>From the outset the JSNA has been designed to support and inform the wider strategic agendas of the Barnet public sector, in particular</w:t>
      </w:r>
      <w:r>
        <w:rPr>
          <w:sz w:val="24"/>
          <w:szCs w:val="24"/>
        </w:rPr>
        <w:t>:</w:t>
      </w:r>
    </w:p>
    <w:p w:rsidR="005B76FC" w:rsidRPr="00212F68" w:rsidRDefault="005B76FC" w:rsidP="008921BF">
      <w:pPr>
        <w:numPr>
          <w:ilvl w:val="0"/>
          <w:numId w:val="128"/>
        </w:numPr>
        <w:spacing w:line="264" w:lineRule="auto"/>
        <w:ind w:left="709"/>
        <w:contextualSpacing/>
        <w:rPr>
          <w:sz w:val="24"/>
          <w:szCs w:val="24"/>
        </w:rPr>
      </w:pPr>
      <w:r w:rsidRPr="00212F68">
        <w:rPr>
          <w:sz w:val="24"/>
          <w:szCs w:val="24"/>
        </w:rPr>
        <w:t>Barnet’s Health and Well Being Strategy</w:t>
      </w:r>
    </w:p>
    <w:p w:rsidR="005B76FC" w:rsidRPr="00212F68" w:rsidRDefault="005B76FC" w:rsidP="008921BF">
      <w:pPr>
        <w:numPr>
          <w:ilvl w:val="0"/>
          <w:numId w:val="128"/>
        </w:numPr>
        <w:spacing w:line="264" w:lineRule="auto"/>
        <w:ind w:left="709"/>
        <w:contextualSpacing/>
        <w:rPr>
          <w:sz w:val="24"/>
          <w:szCs w:val="24"/>
        </w:rPr>
      </w:pPr>
      <w:r w:rsidRPr="00212F68">
        <w:rPr>
          <w:sz w:val="24"/>
          <w:szCs w:val="24"/>
        </w:rPr>
        <w:t>Barnet CCG’s Operational Plan</w:t>
      </w:r>
    </w:p>
    <w:p w:rsidR="005B76FC" w:rsidRPr="00212F68" w:rsidRDefault="005B76FC" w:rsidP="008921BF">
      <w:pPr>
        <w:numPr>
          <w:ilvl w:val="0"/>
          <w:numId w:val="128"/>
        </w:numPr>
        <w:spacing w:line="264" w:lineRule="auto"/>
        <w:ind w:left="709"/>
        <w:contextualSpacing/>
        <w:rPr>
          <w:sz w:val="24"/>
          <w:szCs w:val="24"/>
        </w:rPr>
      </w:pPr>
      <w:r w:rsidRPr="00212F68">
        <w:rPr>
          <w:sz w:val="24"/>
          <w:szCs w:val="24"/>
        </w:rPr>
        <w:t>Barnet Council Corporate Plan 2015-2020</w:t>
      </w:r>
    </w:p>
    <w:p w:rsidR="005B76FC" w:rsidRPr="00212F68" w:rsidRDefault="005B76FC" w:rsidP="008921BF">
      <w:pPr>
        <w:numPr>
          <w:ilvl w:val="0"/>
          <w:numId w:val="128"/>
        </w:numPr>
        <w:spacing w:line="264" w:lineRule="auto"/>
        <w:ind w:left="709"/>
        <w:contextualSpacing/>
        <w:rPr>
          <w:sz w:val="24"/>
          <w:szCs w:val="24"/>
        </w:rPr>
      </w:pPr>
      <w:r w:rsidRPr="00212F68">
        <w:rPr>
          <w:sz w:val="24"/>
          <w:szCs w:val="24"/>
        </w:rPr>
        <w:t>Service planning and management agreements across Barnet CCG and Barnet Council</w:t>
      </w:r>
    </w:p>
    <w:p w:rsidR="005B76FC" w:rsidRPr="00212F68" w:rsidRDefault="005B76FC" w:rsidP="008921BF">
      <w:pPr>
        <w:numPr>
          <w:ilvl w:val="0"/>
          <w:numId w:val="128"/>
        </w:numPr>
        <w:spacing w:line="264" w:lineRule="auto"/>
        <w:ind w:left="709"/>
        <w:contextualSpacing/>
        <w:rPr>
          <w:sz w:val="24"/>
          <w:szCs w:val="24"/>
        </w:rPr>
      </w:pPr>
      <w:r>
        <w:rPr>
          <w:sz w:val="24"/>
          <w:szCs w:val="24"/>
        </w:rPr>
        <w:t>M</w:t>
      </w:r>
      <w:r w:rsidRPr="00212F68">
        <w:rPr>
          <w:sz w:val="24"/>
          <w:szCs w:val="24"/>
        </w:rPr>
        <w:t xml:space="preserve">ore holistic, cross-boundary “place-based” commissioning </w:t>
      </w:r>
    </w:p>
    <w:p w:rsidR="005B76FC" w:rsidRPr="00212F68" w:rsidRDefault="005B76FC" w:rsidP="008921BF">
      <w:pPr>
        <w:numPr>
          <w:ilvl w:val="0"/>
          <w:numId w:val="128"/>
        </w:numPr>
        <w:spacing w:line="264" w:lineRule="auto"/>
        <w:ind w:left="709"/>
        <w:contextualSpacing/>
        <w:rPr>
          <w:sz w:val="24"/>
          <w:szCs w:val="24"/>
        </w:rPr>
      </w:pPr>
      <w:r>
        <w:rPr>
          <w:sz w:val="24"/>
          <w:szCs w:val="24"/>
        </w:rPr>
        <w:t>A</w:t>
      </w:r>
      <w:r w:rsidRPr="00212F68">
        <w:rPr>
          <w:sz w:val="24"/>
          <w:szCs w:val="24"/>
        </w:rPr>
        <w:t xml:space="preserve"> strategic shift to long-term prevention and early intervention across the Barnet public sector </w:t>
      </w:r>
    </w:p>
    <w:p w:rsidR="005B76FC" w:rsidRPr="00212F68" w:rsidRDefault="005B76FC" w:rsidP="008921BF">
      <w:pPr>
        <w:numPr>
          <w:ilvl w:val="0"/>
          <w:numId w:val="128"/>
        </w:numPr>
        <w:spacing w:line="264" w:lineRule="auto"/>
        <w:ind w:left="709"/>
        <w:contextualSpacing/>
        <w:rPr>
          <w:sz w:val="24"/>
          <w:szCs w:val="24"/>
        </w:rPr>
      </w:pPr>
      <w:r w:rsidRPr="00212F68">
        <w:rPr>
          <w:sz w:val="24"/>
          <w:szCs w:val="24"/>
        </w:rPr>
        <w:t>Acts as the Borough’s Child Poverty Needs Assessment</w:t>
      </w:r>
    </w:p>
    <w:p w:rsidR="005B76FC" w:rsidRPr="00212F68" w:rsidRDefault="005B76FC" w:rsidP="008921BF">
      <w:pPr>
        <w:numPr>
          <w:ilvl w:val="0"/>
          <w:numId w:val="128"/>
        </w:numPr>
        <w:spacing w:line="264" w:lineRule="auto"/>
        <w:ind w:left="709"/>
        <w:contextualSpacing/>
        <w:rPr>
          <w:sz w:val="24"/>
          <w:szCs w:val="24"/>
        </w:rPr>
      </w:pPr>
      <w:r w:rsidRPr="00212F68">
        <w:rPr>
          <w:sz w:val="24"/>
          <w:szCs w:val="24"/>
        </w:rPr>
        <w:t>Development of a wider “ecosystem” approach to developing the Barnet supply chain, in particular making greater use of the large network of established voluntary and community groups in the Borough to deliver improved health and wellbeing outcomes for people in Barnet.</w:t>
      </w:r>
      <w:r>
        <w:rPr>
          <w:sz w:val="24"/>
          <w:szCs w:val="24"/>
        </w:rPr>
        <w:br/>
      </w:r>
    </w:p>
    <w:p w:rsidR="005B76FC" w:rsidRPr="00212F68" w:rsidRDefault="005B76FC" w:rsidP="005B76FC">
      <w:pPr>
        <w:pStyle w:val="Heading2"/>
      </w:pPr>
      <w:bookmarkStart w:id="391" w:name="_Toc431225116"/>
      <w:r w:rsidRPr="00212F68">
        <w:lastRenderedPageBreak/>
        <w:t>Caveats</w:t>
      </w:r>
      <w:bookmarkEnd w:id="391"/>
    </w:p>
    <w:p w:rsidR="005B76FC" w:rsidRPr="00212F68" w:rsidRDefault="005B76FC" w:rsidP="005B76FC">
      <w:pPr>
        <w:spacing w:line="264" w:lineRule="auto"/>
        <w:rPr>
          <w:sz w:val="24"/>
        </w:rPr>
      </w:pPr>
      <w:r w:rsidRPr="00212F68">
        <w:rPr>
          <w:sz w:val="24"/>
        </w:rPr>
        <w:t>Whilst every effort has been made to ensure that the Barnet</w:t>
      </w:r>
      <w:r>
        <w:rPr>
          <w:sz w:val="24"/>
        </w:rPr>
        <w:t xml:space="preserve"> JSNA</w:t>
      </w:r>
      <w:r w:rsidRPr="00212F68">
        <w:rPr>
          <w:sz w:val="24"/>
        </w:rPr>
        <w:t xml:space="preserve"> is as accurate and up to date as possible, having undergone an extensive process of validation and proofing with contributors, it remains important to note a number of caveats:</w:t>
      </w:r>
    </w:p>
    <w:p w:rsidR="005B76FC" w:rsidRPr="00212F68" w:rsidRDefault="005B76FC" w:rsidP="008921BF">
      <w:pPr>
        <w:numPr>
          <w:ilvl w:val="0"/>
          <w:numId w:val="63"/>
        </w:numPr>
        <w:spacing w:line="264" w:lineRule="auto"/>
        <w:contextualSpacing/>
        <w:rPr>
          <w:sz w:val="24"/>
        </w:rPr>
      </w:pPr>
      <w:r w:rsidRPr="00212F68">
        <w:rPr>
          <w:sz w:val="24"/>
        </w:rPr>
        <w:t xml:space="preserve">The project team and contributors have </w:t>
      </w:r>
      <w:r>
        <w:rPr>
          <w:sz w:val="24"/>
        </w:rPr>
        <w:t xml:space="preserve">tried </w:t>
      </w:r>
      <w:r w:rsidRPr="00212F68">
        <w:rPr>
          <w:sz w:val="24"/>
        </w:rPr>
        <w:t>hard to ensure high data quality throughout, but where errors or inac</w:t>
      </w:r>
      <w:r>
        <w:rPr>
          <w:sz w:val="24"/>
        </w:rPr>
        <w:t>c</w:t>
      </w:r>
      <w:r w:rsidRPr="00212F68">
        <w:rPr>
          <w:sz w:val="24"/>
        </w:rPr>
        <w:t xml:space="preserve">uracies are identified they will be logged and </w:t>
      </w:r>
      <w:r w:rsidR="00DD3A76" w:rsidRPr="00212F68">
        <w:rPr>
          <w:sz w:val="24"/>
        </w:rPr>
        <w:t>corrected.</w:t>
      </w:r>
    </w:p>
    <w:p w:rsidR="005B76FC" w:rsidRPr="00212F68" w:rsidRDefault="005B76FC" w:rsidP="008921BF">
      <w:pPr>
        <w:numPr>
          <w:ilvl w:val="0"/>
          <w:numId w:val="63"/>
        </w:numPr>
        <w:spacing w:line="264" w:lineRule="auto"/>
        <w:contextualSpacing/>
        <w:rPr>
          <w:sz w:val="24"/>
        </w:rPr>
      </w:pPr>
      <w:r w:rsidRPr="00212F68">
        <w:rPr>
          <w:sz w:val="24"/>
        </w:rPr>
        <w:t>Where there are gaps between what we want to know and what data/insight we have this has been highlighted in section 1.10 below so that work can be commissioned to fill them if identified as a priority by commissioners and decision makers.</w:t>
      </w:r>
    </w:p>
    <w:p w:rsidR="005B76FC" w:rsidRPr="00212F68" w:rsidRDefault="005B76FC" w:rsidP="008921BF">
      <w:pPr>
        <w:numPr>
          <w:ilvl w:val="0"/>
          <w:numId w:val="63"/>
        </w:numPr>
        <w:spacing w:line="264" w:lineRule="auto"/>
        <w:contextualSpacing/>
        <w:rPr>
          <w:sz w:val="24"/>
        </w:rPr>
      </w:pPr>
      <w:r w:rsidRPr="00212F68">
        <w:rPr>
          <w:sz w:val="24"/>
        </w:rPr>
        <w:t>The JSNA is by its nature a broad piece of work; however it can’t be everything to all people. It should align with and complement more detailed service-level needs assessments produced by individual service areas across the public sector, but does not replace them because the level of detail they contain will in some cases be more appropriate for detailed service-level planning than the JSNA.</w:t>
      </w:r>
    </w:p>
    <w:p w:rsidR="005B76FC" w:rsidRDefault="005B76FC" w:rsidP="005B76FC">
      <w:pPr>
        <w:keepNext/>
        <w:keepLines/>
        <w:numPr>
          <w:ilvl w:val="1"/>
          <w:numId w:val="0"/>
        </w:numPr>
        <w:spacing w:before="200" w:after="0"/>
        <w:ind w:left="576" w:hanging="576"/>
        <w:outlineLvl w:val="1"/>
        <w:rPr>
          <w:rFonts w:asciiTheme="majorHAnsi" w:eastAsiaTheme="majorEastAsia" w:hAnsiTheme="majorHAnsi" w:cstheme="majorBidi"/>
          <w:b/>
          <w:bCs/>
          <w:color w:val="4F81BD" w:themeColor="accent1"/>
          <w:sz w:val="26"/>
          <w:szCs w:val="26"/>
        </w:rPr>
      </w:pPr>
    </w:p>
    <w:p w:rsidR="005B76FC" w:rsidRPr="00212F68" w:rsidRDefault="005B76FC" w:rsidP="005B76FC">
      <w:pPr>
        <w:pStyle w:val="Heading2"/>
      </w:pPr>
      <w:bookmarkStart w:id="392" w:name="_Toc431225117"/>
      <w:r w:rsidRPr="00212F68">
        <w:t>Further Research</w:t>
      </w:r>
      <w:bookmarkEnd w:id="392"/>
    </w:p>
    <w:p w:rsidR="005B76FC" w:rsidRPr="00212F68" w:rsidRDefault="005B76FC" w:rsidP="005B76FC">
      <w:pPr>
        <w:spacing w:line="264" w:lineRule="auto"/>
      </w:pPr>
      <w:r w:rsidRPr="00212F68">
        <w:t>Areas of possible future research have been identified throughout the development process:</w:t>
      </w:r>
    </w:p>
    <w:p w:rsidR="005B76FC" w:rsidRPr="00212F68" w:rsidRDefault="005B76FC" w:rsidP="008921BF">
      <w:pPr>
        <w:numPr>
          <w:ilvl w:val="0"/>
          <w:numId w:val="119"/>
        </w:numPr>
        <w:contextualSpacing/>
        <w:jc w:val="both"/>
        <w:rPr>
          <w:sz w:val="24"/>
        </w:rPr>
      </w:pPr>
      <w:r w:rsidRPr="00212F68">
        <w:rPr>
          <w:sz w:val="24"/>
        </w:rPr>
        <w:t>Understanding the specific impacts of reduced home ownership on the long-term financial viability of social care.</w:t>
      </w:r>
    </w:p>
    <w:p w:rsidR="005B76FC" w:rsidRPr="00212F68" w:rsidRDefault="005B76FC" w:rsidP="008921BF">
      <w:pPr>
        <w:numPr>
          <w:ilvl w:val="0"/>
          <w:numId w:val="119"/>
        </w:numPr>
        <w:contextualSpacing/>
        <w:jc w:val="both"/>
        <w:rPr>
          <w:sz w:val="24"/>
        </w:rPr>
      </w:pPr>
      <w:r w:rsidRPr="00212F68">
        <w:rPr>
          <w:sz w:val="24"/>
        </w:rPr>
        <w:t>More work is needed to determine the prevalence and needs of young carers within the Borough.</w:t>
      </w:r>
    </w:p>
    <w:p w:rsidR="005B76FC" w:rsidRPr="00212F68" w:rsidRDefault="005B76FC" w:rsidP="008921BF">
      <w:pPr>
        <w:numPr>
          <w:ilvl w:val="0"/>
          <w:numId w:val="119"/>
        </w:numPr>
        <w:contextualSpacing/>
        <w:jc w:val="both"/>
        <w:rPr>
          <w:sz w:val="24"/>
        </w:rPr>
      </w:pPr>
      <w:r w:rsidRPr="00212F68">
        <w:rPr>
          <w:sz w:val="24"/>
        </w:rPr>
        <w:t xml:space="preserve">Further research is needed to understand why Barnet has a significantly higher rate of mental health admissions to hospitals for young people than the national average. </w:t>
      </w:r>
    </w:p>
    <w:p w:rsidR="005B76FC" w:rsidRPr="00212F68" w:rsidRDefault="005B76FC" w:rsidP="008921BF">
      <w:pPr>
        <w:numPr>
          <w:ilvl w:val="0"/>
          <w:numId w:val="119"/>
        </w:numPr>
        <w:contextualSpacing/>
        <w:jc w:val="both"/>
        <w:rPr>
          <w:sz w:val="24"/>
        </w:rPr>
      </w:pPr>
      <w:r w:rsidRPr="00212F68">
        <w:rPr>
          <w:sz w:val="24"/>
        </w:rPr>
        <w:t xml:space="preserve">More work is needed to better understand which areas in the community might be disproportionately affected by Violence </w:t>
      </w:r>
      <w:proofErr w:type="gramStart"/>
      <w:r w:rsidRPr="00212F68">
        <w:rPr>
          <w:sz w:val="24"/>
        </w:rPr>
        <w:t>Against</w:t>
      </w:r>
      <w:proofErr w:type="gramEnd"/>
      <w:r w:rsidRPr="00212F68">
        <w:rPr>
          <w:sz w:val="24"/>
        </w:rPr>
        <w:t xml:space="preserve"> Women and Girls (VAWG) issues, to establish if there a need for any additional VAWG services within the Borough. </w:t>
      </w:r>
    </w:p>
    <w:p w:rsidR="005B76FC" w:rsidRPr="00212F68" w:rsidRDefault="005B76FC" w:rsidP="008921BF">
      <w:pPr>
        <w:numPr>
          <w:ilvl w:val="0"/>
          <w:numId w:val="119"/>
        </w:numPr>
        <w:contextualSpacing/>
        <w:jc w:val="both"/>
        <w:rPr>
          <w:sz w:val="24"/>
        </w:rPr>
      </w:pPr>
      <w:r w:rsidRPr="00212F68">
        <w:rPr>
          <w:sz w:val="24"/>
        </w:rPr>
        <w:t xml:space="preserve">Understanding the drivers behind the growing income </w:t>
      </w:r>
      <w:r>
        <w:rPr>
          <w:sz w:val="24"/>
        </w:rPr>
        <w:t>in</w:t>
      </w:r>
      <w:r w:rsidRPr="00212F68">
        <w:rPr>
          <w:sz w:val="24"/>
        </w:rPr>
        <w:t>equality between different wards in the Borough.</w:t>
      </w:r>
    </w:p>
    <w:p w:rsidR="005B76FC" w:rsidRPr="00212F68" w:rsidRDefault="005B76FC" w:rsidP="008921BF">
      <w:pPr>
        <w:numPr>
          <w:ilvl w:val="0"/>
          <w:numId w:val="119"/>
        </w:numPr>
        <w:contextualSpacing/>
        <w:jc w:val="both"/>
        <w:rPr>
          <w:sz w:val="24"/>
        </w:rPr>
      </w:pPr>
      <w:r w:rsidRPr="00212F68">
        <w:rPr>
          <w:sz w:val="24"/>
        </w:rPr>
        <w:t>Further research is needed to model the future demand pressures in Barnet associated with increases in the incidence of dementia.</w:t>
      </w:r>
    </w:p>
    <w:p w:rsidR="005B76FC" w:rsidRPr="00212F68" w:rsidRDefault="005B76FC" w:rsidP="008921BF">
      <w:pPr>
        <w:numPr>
          <w:ilvl w:val="0"/>
          <w:numId w:val="119"/>
        </w:numPr>
        <w:contextualSpacing/>
        <w:jc w:val="both"/>
        <w:rPr>
          <w:sz w:val="24"/>
        </w:rPr>
      </w:pPr>
      <w:r w:rsidRPr="00212F68">
        <w:rPr>
          <w:sz w:val="24"/>
        </w:rPr>
        <w:t>Screening rates for cervical and breast cancer are significantly lower in Barnet than the England average (23.3 per 100,000 vs. 15.5 per 100,000). More work is needed to understand what is driving this.</w:t>
      </w:r>
    </w:p>
    <w:p w:rsidR="005B76FC" w:rsidRPr="00212F68" w:rsidRDefault="005B76FC" w:rsidP="008921BF">
      <w:pPr>
        <w:numPr>
          <w:ilvl w:val="0"/>
          <w:numId w:val="119"/>
        </w:numPr>
        <w:contextualSpacing/>
        <w:jc w:val="both"/>
        <w:rPr>
          <w:sz w:val="24"/>
        </w:rPr>
      </w:pPr>
      <w:r w:rsidRPr="00212F68">
        <w:rPr>
          <w:sz w:val="24"/>
        </w:rPr>
        <w:t xml:space="preserve">Additional research is needed to develop a better understanding of the level and type of needs of people with learning disabilities and </w:t>
      </w:r>
      <w:r w:rsidR="004C1136">
        <w:rPr>
          <w:sz w:val="24"/>
        </w:rPr>
        <w:t>a</w:t>
      </w:r>
      <w:r w:rsidRPr="00212F68">
        <w:rPr>
          <w:sz w:val="24"/>
        </w:rPr>
        <w:t>utism.</w:t>
      </w:r>
    </w:p>
    <w:p w:rsidR="005B76FC" w:rsidRPr="00212F68" w:rsidRDefault="005B76FC" w:rsidP="008921BF">
      <w:pPr>
        <w:numPr>
          <w:ilvl w:val="0"/>
          <w:numId w:val="119"/>
        </w:numPr>
        <w:contextualSpacing/>
        <w:jc w:val="both"/>
        <w:rPr>
          <w:sz w:val="24"/>
        </w:rPr>
      </w:pPr>
      <w:r>
        <w:rPr>
          <w:sz w:val="24"/>
        </w:rPr>
        <w:t>More</w:t>
      </w:r>
      <w:r w:rsidRPr="00212F68">
        <w:rPr>
          <w:sz w:val="24"/>
        </w:rPr>
        <w:t xml:space="preserve"> research is needed to understand why there are significantly fewer men aged 65 and over using Adult Social Care services than women. </w:t>
      </w:r>
    </w:p>
    <w:p w:rsidR="005B76FC" w:rsidRPr="00212F68" w:rsidRDefault="005B76FC" w:rsidP="008921BF">
      <w:pPr>
        <w:numPr>
          <w:ilvl w:val="0"/>
          <w:numId w:val="119"/>
        </w:numPr>
        <w:contextualSpacing/>
        <w:jc w:val="both"/>
        <w:rPr>
          <w:sz w:val="24"/>
        </w:rPr>
      </w:pPr>
      <w:r w:rsidRPr="00212F68">
        <w:rPr>
          <w:sz w:val="24"/>
        </w:rPr>
        <w:lastRenderedPageBreak/>
        <w:t>Additional work is needed to understand and quantify the impact that different services and support has on a carer’s ability to perform their role</w:t>
      </w:r>
      <w:r>
        <w:rPr>
          <w:sz w:val="24"/>
        </w:rPr>
        <w:t>,</w:t>
      </w:r>
      <w:r w:rsidRPr="00212F68">
        <w:rPr>
          <w:sz w:val="24"/>
        </w:rPr>
        <w:t xml:space="preserve"> achieve their outcomes</w:t>
      </w:r>
      <w:r>
        <w:rPr>
          <w:sz w:val="24"/>
        </w:rPr>
        <w:t>,</w:t>
      </w:r>
      <w:r w:rsidRPr="00212F68">
        <w:rPr>
          <w:sz w:val="24"/>
        </w:rPr>
        <w:t xml:space="preserve"> and impact their overall health and wellbeing. </w:t>
      </w:r>
    </w:p>
    <w:p w:rsidR="008314B3" w:rsidRPr="005B76FC" w:rsidRDefault="005B76FC" w:rsidP="008921BF">
      <w:pPr>
        <w:numPr>
          <w:ilvl w:val="0"/>
          <w:numId w:val="119"/>
        </w:numPr>
        <w:spacing w:after="0" w:line="240" w:lineRule="auto"/>
        <w:contextualSpacing/>
        <w:jc w:val="both"/>
        <w:textAlignment w:val="baseline"/>
        <w:rPr>
          <w:rFonts w:eastAsiaTheme="minorEastAsia" w:cs="Arial"/>
          <w:iCs/>
          <w:kern w:val="24"/>
          <w:sz w:val="24"/>
          <w:lang w:eastAsia="en-GB"/>
        </w:rPr>
      </w:pPr>
      <w:r w:rsidRPr="005B76FC">
        <w:rPr>
          <w:sz w:val="24"/>
        </w:rPr>
        <w:t>Further research is needed to understand the impacts of educational outcomes for those with learning disabilities on their long-term health and wellbeing outcomes.</w:t>
      </w:r>
      <w:r w:rsidR="008314B3" w:rsidRPr="005B76FC">
        <w:rPr>
          <w:sz w:val="24"/>
        </w:rPr>
        <w:br w:type="page"/>
      </w:r>
    </w:p>
    <w:p w:rsidR="00A9706E" w:rsidRDefault="00A9706E" w:rsidP="008921BF">
      <w:pPr>
        <w:pStyle w:val="Heading1"/>
        <w:numPr>
          <w:ilvl w:val="0"/>
          <w:numId w:val="126"/>
        </w:numPr>
      </w:pPr>
      <w:bookmarkStart w:id="393" w:name="_Toc426723291"/>
      <w:bookmarkStart w:id="394" w:name="_Toc431225118"/>
      <w:r>
        <w:lastRenderedPageBreak/>
        <w:t>Demography</w:t>
      </w:r>
      <w:bookmarkEnd w:id="393"/>
      <w:bookmarkEnd w:id="394"/>
    </w:p>
    <w:bookmarkStart w:id="395" w:name="_Toc426723292"/>
    <w:bookmarkStart w:id="396" w:name="_Toc431225119"/>
    <w:p w:rsidR="00A9706E" w:rsidRDefault="00A9706E" w:rsidP="00A9706E">
      <w:pPr>
        <w:pStyle w:val="Heading2"/>
      </w:pPr>
      <w:r>
        <w:rPr>
          <w:noProof/>
          <w:lang w:eastAsia="en-GB"/>
        </w:rPr>
        <mc:AlternateContent>
          <mc:Choice Requires="wps">
            <w:drawing>
              <wp:anchor distT="0" distB="0" distL="114300" distR="114300" simplePos="0" relativeHeight="251828224" behindDoc="1" locked="0" layoutInCell="1" allowOverlap="1" wp14:anchorId="7F67127D" wp14:editId="303D4683">
                <wp:simplePos x="0" y="0"/>
                <wp:positionH relativeFrom="column">
                  <wp:posOffset>-63795</wp:posOffset>
                </wp:positionH>
                <wp:positionV relativeFrom="paragraph">
                  <wp:posOffset>78947</wp:posOffset>
                </wp:positionV>
                <wp:extent cx="6038850" cy="2923953"/>
                <wp:effectExtent l="0" t="0" r="0" b="0"/>
                <wp:wrapNone/>
                <wp:docPr id="43010" name="Rectangle 43010"/>
                <wp:cNvGraphicFramePr/>
                <a:graphic xmlns:a="http://schemas.openxmlformats.org/drawingml/2006/main">
                  <a:graphicData uri="http://schemas.microsoft.com/office/word/2010/wordprocessingShape">
                    <wps:wsp>
                      <wps:cNvSpPr/>
                      <wps:spPr>
                        <a:xfrm>
                          <a:off x="0" y="0"/>
                          <a:ext cx="6038850" cy="2923953"/>
                        </a:xfrm>
                        <a:prstGeom prst="rect">
                          <a:avLst/>
                        </a:prstGeom>
                        <a:solidFill>
                          <a:srgbClr val="4F81BD">
                            <a:lumMod val="20000"/>
                            <a:lumOff val="80000"/>
                            <a:alpha val="7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3010" o:spid="_x0000_s1026" style="position:absolute;margin-left:-5pt;margin-top:6.2pt;width:475.5pt;height:230.25pt;z-index:-25148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" fillcolor="#dce6f2" stroked="f" strokeweight="2pt">
                <v:fill opacity="46003f"/>
              </v:rect>
            </w:pict>
          </mc:Fallback>
        </mc:AlternateContent>
      </w:r>
      <w:r>
        <w:t>Key Facts</w:t>
      </w:r>
      <w:bookmarkEnd w:id="395"/>
      <w:bookmarkEnd w:id="396"/>
    </w:p>
    <w:p w:rsidR="00A9706E" w:rsidRPr="00CC0A3F" w:rsidRDefault="00A9706E" w:rsidP="00A9706E">
      <w:pPr>
        <w:pStyle w:val="ListParagraph"/>
        <w:numPr>
          <w:ilvl w:val="0"/>
          <w:numId w:val="1"/>
        </w:numPr>
        <w:jc w:val="both"/>
        <w:rPr>
          <w:rFonts w:asciiTheme="majorHAnsi" w:eastAsiaTheme="majorEastAsia" w:hAnsiTheme="majorHAnsi" w:cstheme="majorBidi"/>
          <w:b/>
          <w:bCs/>
          <w:color w:val="365F91" w:themeColor="accent1" w:themeShade="BF"/>
          <w:sz w:val="28"/>
          <w:szCs w:val="28"/>
        </w:rPr>
      </w:pPr>
      <w:r w:rsidRPr="00490B63">
        <w:rPr>
          <w:rFonts w:ascii="Calibri" w:hAnsi="Calibri" w:cs="Calibri"/>
        </w:rPr>
        <w:t>The</w:t>
      </w:r>
      <w:r>
        <w:rPr>
          <w:rFonts w:ascii="Calibri" w:hAnsi="Calibri" w:cs="Calibri"/>
        </w:rPr>
        <w:t xml:space="preserve"> most recent population projections indicate that the </w:t>
      </w:r>
      <w:r w:rsidRPr="00490B63">
        <w:rPr>
          <w:rFonts w:ascii="Calibri" w:hAnsi="Calibri" w:cs="Calibri"/>
        </w:rPr>
        <w:t>populati</w:t>
      </w:r>
      <w:r>
        <w:rPr>
          <w:rFonts w:ascii="Calibri" w:hAnsi="Calibri" w:cs="Calibri"/>
        </w:rPr>
        <w:t xml:space="preserve">on of Barnet will be </w:t>
      </w:r>
      <w:r w:rsidRPr="00490B63">
        <w:rPr>
          <w:rFonts w:ascii="Calibri" w:hAnsi="Calibri" w:cs="Calibri"/>
        </w:rPr>
        <w:t xml:space="preserve">367,265 </w:t>
      </w:r>
      <w:r>
        <w:rPr>
          <w:rFonts w:ascii="Calibri" w:hAnsi="Calibri" w:cs="Calibri"/>
        </w:rPr>
        <w:t xml:space="preserve">by the end of </w:t>
      </w:r>
      <w:r w:rsidRPr="00490B63">
        <w:rPr>
          <w:rFonts w:ascii="Calibri" w:hAnsi="Calibri" w:cs="Calibri"/>
        </w:rPr>
        <w:t xml:space="preserve">2015. </w:t>
      </w:r>
    </w:p>
    <w:p w:rsidR="00A9706E" w:rsidRDefault="00A9706E" w:rsidP="00A9706E">
      <w:pPr>
        <w:pStyle w:val="ListParagraph"/>
        <w:numPr>
          <w:ilvl w:val="0"/>
          <w:numId w:val="1"/>
        </w:numPr>
        <w:jc w:val="both"/>
      </w:pPr>
      <w:r>
        <w:t>The overall population of Barnet will increase by 13.7% between 2015 and 2030, taking the population to 417,573.</w:t>
      </w:r>
    </w:p>
    <w:p w:rsidR="00A9706E" w:rsidRDefault="00A9706E" w:rsidP="00A9706E">
      <w:pPr>
        <w:pStyle w:val="ListParagraph"/>
        <w:numPr>
          <w:ilvl w:val="0"/>
          <w:numId w:val="1"/>
        </w:numPr>
        <w:jc w:val="both"/>
      </w:pPr>
      <w:r>
        <w:t xml:space="preserve">The number of people aged 65 and over is projected to increase by 34.5% by 2030, over three times greater than other age groups. </w:t>
      </w:r>
    </w:p>
    <w:p w:rsidR="00A9706E" w:rsidRDefault="00A9706E" w:rsidP="00A9706E">
      <w:pPr>
        <w:pStyle w:val="ListParagraph"/>
        <w:numPr>
          <w:ilvl w:val="0"/>
          <w:numId w:val="1"/>
        </w:numPr>
        <w:jc w:val="both"/>
      </w:pPr>
      <w:r>
        <w:t xml:space="preserve">The Barnet population is projected to become increasingly diverse, with the Black, Asian and Minority Ethnic population projected to increase from 38.7 to 43.6% of the total Barnet population. </w:t>
      </w:r>
    </w:p>
    <w:p w:rsidR="00A9706E" w:rsidRDefault="00A9706E" w:rsidP="00A9706E">
      <w:pPr>
        <w:pStyle w:val="ListParagraph"/>
        <w:numPr>
          <w:ilvl w:val="0"/>
          <w:numId w:val="1"/>
        </w:numPr>
        <w:jc w:val="both"/>
      </w:pPr>
      <w:r>
        <w:rPr>
          <w:rFonts w:ascii="Calibri" w:hAnsi="Calibri" w:cs="Calibri"/>
        </w:rPr>
        <w:t xml:space="preserve">By religion, </w:t>
      </w:r>
      <w:r w:rsidRPr="00AF2AC3">
        <w:rPr>
          <w:rFonts w:ascii="Calibri" w:hAnsi="Calibri" w:cs="Calibri"/>
        </w:rPr>
        <w:t>Christianity</w:t>
      </w:r>
      <w:r>
        <w:rPr>
          <w:rFonts w:ascii="Calibri" w:hAnsi="Calibri" w:cs="Calibri"/>
        </w:rPr>
        <w:t xml:space="preserve"> is the largest re</w:t>
      </w:r>
      <w:r w:rsidRPr="00AF2AC3">
        <w:rPr>
          <w:rFonts w:ascii="Calibri" w:hAnsi="Calibri" w:cs="Calibri"/>
        </w:rPr>
        <w:t>ligion in Barnet</w:t>
      </w:r>
      <w:r>
        <w:rPr>
          <w:rFonts w:ascii="Calibri" w:hAnsi="Calibri" w:cs="Calibri"/>
        </w:rPr>
        <w:t xml:space="preserve"> accounting for </w:t>
      </w:r>
      <w:r w:rsidRPr="00AF2AC3">
        <w:rPr>
          <w:rFonts w:ascii="Calibri" w:hAnsi="Calibri" w:cs="Calibri"/>
        </w:rPr>
        <w:t>41.2%</w:t>
      </w:r>
      <w:r>
        <w:rPr>
          <w:rFonts w:ascii="Calibri" w:hAnsi="Calibri" w:cs="Calibri"/>
        </w:rPr>
        <w:t xml:space="preserve"> of the total population.</w:t>
      </w:r>
      <w:r w:rsidRPr="00AF2AC3">
        <w:rPr>
          <w:rFonts w:ascii="Calibri" w:hAnsi="Calibri" w:cs="Calibri"/>
        </w:rPr>
        <w:t xml:space="preserve"> The next most common religions are Judaism (15.2%</w:t>
      </w:r>
      <w:r>
        <w:rPr>
          <w:rFonts w:ascii="Calibri" w:hAnsi="Calibri" w:cs="Calibri"/>
        </w:rPr>
        <w:t>) and</w:t>
      </w:r>
      <w:r w:rsidRPr="00AF2AC3">
        <w:rPr>
          <w:rFonts w:ascii="Calibri" w:hAnsi="Calibri" w:cs="Calibri"/>
        </w:rPr>
        <w:t xml:space="preserve"> Islam (10.3%)</w:t>
      </w:r>
      <w:r>
        <w:rPr>
          <w:rFonts w:ascii="Calibri" w:hAnsi="Calibri" w:cs="Calibri"/>
        </w:rPr>
        <w:t>.</w:t>
      </w:r>
    </w:p>
    <w:p w:rsidR="00A9706E" w:rsidRDefault="00A9706E" w:rsidP="00A9706E">
      <w:pPr>
        <w:pStyle w:val="ListParagraph"/>
        <w:numPr>
          <w:ilvl w:val="0"/>
          <w:numId w:val="1"/>
        </w:numPr>
        <w:jc w:val="both"/>
      </w:pPr>
      <w:r>
        <w:t xml:space="preserve">Barnet is an attractive place for international migrants, with the GLA estimating a net international net migration into Barnet of almost 50,000 over the period 2002 – 2013. </w:t>
      </w:r>
    </w:p>
    <w:p w:rsidR="00A9706E" w:rsidRPr="00B165F1" w:rsidRDefault="00A9706E" w:rsidP="00A9706E">
      <w:pPr>
        <w:pStyle w:val="Heading2"/>
      </w:pPr>
      <w:bookmarkStart w:id="397" w:name="_Toc426723293"/>
      <w:bookmarkStart w:id="398" w:name="_Toc431225120"/>
      <w:r>
        <w:t>Strategic Needs</w:t>
      </w:r>
      <w:bookmarkEnd w:id="397"/>
      <w:bookmarkEnd w:id="398"/>
    </w:p>
    <w:p w:rsidR="00A9706E" w:rsidRDefault="00A9706E" w:rsidP="00A9706E">
      <w:pPr>
        <w:pStyle w:val="ListParagraph"/>
        <w:numPr>
          <w:ilvl w:val="0"/>
          <w:numId w:val="1"/>
        </w:numPr>
        <w:jc w:val="both"/>
      </w:pPr>
      <w:r>
        <w:t xml:space="preserve">Barnet is the </w:t>
      </w:r>
      <w:r w:rsidRPr="00257964">
        <w:rPr>
          <w:b/>
        </w:rPr>
        <w:t xml:space="preserve">largest </w:t>
      </w:r>
      <w:r>
        <w:rPr>
          <w:b/>
        </w:rPr>
        <w:t>Borough</w:t>
      </w:r>
      <w:r w:rsidRPr="00257964">
        <w:rPr>
          <w:b/>
        </w:rPr>
        <w:t xml:space="preserve"> in London by population and is continuing to grow</w:t>
      </w:r>
      <w:r>
        <w:t xml:space="preserve">. The highest rates of population growth are forecast to occur around the planned development works in the west of the Borough, with </w:t>
      </w:r>
      <w:r w:rsidRPr="00257964">
        <w:rPr>
          <w:b/>
        </w:rPr>
        <w:t>over 113% growth in Golders Green and 56% in Colindale</w:t>
      </w:r>
      <w:r>
        <w:t xml:space="preserve"> by 2030. </w:t>
      </w:r>
    </w:p>
    <w:p w:rsidR="00A9706E" w:rsidRDefault="00A9706E" w:rsidP="00A9706E">
      <w:pPr>
        <w:pStyle w:val="ListParagraph"/>
        <w:numPr>
          <w:ilvl w:val="0"/>
          <w:numId w:val="1"/>
        </w:numPr>
        <w:jc w:val="both"/>
      </w:pPr>
      <w:r w:rsidRPr="00257964">
        <w:rPr>
          <w:b/>
        </w:rPr>
        <w:t>The over-65 pop</w:t>
      </w:r>
      <w:r>
        <w:rPr>
          <w:b/>
        </w:rPr>
        <w:t>ul</w:t>
      </w:r>
      <w:r w:rsidRPr="00257964">
        <w:rPr>
          <w:b/>
        </w:rPr>
        <w:t>ation is forecast to grow three times faster than the overall population between 2015 and 2030,</w:t>
      </w:r>
      <w:r>
        <w:t xml:space="preserve"> and the rate increases in successive age bands. For instance, the 65+ population will grow by 34.5% by 2030, whereas the 85 and over population will increase by 66.6%. </w:t>
      </w:r>
    </w:p>
    <w:p w:rsidR="00A9706E" w:rsidRPr="007E1D86" w:rsidRDefault="00A9706E" w:rsidP="00A9706E">
      <w:pPr>
        <w:pStyle w:val="ListParagraph"/>
        <w:numPr>
          <w:ilvl w:val="0"/>
          <w:numId w:val="1"/>
        </w:numPr>
        <w:jc w:val="both"/>
      </w:pPr>
      <w:r w:rsidRPr="00257964">
        <w:rPr>
          <w:b/>
        </w:rPr>
        <w:t>Brunswick Park and Hale are projected to experience relatively higher levels of growth in the proportion of the population aged 65 and over</w:t>
      </w:r>
      <w:r w:rsidRPr="007E1D86">
        <w:t>, increasing</w:t>
      </w:r>
      <w:r>
        <w:t xml:space="preserve"> by 5.8% and 5.5% respectively during the period 2015-2030.</w:t>
      </w:r>
    </w:p>
    <w:p w:rsidR="00A9706E" w:rsidRDefault="00A9706E" w:rsidP="00A9706E">
      <w:pPr>
        <w:pStyle w:val="ListParagraph"/>
        <w:numPr>
          <w:ilvl w:val="0"/>
          <w:numId w:val="1"/>
        </w:numPr>
        <w:jc w:val="both"/>
      </w:pPr>
      <w:r w:rsidRPr="00257964">
        <w:rPr>
          <w:b/>
        </w:rPr>
        <w:t xml:space="preserve">The </w:t>
      </w:r>
      <w:r>
        <w:rPr>
          <w:b/>
        </w:rPr>
        <w:t>Borough</w:t>
      </w:r>
      <w:r w:rsidRPr="00257964">
        <w:rPr>
          <w:b/>
        </w:rPr>
        <w:t xml:space="preserve"> will become increasingly </w:t>
      </w:r>
      <w:r>
        <w:rPr>
          <w:b/>
        </w:rPr>
        <w:t>diverse, driven predominantly by growth within the existing population</w:t>
      </w:r>
      <w:r>
        <w:t xml:space="preserve">. One of the key challenges will be meeting the diverse needs of these different and growing communities. </w:t>
      </w:r>
      <w:r w:rsidRPr="00257964">
        <w:rPr>
          <w:b/>
        </w:rPr>
        <w:t>Colindale, Burnt Oak and West Hendon have populations that are more than 50% B</w:t>
      </w:r>
      <w:r>
        <w:rPr>
          <w:b/>
        </w:rPr>
        <w:t>lack, Asian and Minority Ethnic ba</w:t>
      </w:r>
      <w:r w:rsidRPr="00257964">
        <w:rPr>
          <w:b/>
        </w:rPr>
        <w:t>ckgrounds</w:t>
      </w:r>
      <w:r>
        <w:t xml:space="preserve">. Over 50% of all 0-4 year olds in Barnet are from a </w:t>
      </w:r>
      <w:r w:rsidRPr="00E812FB">
        <w:rPr>
          <w:rFonts w:ascii="Calibri" w:hAnsi="Calibri" w:cs="Calibri"/>
        </w:rPr>
        <w:t>B</w:t>
      </w:r>
      <w:r>
        <w:rPr>
          <w:rFonts w:ascii="Calibri" w:hAnsi="Calibri" w:cs="Calibri"/>
        </w:rPr>
        <w:t xml:space="preserve">lack, Asian and Minority </w:t>
      </w:r>
      <w:r>
        <w:t xml:space="preserve">background in 2015 and this is forecast to continue to increase. </w:t>
      </w:r>
    </w:p>
    <w:p w:rsidR="00A9706E" w:rsidRDefault="00A9706E" w:rsidP="00A9706E">
      <w:pPr>
        <w:pStyle w:val="ListParagraph"/>
        <w:numPr>
          <w:ilvl w:val="0"/>
          <w:numId w:val="1"/>
        </w:numPr>
        <w:jc w:val="both"/>
      </w:pPr>
      <w:r w:rsidRPr="00257964">
        <w:t xml:space="preserve">The life expectancy of individuals living in the most deprived areas of the </w:t>
      </w:r>
      <w:r>
        <w:t>Borough</w:t>
      </w:r>
      <w:r w:rsidRPr="00257964">
        <w:t xml:space="preserve"> are on average 7.6 years less for men and 4.7 years less for women</w:t>
      </w:r>
      <w:r>
        <w:t xml:space="preserve">. By Ward, </w:t>
      </w:r>
      <w:r w:rsidRPr="00257964">
        <w:rPr>
          <w:b/>
        </w:rPr>
        <w:t>Burnt Oak has the l</w:t>
      </w:r>
      <w:r>
        <w:rPr>
          <w:b/>
        </w:rPr>
        <w:t xml:space="preserve">owest average life expectancy from birth of 78.8 years. For the slightly different measure of life expectancy from 65 years old, </w:t>
      </w:r>
      <w:r w:rsidRPr="00257964">
        <w:rPr>
          <w:b/>
        </w:rPr>
        <w:t xml:space="preserve">Coppetts </w:t>
      </w:r>
      <w:r>
        <w:rPr>
          <w:b/>
        </w:rPr>
        <w:t xml:space="preserve">has the lowest life expectancy </w:t>
      </w:r>
      <w:r w:rsidRPr="00257964">
        <w:rPr>
          <w:b/>
        </w:rPr>
        <w:t>of 18.0 years</w:t>
      </w:r>
      <w:r>
        <w:rPr>
          <w:b/>
        </w:rPr>
        <w:t>, which equates to 83 years old</w:t>
      </w:r>
      <w:r>
        <w:t xml:space="preserve">.    </w:t>
      </w:r>
    </w:p>
    <w:p w:rsidR="00A9706E" w:rsidRDefault="00A9706E" w:rsidP="00A9706E">
      <w:pPr>
        <w:pStyle w:val="ListParagraph"/>
        <w:numPr>
          <w:ilvl w:val="0"/>
          <w:numId w:val="1"/>
        </w:numPr>
        <w:jc w:val="both"/>
      </w:pPr>
      <w:r>
        <w:t>The west of the Borough has the highest concentration of more deprived Lowest Super Output Areas (LSOAs)</w:t>
      </w:r>
      <w:r>
        <w:rPr>
          <w:rStyle w:val="FootnoteReference"/>
        </w:rPr>
        <w:footnoteReference w:id="1"/>
      </w:r>
      <w:r>
        <w:t xml:space="preserve">, with </w:t>
      </w:r>
      <w:r w:rsidRPr="00257964">
        <w:rPr>
          <w:b/>
        </w:rPr>
        <w:t xml:space="preserve">the highest levels of deprivation in Colindale, West Hendon </w:t>
      </w:r>
      <w:r w:rsidRPr="00257964">
        <w:rPr>
          <w:b/>
        </w:rPr>
        <w:lastRenderedPageBreak/>
        <w:t>and Burnt Oak</w:t>
      </w:r>
      <w:r>
        <w:t xml:space="preserve">. However, the </w:t>
      </w:r>
      <w:r w:rsidRPr="00257964">
        <w:rPr>
          <w:b/>
        </w:rPr>
        <w:t>most deprived LSOA in Barnet is located in East Finchley, specifically the Strawberry Vale estate</w:t>
      </w:r>
      <w:r>
        <w:t>, and falls within the 11% most deprived LSOAs in the country.</w:t>
      </w:r>
    </w:p>
    <w:p w:rsidR="00A9706E" w:rsidRDefault="00A9706E" w:rsidP="00A9706E">
      <w:pPr>
        <w:pStyle w:val="ListParagraph"/>
        <w:numPr>
          <w:ilvl w:val="0"/>
          <w:numId w:val="1"/>
        </w:numPr>
        <w:jc w:val="both"/>
      </w:pPr>
      <w:r>
        <w:t xml:space="preserve">Coronary Heart Disease is the number one cause of death amongst men and women. </w:t>
      </w:r>
      <w:r w:rsidRPr="00257964">
        <w:rPr>
          <w:b/>
        </w:rPr>
        <w:t xml:space="preserve">As male life expectancy continues to converge with women it is likely that </w:t>
      </w:r>
      <w:r>
        <w:rPr>
          <w:b/>
        </w:rPr>
        <w:t xml:space="preserve">the prevalence of some long term conditions will increase in men faster than in women. </w:t>
      </w:r>
    </w:p>
    <w:p w:rsidR="00A9706E" w:rsidRDefault="00A9706E" w:rsidP="00A9706E">
      <w:pPr>
        <w:pStyle w:val="ListParagraph"/>
        <w:numPr>
          <w:ilvl w:val="0"/>
          <w:numId w:val="1"/>
        </w:numPr>
        <w:jc w:val="both"/>
      </w:pPr>
      <w:r>
        <w:t>Barnet is ranked 16</w:t>
      </w:r>
      <w:r w:rsidRPr="00030700">
        <w:rPr>
          <w:vertAlign w:val="superscript"/>
        </w:rPr>
        <w:t>th</w:t>
      </w:r>
      <w:r>
        <w:t xml:space="preserve"> and 14</w:t>
      </w:r>
      <w:r w:rsidRPr="00030700">
        <w:rPr>
          <w:vertAlign w:val="superscript"/>
        </w:rPr>
        <w:t>th</w:t>
      </w:r>
      <w:r>
        <w:t xml:space="preserve"> out of all London Boroughs in relation to ‘life-satisfaction’ and ‘worthwhileness’ wellbeing scores. Both of these indicators have experienced a decline since 2011. </w:t>
      </w:r>
    </w:p>
    <w:p w:rsidR="00A9706E" w:rsidRPr="00F40443" w:rsidRDefault="00A9706E" w:rsidP="00A9706E">
      <w:pPr>
        <w:pStyle w:val="ListParagraph"/>
        <w:numPr>
          <w:ilvl w:val="0"/>
          <w:numId w:val="1"/>
        </w:numPr>
        <w:jc w:val="both"/>
      </w:pPr>
      <w:r>
        <w:t xml:space="preserve">Driven by regeneration within the Borough, </w:t>
      </w:r>
      <w:r w:rsidRPr="00F40443">
        <w:t>some areas will get younger, bucking the trend of an ageing, different health and wellbeing needs.</w:t>
      </w:r>
    </w:p>
    <w:p w:rsidR="00A9706E" w:rsidRDefault="00A9706E" w:rsidP="00A9706E">
      <w:pPr>
        <w:pStyle w:val="Heading2"/>
      </w:pPr>
      <w:bookmarkStart w:id="399" w:name="_Toc426723294"/>
      <w:bookmarkStart w:id="400" w:name="_Toc431225121"/>
      <w:r w:rsidRPr="009420D0">
        <w:t>Population</w:t>
      </w:r>
      <w:r>
        <w:t xml:space="preserve"> Structure</w:t>
      </w:r>
      <w:bookmarkEnd w:id="399"/>
      <w:bookmarkEnd w:id="400"/>
    </w:p>
    <w:p w:rsidR="00A9706E" w:rsidRDefault="00A9706E" w:rsidP="00A9706E">
      <w:pPr>
        <w:jc w:val="both"/>
        <w:rPr>
          <w:rFonts w:ascii="Calibri" w:hAnsi="Calibri" w:cs="Calibri"/>
        </w:rPr>
      </w:pPr>
      <w:r w:rsidRPr="009A574B">
        <w:rPr>
          <w:rFonts w:ascii="Calibri" w:hAnsi="Calibri" w:cs="Calibri"/>
        </w:rPr>
        <w:t xml:space="preserve">The 2013 round of GLA ward level projections, estimated the population of Barnet to be 367,265 by the end of 2015, making it the most populous </w:t>
      </w:r>
      <w:r>
        <w:rPr>
          <w:rFonts w:ascii="Calibri" w:hAnsi="Calibri" w:cs="Calibri"/>
        </w:rPr>
        <w:t>Borough</w:t>
      </w:r>
      <w:r w:rsidRPr="009A574B">
        <w:rPr>
          <w:rFonts w:ascii="Calibri" w:hAnsi="Calibri" w:cs="Calibri"/>
        </w:rPr>
        <w:t xml:space="preserve"> within London.</w:t>
      </w:r>
    </w:p>
    <w:p w:rsidR="00A9706E" w:rsidRPr="009955C7" w:rsidRDefault="00A9706E" w:rsidP="00A9706E">
      <w:pPr>
        <w:jc w:val="both"/>
        <w:rPr>
          <w:rFonts w:ascii="Calibri" w:hAnsi="Calibri" w:cs="Calibri"/>
        </w:rPr>
      </w:pPr>
      <w:r>
        <w:rPr>
          <w:rFonts w:ascii="Calibri" w:hAnsi="Calibri" w:cs="Calibri"/>
        </w:rPr>
        <w:t xml:space="preserve">Table 2-1 shows the annual population growth within Barnet since the 2001 Census. The population of Barnet has grown by 14.9% (47,765). </w:t>
      </w:r>
    </w:p>
    <w:p w:rsidR="00A9706E" w:rsidRPr="00601EB6" w:rsidRDefault="00A9706E" w:rsidP="00A9706E">
      <w:pPr>
        <w:pStyle w:val="Caption"/>
        <w:rPr>
          <w:rFonts w:ascii="Calibri" w:hAnsi="Calibri" w:cs="Calibri"/>
          <w:b w:val="0"/>
          <w:i/>
        </w:rPr>
      </w:pPr>
      <w:r>
        <w:t xml:space="preserve">Table </w:t>
      </w:r>
      <w:fldSimple w:instr=" STYLEREF 1 \s ">
        <w:r w:rsidR="001663C2">
          <w:rPr>
            <w:noProof/>
          </w:rPr>
          <w:t>2</w:t>
        </w:r>
      </w:fldSimple>
      <w:r>
        <w:noBreakHyphen/>
      </w:r>
      <w:fldSimple w:instr=" SEQ Table \* ARABIC \s 1 ">
        <w:r w:rsidR="001663C2">
          <w:rPr>
            <w:noProof/>
          </w:rPr>
          <w:t>1</w:t>
        </w:r>
      </w:fldSimple>
      <w:r>
        <w:t xml:space="preserve">: </w:t>
      </w:r>
      <w:r w:rsidRPr="004E7E79">
        <w:t>Barnet Population Growth, 2001 – 2015</w:t>
      </w:r>
    </w:p>
    <w:tbl>
      <w:tblPr>
        <w:tblW w:w="2549" w:type="dxa"/>
        <w:jc w:val="center"/>
        <w:tblInd w:w="-286" w:type="dxa"/>
        <w:tblLook w:val="04A0" w:firstRow="1" w:lastRow="0" w:firstColumn="1" w:lastColumn="0" w:noHBand="0" w:noVBand="1"/>
      </w:tblPr>
      <w:tblGrid>
        <w:gridCol w:w="803"/>
        <w:gridCol w:w="1746"/>
      </w:tblGrid>
      <w:tr w:rsidR="00A9706E" w:rsidRPr="00E3346A" w:rsidTr="00031B92">
        <w:trPr>
          <w:trHeight w:val="300"/>
          <w:jc w:val="center"/>
        </w:trPr>
        <w:tc>
          <w:tcPr>
            <w:tcW w:w="803"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A9706E" w:rsidRPr="00E3346A" w:rsidRDefault="00A9706E" w:rsidP="00031B92">
            <w:pPr>
              <w:spacing w:after="0" w:line="240" w:lineRule="auto"/>
              <w:jc w:val="center"/>
              <w:rPr>
                <w:rFonts w:eastAsia="Times New Roman" w:cs="Times New Roman"/>
                <w:b/>
                <w:color w:val="000000"/>
                <w:lang w:eastAsia="en-GB"/>
              </w:rPr>
            </w:pPr>
            <w:r w:rsidRPr="00E3346A">
              <w:rPr>
                <w:rFonts w:eastAsia="Times New Roman" w:cs="Times New Roman"/>
                <w:b/>
                <w:color w:val="000000"/>
                <w:lang w:eastAsia="en-GB"/>
              </w:rPr>
              <w:t>Year</w:t>
            </w:r>
          </w:p>
        </w:tc>
        <w:tc>
          <w:tcPr>
            <w:tcW w:w="1746"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A9706E" w:rsidRPr="00E3346A" w:rsidRDefault="00A9706E" w:rsidP="00031B92">
            <w:pPr>
              <w:spacing w:after="0" w:line="240" w:lineRule="auto"/>
              <w:jc w:val="center"/>
              <w:rPr>
                <w:rFonts w:eastAsia="Times New Roman" w:cs="Times New Roman"/>
                <w:b/>
                <w:bCs/>
                <w:color w:val="000000"/>
                <w:lang w:eastAsia="en-GB"/>
              </w:rPr>
            </w:pPr>
            <w:r w:rsidRPr="00E3346A">
              <w:rPr>
                <w:rFonts w:eastAsia="Times New Roman" w:cs="Times New Roman"/>
                <w:b/>
                <w:bCs/>
                <w:color w:val="000000"/>
                <w:lang w:eastAsia="en-GB"/>
              </w:rPr>
              <w:t>Total Population</w:t>
            </w:r>
          </w:p>
        </w:tc>
      </w:tr>
      <w:tr w:rsidR="00A9706E" w:rsidRPr="00E3346A" w:rsidTr="00031B92">
        <w:trPr>
          <w:trHeight w:val="300"/>
          <w:jc w:val="center"/>
        </w:trPr>
        <w:tc>
          <w:tcPr>
            <w:tcW w:w="803" w:type="dxa"/>
            <w:tcBorders>
              <w:top w:val="nil"/>
              <w:left w:val="single" w:sz="4" w:space="0" w:color="auto"/>
              <w:bottom w:val="single" w:sz="4" w:space="0" w:color="auto"/>
              <w:right w:val="single" w:sz="4" w:space="0" w:color="auto"/>
            </w:tcBorders>
            <w:shd w:val="clear" w:color="auto" w:fill="auto"/>
            <w:noWrap/>
            <w:vAlign w:val="center"/>
            <w:hideMark/>
          </w:tcPr>
          <w:p w:rsidR="00A9706E" w:rsidRPr="00E3346A" w:rsidRDefault="00A9706E" w:rsidP="00031B92">
            <w:pPr>
              <w:spacing w:after="0" w:line="240" w:lineRule="auto"/>
              <w:jc w:val="center"/>
              <w:rPr>
                <w:rFonts w:eastAsia="Times New Roman" w:cs="Times New Roman"/>
                <w:color w:val="000000"/>
                <w:lang w:eastAsia="en-GB"/>
              </w:rPr>
            </w:pPr>
            <w:r w:rsidRPr="00E3346A">
              <w:rPr>
                <w:rFonts w:eastAsia="Times New Roman" w:cs="Times New Roman"/>
                <w:color w:val="000000"/>
                <w:lang w:eastAsia="en-GB"/>
              </w:rPr>
              <w:t>2001</w:t>
            </w:r>
          </w:p>
        </w:tc>
        <w:tc>
          <w:tcPr>
            <w:tcW w:w="1746" w:type="dxa"/>
            <w:tcBorders>
              <w:top w:val="nil"/>
              <w:left w:val="nil"/>
              <w:bottom w:val="single" w:sz="4" w:space="0" w:color="auto"/>
              <w:right w:val="single" w:sz="4" w:space="0" w:color="auto"/>
            </w:tcBorders>
            <w:shd w:val="clear" w:color="auto" w:fill="auto"/>
            <w:noWrap/>
            <w:vAlign w:val="center"/>
            <w:hideMark/>
          </w:tcPr>
          <w:p w:rsidR="00A9706E" w:rsidRPr="00E3346A" w:rsidRDefault="00A9706E" w:rsidP="00031B92">
            <w:pPr>
              <w:spacing w:after="0" w:line="240" w:lineRule="auto"/>
              <w:jc w:val="center"/>
              <w:rPr>
                <w:rFonts w:eastAsia="Times New Roman" w:cs="Times New Roman"/>
                <w:color w:val="000000"/>
                <w:lang w:eastAsia="en-GB"/>
              </w:rPr>
            </w:pPr>
            <w:r w:rsidRPr="00E3346A">
              <w:rPr>
                <w:rFonts w:eastAsia="Times New Roman" w:cs="Times New Roman"/>
                <w:color w:val="000000"/>
                <w:lang w:eastAsia="en-GB"/>
              </w:rPr>
              <w:t>319,500</w:t>
            </w:r>
          </w:p>
        </w:tc>
      </w:tr>
      <w:tr w:rsidR="00A9706E" w:rsidRPr="00E3346A" w:rsidTr="00031B92">
        <w:trPr>
          <w:trHeight w:val="300"/>
          <w:jc w:val="center"/>
        </w:trPr>
        <w:tc>
          <w:tcPr>
            <w:tcW w:w="803" w:type="dxa"/>
            <w:tcBorders>
              <w:top w:val="nil"/>
              <w:left w:val="single" w:sz="4" w:space="0" w:color="auto"/>
              <w:bottom w:val="single" w:sz="4" w:space="0" w:color="auto"/>
              <w:right w:val="single" w:sz="4" w:space="0" w:color="auto"/>
            </w:tcBorders>
            <w:shd w:val="clear" w:color="auto" w:fill="auto"/>
            <w:noWrap/>
            <w:vAlign w:val="center"/>
            <w:hideMark/>
          </w:tcPr>
          <w:p w:rsidR="00A9706E" w:rsidRPr="00E3346A" w:rsidRDefault="00A9706E" w:rsidP="00031B92">
            <w:pPr>
              <w:spacing w:after="0" w:line="240" w:lineRule="auto"/>
              <w:jc w:val="center"/>
              <w:rPr>
                <w:rFonts w:eastAsia="Times New Roman" w:cs="Times New Roman"/>
                <w:color w:val="000000"/>
                <w:lang w:eastAsia="en-GB"/>
              </w:rPr>
            </w:pPr>
            <w:r w:rsidRPr="00E3346A">
              <w:rPr>
                <w:rFonts w:eastAsia="Times New Roman" w:cs="Times New Roman"/>
                <w:color w:val="000000"/>
                <w:lang w:eastAsia="en-GB"/>
              </w:rPr>
              <w:t>2002</w:t>
            </w:r>
          </w:p>
        </w:tc>
        <w:tc>
          <w:tcPr>
            <w:tcW w:w="1746" w:type="dxa"/>
            <w:tcBorders>
              <w:top w:val="nil"/>
              <w:left w:val="nil"/>
              <w:bottom w:val="single" w:sz="4" w:space="0" w:color="auto"/>
              <w:right w:val="single" w:sz="4" w:space="0" w:color="auto"/>
            </w:tcBorders>
            <w:shd w:val="clear" w:color="auto" w:fill="auto"/>
            <w:noWrap/>
            <w:vAlign w:val="center"/>
            <w:hideMark/>
          </w:tcPr>
          <w:p w:rsidR="00A9706E" w:rsidRPr="00E3346A" w:rsidRDefault="00A9706E" w:rsidP="00031B92">
            <w:pPr>
              <w:spacing w:after="0" w:line="240" w:lineRule="auto"/>
              <w:jc w:val="center"/>
              <w:rPr>
                <w:rFonts w:eastAsia="Times New Roman" w:cs="Times New Roman"/>
                <w:color w:val="000000"/>
                <w:lang w:eastAsia="en-GB"/>
              </w:rPr>
            </w:pPr>
            <w:r w:rsidRPr="00E3346A">
              <w:rPr>
                <w:rFonts w:eastAsia="Times New Roman" w:cs="Times New Roman"/>
                <w:color w:val="000000"/>
                <w:lang w:eastAsia="en-GB"/>
              </w:rPr>
              <w:t>320,500</w:t>
            </w:r>
          </w:p>
        </w:tc>
      </w:tr>
      <w:tr w:rsidR="00A9706E" w:rsidRPr="00E3346A" w:rsidTr="00031B92">
        <w:trPr>
          <w:trHeight w:val="300"/>
          <w:jc w:val="center"/>
        </w:trPr>
        <w:tc>
          <w:tcPr>
            <w:tcW w:w="803" w:type="dxa"/>
            <w:tcBorders>
              <w:top w:val="nil"/>
              <w:left w:val="single" w:sz="4" w:space="0" w:color="auto"/>
              <w:bottom w:val="single" w:sz="4" w:space="0" w:color="auto"/>
              <w:right w:val="single" w:sz="4" w:space="0" w:color="auto"/>
            </w:tcBorders>
            <w:shd w:val="clear" w:color="auto" w:fill="auto"/>
            <w:noWrap/>
            <w:vAlign w:val="center"/>
            <w:hideMark/>
          </w:tcPr>
          <w:p w:rsidR="00A9706E" w:rsidRPr="00E3346A" w:rsidRDefault="00A9706E" w:rsidP="00031B92">
            <w:pPr>
              <w:spacing w:after="0" w:line="240" w:lineRule="auto"/>
              <w:jc w:val="center"/>
              <w:rPr>
                <w:rFonts w:eastAsia="Times New Roman" w:cs="Times New Roman"/>
                <w:color w:val="000000"/>
                <w:lang w:eastAsia="en-GB"/>
              </w:rPr>
            </w:pPr>
            <w:r w:rsidRPr="00E3346A">
              <w:rPr>
                <w:rFonts w:eastAsia="Times New Roman" w:cs="Times New Roman"/>
                <w:color w:val="000000"/>
                <w:lang w:eastAsia="en-GB"/>
              </w:rPr>
              <w:t>2003</w:t>
            </w:r>
          </w:p>
        </w:tc>
        <w:tc>
          <w:tcPr>
            <w:tcW w:w="1746" w:type="dxa"/>
            <w:tcBorders>
              <w:top w:val="nil"/>
              <w:left w:val="nil"/>
              <w:bottom w:val="single" w:sz="4" w:space="0" w:color="auto"/>
              <w:right w:val="single" w:sz="4" w:space="0" w:color="auto"/>
            </w:tcBorders>
            <w:shd w:val="clear" w:color="auto" w:fill="auto"/>
            <w:noWrap/>
            <w:vAlign w:val="center"/>
            <w:hideMark/>
          </w:tcPr>
          <w:p w:rsidR="00A9706E" w:rsidRPr="00E3346A" w:rsidRDefault="00A9706E" w:rsidP="00031B92">
            <w:pPr>
              <w:spacing w:after="0" w:line="240" w:lineRule="auto"/>
              <w:jc w:val="center"/>
              <w:rPr>
                <w:rFonts w:eastAsia="Times New Roman" w:cs="Times New Roman"/>
                <w:color w:val="000000"/>
                <w:lang w:eastAsia="en-GB"/>
              </w:rPr>
            </w:pPr>
            <w:r w:rsidRPr="00E3346A">
              <w:rPr>
                <w:rFonts w:eastAsia="Times New Roman" w:cs="Times New Roman"/>
                <w:color w:val="000000"/>
                <w:lang w:eastAsia="en-GB"/>
              </w:rPr>
              <w:t>321,800</w:t>
            </w:r>
          </w:p>
        </w:tc>
      </w:tr>
      <w:tr w:rsidR="00A9706E" w:rsidRPr="00E3346A" w:rsidTr="00031B92">
        <w:trPr>
          <w:trHeight w:val="300"/>
          <w:jc w:val="center"/>
        </w:trPr>
        <w:tc>
          <w:tcPr>
            <w:tcW w:w="803" w:type="dxa"/>
            <w:tcBorders>
              <w:top w:val="nil"/>
              <w:left w:val="single" w:sz="4" w:space="0" w:color="auto"/>
              <w:bottom w:val="single" w:sz="4" w:space="0" w:color="auto"/>
              <w:right w:val="single" w:sz="4" w:space="0" w:color="auto"/>
            </w:tcBorders>
            <w:shd w:val="clear" w:color="auto" w:fill="auto"/>
            <w:noWrap/>
            <w:vAlign w:val="center"/>
            <w:hideMark/>
          </w:tcPr>
          <w:p w:rsidR="00A9706E" w:rsidRPr="00E3346A" w:rsidRDefault="00A9706E" w:rsidP="00031B92">
            <w:pPr>
              <w:spacing w:after="0" w:line="240" w:lineRule="auto"/>
              <w:jc w:val="center"/>
              <w:rPr>
                <w:rFonts w:eastAsia="Times New Roman" w:cs="Times New Roman"/>
                <w:color w:val="000000"/>
                <w:lang w:eastAsia="en-GB"/>
              </w:rPr>
            </w:pPr>
            <w:r w:rsidRPr="00E3346A">
              <w:rPr>
                <w:rFonts w:eastAsia="Times New Roman" w:cs="Times New Roman"/>
                <w:color w:val="000000"/>
                <w:lang w:eastAsia="en-GB"/>
              </w:rPr>
              <w:t>2004</w:t>
            </w:r>
          </w:p>
        </w:tc>
        <w:tc>
          <w:tcPr>
            <w:tcW w:w="1746" w:type="dxa"/>
            <w:tcBorders>
              <w:top w:val="nil"/>
              <w:left w:val="nil"/>
              <w:bottom w:val="single" w:sz="4" w:space="0" w:color="auto"/>
              <w:right w:val="single" w:sz="4" w:space="0" w:color="auto"/>
            </w:tcBorders>
            <w:shd w:val="clear" w:color="auto" w:fill="auto"/>
            <w:noWrap/>
            <w:vAlign w:val="center"/>
            <w:hideMark/>
          </w:tcPr>
          <w:p w:rsidR="00A9706E" w:rsidRPr="00E3346A" w:rsidRDefault="00A9706E" w:rsidP="00031B92">
            <w:pPr>
              <w:spacing w:after="0" w:line="240" w:lineRule="auto"/>
              <w:jc w:val="center"/>
              <w:rPr>
                <w:rFonts w:eastAsia="Times New Roman" w:cs="Times New Roman"/>
                <w:color w:val="000000"/>
                <w:lang w:eastAsia="en-GB"/>
              </w:rPr>
            </w:pPr>
            <w:r w:rsidRPr="00E3346A">
              <w:rPr>
                <w:rFonts w:eastAsia="Times New Roman" w:cs="Times New Roman"/>
                <w:color w:val="000000"/>
                <w:lang w:eastAsia="en-GB"/>
              </w:rPr>
              <w:t>323,700</w:t>
            </w:r>
          </w:p>
        </w:tc>
      </w:tr>
      <w:tr w:rsidR="00A9706E" w:rsidRPr="00E3346A" w:rsidTr="00031B92">
        <w:trPr>
          <w:trHeight w:val="300"/>
          <w:jc w:val="center"/>
        </w:trPr>
        <w:tc>
          <w:tcPr>
            <w:tcW w:w="803" w:type="dxa"/>
            <w:tcBorders>
              <w:top w:val="nil"/>
              <w:left w:val="single" w:sz="4" w:space="0" w:color="auto"/>
              <w:bottom w:val="single" w:sz="4" w:space="0" w:color="auto"/>
              <w:right w:val="single" w:sz="4" w:space="0" w:color="auto"/>
            </w:tcBorders>
            <w:shd w:val="clear" w:color="auto" w:fill="auto"/>
            <w:noWrap/>
            <w:vAlign w:val="center"/>
            <w:hideMark/>
          </w:tcPr>
          <w:p w:rsidR="00A9706E" w:rsidRPr="00E3346A" w:rsidRDefault="00A9706E" w:rsidP="00031B92">
            <w:pPr>
              <w:spacing w:after="0" w:line="240" w:lineRule="auto"/>
              <w:jc w:val="center"/>
              <w:rPr>
                <w:rFonts w:eastAsia="Times New Roman" w:cs="Times New Roman"/>
                <w:color w:val="000000"/>
                <w:lang w:eastAsia="en-GB"/>
              </w:rPr>
            </w:pPr>
            <w:r w:rsidRPr="00E3346A">
              <w:rPr>
                <w:rFonts w:eastAsia="Times New Roman" w:cs="Times New Roman"/>
                <w:color w:val="000000"/>
                <w:lang w:eastAsia="en-GB"/>
              </w:rPr>
              <w:t>2005</w:t>
            </w:r>
          </w:p>
        </w:tc>
        <w:tc>
          <w:tcPr>
            <w:tcW w:w="1746" w:type="dxa"/>
            <w:tcBorders>
              <w:top w:val="nil"/>
              <w:left w:val="nil"/>
              <w:bottom w:val="single" w:sz="4" w:space="0" w:color="auto"/>
              <w:right w:val="single" w:sz="4" w:space="0" w:color="auto"/>
            </w:tcBorders>
            <w:shd w:val="clear" w:color="auto" w:fill="auto"/>
            <w:noWrap/>
            <w:vAlign w:val="center"/>
            <w:hideMark/>
          </w:tcPr>
          <w:p w:rsidR="00A9706E" w:rsidRPr="00E3346A" w:rsidRDefault="00A9706E" w:rsidP="00031B92">
            <w:pPr>
              <w:spacing w:after="0" w:line="240" w:lineRule="auto"/>
              <w:jc w:val="center"/>
              <w:rPr>
                <w:rFonts w:eastAsia="Times New Roman" w:cs="Times New Roman"/>
                <w:color w:val="000000"/>
                <w:lang w:eastAsia="en-GB"/>
              </w:rPr>
            </w:pPr>
            <w:r w:rsidRPr="00E3346A">
              <w:rPr>
                <w:rFonts w:eastAsia="Times New Roman" w:cs="Times New Roman"/>
                <w:color w:val="000000"/>
                <w:lang w:eastAsia="en-GB"/>
              </w:rPr>
              <w:t>327,500</w:t>
            </w:r>
          </w:p>
        </w:tc>
      </w:tr>
      <w:tr w:rsidR="00A9706E" w:rsidRPr="00E3346A" w:rsidTr="00031B92">
        <w:trPr>
          <w:trHeight w:val="300"/>
          <w:jc w:val="center"/>
        </w:trPr>
        <w:tc>
          <w:tcPr>
            <w:tcW w:w="803" w:type="dxa"/>
            <w:tcBorders>
              <w:top w:val="nil"/>
              <w:left w:val="single" w:sz="4" w:space="0" w:color="auto"/>
              <w:bottom w:val="single" w:sz="4" w:space="0" w:color="auto"/>
              <w:right w:val="single" w:sz="4" w:space="0" w:color="auto"/>
            </w:tcBorders>
            <w:shd w:val="clear" w:color="auto" w:fill="auto"/>
            <w:noWrap/>
            <w:vAlign w:val="center"/>
            <w:hideMark/>
          </w:tcPr>
          <w:p w:rsidR="00A9706E" w:rsidRPr="00E3346A" w:rsidRDefault="00A9706E" w:rsidP="00031B92">
            <w:pPr>
              <w:spacing w:after="0" w:line="240" w:lineRule="auto"/>
              <w:jc w:val="center"/>
              <w:rPr>
                <w:rFonts w:eastAsia="Times New Roman" w:cs="Times New Roman"/>
                <w:color w:val="000000"/>
                <w:lang w:eastAsia="en-GB"/>
              </w:rPr>
            </w:pPr>
            <w:r w:rsidRPr="00E3346A">
              <w:rPr>
                <w:rFonts w:eastAsia="Times New Roman" w:cs="Times New Roman"/>
                <w:color w:val="000000"/>
                <w:lang w:eastAsia="en-GB"/>
              </w:rPr>
              <w:t>2006</w:t>
            </w:r>
          </w:p>
        </w:tc>
        <w:tc>
          <w:tcPr>
            <w:tcW w:w="1746" w:type="dxa"/>
            <w:tcBorders>
              <w:top w:val="nil"/>
              <w:left w:val="nil"/>
              <w:bottom w:val="single" w:sz="4" w:space="0" w:color="auto"/>
              <w:right w:val="single" w:sz="4" w:space="0" w:color="auto"/>
            </w:tcBorders>
            <w:shd w:val="clear" w:color="auto" w:fill="auto"/>
            <w:noWrap/>
            <w:vAlign w:val="center"/>
            <w:hideMark/>
          </w:tcPr>
          <w:p w:rsidR="00A9706E" w:rsidRPr="00E3346A" w:rsidRDefault="00A9706E" w:rsidP="00031B92">
            <w:pPr>
              <w:spacing w:after="0" w:line="240" w:lineRule="auto"/>
              <w:jc w:val="center"/>
              <w:rPr>
                <w:rFonts w:eastAsia="Times New Roman" w:cs="Times New Roman"/>
                <w:color w:val="000000"/>
                <w:lang w:eastAsia="en-GB"/>
              </w:rPr>
            </w:pPr>
            <w:r w:rsidRPr="00E3346A">
              <w:rPr>
                <w:rFonts w:eastAsia="Times New Roman" w:cs="Times New Roman"/>
                <w:color w:val="000000"/>
                <w:lang w:eastAsia="en-GB"/>
              </w:rPr>
              <w:t>330,800</w:t>
            </w:r>
          </w:p>
        </w:tc>
      </w:tr>
      <w:tr w:rsidR="00A9706E" w:rsidRPr="00E3346A" w:rsidTr="00031B92">
        <w:trPr>
          <w:trHeight w:val="300"/>
          <w:jc w:val="center"/>
        </w:trPr>
        <w:tc>
          <w:tcPr>
            <w:tcW w:w="803" w:type="dxa"/>
            <w:tcBorders>
              <w:top w:val="nil"/>
              <w:left w:val="single" w:sz="4" w:space="0" w:color="auto"/>
              <w:bottom w:val="single" w:sz="4" w:space="0" w:color="auto"/>
              <w:right w:val="single" w:sz="4" w:space="0" w:color="auto"/>
            </w:tcBorders>
            <w:shd w:val="clear" w:color="auto" w:fill="auto"/>
            <w:noWrap/>
            <w:vAlign w:val="center"/>
            <w:hideMark/>
          </w:tcPr>
          <w:p w:rsidR="00A9706E" w:rsidRPr="00E3346A" w:rsidRDefault="00A9706E" w:rsidP="00031B92">
            <w:pPr>
              <w:spacing w:after="0" w:line="240" w:lineRule="auto"/>
              <w:jc w:val="center"/>
              <w:rPr>
                <w:rFonts w:eastAsia="Times New Roman" w:cs="Times New Roman"/>
                <w:color w:val="000000"/>
                <w:lang w:eastAsia="en-GB"/>
              </w:rPr>
            </w:pPr>
            <w:r w:rsidRPr="00E3346A">
              <w:rPr>
                <w:rFonts w:eastAsia="Times New Roman" w:cs="Times New Roman"/>
                <w:color w:val="000000"/>
                <w:lang w:eastAsia="en-GB"/>
              </w:rPr>
              <w:t>2007</w:t>
            </w:r>
          </w:p>
        </w:tc>
        <w:tc>
          <w:tcPr>
            <w:tcW w:w="1746" w:type="dxa"/>
            <w:tcBorders>
              <w:top w:val="nil"/>
              <w:left w:val="nil"/>
              <w:bottom w:val="single" w:sz="4" w:space="0" w:color="auto"/>
              <w:right w:val="single" w:sz="4" w:space="0" w:color="auto"/>
            </w:tcBorders>
            <w:shd w:val="clear" w:color="auto" w:fill="auto"/>
            <w:noWrap/>
            <w:vAlign w:val="center"/>
            <w:hideMark/>
          </w:tcPr>
          <w:p w:rsidR="00A9706E" w:rsidRPr="00E3346A" w:rsidRDefault="00A9706E" w:rsidP="00031B92">
            <w:pPr>
              <w:spacing w:after="0" w:line="240" w:lineRule="auto"/>
              <w:jc w:val="center"/>
              <w:rPr>
                <w:rFonts w:eastAsia="Times New Roman" w:cs="Times New Roman"/>
                <w:color w:val="000000"/>
                <w:lang w:eastAsia="en-GB"/>
              </w:rPr>
            </w:pPr>
            <w:r w:rsidRPr="00E3346A">
              <w:rPr>
                <w:rFonts w:eastAsia="Times New Roman" w:cs="Times New Roman"/>
                <w:color w:val="000000"/>
                <w:lang w:eastAsia="en-GB"/>
              </w:rPr>
              <w:t>334,900</w:t>
            </w:r>
          </w:p>
        </w:tc>
      </w:tr>
      <w:tr w:rsidR="00A9706E" w:rsidRPr="00E3346A" w:rsidTr="00031B92">
        <w:trPr>
          <w:trHeight w:val="300"/>
          <w:jc w:val="center"/>
        </w:trPr>
        <w:tc>
          <w:tcPr>
            <w:tcW w:w="803" w:type="dxa"/>
            <w:tcBorders>
              <w:top w:val="nil"/>
              <w:left w:val="single" w:sz="4" w:space="0" w:color="auto"/>
              <w:bottom w:val="single" w:sz="4" w:space="0" w:color="auto"/>
              <w:right w:val="single" w:sz="4" w:space="0" w:color="auto"/>
            </w:tcBorders>
            <w:shd w:val="clear" w:color="auto" w:fill="auto"/>
            <w:noWrap/>
            <w:vAlign w:val="center"/>
            <w:hideMark/>
          </w:tcPr>
          <w:p w:rsidR="00A9706E" w:rsidRPr="00E3346A" w:rsidRDefault="00A9706E" w:rsidP="00031B92">
            <w:pPr>
              <w:spacing w:after="0" w:line="240" w:lineRule="auto"/>
              <w:jc w:val="center"/>
              <w:rPr>
                <w:rFonts w:eastAsia="Times New Roman" w:cs="Times New Roman"/>
                <w:color w:val="000000"/>
                <w:lang w:eastAsia="en-GB"/>
              </w:rPr>
            </w:pPr>
            <w:r w:rsidRPr="00E3346A">
              <w:rPr>
                <w:rFonts w:eastAsia="Times New Roman" w:cs="Times New Roman"/>
                <w:color w:val="000000"/>
                <w:lang w:eastAsia="en-GB"/>
              </w:rPr>
              <w:t>2008</w:t>
            </w:r>
          </w:p>
        </w:tc>
        <w:tc>
          <w:tcPr>
            <w:tcW w:w="1746" w:type="dxa"/>
            <w:tcBorders>
              <w:top w:val="nil"/>
              <w:left w:val="nil"/>
              <w:bottom w:val="single" w:sz="4" w:space="0" w:color="auto"/>
              <w:right w:val="single" w:sz="4" w:space="0" w:color="auto"/>
            </w:tcBorders>
            <w:shd w:val="clear" w:color="auto" w:fill="auto"/>
            <w:noWrap/>
            <w:vAlign w:val="center"/>
            <w:hideMark/>
          </w:tcPr>
          <w:p w:rsidR="00A9706E" w:rsidRPr="00E3346A" w:rsidRDefault="00A9706E" w:rsidP="00031B92">
            <w:pPr>
              <w:spacing w:after="0" w:line="240" w:lineRule="auto"/>
              <w:jc w:val="center"/>
              <w:rPr>
                <w:rFonts w:eastAsia="Times New Roman" w:cs="Times New Roman"/>
                <w:color w:val="000000"/>
                <w:lang w:eastAsia="en-GB"/>
              </w:rPr>
            </w:pPr>
            <w:r w:rsidRPr="00E3346A">
              <w:rPr>
                <w:rFonts w:eastAsia="Times New Roman" w:cs="Times New Roman"/>
                <w:color w:val="000000"/>
                <w:lang w:eastAsia="en-GB"/>
              </w:rPr>
              <w:t>339,200</w:t>
            </w:r>
          </w:p>
        </w:tc>
      </w:tr>
      <w:tr w:rsidR="00A9706E" w:rsidRPr="00E3346A" w:rsidTr="00031B92">
        <w:trPr>
          <w:trHeight w:val="300"/>
          <w:jc w:val="center"/>
        </w:trPr>
        <w:tc>
          <w:tcPr>
            <w:tcW w:w="803" w:type="dxa"/>
            <w:tcBorders>
              <w:top w:val="nil"/>
              <w:left w:val="single" w:sz="4" w:space="0" w:color="auto"/>
              <w:bottom w:val="single" w:sz="4" w:space="0" w:color="auto"/>
              <w:right w:val="single" w:sz="4" w:space="0" w:color="auto"/>
            </w:tcBorders>
            <w:shd w:val="clear" w:color="auto" w:fill="auto"/>
            <w:noWrap/>
            <w:vAlign w:val="center"/>
            <w:hideMark/>
          </w:tcPr>
          <w:p w:rsidR="00A9706E" w:rsidRPr="00E3346A" w:rsidRDefault="00A9706E" w:rsidP="00031B92">
            <w:pPr>
              <w:spacing w:after="0" w:line="240" w:lineRule="auto"/>
              <w:jc w:val="center"/>
              <w:rPr>
                <w:rFonts w:eastAsia="Times New Roman" w:cs="Times New Roman"/>
                <w:color w:val="000000"/>
                <w:lang w:eastAsia="en-GB"/>
              </w:rPr>
            </w:pPr>
            <w:r w:rsidRPr="00E3346A">
              <w:rPr>
                <w:rFonts w:eastAsia="Times New Roman" w:cs="Times New Roman"/>
                <w:color w:val="000000"/>
                <w:lang w:eastAsia="en-GB"/>
              </w:rPr>
              <w:t>2009</w:t>
            </w:r>
          </w:p>
        </w:tc>
        <w:tc>
          <w:tcPr>
            <w:tcW w:w="1746" w:type="dxa"/>
            <w:tcBorders>
              <w:top w:val="nil"/>
              <w:left w:val="nil"/>
              <w:bottom w:val="single" w:sz="4" w:space="0" w:color="auto"/>
              <w:right w:val="single" w:sz="4" w:space="0" w:color="auto"/>
            </w:tcBorders>
            <w:shd w:val="clear" w:color="auto" w:fill="auto"/>
            <w:noWrap/>
            <w:vAlign w:val="center"/>
            <w:hideMark/>
          </w:tcPr>
          <w:p w:rsidR="00A9706E" w:rsidRPr="00E3346A" w:rsidRDefault="00A9706E" w:rsidP="00031B92">
            <w:pPr>
              <w:spacing w:after="0" w:line="240" w:lineRule="auto"/>
              <w:jc w:val="center"/>
              <w:rPr>
                <w:rFonts w:eastAsia="Times New Roman" w:cs="Times New Roman"/>
                <w:color w:val="000000"/>
                <w:lang w:eastAsia="en-GB"/>
              </w:rPr>
            </w:pPr>
            <w:r w:rsidRPr="00E3346A">
              <w:rPr>
                <w:rFonts w:eastAsia="Times New Roman" w:cs="Times New Roman"/>
                <w:color w:val="000000"/>
                <w:lang w:eastAsia="en-GB"/>
              </w:rPr>
              <w:t>345,800</w:t>
            </w:r>
          </w:p>
        </w:tc>
      </w:tr>
      <w:tr w:rsidR="00A9706E" w:rsidRPr="00E3346A" w:rsidTr="00031B92">
        <w:trPr>
          <w:trHeight w:val="300"/>
          <w:jc w:val="center"/>
        </w:trPr>
        <w:tc>
          <w:tcPr>
            <w:tcW w:w="803" w:type="dxa"/>
            <w:tcBorders>
              <w:top w:val="nil"/>
              <w:left w:val="single" w:sz="4" w:space="0" w:color="auto"/>
              <w:bottom w:val="single" w:sz="4" w:space="0" w:color="auto"/>
              <w:right w:val="single" w:sz="4" w:space="0" w:color="auto"/>
            </w:tcBorders>
            <w:shd w:val="clear" w:color="auto" w:fill="auto"/>
            <w:noWrap/>
            <w:vAlign w:val="center"/>
            <w:hideMark/>
          </w:tcPr>
          <w:p w:rsidR="00A9706E" w:rsidRPr="00E3346A" w:rsidRDefault="00A9706E" w:rsidP="00031B92">
            <w:pPr>
              <w:spacing w:after="0" w:line="240" w:lineRule="auto"/>
              <w:jc w:val="center"/>
              <w:rPr>
                <w:rFonts w:eastAsia="Times New Roman" w:cs="Times New Roman"/>
                <w:color w:val="000000"/>
                <w:lang w:eastAsia="en-GB"/>
              </w:rPr>
            </w:pPr>
            <w:r w:rsidRPr="00E3346A">
              <w:rPr>
                <w:rFonts w:eastAsia="Times New Roman" w:cs="Times New Roman"/>
                <w:color w:val="000000"/>
                <w:lang w:eastAsia="en-GB"/>
              </w:rPr>
              <w:t>2010</w:t>
            </w:r>
          </w:p>
        </w:tc>
        <w:tc>
          <w:tcPr>
            <w:tcW w:w="1746" w:type="dxa"/>
            <w:tcBorders>
              <w:top w:val="nil"/>
              <w:left w:val="nil"/>
              <w:bottom w:val="single" w:sz="4" w:space="0" w:color="auto"/>
              <w:right w:val="single" w:sz="4" w:space="0" w:color="auto"/>
            </w:tcBorders>
            <w:shd w:val="clear" w:color="auto" w:fill="auto"/>
            <w:noWrap/>
            <w:vAlign w:val="center"/>
            <w:hideMark/>
          </w:tcPr>
          <w:p w:rsidR="00A9706E" w:rsidRPr="00E3346A" w:rsidRDefault="00A9706E" w:rsidP="00031B92">
            <w:pPr>
              <w:spacing w:after="0" w:line="240" w:lineRule="auto"/>
              <w:jc w:val="center"/>
              <w:rPr>
                <w:rFonts w:eastAsia="Times New Roman" w:cs="Times New Roman"/>
                <w:color w:val="000000"/>
                <w:lang w:eastAsia="en-GB"/>
              </w:rPr>
            </w:pPr>
            <w:r w:rsidRPr="00E3346A">
              <w:rPr>
                <w:rFonts w:eastAsia="Times New Roman" w:cs="Times New Roman"/>
                <w:color w:val="000000"/>
                <w:lang w:eastAsia="en-GB"/>
              </w:rPr>
              <w:t>351,500</w:t>
            </w:r>
          </w:p>
        </w:tc>
      </w:tr>
      <w:tr w:rsidR="00A9706E" w:rsidRPr="00E3346A" w:rsidTr="00031B92">
        <w:trPr>
          <w:trHeight w:val="300"/>
          <w:jc w:val="center"/>
        </w:trPr>
        <w:tc>
          <w:tcPr>
            <w:tcW w:w="803" w:type="dxa"/>
            <w:tcBorders>
              <w:top w:val="nil"/>
              <w:left w:val="single" w:sz="4" w:space="0" w:color="auto"/>
              <w:bottom w:val="single" w:sz="4" w:space="0" w:color="auto"/>
              <w:right w:val="single" w:sz="4" w:space="0" w:color="auto"/>
            </w:tcBorders>
            <w:shd w:val="clear" w:color="auto" w:fill="auto"/>
            <w:noWrap/>
            <w:vAlign w:val="center"/>
            <w:hideMark/>
          </w:tcPr>
          <w:p w:rsidR="00A9706E" w:rsidRPr="00E3346A" w:rsidRDefault="00A9706E" w:rsidP="00031B92">
            <w:pPr>
              <w:spacing w:after="0" w:line="240" w:lineRule="auto"/>
              <w:jc w:val="center"/>
              <w:rPr>
                <w:rFonts w:eastAsia="Times New Roman" w:cs="Times New Roman"/>
                <w:color w:val="000000"/>
                <w:lang w:eastAsia="en-GB"/>
              </w:rPr>
            </w:pPr>
            <w:r w:rsidRPr="00E3346A">
              <w:rPr>
                <w:rFonts w:eastAsia="Times New Roman" w:cs="Times New Roman"/>
                <w:color w:val="000000"/>
                <w:lang w:eastAsia="en-GB"/>
              </w:rPr>
              <w:t>2011</w:t>
            </w:r>
          </w:p>
        </w:tc>
        <w:tc>
          <w:tcPr>
            <w:tcW w:w="1746" w:type="dxa"/>
            <w:tcBorders>
              <w:top w:val="nil"/>
              <w:left w:val="nil"/>
              <w:bottom w:val="single" w:sz="4" w:space="0" w:color="auto"/>
              <w:right w:val="single" w:sz="4" w:space="0" w:color="auto"/>
            </w:tcBorders>
            <w:shd w:val="clear" w:color="auto" w:fill="auto"/>
            <w:noWrap/>
            <w:vAlign w:val="center"/>
            <w:hideMark/>
          </w:tcPr>
          <w:p w:rsidR="00A9706E" w:rsidRPr="00E3346A" w:rsidRDefault="00A9706E" w:rsidP="00031B92">
            <w:pPr>
              <w:spacing w:after="0" w:line="240" w:lineRule="auto"/>
              <w:jc w:val="center"/>
              <w:rPr>
                <w:rFonts w:eastAsia="Times New Roman" w:cs="Times New Roman"/>
                <w:color w:val="000000"/>
                <w:lang w:eastAsia="en-GB"/>
              </w:rPr>
            </w:pPr>
            <w:r w:rsidRPr="00E3346A">
              <w:rPr>
                <w:rFonts w:eastAsia="Times New Roman" w:cs="Times New Roman"/>
                <w:color w:val="000000"/>
                <w:lang w:eastAsia="en-GB"/>
              </w:rPr>
              <w:t>357,500</w:t>
            </w:r>
          </w:p>
        </w:tc>
      </w:tr>
      <w:tr w:rsidR="00A9706E" w:rsidRPr="00E3346A" w:rsidTr="00031B92">
        <w:trPr>
          <w:trHeight w:val="300"/>
          <w:jc w:val="center"/>
        </w:trPr>
        <w:tc>
          <w:tcPr>
            <w:tcW w:w="803" w:type="dxa"/>
            <w:tcBorders>
              <w:top w:val="nil"/>
              <w:left w:val="single" w:sz="4" w:space="0" w:color="auto"/>
              <w:bottom w:val="single" w:sz="4" w:space="0" w:color="auto"/>
              <w:right w:val="single" w:sz="4" w:space="0" w:color="auto"/>
            </w:tcBorders>
            <w:shd w:val="clear" w:color="auto" w:fill="auto"/>
            <w:noWrap/>
            <w:vAlign w:val="center"/>
            <w:hideMark/>
          </w:tcPr>
          <w:p w:rsidR="00A9706E" w:rsidRPr="00E3346A" w:rsidRDefault="00A9706E" w:rsidP="00031B92">
            <w:pPr>
              <w:spacing w:after="0" w:line="240" w:lineRule="auto"/>
              <w:jc w:val="center"/>
              <w:rPr>
                <w:rFonts w:eastAsia="Times New Roman" w:cs="Times New Roman"/>
                <w:color w:val="000000"/>
                <w:lang w:eastAsia="en-GB"/>
              </w:rPr>
            </w:pPr>
            <w:r w:rsidRPr="00E3346A">
              <w:rPr>
                <w:rFonts w:eastAsia="Times New Roman" w:cs="Times New Roman"/>
                <w:color w:val="000000"/>
                <w:lang w:eastAsia="en-GB"/>
              </w:rPr>
              <w:t>2012</w:t>
            </w:r>
          </w:p>
        </w:tc>
        <w:tc>
          <w:tcPr>
            <w:tcW w:w="1746" w:type="dxa"/>
            <w:tcBorders>
              <w:top w:val="nil"/>
              <w:left w:val="nil"/>
              <w:bottom w:val="single" w:sz="4" w:space="0" w:color="auto"/>
              <w:right w:val="single" w:sz="4" w:space="0" w:color="auto"/>
            </w:tcBorders>
            <w:shd w:val="clear" w:color="auto" w:fill="auto"/>
            <w:noWrap/>
            <w:vAlign w:val="center"/>
            <w:hideMark/>
          </w:tcPr>
          <w:p w:rsidR="00A9706E" w:rsidRPr="00E3346A" w:rsidRDefault="00A9706E" w:rsidP="00031B92">
            <w:pPr>
              <w:spacing w:after="0" w:line="240" w:lineRule="auto"/>
              <w:jc w:val="center"/>
              <w:rPr>
                <w:rFonts w:eastAsia="Times New Roman" w:cs="Times New Roman"/>
                <w:color w:val="000000"/>
                <w:lang w:eastAsia="en-GB"/>
              </w:rPr>
            </w:pPr>
            <w:r w:rsidRPr="00E3346A">
              <w:rPr>
                <w:rFonts w:eastAsia="Times New Roman" w:cs="Times New Roman"/>
                <w:color w:val="000000"/>
                <w:lang w:eastAsia="en-GB"/>
              </w:rPr>
              <w:t>363,958</w:t>
            </w:r>
          </w:p>
        </w:tc>
      </w:tr>
      <w:tr w:rsidR="00A9706E" w:rsidRPr="00E3346A" w:rsidTr="00031B92">
        <w:trPr>
          <w:trHeight w:val="300"/>
          <w:jc w:val="center"/>
        </w:trPr>
        <w:tc>
          <w:tcPr>
            <w:tcW w:w="803" w:type="dxa"/>
            <w:tcBorders>
              <w:top w:val="nil"/>
              <w:left w:val="single" w:sz="4" w:space="0" w:color="auto"/>
              <w:bottom w:val="single" w:sz="4" w:space="0" w:color="auto"/>
              <w:right w:val="single" w:sz="4" w:space="0" w:color="auto"/>
            </w:tcBorders>
            <w:shd w:val="clear" w:color="auto" w:fill="auto"/>
            <w:noWrap/>
            <w:vAlign w:val="center"/>
            <w:hideMark/>
          </w:tcPr>
          <w:p w:rsidR="00A9706E" w:rsidRPr="00E3346A" w:rsidRDefault="00A9706E" w:rsidP="00031B92">
            <w:pPr>
              <w:spacing w:after="0" w:line="240" w:lineRule="auto"/>
              <w:jc w:val="center"/>
              <w:rPr>
                <w:rFonts w:eastAsia="Times New Roman" w:cs="Times New Roman"/>
                <w:color w:val="000000"/>
                <w:lang w:eastAsia="en-GB"/>
              </w:rPr>
            </w:pPr>
            <w:r w:rsidRPr="00E3346A">
              <w:rPr>
                <w:rFonts w:eastAsia="Times New Roman" w:cs="Times New Roman"/>
                <w:color w:val="000000"/>
                <w:lang w:eastAsia="en-GB"/>
              </w:rPr>
              <w:t>2013</w:t>
            </w:r>
          </w:p>
        </w:tc>
        <w:tc>
          <w:tcPr>
            <w:tcW w:w="1746" w:type="dxa"/>
            <w:tcBorders>
              <w:top w:val="nil"/>
              <w:left w:val="nil"/>
              <w:bottom w:val="single" w:sz="4" w:space="0" w:color="auto"/>
              <w:right w:val="single" w:sz="4" w:space="0" w:color="auto"/>
            </w:tcBorders>
            <w:shd w:val="clear" w:color="auto" w:fill="auto"/>
            <w:noWrap/>
            <w:vAlign w:val="center"/>
            <w:hideMark/>
          </w:tcPr>
          <w:p w:rsidR="00A9706E" w:rsidRPr="00E3346A" w:rsidRDefault="00A9706E" w:rsidP="00031B92">
            <w:pPr>
              <w:spacing w:after="0" w:line="240" w:lineRule="auto"/>
              <w:jc w:val="center"/>
              <w:rPr>
                <w:rFonts w:eastAsia="Times New Roman" w:cs="Times New Roman"/>
                <w:color w:val="000000"/>
                <w:lang w:eastAsia="en-GB"/>
              </w:rPr>
            </w:pPr>
            <w:r w:rsidRPr="00E3346A">
              <w:rPr>
                <w:rFonts w:eastAsia="Times New Roman" w:cs="Times New Roman"/>
                <w:color w:val="000000"/>
                <w:lang w:eastAsia="en-GB"/>
              </w:rPr>
              <w:t>361,504</w:t>
            </w:r>
          </w:p>
        </w:tc>
      </w:tr>
      <w:tr w:rsidR="00A9706E" w:rsidRPr="00E3346A" w:rsidTr="00031B92">
        <w:trPr>
          <w:trHeight w:val="300"/>
          <w:jc w:val="center"/>
        </w:trPr>
        <w:tc>
          <w:tcPr>
            <w:tcW w:w="803" w:type="dxa"/>
            <w:tcBorders>
              <w:top w:val="nil"/>
              <w:left w:val="single" w:sz="4" w:space="0" w:color="auto"/>
              <w:bottom w:val="single" w:sz="4" w:space="0" w:color="auto"/>
              <w:right w:val="single" w:sz="4" w:space="0" w:color="auto"/>
            </w:tcBorders>
            <w:shd w:val="clear" w:color="auto" w:fill="auto"/>
            <w:noWrap/>
            <w:vAlign w:val="center"/>
            <w:hideMark/>
          </w:tcPr>
          <w:p w:rsidR="00A9706E" w:rsidRPr="00E3346A" w:rsidRDefault="00A9706E" w:rsidP="00031B92">
            <w:pPr>
              <w:spacing w:after="0" w:line="240" w:lineRule="auto"/>
              <w:jc w:val="center"/>
              <w:rPr>
                <w:rFonts w:eastAsia="Times New Roman" w:cs="Times New Roman"/>
                <w:color w:val="000000"/>
                <w:lang w:eastAsia="en-GB"/>
              </w:rPr>
            </w:pPr>
            <w:r w:rsidRPr="00E3346A">
              <w:rPr>
                <w:rFonts w:eastAsia="Times New Roman" w:cs="Times New Roman"/>
                <w:color w:val="000000"/>
                <w:lang w:eastAsia="en-GB"/>
              </w:rPr>
              <w:t>2014</w:t>
            </w:r>
          </w:p>
        </w:tc>
        <w:tc>
          <w:tcPr>
            <w:tcW w:w="1746" w:type="dxa"/>
            <w:tcBorders>
              <w:top w:val="nil"/>
              <w:left w:val="nil"/>
              <w:bottom w:val="single" w:sz="4" w:space="0" w:color="auto"/>
              <w:right w:val="single" w:sz="4" w:space="0" w:color="auto"/>
            </w:tcBorders>
            <w:shd w:val="clear" w:color="auto" w:fill="auto"/>
            <w:noWrap/>
            <w:vAlign w:val="center"/>
            <w:hideMark/>
          </w:tcPr>
          <w:p w:rsidR="00A9706E" w:rsidRPr="00E3346A" w:rsidRDefault="00A9706E" w:rsidP="00031B92">
            <w:pPr>
              <w:spacing w:after="0" w:line="240" w:lineRule="auto"/>
              <w:jc w:val="center"/>
              <w:rPr>
                <w:rFonts w:eastAsia="Times New Roman" w:cs="Times New Roman"/>
                <w:color w:val="000000"/>
                <w:lang w:eastAsia="en-GB"/>
              </w:rPr>
            </w:pPr>
            <w:r w:rsidRPr="00E3346A">
              <w:rPr>
                <w:rFonts w:eastAsia="Times New Roman" w:cs="Times New Roman"/>
                <w:color w:val="000000"/>
                <w:lang w:eastAsia="en-GB"/>
              </w:rPr>
              <w:t>364,481</w:t>
            </w:r>
          </w:p>
        </w:tc>
      </w:tr>
      <w:tr w:rsidR="00A9706E" w:rsidRPr="00E3346A" w:rsidTr="00031B92">
        <w:trPr>
          <w:trHeight w:val="300"/>
          <w:jc w:val="center"/>
        </w:trPr>
        <w:tc>
          <w:tcPr>
            <w:tcW w:w="803" w:type="dxa"/>
            <w:tcBorders>
              <w:top w:val="nil"/>
              <w:left w:val="single" w:sz="4" w:space="0" w:color="auto"/>
              <w:bottom w:val="single" w:sz="4" w:space="0" w:color="auto"/>
              <w:right w:val="single" w:sz="4" w:space="0" w:color="auto"/>
            </w:tcBorders>
            <w:shd w:val="clear" w:color="auto" w:fill="auto"/>
            <w:noWrap/>
            <w:vAlign w:val="center"/>
            <w:hideMark/>
          </w:tcPr>
          <w:p w:rsidR="00A9706E" w:rsidRPr="00E3346A" w:rsidRDefault="00A9706E" w:rsidP="00031B92">
            <w:pPr>
              <w:spacing w:after="0" w:line="240" w:lineRule="auto"/>
              <w:jc w:val="center"/>
              <w:rPr>
                <w:rFonts w:eastAsia="Times New Roman" w:cs="Times New Roman"/>
                <w:color w:val="000000"/>
                <w:lang w:eastAsia="en-GB"/>
              </w:rPr>
            </w:pPr>
            <w:r w:rsidRPr="00E3346A">
              <w:rPr>
                <w:rFonts w:eastAsia="Times New Roman" w:cs="Times New Roman"/>
                <w:color w:val="000000"/>
                <w:lang w:eastAsia="en-GB"/>
              </w:rPr>
              <w:t>2015</w:t>
            </w:r>
          </w:p>
        </w:tc>
        <w:tc>
          <w:tcPr>
            <w:tcW w:w="1746" w:type="dxa"/>
            <w:tcBorders>
              <w:top w:val="nil"/>
              <w:left w:val="nil"/>
              <w:bottom w:val="single" w:sz="4" w:space="0" w:color="auto"/>
              <w:right w:val="single" w:sz="4" w:space="0" w:color="auto"/>
            </w:tcBorders>
            <w:shd w:val="clear" w:color="auto" w:fill="auto"/>
            <w:noWrap/>
            <w:vAlign w:val="center"/>
            <w:hideMark/>
          </w:tcPr>
          <w:p w:rsidR="00A9706E" w:rsidRPr="00E3346A" w:rsidRDefault="00A9706E" w:rsidP="00031B92">
            <w:pPr>
              <w:spacing w:after="0" w:line="240" w:lineRule="auto"/>
              <w:jc w:val="center"/>
              <w:rPr>
                <w:rFonts w:eastAsia="Times New Roman" w:cs="Times New Roman"/>
                <w:color w:val="000000"/>
                <w:lang w:eastAsia="en-GB"/>
              </w:rPr>
            </w:pPr>
            <w:r w:rsidRPr="00E3346A">
              <w:rPr>
                <w:rFonts w:eastAsia="Times New Roman" w:cs="Times New Roman"/>
                <w:color w:val="000000"/>
                <w:lang w:eastAsia="en-GB"/>
              </w:rPr>
              <w:t>367,265</w:t>
            </w:r>
          </w:p>
        </w:tc>
      </w:tr>
    </w:tbl>
    <w:p w:rsidR="00A9706E" w:rsidRDefault="00A9706E" w:rsidP="00A9706E">
      <w:pPr>
        <w:jc w:val="both"/>
        <w:rPr>
          <w:rFonts w:ascii="Calibri" w:hAnsi="Calibri" w:cs="Calibri"/>
        </w:rPr>
      </w:pPr>
      <w:r>
        <w:rPr>
          <w:rFonts w:ascii="Calibri" w:hAnsi="Calibri" w:cs="Calibri"/>
        </w:rPr>
        <w:t>Source: ONS Vital Statistics Table 4 and Nomis Labour Market Profile</w:t>
      </w:r>
    </w:p>
    <w:p w:rsidR="00A9706E" w:rsidRDefault="00A9706E" w:rsidP="00A9706E">
      <w:pPr>
        <w:jc w:val="both"/>
        <w:rPr>
          <w:rFonts w:ascii="Calibri" w:hAnsi="Calibri" w:cs="Calibri"/>
          <w:b/>
        </w:rPr>
      </w:pPr>
      <w:r>
        <w:rPr>
          <w:rFonts w:ascii="Calibri" w:hAnsi="Calibri" w:cs="Calibri"/>
        </w:rPr>
        <w:t>Figure 2-1</w:t>
      </w:r>
      <w:r w:rsidRPr="007375D0">
        <w:rPr>
          <w:rFonts w:ascii="Calibri" w:hAnsi="Calibri" w:cs="Calibri"/>
        </w:rPr>
        <w:t xml:space="preserve"> shows the population growth for Barnet, compared against statistical neighbours </w:t>
      </w:r>
      <w:r>
        <w:rPr>
          <w:rFonts w:ascii="Calibri" w:hAnsi="Calibri" w:cs="Calibri"/>
        </w:rPr>
        <w:t xml:space="preserve">– outlined in the chart - </w:t>
      </w:r>
      <w:r w:rsidRPr="007375D0">
        <w:rPr>
          <w:rFonts w:ascii="Calibri" w:hAnsi="Calibri" w:cs="Calibri"/>
        </w:rPr>
        <w:t>and the Outer London average. Barnet experienced a slower rate of growth compared to the Outer London average which grew by 17.17% between 2001 and 2015.</w:t>
      </w:r>
      <w:r>
        <w:rPr>
          <w:rFonts w:ascii="Calibri" w:hAnsi="Calibri" w:cs="Calibri"/>
        </w:rPr>
        <w:t xml:space="preserve"> </w:t>
      </w:r>
      <w:r w:rsidRPr="007375D0">
        <w:rPr>
          <w:rFonts w:ascii="Calibri" w:hAnsi="Calibri" w:cs="Calibri"/>
        </w:rPr>
        <w:t>When compared against statistical</w:t>
      </w:r>
      <w:r>
        <w:rPr>
          <w:rFonts w:ascii="Calibri" w:hAnsi="Calibri" w:cs="Calibri"/>
        </w:rPr>
        <w:t xml:space="preserve"> </w:t>
      </w:r>
      <w:r w:rsidRPr="007375D0">
        <w:rPr>
          <w:rFonts w:ascii="Calibri" w:hAnsi="Calibri" w:cs="Calibri"/>
        </w:rPr>
        <w:t>neighbours, Barnet had the sixth lowest rate of growth, whereas Hounslow had the highest growth of 19.6%.</w:t>
      </w:r>
    </w:p>
    <w:p w:rsidR="00EE4904" w:rsidRDefault="00EE4904" w:rsidP="00A9706E">
      <w:pPr>
        <w:pStyle w:val="Caption"/>
      </w:pPr>
    </w:p>
    <w:p w:rsidR="00EE4904" w:rsidRDefault="00EE4904" w:rsidP="00A9706E">
      <w:pPr>
        <w:pStyle w:val="Caption"/>
      </w:pPr>
    </w:p>
    <w:p w:rsidR="00A9706E" w:rsidRPr="00601EB6" w:rsidRDefault="00A9706E" w:rsidP="00A9706E">
      <w:pPr>
        <w:pStyle w:val="Caption"/>
        <w:rPr>
          <w:rFonts w:ascii="Calibri" w:hAnsi="Calibri" w:cs="Calibri"/>
          <w:b w:val="0"/>
          <w:i/>
        </w:rPr>
      </w:pPr>
      <w:r>
        <w:lastRenderedPageBreak/>
        <w:t xml:space="preserve">Figure </w:t>
      </w:r>
      <w:fldSimple w:instr=" STYLEREF 1 \s ">
        <w:r w:rsidR="001663C2">
          <w:rPr>
            <w:noProof/>
          </w:rPr>
          <w:t>2</w:t>
        </w:r>
      </w:fldSimple>
      <w:r w:rsidR="00943DC2">
        <w:noBreakHyphen/>
      </w:r>
      <w:fldSimple w:instr=" SEQ Figure \* ARABIC \s 1 ">
        <w:r w:rsidR="001663C2">
          <w:rPr>
            <w:noProof/>
          </w:rPr>
          <w:t>1</w:t>
        </w:r>
      </w:fldSimple>
      <w:r w:rsidRPr="004E7E79">
        <w:t>: Population Growth, 2001 – 2015 (Barnet, Statistical Neighbours, and Regional)</w:t>
      </w:r>
    </w:p>
    <w:p w:rsidR="00A9706E" w:rsidRDefault="00A9706E" w:rsidP="00A9706E">
      <w:pPr>
        <w:spacing w:after="0" w:line="240" w:lineRule="auto"/>
        <w:jc w:val="both"/>
        <w:rPr>
          <w:rFonts w:ascii="Calibri" w:hAnsi="Calibri" w:cs="Calibri"/>
          <w:b/>
        </w:rPr>
      </w:pPr>
      <w:r>
        <w:rPr>
          <w:noProof/>
          <w:lang w:eastAsia="en-GB"/>
        </w:rPr>
        <w:drawing>
          <wp:inline distT="0" distB="0" distL="0" distR="0" wp14:anchorId="39C6E83B" wp14:editId="1EC7F4B4">
            <wp:extent cx="6071191" cy="2190307"/>
            <wp:effectExtent l="0" t="0" r="25400" b="19685"/>
            <wp:docPr id="43019" name="Chart 430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A9706E" w:rsidRPr="004E7E79" w:rsidRDefault="00A9706E" w:rsidP="00A9706E">
      <w:pPr>
        <w:spacing w:after="0" w:line="240" w:lineRule="auto"/>
        <w:jc w:val="both"/>
        <w:rPr>
          <w:rFonts w:ascii="Calibri" w:hAnsi="Calibri" w:cs="Calibri"/>
        </w:rPr>
      </w:pPr>
      <w:r w:rsidRPr="004E7E79">
        <w:rPr>
          <w:rFonts w:ascii="Calibri" w:hAnsi="Calibri" w:cs="Calibri"/>
        </w:rPr>
        <w:t>Source: Census 2001 and GLA Projections 2013</w:t>
      </w:r>
      <w:r>
        <w:rPr>
          <w:rFonts w:ascii="Calibri" w:hAnsi="Calibri" w:cs="Calibri"/>
        </w:rPr>
        <w:t xml:space="preserve"> (</w:t>
      </w:r>
      <w:r w:rsidRPr="005D3C22">
        <w:rPr>
          <w:rFonts w:ascii="Calibri" w:hAnsi="Calibri" w:cs="Calibri"/>
        </w:rPr>
        <w:t>Preferred Option Projections</w:t>
      </w:r>
      <w:r>
        <w:rPr>
          <w:rFonts w:ascii="Calibri" w:hAnsi="Calibri" w:cs="Calibri"/>
        </w:rPr>
        <w:t>)</w:t>
      </w:r>
    </w:p>
    <w:p w:rsidR="00A9706E" w:rsidRDefault="00A9706E" w:rsidP="00A9706E">
      <w:pPr>
        <w:pStyle w:val="Heading2"/>
        <w:jc w:val="both"/>
      </w:pPr>
      <w:bookmarkStart w:id="401" w:name="_Toc426723295"/>
      <w:bookmarkStart w:id="402" w:name="_Toc431225122"/>
      <w:r>
        <w:t>Population Growth</w:t>
      </w:r>
      <w:bookmarkEnd w:id="401"/>
      <w:bookmarkEnd w:id="402"/>
    </w:p>
    <w:p w:rsidR="00A9706E" w:rsidRDefault="00A9706E" w:rsidP="00A9706E">
      <w:pPr>
        <w:jc w:val="both"/>
        <w:rPr>
          <w:rFonts w:ascii="Calibri" w:hAnsi="Calibri" w:cs="Calibri"/>
        </w:rPr>
      </w:pPr>
      <w:r>
        <w:rPr>
          <w:rFonts w:ascii="Calibri" w:hAnsi="Calibri" w:cs="Calibri"/>
        </w:rPr>
        <w:t xml:space="preserve">Table 2-2 shows the 2013 based population projections from the GLA. These projections provide an indication of the future size of the Barnet population, if current trends in fertility, mortality and migration continue. </w:t>
      </w:r>
    </w:p>
    <w:p w:rsidR="00A9706E" w:rsidRDefault="00A9706E" w:rsidP="00A9706E">
      <w:pPr>
        <w:jc w:val="both"/>
        <w:rPr>
          <w:rFonts w:ascii="Calibri" w:hAnsi="Calibri" w:cs="Calibri"/>
          <w:b/>
          <w:i/>
        </w:rPr>
      </w:pPr>
      <w:r>
        <w:rPr>
          <w:rFonts w:ascii="Calibri" w:hAnsi="Calibri" w:cs="Calibri"/>
        </w:rPr>
        <w:t>The projections suggest that b</w:t>
      </w:r>
      <w:r w:rsidRPr="000B17BD">
        <w:rPr>
          <w:rFonts w:ascii="Calibri" w:hAnsi="Calibri" w:cs="Calibri"/>
        </w:rPr>
        <w:t xml:space="preserve">etween 2015 and </w:t>
      </w:r>
      <w:r>
        <w:rPr>
          <w:rFonts w:ascii="Calibri" w:hAnsi="Calibri" w:cs="Calibri"/>
        </w:rPr>
        <w:t>2021, the population of Barnet will continue to grow by 6.6% reaching 391,472</w:t>
      </w:r>
      <w:r>
        <w:rPr>
          <w:rStyle w:val="FootnoteReference"/>
          <w:rFonts w:ascii="Calibri" w:hAnsi="Calibri" w:cs="Calibri"/>
        </w:rPr>
        <w:footnoteReference w:id="2"/>
      </w:r>
      <w:r>
        <w:rPr>
          <w:rFonts w:ascii="Calibri" w:hAnsi="Calibri" w:cs="Calibri"/>
        </w:rPr>
        <w:t xml:space="preserve">, an increase of </w:t>
      </w:r>
      <w:r w:rsidRPr="000B17BD">
        <w:rPr>
          <w:rFonts w:ascii="Calibri" w:hAnsi="Calibri" w:cs="Calibri"/>
        </w:rPr>
        <w:t>24,207</w:t>
      </w:r>
      <w:r>
        <w:rPr>
          <w:rFonts w:ascii="Calibri" w:hAnsi="Calibri" w:cs="Calibri"/>
        </w:rPr>
        <w:t xml:space="preserve"> people. T</w:t>
      </w:r>
      <w:r w:rsidRPr="000B17BD">
        <w:rPr>
          <w:rFonts w:ascii="Calibri" w:hAnsi="Calibri" w:cs="Calibri"/>
        </w:rPr>
        <w:t xml:space="preserve">his is close to the same growth as Outer London, which is projected to see </w:t>
      </w:r>
      <w:r>
        <w:rPr>
          <w:rFonts w:ascii="Calibri" w:hAnsi="Calibri" w:cs="Calibri"/>
        </w:rPr>
        <w:t>experience a rise of 6.4% in the population. B</w:t>
      </w:r>
      <w:r w:rsidRPr="000B17BD">
        <w:rPr>
          <w:rFonts w:ascii="Calibri" w:hAnsi="Calibri" w:cs="Calibri"/>
        </w:rPr>
        <w:t>etween 2021 and 2030 the rate</w:t>
      </w:r>
      <w:r>
        <w:rPr>
          <w:rFonts w:ascii="Calibri" w:hAnsi="Calibri" w:cs="Calibri"/>
        </w:rPr>
        <w:t xml:space="preserve"> of</w:t>
      </w:r>
      <w:r w:rsidRPr="000B17BD">
        <w:rPr>
          <w:rFonts w:ascii="Calibri" w:hAnsi="Calibri" w:cs="Calibri"/>
        </w:rPr>
        <w:t xml:space="preserve"> growth will begin to slow, </w:t>
      </w:r>
      <w:r>
        <w:rPr>
          <w:rFonts w:ascii="Calibri" w:hAnsi="Calibri" w:cs="Calibri"/>
        </w:rPr>
        <w:t xml:space="preserve">although the </w:t>
      </w:r>
      <w:r w:rsidRPr="000B17BD">
        <w:rPr>
          <w:rFonts w:ascii="Calibri" w:hAnsi="Calibri" w:cs="Calibri"/>
        </w:rPr>
        <w:t>population</w:t>
      </w:r>
      <w:r>
        <w:rPr>
          <w:rFonts w:ascii="Calibri" w:hAnsi="Calibri" w:cs="Calibri"/>
        </w:rPr>
        <w:t xml:space="preserve"> will continue to rise b</w:t>
      </w:r>
      <w:r w:rsidRPr="000B17BD">
        <w:rPr>
          <w:rFonts w:ascii="Calibri" w:hAnsi="Calibri" w:cs="Calibri"/>
        </w:rPr>
        <w:t xml:space="preserve">y a further 6.7% to 417,753. </w:t>
      </w:r>
    </w:p>
    <w:p w:rsidR="00A9706E" w:rsidRDefault="00A9706E" w:rsidP="00A9706E">
      <w:pPr>
        <w:rPr>
          <w:b/>
          <w:bCs/>
          <w:szCs w:val="18"/>
        </w:rPr>
      </w:pPr>
      <w:r>
        <w:br w:type="page"/>
      </w:r>
    </w:p>
    <w:p w:rsidR="00A9706E" w:rsidRPr="004E7E79" w:rsidRDefault="00A9706E" w:rsidP="00A9706E">
      <w:pPr>
        <w:pStyle w:val="Caption"/>
      </w:pPr>
      <w:r>
        <w:lastRenderedPageBreak/>
        <w:t xml:space="preserve">Table </w:t>
      </w:r>
      <w:fldSimple w:instr=" STYLEREF 1 \s ">
        <w:r w:rsidR="001663C2">
          <w:rPr>
            <w:noProof/>
          </w:rPr>
          <w:t>2</w:t>
        </w:r>
      </w:fldSimple>
      <w:r>
        <w:noBreakHyphen/>
      </w:r>
      <w:fldSimple w:instr=" SEQ Table \* ARABIC \s 1 ">
        <w:r w:rsidR="001663C2">
          <w:rPr>
            <w:noProof/>
          </w:rPr>
          <w:t>2</w:t>
        </w:r>
      </w:fldSimple>
      <w:r w:rsidRPr="004E7E79">
        <w:t>: Population Projections 2015, 2021 &amp; 2030 (Barnet</w:t>
      </w:r>
      <w:r>
        <w:t xml:space="preserve"> and Outer London</w:t>
      </w:r>
      <w:r w:rsidRPr="004E7E79">
        <w:t>)</w:t>
      </w:r>
    </w:p>
    <w:tbl>
      <w:tblPr>
        <w:tblStyle w:val="TableGrid"/>
        <w:tblW w:w="9242" w:type="dxa"/>
        <w:jc w:val="center"/>
        <w:tblLook w:val="04A0" w:firstRow="1" w:lastRow="0" w:firstColumn="1" w:lastColumn="0" w:noHBand="0" w:noVBand="1"/>
      </w:tblPr>
      <w:tblGrid>
        <w:gridCol w:w="960"/>
        <w:gridCol w:w="1900"/>
        <w:gridCol w:w="2129"/>
        <w:gridCol w:w="1923"/>
        <w:gridCol w:w="2330"/>
      </w:tblGrid>
      <w:tr w:rsidR="00A9706E" w:rsidRPr="00311580" w:rsidTr="00031B92">
        <w:trPr>
          <w:trHeight w:val="570"/>
          <w:tblHeader/>
          <w:jc w:val="center"/>
        </w:trPr>
        <w:tc>
          <w:tcPr>
            <w:tcW w:w="960" w:type="dxa"/>
            <w:vMerge w:val="restart"/>
            <w:shd w:val="clear" w:color="auto" w:fill="BFBFBF" w:themeFill="background1" w:themeFillShade="BF"/>
            <w:noWrap/>
            <w:vAlign w:val="center"/>
          </w:tcPr>
          <w:p w:rsidR="00A9706E" w:rsidRPr="00311580" w:rsidRDefault="00A9706E" w:rsidP="00031B92">
            <w:pPr>
              <w:jc w:val="center"/>
              <w:rPr>
                <w:rFonts w:ascii="Calibri" w:eastAsia="Times New Roman" w:hAnsi="Calibri" w:cs="Times New Roman"/>
                <w:b/>
                <w:bCs/>
                <w:lang w:eastAsia="en-GB"/>
              </w:rPr>
            </w:pPr>
            <w:r w:rsidRPr="00311580">
              <w:rPr>
                <w:rFonts w:ascii="Calibri" w:eastAsia="Times New Roman" w:hAnsi="Calibri" w:cs="Times New Roman"/>
                <w:b/>
                <w:bCs/>
                <w:lang w:eastAsia="en-GB"/>
              </w:rPr>
              <w:t>Year</w:t>
            </w:r>
          </w:p>
        </w:tc>
        <w:tc>
          <w:tcPr>
            <w:tcW w:w="4029" w:type="dxa"/>
            <w:gridSpan w:val="2"/>
            <w:shd w:val="clear" w:color="auto" w:fill="BFBFBF" w:themeFill="background1" w:themeFillShade="BF"/>
            <w:noWrap/>
            <w:vAlign w:val="center"/>
          </w:tcPr>
          <w:p w:rsidR="00A9706E" w:rsidRPr="00311580" w:rsidRDefault="00A9706E" w:rsidP="00031B92">
            <w:pPr>
              <w:jc w:val="center"/>
              <w:rPr>
                <w:rFonts w:ascii="Calibri" w:eastAsia="Times New Roman" w:hAnsi="Calibri" w:cs="Times New Roman"/>
                <w:b/>
                <w:bCs/>
                <w:lang w:eastAsia="en-GB"/>
              </w:rPr>
            </w:pPr>
            <w:r>
              <w:rPr>
                <w:rFonts w:ascii="Calibri" w:eastAsia="Times New Roman" w:hAnsi="Calibri" w:cs="Times New Roman"/>
                <w:b/>
                <w:bCs/>
                <w:lang w:eastAsia="en-GB"/>
              </w:rPr>
              <w:t>Barnet</w:t>
            </w:r>
          </w:p>
        </w:tc>
        <w:tc>
          <w:tcPr>
            <w:tcW w:w="4253" w:type="dxa"/>
            <w:gridSpan w:val="2"/>
            <w:shd w:val="clear" w:color="auto" w:fill="BFBFBF" w:themeFill="background1" w:themeFillShade="BF"/>
            <w:vAlign w:val="center"/>
          </w:tcPr>
          <w:p w:rsidR="00A9706E" w:rsidRPr="00311580" w:rsidRDefault="00A9706E" w:rsidP="00031B92">
            <w:pPr>
              <w:jc w:val="center"/>
              <w:rPr>
                <w:rFonts w:ascii="Calibri" w:eastAsia="Times New Roman" w:hAnsi="Calibri" w:cs="Times New Roman"/>
                <w:b/>
                <w:bCs/>
                <w:lang w:eastAsia="en-GB"/>
              </w:rPr>
            </w:pPr>
            <w:r>
              <w:rPr>
                <w:rFonts w:ascii="Calibri" w:eastAsia="Times New Roman" w:hAnsi="Calibri" w:cs="Times New Roman"/>
                <w:b/>
                <w:bCs/>
                <w:lang w:eastAsia="en-GB"/>
              </w:rPr>
              <w:t>Outer London</w:t>
            </w:r>
          </w:p>
        </w:tc>
      </w:tr>
      <w:tr w:rsidR="00A9706E" w:rsidRPr="00311580" w:rsidTr="00031B92">
        <w:trPr>
          <w:trHeight w:val="570"/>
          <w:tblHeader/>
          <w:jc w:val="center"/>
        </w:trPr>
        <w:tc>
          <w:tcPr>
            <w:tcW w:w="960" w:type="dxa"/>
            <w:vMerge/>
            <w:shd w:val="clear" w:color="auto" w:fill="BFBFBF" w:themeFill="background1" w:themeFillShade="BF"/>
            <w:noWrap/>
            <w:vAlign w:val="center"/>
            <w:hideMark/>
          </w:tcPr>
          <w:p w:rsidR="00A9706E" w:rsidRPr="00311580" w:rsidRDefault="00A9706E" w:rsidP="00031B92">
            <w:pPr>
              <w:jc w:val="center"/>
              <w:rPr>
                <w:rFonts w:ascii="Calibri" w:eastAsia="Times New Roman" w:hAnsi="Calibri" w:cs="Times New Roman"/>
                <w:b/>
                <w:bCs/>
                <w:lang w:eastAsia="en-GB"/>
              </w:rPr>
            </w:pPr>
          </w:p>
        </w:tc>
        <w:tc>
          <w:tcPr>
            <w:tcW w:w="1900" w:type="dxa"/>
            <w:shd w:val="clear" w:color="auto" w:fill="BFBFBF" w:themeFill="background1" w:themeFillShade="BF"/>
            <w:noWrap/>
            <w:vAlign w:val="center"/>
            <w:hideMark/>
          </w:tcPr>
          <w:p w:rsidR="00A9706E" w:rsidRPr="00311580" w:rsidRDefault="00A9706E" w:rsidP="00031B92">
            <w:pPr>
              <w:jc w:val="center"/>
              <w:rPr>
                <w:rFonts w:ascii="Calibri" w:eastAsia="Times New Roman" w:hAnsi="Calibri" w:cs="Times New Roman"/>
                <w:b/>
                <w:bCs/>
                <w:lang w:eastAsia="en-GB"/>
              </w:rPr>
            </w:pPr>
            <w:r w:rsidRPr="00311580">
              <w:rPr>
                <w:rFonts w:ascii="Calibri" w:eastAsia="Times New Roman" w:hAnsi="Calibri" w:cs="Times New Roman"/>
                <w:b/>
                <w:bCs/>
                <w:lang w:eastAsia="en-GB"/>
              </w:rPr>
              <w:t>Total Population</w:t>
            </w:r>
          </w:p>
        </w:tc>
        <w:tc>
          <w:tcPr>
            <w:tcW w:w="2129" w:type="dxa"/>
            <w:shd w:val="clear" w:color="auto" w:fill="BFBFBF" w:themeFill="background1" w:themeFillShade="BF"/>
            <w:noWrap/>
            <w:vAlign w:val="center"/>
            <w:hideMark/>
          </w:tcPr>
          <w:p w:rsidR="00A9706E" w:rsidRPr="00311580" w:rsidRDefault="00A9706E" w:rsidP="00031B92">
            <w:pPr>
              <w:jc w:val="center"/>
              <w:rPr>
                <w:rFonts w:ascii="Calibri" w:eastAsia="Times New Roman" w:hAnsi="Calibri" w:cs="Times New Roman"/>
                <w:b/>
                <w:bCs/>
                <w:lang w:eastAsia="en-GB"/>
              </w:rPr>
            </w:pPr>
            <w:r>
              <w:rPr>
                <w:rFonts w:ascii="Calibri" w:eastAsia="Times New Roman" w:hAnsi="Calibri" w:cs="Times New Roman"/>
                <w:b/>
                <w:bCs/>
                <w:lang w:eastAsia="en-GB"/>
              </w:rPr>
              <w:t>% Growth (Compared to 2015)</w:t>
            </w:r>
          </w:p>
        </w:tc>
        <w:tc>
          <w:tcPr>
            <w:tcW w:w="1923" w:type="dxa"/>
            <w:shd w:val="clear" w:color="auto" w:fill="BFBFBF" w:themeFill="background1" w:themeFillShade="BF"/>
            <w:vAlign w:val="center"/>
          </w:tcPr>
          <w:p w:rsidR="00A9706E" w:rsidRPr="00311580" w:rsidRDefault="00A9706E" w:rsidP="00031B92">
            <w:pPr>
              <w:jc w:val="center"/>
              <w:rPr>
                <w:rFonts w:ascii="Calibri" w:eastAsia="Times New Roman" w:hAnsi="Calibri" w:cs="Times New Roman"/>
                <w:b/>
                <w:bCs/>
                <w:lang w:eastAsia="en-GB"/>
              </w:rPr>
            </w:pPr>
            <w:r w:rsidRPr="00311580">
              <w:rPr>
                <w:rFonts w:ascii="Calibri" w:eastAsia="Times New Roman" w:hAnsi="Calibri" w:cs="Times New Roman"/>
                <w:b/>
                <w:bCs/>
                <w:lang w:eastAsia="en-GB"/>
              </w:rPr>
              <w:t>Total Population</w:t>
            </w:r>
          </w:p>
        </w:tc>
        <w:tc>
          <w:tcPr>
            <w:tcW w:w="2330" w:type="dxa"/>
            <w:shd w:val="clear" w:color="auto" w:fill="BFBFBF" w:themeFill="background1" w:themeFillShade="BF"/>
            <w:vAlign w:val="center"/>
            <w:hideMark/>
          </w:tcPr>
          <w:p w:rsidR="00A9706E" w:rsidRDefault="00A9706E" w:rsidP="00031B92">
            <w:pPr>
              <w:jc w:val="center"/>
              <w:rPr>
                <w:rFonts w:ascii="Calibri" w:eastAsia="Times New Roman" w:hAnsi="Calibri" w:cs="Times New Roman"/>
                <w:b/>
                <w:bCs/>
                <w:lang w:eastAsia="en-GB"/>
              </w:rPr>
            </w:pPr>
            <w:r>
              <w:rPr>
                <w:rFonts w:ascii="Calibri" w:eastAsia="Times New Roman" w:hAnsi="Calibri" w:cs="Times New Roman"/>
                <w:b/>
                <w:bCs/>
                <w:lang w:eastAsia="en-GB"/>
              </w:rPr>
              <w:t>% Growth</w:t>
            </w:r>
          </w:p>
          <w:p w:rsidR="00A9706E" w:rsidRPr="00311580" w:rsidRDefault="00A9706E" w:rsidP="00031B92">
            <w:pPr>
              <w:jc w:val="center"/>
              <w:rPr>
                <w:rFonts w:ascii="Calibri" w:eastAsia="Times New Roman" w:hAnsi="Calibri" w:cs="Times New Roman"/>
                <w:b/>
                <w:bCs/>
                <w:lang w:eastAsia="en-GB"/>
              </w:rPr>
            </w:pPr>
            <w:r>
              <w:rPr>
                <w:rFonts w:ascii="Calibri" w:eastAsia="Times New Roman" w:hAnsi="Calibri" w:cs="Times New Roman"/>
                <w:b/>
                <w:bCs/>
                <w:lang w:eastAsia="en-GB"/>
              </w:rPr>
              <w:t>(Compared to 2015)</w:t>
            </w:r>
          </w:p>
        </w:tc>
      </w:tr>
      <w:tr w:rsidR="00A9706E" w:rsidRPr="00311580" w:rsidTr="00031B92">
        <w:trPr>
          <w:trHeight w:val="315"/>
          <w:jc w:val="center"/>
        </w:trPr>
        <w:tc>
          <w:tcPr>
            <w:tcW w:w="960"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2015</w:t>
            </w:r>
          </w:p>
        </w:tc>
        <w:tc>
          <w:tcPr>
            <w:tcW w:w="1900"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367,265</w:t>
            </w:r>
          </w:p>
        </w:tc>
        <w:tc>
          <w:tcPr>
            <w:tcW w:w="2129" w:type="dxa"/>
            <w:noWrap/>
            <w:vAlign w:val="center"/>
            <w:hideMark/>
          </w:tcPr>
          <w:p w:rsidR="00A9706E" w:rsidRPr="00311580" w:rsidRDefault="00A9706E" w:rsidP="00031B92">
            <w:pPr>
              <w:jc w:val="center"/>
              <w:rPr>
                <w:rFonts w:ascii="Calibri" w:eastAsia="Times New Roman" w:hAnsi="Calibri" w:cs="Times New Roman"/>
                <w:color w:val="000000"/>
                <w:lang w:eastAsia="en-GB"/>
              </w:rPr>
            </w:pPr>
          </w:p>
        </w:tc>
        <w:tc>
          <w:tcPr>
            <w:tcW w:w="1923" w:type="dxa"/>
            <w:vAlign w:val="center"/>
          </w:tcPr>
          <w:p w:rsidR="00A9706E" w:rsidRDefault="00A9706E" w:rsidP="00031B92">
            <w:pPr>
              <w:jc w:val="center"/>
              <w:rPr>
                <w:rFonts w:ascii="Calibri" w:hAnsi="Calibri"/>
                <w:color w:val="000000"/>
              </w:rPr>
            </w:pPr>
            <w:r>
              <w:rPr>
                <w:rFonts w:ascii="Calibri" w:hAnsi="Calibri"/>
                <w:color w:val="000000"/>
              </w:rPr>
              <w:t>5,236,869</w:t>
            </w:r>
          </w:p>
        </w:tc>
        <w:tc>
          <w:tcPr>
            <w:tcW w:w="2330" w:type="dxa"/>
            <w:noWrap/>
            <w:vAlign w:val="center"/>
            <w:hideMark/>
          </w:tcPr>
          <w:p w:rsidR="00A9706E" w:rsidRPr="00311580" w:rsidRDefault="00A9706E" w:rsidP="00031B92">
            <w:pPr>
              <w:jc w:val="center"/>
              <w:rPr>
                <w:rFonts w:ascii="Calibri" w:eastAsia="Times New Roman" w:hAnsi="Calibri" w:cs="Times New Roman"/>
                <w:color w:val="000000"/>
                <w:lang w:eastAsia="en-GB"/>
              </w:rPr>
            </w:pPr>
          </w:p>
        </w:tc>
      </w:tr>
      <w:tr w:rsidR="00A9706E" w:rsidRPr="00311580" w:rsidTr="00031B92">
        <w:trPr>
          <w:trHeight w:val="300"/>
          <w:jc w:val="center"/>
        </w:trPr>
        <w:tc>
          <w:tcPr>
            <w:tcW w:w="960"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2016</w:t>
            </w:r>
          </w:p>
        </w:tc>
        <w:tc>
          <w:tcPr>
            <w:tcW w:w="1900"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369,887</w:t>
            </w:r>
          </w:p>
        </w:tc>
        <w:tc>
          <w:tcPr>
            <w:tcW w:w="2129"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0.7%</w:t>
            </w:r>
          </w:p>
        </w:tc>
        <w:tc>
          <w:tcPr>
            <w:tcW w:w="1923" w:type="dxa"/>
            <w:vAlign w:val="center"/>
          </w:tcPr>
          <w:p w:rsidR="00A9706E" w:rsidRDefault="00A9706E" w:rsidP="00031B92">
            <w:pPr>
              <w:jc w:val="center"/>
              <w:rPr>
                <w:rFonts w:ascii="Calibri" w:hAnsi="Calibri"/>
                <w:color w:val="000000"/>
              </w:rPr>
            </w:pPr>
            <w:r>
              <w:rPr>
                <w:rFonts w:ascii="Calibri" w:hAnsi="Calibri"/>
                <w:color w:val="000000"/>
              </w:rPr>
              <w:t>5,303,352</w:t>
            </w:r>
          </w:p>
        </w:tc>
        <w:tc>
          <w:tcPr>
            <w:tcW w:w="2330"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1.3%</w:t>
            </w:r>
          </w:p>
        </w:tc>
      </w:tr>
      <w:tr w:rsidR="00A9706E" w:rsidRPr="00311580" w:rsidTr="00031B92">
        <w:trPr>
          <w:trHeight w:val="300"/>
          <w:jc w:val="center"/>
        </w:trPr>
        <w:tc>
          <w:tcPr>
            <w:tcW w:w="960"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2017</w:t>
            </w:r>
          </w:p>
        </w:tc>
        <w:tc>
          <w:tcPr>
            <w:tcW w:w="1900"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373,680</w:t>
            </w:r>
          </w:p>
        </w:tc>
        <w:tc>
          <w:tcPr>
            <w:tcW w:w="2129"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1.7%</w:t>
            </w:r>
          </w:p>
        </w:tc>
        <w:tc>
          <w:tcPr>
            <w:tcW w:w="1923" w:type="dxa"/>
            <w:vAlign w:val="center"/>
          </w:tcPr>
          <w:p w:rsidR="00A9706E" w:rsidRDefault="00A9706E" w:rsidP="00031B92">
            <w:pPr>
              <w:jc w:val="center"/>
              <w:rPr>
                <w:rFonts w:ascii="Calibri" w:hAnsi="Calibri"/>
                <w:color w:val="000000"/>
              </w:rPr>
            </w:pPr>
            <w:r>
              <w:rPr>
                <w:rFonts w:ascii="Calibri" w:hAnsi="Calibri"/>
                <w:color w:val="000000"/>
              </w:rPr>
              <w:t>5,368,535</w:t>
            </w:r>
          </w:p>
        </w:tc>
        <w:tc>
          <w:tcPr>
            <w:tcW w:w="2330"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2.5%</w:t>
            </w:r>
          </w:p>
        </w:tc>
      </w:tr>
      <w:tr w:rsidR="00A9706E" w:rsidRPr="00311580" w:rsidTr="00031B92">
        <w:trPr>
          <w:trHeight w:val="300"/>
          <w:jc w:val="center"/>
        </w:trPr>
        <w:tc>
          <w:tcPr>
            <w:tcW w:w="960"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2018</w:t>
            </w:r>
          </w:p>
        </w:tc>
        <w:tc>
          <w:tcPr>
            <w:tcW w:w="1900"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377,316</w:t>
            </w:r>
          </w:p>
        </w:tc>
        <w:tc>
          <w:tcPr>
            <w:tcW w:w="2129"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2.7%</w:t>
            </w:r>
          </w:p>
        </w:tc>
        <w:tc>
          <w:tcPr>
            <w:tcW w:w="1923" w:type="dxa"/>
            <w:vAlign w:val="center"/>
          </w:tcPr>
          <w:p w:rsidR="00A9706E" w:rsidRDefault="00A9706E" w:rsidP="00031B92">
            <w:pPr>
              <w:jc w:val="center"/>
              <w:rPr>
                <w:rFonts w:ascii="Calibri" w:hAnsi="Calibri"/>
                <w:color w:val="000000"/>
              </w:rPr>
            </w:pPr>
            <w:r>
              <w:rPr>
                <w:rFonts w:ascii="Calibri" w:hAnsi="Calibri"/>
                <w:color w:val="000000"/>
              </w:rPr>
              <w:t>5,421,057</w:t>
            </w:r>
          </w:p>
        </w:tc>
        <w:tc>
          <w:tcPr>
            <w:tcW w:w="2330"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3.5%</w:t>
            </w:r>
          </w:p>
        </w:tc>
      </w:tr>
      <w:tr w:rsidR="00A9706E" w:rsidRPr="00311580" w:rsidTr="00031B92">
        <w:trPr>
          <w:trHeight w:val="300"/>
          <w:jc w:val="center"/>
        </w:trPr>
        <w:tc>
          <w:tcPr>
            <w:tcW w:w="960"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2019</w:t>
            </w:r>
          </w:p>
        </w:tc>
        <w:tc>
          <w:tcPr>
            <w:tcW w:w="1900"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382,508</w:t>
            </w:r>
          </w:p>
        </w:tc>
        <w:tc>
          <w:tcPr>
            <w:tcW w:w="2129"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4.2%</w:t>
            </w:r>
          </w:p>
        </w:tc>
        <w:tc>
          <w:tcPr>
            <w:tcW w:w="1923" w:type="dxa"/>
            <w:vAlign w:val="center"/>
          </w:tcPr>
          <w:p w:rsidR="00A9706E" w:rsidRDefault="00A9706E" w:rsidP="00031B92">
            <w:pPr>
              <w:jc w:val="center"/>
              <w:rPr>
                <w:rFonts w:ascii="Calibri" w:hAnsi="Calibri"/>
                <w:color w:val="000000"/>
              </w:rPr>
            </w:pPr>
            <w:r>
              <w:rPr>
                <w:rFonts w:ascii="Calibri" w:hAnsi="Calibri"/>
                <w:color w:val="000000"/>
              </w:rPr>
              <w:t>5,472,589</w:t>
            </w:r>
          </w:p>
        </w:tc>
        <w:tc>
          <w:tcPr>
            <w:tcW w:w="2330"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4.5%</w:t>
            </w:r>
          </w:p>
        </w:tc>
      </w:tr>
      <w:tr w:rsidR="00A9706E" w:rsidRPr="00311580" w:rsidTr="00031B92">
        <w:trPr>
          <w:trHeight w:val="300"/>
          <w:jc w:val="center"/>
        </w:trPr>
        <w:tc>
          <w:tcPr>
            <w:tcW w:w="960"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2020</w:t>
            </w:r>
          </w:p>
        </w:tc>
        <w:tc>
          <w:tcPr>
            <w:tcW w:w="1900"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386,752</w:t>
            </w:r>
          </w:p>
        </w:tc>
        <w:tc>
          <w:tcPr>
            <w:tcW w:w="2129"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5.3%</w:t>
            </w:r>
          </w:p>
        </w:tc>
        <w:tc>
          <w:tcPr>
            <w:tcW w:w="1923" w:type="dxa"/>
            <w:vAlign w:val="center"/>
          </w:tcPr>
          <w:p w:rsidR="00A9706E" w:rsidRDefault="00A9706E" w:rsidP="00031B92">
            <w:pPr>
              <w:jc w:val="center"/>
              <w:rPr>
                <w:rFonts w:ascii="Calibri" w:hAnsi="Calibri"/>
                <w:color w:val="000000"/>
              </w:rPr>
            </w:pPr>
            <w:r>
              <w:rPr>
                <w:rFonts w:ascii="Calibri" w:hAnsi="Calibri"/>
                <w:color w:val="000000"/>
              </w:rPr>
              <w:t>5,523,280</w:t>
            </w:r>
          </w:p>
        </w:tc>
        <w:tc>
          <w:tcPr>
            <w:tcW w:w="2330"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5.5%</w:t>
            </w:r>
          </w:p>
        </w:tc>
      </w:tr>
      <w:tr w:rsidR="00A9706E" w:rsidRPr="00311580" w:rsidTr="00031B92">
        <w:trPr>
          <w:trHeight w:val="300"/>
          <w:jc w:val="center"/>
        </w:trPr>
        <w:tc>
          <w:tcPr>
            <w:tcW w:w="960"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2021</w:t>
            </w:r>
          </w:p>
        </w:tc>
        <w:tc>
          <w:tcPr>
            <w:tcW w:w="1900"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391,472</w:t>
            </w:r>
          </w:p>
        </w:tc>
        <w:tc>
          <w:tcPr>
            <w:tcW w:w="2129"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6.6%</w:t>
            </w:r>
          </w:p>
        </w:tc>
        <w:tc>
          <w:tcPr>
            <w:tcW w:w="1923" w:type="dxa"/>
            <w:vAlign w:val="center"/>
          </w:tcPr>
          <w:p w:rsidR="00A9706E" w:rsidRDefault="00A9706E" w:rsidP="00031B92">
            <w:pPr>
              <w:jc w:val="center"/>
              <w:rPr>
                <w:rFonts w:ascii="Calibri" w:hAnsi="Calibri"/>
                <w:color w:val="000000"/>
              </w:rPr>
            </w:pPr>
            <w:r>
              <w:rPr>
                <w:rFonts w:ascii="Calibri" w:hAnsi="Calibri"/>
                <w:color w:val="000000"/>
              </w:rPr>
              <w:t>5,573,017</w:t>
            </w:r>
          </w:p>
        </w:tc>
        <w:tc>
          <w:tcPr>
            <w:tcW w:w="2330"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6.4%</w:t>
            </w:r>
          </w:p>
        </w:tc>
      </w:tr>
      <w:tr w:rsidR="00A9706E" w:rsidRPr="00311580" w:rsidTr="00031B92">
        <w:trPr>
          <w:trHeight w:val="300"/>
          <w:jc w:val="center"/>
        </w:trPr>
        <w:tc>
          <w:tcPr>
            <w:tcW w:w="960"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2022</w:t>
            </w:r>
          </w:p>
        </w:tc>
        <w:tc>
          <w:tcPr>
            <w:tcW w:w="1900"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394,769</w:t>
            </w:r>
          </w:p>
        </w:tc>
        <w:tc>
          <w:tcPr>
            <w:tcW w:w="2129"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7.5%</w:t>
            </w:r>
          </w:p>
        </w:tc>
        <w:tc>
          <w:tcPr>
            <w:tcW w:w="1923" w:type="dxa"/>
            <w:vAlign w:val="center"/>
          </w:tcPr>
          <w:p w:rsidR="00A9706E" w:rsidRDefault="00A9706E" w:rsidP="00031B92">
            <w:pPr>
              <w:jc w:val="center"/>
              <w:rPr>
                <w:rFonts w:ascii="Calibri" w:hAnsi="Calibri"/>
                <w:color w:val="000000"/>
              </w:rPr>
            </w:pPr>
            <w:r>
              <w:rPr>
                <w:rFonts w:ascii="Calibri" w:hAnsi="Calibri"/>
                <w:color w:val="000000"/>
              </w:rPr>
              <w:t>5,621,245</w:t>
            </w:r>
          </w:p>
        </w:tc>
        <w:tc>
          <w:tcPr>
            <w:tcW w:w="2330"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7.3%</w:t>
            </w:r>
          </w:p>
        </w:tc>
      </w:tr>
      <w:tr w:rsidR="00A9706E" w:rsidRPr="00311580" w:rsidTr="00031B92">
        <w:trPr>
          <w:trHeight w:val="300"/>
          <w:jc w:val="center"/>
        </w:trPr>
        <w:tc>
          <w:tcPr>
            <w:tcW w:w="960"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2023</w:t>
            </w:r>
          </w:p>
        </w:tc>
        <w:tc>
          <w:tcPr>
            <w:tcW w:w="1900"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399,599</w:t>
            </w:r>
          </w:p>
        </w:tc>
        <w:tc>
          <w:tcPr>
            <w:tcW w:w="2129"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8.8%</w:t>
            </w:r>
          </w:p>
        </w:tc>
        <w:tc>
          <w:tcPr>
            <w:tcW w:w="1923" w:type="dxa"/>
            <w:vAlign w:val="center"/>
          </w:tcPr>
          <w:p w:rsidR="00A9706E" w:rsidRDefault="00A9706E" w:rsidP="00031B92">
            <w:pPr>
              <w:jc w:val="center"/>
              <w:rPr>
                <w:rFonts w:ascii="Calibri" w:hAnsi="Calibri"/>
                <w:color w:val="000000"/>
              </w:rPr>
            </w:pPr>
            <w:r>
              <w:rPr>
                <w:rFonts w:ascii="Calibri" w:hAnsi="Calibri"/>
                <w:color w:val="000000"/>
              </w:rPr>
              <w:t>5,668,045</w:t>
            </w:r>
          </w:p>
        </w:tc>
        <w:tc>
          <w:tcPr>
            <w:tcW w:w="2330"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8.2%</w:t>
            </w:r>
          </w:p>
        </w:tc>
      </w:tr>
      <w:tr w:rsidR="00A9706E" w:rsidRPr="00311580" w:rsidTr="00031B92">
        <w:trPr>
          <w:trHeight w:val="300"/>
          <w:jc w:val="center"/>
        </w:trPr>
        <w:tc>
          <w:tcPr>
            <w:tcW w:w="960"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2024</w:t>
            </w:r>
          </w:p>
        </w:tc>
        <w:tc>
          <w:tcPr>
            <w:tcW w:w="1900"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402,814</w:t>
            </w:r>
          </w:p>
        </w:tc>
        <w:tc>
          <w:tcPr>
            <w:tcW w:w="2129"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9.7%</w:t>
            </w:r>
          </w:p>
        </w:tc>
        <w:tc>
          <w:tcPr>
            <w:tcW w:w="1923" w:type="dxa"/>
            <w:vAlign w:val="center"/>
          </w:tcPr>
          <w:p w:rsidR="00A9706E" w:rsidRDefault="00A9706E" w:rsidP="00031B92">
            <w:pPr>
              <w:jc w:val="center"/>
              <w:rPr>
                <w:rFonts w:ascii="Calibri" w:hAnsi="Calibri"/>
                <w:color w:val="000000"/>
              </w:rPr>
            </w:pPr>
            <w:r>
              <w:rPr>
                <w:rFonts w:ascii="Calibri" w:hAnsi="Calibri"/>
                <w:color w:val="000000"/>
              </w:rPr>
              <w:t>5,713,235</w:t>
            </w:r>
          </w:p>
        </w:tc>
        <w:tc>
          <w:tcPr>
            <w:tcW w:w="2330"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9.1%</w:t>
            </w:r>
          </w:p>
        </w:tc>
      </w:tr>
      <w:tr w:rsidR="00A9706E" w:rsidRPr="00311580" w:rsidTr="00031B92">
        <w:trPr>
          <w:trHeight w:val="300"/>
          <w:jc w:val="center"/>
        </w:trPr>
        <w:tc>
          <w:tcPr>
            <w:tcW w:w="960"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2025</w:t>
            </w:r>
          </w:p>
        </w:tc>
        <w:tc>
          <w:tcPr>
            <w:tcW w:w="1900"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406,341</w:t>
            </w:r>
          </w:p>
        </w:tc>
        <w:tc>
          <w:tcPr>
            <w:tcW w:w="2129"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10.6%</w:t>
            </w:r>
          </w:p>
        </w:tc>
        <w:tc>
          <w:tcPr>
            <w:tcW w:w="1923" w:type="dxa"/>
            <w:vAlign w:val="center"/>
          </w:tcPr>
          <w:p w:rsidR="00A9706E" w:rsidRDefault="00A9706E" w:rsidP="00031B92">
            <w:pPr>
              <w:jc w:val="center"/>
              <w:rPr>
                <w:rFonts w:ascii="Calibri" w:hAnsi="Calibri"/>
                <w:color w:val="000000"/>
              </w:rPr>
            </w:pPr>
            <w:r>
              <w:rPr>
                <w:rFonts w:ascii="Calibri" w:hAnsi="Calibri"/>
                <w:color w:val="000000"/>
              </w:rPr>
              <w:t>5,756,814</w:t>
            </w:r>
          </w:p>
        </w:tc>
        <w:tc>
          <w:tcPr>
            <w:tcW w:w="2330"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9.9%</w:t>
            </w:r>
          </w:p>
        </w:tc>
      </w:tr>
      <w:tr w:rsidR="00A9706E" w:rsidRPr="00311580" w:rsidTr="00031B92">
        <w:trPr>
          <w:trHeight w:val="300"/>
          <w:jc w:val="center"/>
        </w:trPr>
        <w:tc>
          <w:tcPr>
            <w:tcW w:w="960"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2026</w:t>
            </w:r>
          </w:p>
        </w:tc>
        <w:tc>
          <w:tcPr>
            <w:tcW w:w="1900"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409,063</w:t>
            </w:r>
          </w:p>
        </w:tc>
        <w:tc>
          <w:tcPr>
            <w:tcW w:w="2129"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11.4%</w:t>
            </w:r>
          </w:p>
        </w:tc>
        <w:tc>
          <w:tcPr>
            <w:tcW w:w="1923" w:type="dxa"/>
            <w:vAlign w:val="center"/>
          </w:tcPr>
          <w:p w:rsidR="00A9706E" w:rsidRDefault="00A9706E" w:rsidP="00031B92">
            <w:pPr>
              <w:jc w:val="center"/>
              <w:rPr>
                <w:rFonts w:ascii="Calibri" w:hAnsi="Calibri"/>
                <w:color w:val="000000"/>
              </w:rPr>
            </w:pPr>
            <w:r>
              <w:rPr>
                <w:rFonts w:ascii="Calibri" w:hAnsi="Calibri"/>
                <w:color w:val="000000"/>
              </w:rPr>
              <w:t>5,798,827</w:t>
            </w:r>
          </w:p>
        </w:tc>
        <w:tc>
          <w:tcPr>
            <w:tcW w:w="2330"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10.7%</w:t>
            </w:r>
          </w:p>
        </w:tc>
      </w:tr>
      <w:tr w:rsidR="00A9706E" w:rsidRPr="00311580" w:rsidTr="00031B92">
        <w:trPr>
          <w:trHeight w:val="300"/>
          <w:jc w:val="center"/>
        </w:trPr>
        <w:tc>
          <w:tcPr>
            <w:tcW w:w="960"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2027</w:t>
            </w:r>
          </w:p>
        </w:tc>
        <w:tc>
          <w:tcPr>
            <w:tcW w:w="1900"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410,596</w:t>
            </w:r>
          </w:p>
        </w:tc>
        <w:tc>
          <w:tcPr>
            <w:tcW w:w="2129"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11.8%</w:t>
            </w:r>
          </w:p>
        </w:tc>
        <w:tc>
          <w:tcPr>
            <w:tcW w:w="1923" w:type="dxa"/>
            <w:vAlign w:val="center"/>
          </w:tcPr>
          <w:p w:rsidR="00A9706E" w:rsidRDefault="00A9706E" w:rsidP="00031B92">
            <w:pPr>
              <w:jc w:val="center"/>
              <w:rPr>
                <w:rFonts w:ascii="Calibri" w:hAnsi="Calibri"/>
                <w:color w:val="000000"/>
              </w:rPr>
            </w:pPr>
            <w:r>
              <w:rPr>
                <w:rFonts w:ascii="Calibri" w:hAnsi="Calibri"/>
                <w:color w:val="000000"/>
              </w:rPr>
              <w:t>5,839,289</w:t>
            </w:r>
          </w:p>
        </w:tc>
        <w:tc>
          <w:tcPr>
            <w:tcW w:w="2330"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11.5%</w:t>
            </w:r>
          </w:p>
        </w:tc>
      </w:tr>
      <w:tr w:rsidR="00A9706E" w:rsidRPr="00311580" w:rsidTr="00031B92">
        <w:trPr>
          <w:trHeight w:val="300"/>
          <w:jc w:val="center"/>
        </w:trPr>
        <w:tc>
          <w:tcPr>
            <w:tcW w:w="960"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2028</w:t>
            </w:r>
          </w:p>
        </w:tc>
        <w:tc>
          <w:tcPr>
            <w:tcW w:w="1900"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412,959</w:t>
            </w:r>
          </w:p>
        </w:tc>
        <w:tc>
          <w:tcPr>
            <w:tcW w:w="2129"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12.4%</w:t>
            </w:r>
          </w:p>
        </w:tc>
        <w:tc>
          <w:tcPr>
            <w:tcW w:w="1923" w:type="dxa"/>
            <w:vAlign w:val="center"/>
          </w:tcPr>
          <w:p w:rsidR="00A9706E" w:rsidRDefault="00A9706E" w:rsidP="00031B92">
            <w:pPr>
              <w:jc w:val="center"/>
              <w:rPr>
                <w:rFonts w:ascii="Calibri" w:hAnsi="Calibri"/>
                <w:color w:val="000000"/>
              </w:rPr>
            </w:pPr>
            <w:r>
              <w:rPr>
                <w:rFonts w:ascii="Calibri" w:hAnsi="Calibri"/>
                <w:color w:val="000000"/>
              </w:rPr>
              <w:t>5,878,703</w:t>
            </w:r>
          </w:p>
        </w:tc>
        <w:tc>
          <w:tcPr>
            <w:tcW w:w="2330"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12.3%</w:t>
            </w:r>
          </w:p>
        </w:tc>
      </w:tr>
      <w:tr w:rsidR="00A9706E" w:rsidRPr="00311580" w:rsidTr="00031B92">
        <w:trPr>
          <w:trHeight w:val="300"/>
          <w:jc w:val="center"/>
        </w:trPr>
        <w:tc>
          <w:tcPr>
            <w:tcW w:w="960"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2029</w:t>
            </w:r>
          </w:p>
        </w:tc>
        <w:tc>
          <w:tcPr>
            <w:tcW w:w="1900"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414,798</w:t>
            </w:r>
          </w:p>
        </w:tc>
        <w:tc>
          <w:tcPr>
            <w:tcW w:w="2129"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12.9%</w:t>
            </w:r>
          </w:p>
        </w:tc>
        <w:tc>
          <w:tcPr>
            <w:tcW w:w="1923" w:type="dxa"/>
            <w:vAlign w:val="center"/>
          </w:tcPr>
          <w:p w:rsidR="00A9706E" w:rsidRDefault="00A9706E" w:rsidP="00031B92">
            <w:pPr>
              <w:jc w:val="center"/>
              <w:rPr>
                <w:rFonts w:ascii="Calibri" w:hAnsi="Calibri"/>
                <w:color w:val="000000"/>
              </w:rPr>
            </w:pPr>
            <w:r>
              <w:rPr>
                <w:rFonts w:ascii="Calibri" w:hAnsi="Calibri"/>
                <w:color w:val="000000"/>
              </w:rPr>
              <w:t>5,917,139</w:t>
            </w:r>
          </w:p>
        </w:tc>
        <w:tc>
          <w:tcPr>
            <w:tcW w:w="2330"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13.0%</w:t>
            </w:r>
          </w:p>
        </w:tc>
      </w:tr>
      <w:tr w:rsidR="00A9706E" w:rsidRPr="00311580" w:rsidTr="00031B92">
        <w:trPr>
          <w:trHeight w:val="300"/>
          <w:jc w:val="center"/>
        </w:trPr>
        <w:tc>
          <w:tcPr>
            <w:tcW w:w="960"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2030</w:t>
            </w:r>
          </w:p>
        </w:tc>
        <w:tc>
          <w:tcPr>
            <w:tcW w:w="1900"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417,573</w:t>
            </w:r>
          </w:p>
        </w:tc>
        <w:tc>
          <w:tcPr>
            <w:tcW w:w="2129"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13.7%</w:t>
            </w:r>
          </w:p>
        </w:tc>
        <w:tc>
          <w:tcPr>
            <w:tcW w:w="1923" w:type="dxa"/>
            <w:vAlign w:val="center"/>
          </w:tcPr>
          <w:p w:rsidR="00A9706E" w:rsidRDefault="00A9706E" w:rsidP="00031B92">
            <w:pPr>
              <w:jc w:val="center"/>
              <w:rPr>
                <w:rFonts w:ascii="Calibri" w:hAnsi="Calibri"/>
                <w:color w:val="000000"/>
              </w:rPr>
            </w:pPr>
            <w:r>
              <w:rPr>
                <w:rFonts w:ascii="Calibri" w:hAnsi="Calibri"/>
                <w:color w:val="000000"/>
              </w:rPr>
              <w:t>5,954,635</w:t>
            </w:r>
          </w:p>
        </w:tc>
        <w:tc>
          <w:tcPr>
            <w:tcW w:w="2330" w:type="dxa"/>
            <w:noWrap/>
            <w:vAlign w:val="center"/>
            <w:hideMark/>
          </w:tcPr>
          <w:p w:rsidR="00A9706E" w:rsidRPr="00311580" w:rsidRDefault="00A9706E" w:rsidP="00031B92">
            <w:pPr>
              <w:jc w:val="center"/>
              <w:rPr>
                <w:rFonts w:ascii="Calibri" w:eastAsia="Times New Roman" w:hAnsi="Calibri" w:cs="Times New Roman"/>
                <w:color w:val="000000"/>
                <w:lang w:eastAsia="en-GB"/>
              </w:rPr>
            </w:pPr>
            <w:r w:rsidRPr="00311580">
              <w:rPr>
                <w:rFonts w:ascii="Calibri" w:eastAsia="Times New Roman" w:hAnsi="Calibri" w:cs="Times New Roman"/>
                <w:color w:val="000000"/>
                <w:lang w:eastAsia="en-GB"/>
              </w:rPr>
              <w:t>13.7%</w:t>
            </w:r>
          </w:p>
        </w:tc>
      </w:tr>
    </w:tbl>
    <w:p w:rsidR="00A9706E" w:rsidRDefault="00A9706E" w:rsidP="00A9706E">
      <w:pPr>
        <w:jc w:val="both"/>
      </w:pPr>
      <w:r>
        <w:t>Source: GLA 2013 Projections (</w:t>
      </w:r>
      <w:r w:rsidRPr="005D3C22">
        <w:t>Preferred Option Projections</w:t>
      </w:r>
      <w:r>
        <w:t>)</w:t>
      </w:r>
    </w:p>
    <w:p w:rsidR="00A9706E" w:rsidRDefault="00A9706E" w:rsidP="00A9706E">
      <w:pPr>
        <w:pStyle w:val="Heading2"/>
        <w:jc w:val="both"/>
      </w:pPr>
      <w:bookmarkStart w:id="403" w:name="_Toc426723296"/>
      <w:bookmarkStart w:id="404" w:name="_Toc431225123"/>
      <w:r>
        <w:t>Population by Wards</w:t>
      </w:r>
      <w:bookmarkEnd w:id="403"/>
      <w:bookmarkEnd w:id="404"/>
    </w:p>
    <w:p w:rsidR="00A9706E" w:rsidRDefault="00A9706E" w:rsidP="00A9706E">
      <w:pPr>
        <w:jc w:val="both"/>
        <w:rPr>
          <w:rFonts w:ascii="Calibri" w:hAnsi="Calibri" w:cs="Calibri"/>
        </w:rPr>
      </w:pPr>
      <w:r>
        <w:t xml:space="preserve">The GLA projections also provide an indication of the population by Ward. In 2015, Colindale was the most populous Ward within the Borough, containing 5.9% (21,658) of the total population. Totteridge is the least </w:t>
      </w:r>
      <w:r w:rsidRPr="00F34E87">
        <w:rPr>
          <w:rFonts w:ascii="Calibri" w:hAnsi="Calibri" w:cs="Calibri"/>
        </w:rPr>
        <w:t xml:space="preserve">populous ward, containing 4.1% of Barnet’s total population (15,169). </w:t>
      </w:r>
    </w:p>
    <w:p w:rsidR="00A9706E" w:rsidRDefault="00A9706E" w:rsidP="00A9706E">
      <w:pPr>
        <w:pStyle w:val="Caption"/>
      </w:pPr>
      <w:r>
        <w:t xml:space="preserve">Figure </w:t>
      </w:r>
      <w:fldSimple w:instr=" STYLEREF 1 \s ">
        <w:r w:rsidR="001663C2">
          <w:rPr>
            <w:noProof/>
          </w:rPr>
          <w:t>2</w:t>
        </w:r>
      </w:fldSimple>
      <w:r w:rsidR="00943DC2">
        <w:noBreakHyphen/>
      </w:r>
      <w:fldSimple w:instr=" SEQ Figure \* ARABIC \s 1 ">
        <w:r w:rsidR="001663C2">
          <w:rPr>
            <w:noProof/>
          </w:rPr>
          <w:t>2</w:t>
        </w:r>
      </w:fldSimple>
      <w:r w:rsidRPr="004E7E79">
        <w:t>: Barnet Population by Ward in 2015</w:t>
      </w:r>
    </w:p>
    <w:p w:rsidR="00A9706E" w:rsidRDefault="00FF7EF3" w:rsidP="00943DC2">
      <w:pPr>
        <w:jc w:val="both"/>
      </w:pPr>
      <w:r>
        <w:rPr>
          <w:noProof/>
          <w:lang w:eastAsia="en-GB"/>
        </w:rPr>
        <w:drawing>
          <wp:inline distT="0" distB="0" distL="0" distR="0" wp14:anchorId="78036BFD" wp14:editId="3652B781">
            <wp:extent cx="5814204" cy="308825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
                      <a:extLst>
                        <a:ext uri="{28A0092B-C50C-407E-A947-70E740481C1C}">
                          <a14:useLocalDpi xmlns:a14="http://schemas.microsoft.com/office/drawing/2010/main" val="0"/>
                        </a:ext>
                      </a:extLst>
                    </a:blip>
                    <a:srcRect t="2178" b="2243"/>
                    <a:stretch/>
                  </pic:blipFill>
                  <pic:spPr bwMode="auto">
                    <a:xfrm>
                      <a:off x="0" y="0"/>
                      <a:ext cx="5846415" cy="3105365"/>
                    </a:xfrm>
                    <a:prstGeom prst="rect">
                      <a:avLst/>
                    </a:prstGeom>
                    <a:noFill/>
                    <a:ln>
                      <a:noFill/>
                    </a:ln>
                    <a:extLst>
                      <a:ext uri="{53640926-AAD7-44D8-BBD7-CCE9431645EC}">
                        <a14:shadowObscured xmlns:a14="http://schemas.microsoft.com/office/drawing/2010/main"/>
                      </a:ext>
                    </a:extLst>
                  </pic:spPr>
                </pic:pic>
              </a:graphicData>
            </a:graphic>
          </wp:inline>
        </w:drawing>
      </w:r>
      <w:r w:rsidR="00A9706E">
        <w:rPr>
          <w:rFonts w:ascii="Calibri" w:hAnsi="Calibri" w:cs="Calibri"/>
        </w:rPr>
        <w:t xml:space="preserve">Source: GLA Projections 2013 </w:t>
      </w:r>
      <w:r w:rsidR="00A9706E">
        <w:t>(</w:t>
      </w:r>
      <w:r w:rsidR="00A9706E" w:rsidRPr="005D3C22">
        <w:t>Preferred Option Projections</w:t>
      </w:r>
      <w:r w:rsidR="00A9706E">
        <w:t>)</w:t>
      </w:r>
    </w:p>
    <w:p w:rsidR="00943DC2" w:rsidRPr="00943DC2" w:rsidRDefault="00943DC2" w:rsidP="00943DC2">
      <w:pPr>
        <w:jc w:val="both"/>
        <w:rPr>
          <w:b/>
        </w:rPr>
      </w:pPr>
      <w:r>
        <w:lastRenderedPageBreak/>
        <w:t xml:space="preserve">There is a significant difference </w:t>
      </w:r>
      <w:r w:rsidR="00163911">
        <w:t>in the size of wards within Barnet.</w:t>
      </w:r>
      <w:r>
        <w:t xml:space="preserve"> Therefore, it is benefi</w:t>
      </w:r>
      <w:r w:rsidR="00163911">
        <w:t xml:space="preserve">cial to view </w:t>
      </w:r>
      <w:r>
        <w:t>the population density</w:t>
      </w:r>
      <w:r w:rsidR="00163911">
        <w:t xml:space="preserve"> of each ward as this takes into account the </w:t>
      </w:r>
      <w:r>
        <w:t>population</w:t>
      </w:r>
      <w:r w:rsidR="00163911">
        <w:t xml:space="preserve"> size</w:t>
      </w:r>
      <w:r>
        <w:t xml:space="preserve"> by</w:t>
      </w:r>
      <w:r w:rsidR="00163911">
        <w:t xml:space="preserve"> </w:t>
      </w:r>
      <w:r>
        <w:t xml:space="preserve">area. </w:t>
      </w:r>
      <w:r w:rsidR="00FE7085">
        <w:t>In 2015, Burnt Oak was</w:t>
      </w:r>
      <w:r w:rsidRPr="00943DC2">
        <w:t xml:space="preserve"> the most densely populated ward, wi</w:t>
      </w:r>
      <w:r w:rsidR="00163911">
        <w:t xml:space="preserve">th 8,774 residents per </w:t>
      </w:r>
      <w:r w:rsidR="00DD3A76">
        <w:t>square</w:t>
      </w:r>
      <w:r w:rsidR="00163911">
        <w:t xml:space="preserve"> km; w</w:t>
      </w:r>
      <w:r w:rsidR="00FE7085">
        <w:t>hereas, Totteridge was</w:t>
      </w:r>
      <w:r w:rsidRPr="00943DC2">
        <w:t xml:space="preserve"> the least densely populated </w:t>
      </w:r>
      <w:r w:rsidRPr="00943DC2">
        <w:rPr>
          <w:rFonts w:ascii="Calibri" w:hAnsi="Calibri" w:cs="Calibri"/>
        </w:rPr>
        <w:t>ward</w:t>
      </w:r>
      <w:r w:rsidRPr="00943DC2">
        <w:t xml:space="preserve"> with 1,733 residents per square km</w:t>
      </w:r>
      <w:r>
        <w:rPr>
          <w:b/>
        </w:rPr>
        <w:t xml:space="preserve">. </w:t>
      </w:r>
    </w:p>
    <w:p w:rsidR="00943DC2" w:rsidRPr="00FF7EF3" w:rsidRDefault="00943DC2" w:rsidP="00943DC2">
      <w:pPr>
        <w:pStyle w:val="Caption"/>
        <w:rPr>
          <w:rFonts w:ascii="Calibri" w:hAnsi="Calibri" w:cs="Calibri"/>
        </w:rPr>
      </w:pPr>
      <w:r>
        <w:t xml:space="preserve">Figure </w:t>
      </w:r>
      <w:fldSimple w:instr=" STYLEREF 1 \s ">
        <w:r w:rsidR="001663C2">
          <w:rPr>
            <w:noProof/>
          </w:rPr>
          <w:t>2</w:t>
        </w:r>
      </w:fldSimple>
      <w:r>
        <w:noBreakHyphen/>
      </w:r>
      <w:fldSimple w:instr=" SEQ Figure \* ARABIC \s 1 ">
        <w:r w:rsidR="001663C2">
          <w:rPr>
            <w:noProof/>
          </w:rPr>
          <w:t>3</w:t>
        </w:r>
      </w:fldSimple>
      <w:r>
        <w:t>: Barnet Population Density by Ward in 2015</w:t>
      </w:r>
    </w:p>
    <w:p w:rsidR="00FF7EF3" w:rsidRDefault="00943DC2" w:rsidP="00943DC2">
      <w:pPr>
        <w:spacing w:after="0" w:line="240" w:lineRule="auto"/>
        <w:jc w:val="center"/>
        <w:rPr>
          <w:rFonts w:ascii="Calibri" w:hAnsi="Calibri" w:cs="Calibri"/>
        </w:rPr>
      </w:pPr>
      <w:r>
        <w:rPr>
          <w:rFonts w:ascii="Calibri" w:hAnsi="Calibri" w:cs="Calibri"/>
          <w:noProof/>
          <w:lang w:eastAsia="en-GB"/>
        </w:rPr>
        <w:drawing>
          <wp:inline distT="0" distB="0" distL="0" distR="0" wp14:anchorId="1E56AD9A" wp14:editId="7E4EA956">
            <wp:extent cx="5438775" cy="337185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35510" cy="3369826"/>
                    </a:xfrm>
                    <a:prstGeom prst="rect">
                      <a:avLst/>
                    </a:prstGeom>
                    <a:noFill/>
                  </pic:spPr>
                </pic:pic>
              </a:graphicData>
            </a:graphic>
          </wp:inline>
        </w:drawing>
      </w:r>
    </w:p>
    <w:p w:rsidR="00FF7EF3" w:rsidRDefault="00943DC2" w:rsidP="00943DC2">
      <w:pPr>
        <w:spacing w:after="0" w:line="240" w:lineRule="auto"/>
        <w:jc w:val="both"/>
        <w:rPr>
          <w:rFonts w:ascii="Calibri" w:hAnsi="Calibri" w:cs="Calibri"/>
        </w:rPr>
      </w:pPr>
      <w:r>
        <w:rPr>
          <w:rFonts w:ascii="Calibri" w:hAnsi="Calibri" w:cs="Calibri"/>
        </w:rPr>
        <w:t xml:space="preserve">Source: GLA Projections 2013 </w:t>
      </w:r>
      <w:r>
        <w:t>(</w:t>
      </w:r>
      <w:r w:rsidRPr="005D3C22">
        <w:t>Preferred Option Projections</w:t>
      </w:r>
      <w:r>
        <w:t>)</w:t>
      </w:r>
    </w:p>
    <w:p w:rsidR="00943DC2" w:rsidRDefault="00943DC2" w:rsidP="00943DC2">
      <w:pPr>
        <w:spacing w:after="0" w:line="240" w:lineRule="auto"/>
        <w:jc w:val="both"/>
        <w:rPr>
          <w:rFonts w:ascii="Calibri" w:hAnsi="Calibri" w:cs="Calibri"/>
        </w:rPr>
      </w:pPr>
    </w:p>
    <w:p w:rsidR="00A9706E" w:rsidRDefault="00A9706E" w:rsidP="00943DC2">
      <w:pPr>
        <w:spacing w:after="0" w:line="240" w:lineRule="auto"/>
        <w:jc w:val="both"/>
        <w:rPr>
          <w:rFonts w:ascii="Calibri" w:hAnsi="Calibri" w:cs="Calibri"/>
        </w:rPr>
      </w:pPr>
      <w:r w:rsidRPr="00E717FB">
        <w:rPr>
          <w:rFonts w:ascii="Calibri" w:hAnsi="Calibri" w:cs="Calibri"/>
        </w:rPr>
        <w:t xml:space="preserve">Since 2001 </w:t>
      </w:r>
      <w:r>
        <w:rPr>
          <w:rFonts w:ascii="Calibri" w:hAnsi="Calibri" w:cs="Calibri"/>
        </w:rPr>
        <w:t xml:space="preserve">Census </w:t>
      </w:r>
      <w:r w:rsidRPr="00E717FB">
        <w:rPr>
          <w:rFonts w:ascii="Calibri" w:hAnsi="Calibri" w:cs="Calibri"/>
        </w:rPr>
        <w:t>t</w:t>
      </w:r>
      <w:r>
        <w:rPr>
          <w:rFonts w:ascii="Calibri" w:hAnsi="Calibri" w:cs="Calibri"/>
        </w:rPr>
        <w:t>he population</w:t>
      </w:r>
      <w:r w:rsidRPr="00E717FB">
        <w:rPr>
          <w:rFonts w:ascii="Calibri" w:hAnsi="Calibri" w:cs="Calibri"/>
        </w:rPr>
        <w:t xml:space="preserve"> of al</w:t>
      </w:r>
      <w:r>
        <w:rPr>
          <w:rFonts w:ascii="Calibri" w:hAnsi="Calibri" w:cs="Calibri"/>
        </w:rPr>
        <w:t>l Barnet’s Wards have increased, with the highest increase in population numbers experienced in</w:t>
      </w:r>
      <w:r w:rsidRPr="00E717FB">
        <w:rPr>
          <w:rFonts w:ascii="Calibri" w:hAnsi="Calibri" w:cs="Calibri"/>
        </w:rPr>
        <w:t xml:space="preserve"> Colindale</w:t>
      </w:r>
      <w:r>
        <w:rPr>
          <w:rFonts w:ascii="Calibri" w:hAnsi="Calibri" w:cs="Calibri"/>
        </w:rPr>
        <w:t xml:space="preserve"> and Mill Hill</w:t>
      </w:r>
      <w:r w:rsidRPr="00E717FB">
        <w:rPr>
          <w:rFonts w:ascii="Calibri" w:hAnsi="Calibri" w:cs="Calibri"/>
        </w:rPr>
        <w:t>;</w:t>
      </w:r>
      <w:r>
        <w:rPr>
          <w:rFonts w:ascii="Calibri" w:hAnsi="Calibri" w:cs="Calibri"/>
        </w:rPr>
        <w:t xml:space="preserve"> which grew </w:t>
      </w:r>
      <w:r w:rsidRPr="00E717FB">
        <w:rPr>
          <w:rFonts w:ascii="Calibri" w:hAnsi="Calibri" w:cs="Calibri"/>
        </w:rPr>
        <w:t>by 7,801</w:t>
      </w:r>
      <w:r>
        <w:rPr>
          <w:rFonts w:ascii="Calibri" w:hAnsi="Calibri" w:cs="Calibri"/>
        </w:rPr>
        <w:t xml:space="preserve"> and 4,819 respectively. </w:t>
      </w:r>
      <w:r w:rsidRPr="00E717FB">
        <w:rPr>
          <w:rFonts w:ascii="Calibri" w:hAnsi="Calibri" w:cs="Calibri"/>
        </w:rPr>
        <w:t>Underhill increased by</w:t>
      </w:r>
      <w:r>
        <w:rPr>
          <w:rFonts w:ascii="Calibri" w:hAnsi="Calibri" w:cs="Calibri"/>
        </w:rPr>
        <w:t xml:space="preserve"> only 425 people making it the W</w:t>
      </w:r>
      <w:r w:rsidRPr="00E717FB">
        <w:rPr>
          <w:rFonts w:ascii="Calibri" w:hAnsi="Calibri" w:cs="Calibri"/>
        </w:rPr>
        <w:t>ard which had the smallest population increase. Colindale and Underhill also experienced the highest and lowest respective percentage population increases (56.3% and 2.7%).</w:t>
      </w:r>
    </w:p>
    <w:p w:rsidR="00943DC2" w:rsidRDefault="00943DC2" w:rsidP="00943DC2">
      <w:pPr>
        <w:spacing w:after="0" w:line="240" w:lineRule="auto"/>
        <w:jc w:val="both"/>
        <w:rPr>
          <w:b/>
          <w:bCs/>
          <w:szCs w:val="18"/>
        </w:rPr>
      </w:pPr>
    </w:p>
    <w:p w:rsidR="000120BC" w:rsidRDefault="000120BC" w:rsidP="00943DC2">
      <w:pPr>
        <w:spacing w:after="0" w:line="240" w:lineRule="auto"/>
        <w:jc w:val="both"/>
        <w:rPr>
          <w:b/>
          <w:bCs/>
          <w:szCs w:val="18"/>
        </w:rPr>
      </w:pPr>
    </w:p>
    <w:p w:rsidR="000120BC" w:rsidRDefault="000120BC" w:rsidP="00943DC2">
      <w:pPr>
        <w:spacing w:after="0" w:line="240" w:lineRule="auto"/>
        <w:jc w:val="both"/>
        <w:rPr>
          <w:b/>
          <w:bCs/>
          <w:szCs w:val="18"/>
        </w:rPr>
      </w:pPr>
    </w:p>
    <w:p w:rsidR="000120BC" w:rsidRDefault="000120BC" w:rsidP="00943DC2">
      <w:pPr>
        <w:spacing w:after="0" w:line="240" w:lineRule="auto"/>
        <w:jc w:val="both"/>
        <w:rPr>
          <w:b/>
          <w:bCs/>
          <w:szCs w:val="18"/>
        </w:rPr>
      </w:pPr>
    </w:p>
    <w:p w:rsidR="000120BC" w:rsidRDefault="000120BC" w:rsidP="00943DC2">
      <w:pPr>
        <w:spacing w:after="0" w:line="240" w:lineRule="auto"/>
        <w:jc w:val="both"/>
        <w:rPr>
          <w:b/>
          <w:bCs/>
          <w:szCs w:val="18"/>
        </w:rPr>
      </w:pPr>
    </w:p>
    <w:p w:rsidR="000120BC" w:rsidRDefault="000120BC" w:rsidP="00943DC2">
      <w:pPr>
        <w:spacing w:after="0" w:line="240" w:lineRule="auto"/>
        <w:jc w:val="both"/>
        <w:rPr>
          <w:b/>
          <w:bCs/>
          <w:szCs w:val="18"/>
        </w:rPr>
      </w:pPr>
    </w:p>
    <w:p w:rsidR="000120BC" w:rsidRDefault="000120BC" w:rsidP="00943DC2">
      <w:pPr>
        <w:spacing w:after="0" w:line="240" w:lineRule="auto"/>
        <w:jc w:val="both"/>
        <w:rPr>
          <w:b/>
          <w:bCs/>
          <w:szCs w:val="18"/>
        </w:rPr>
      </w:pPr>
    </w:p>
    <w:p w:rsidR="000120BC" w:rsidRDefault="000120BC" w:rsidP="00943DC2">
      <w:pPr>
        <w:spacing w:after="0" w:line="240" w:lineRule="auto"/>
        <w:jc w:val="both"/>
        <w:rPr>
          <w:b/>
          <w:bCs/>
          <w:szCs w:val="18"/>
        </w:rPr>
      </w:pPr>
    </w:p>
    <w:p w:rsidR="000120BC" w:rsidRDefault="000120BC" w:rsidP="00943DC2">
      <w:pPr>
        <w:spacing w:after="0" w:line="240" w:lineRule="auto"/>
        <w:jc w:val="both"/>
        <w:rPr>
          <w:b/>
          <w:bCs/>
          <w:szCs w:val="18"/>
        </w:rPr>
      </w:pPr>
    </w:p>
    <w:p w:rsidR="000120BC" w:rsidRDefault="000120BC" w:rsidP="00943DC2">
      <w:pPr>
        <w:spacing w:after="0" w:line="240" w:lineRule="auto"/>
        <w:jc w:val="both"/>
        <w:rPr>
          <w:b/>
          <w:bCs/>
          <w:szCs w:val="18"/>
        </w:rPr>
      </w:pPr>
    </w:p>
    <w:p w:rsidR="000120BC" w:rsidRDefault="000120BC" w:rsidP="00943DC2">
      <w:pPr>
        <w:spacing w:after="0" w:line="240" w:lineRule="auto"/>
        <w:jc w:val="both"/>
        <w:rPr>
          <w:b/>
          <w:bCs/>
          <w:szCs w:val="18"/>
        </w:rPr>
      </w:pPr>
    </w:p>
    <w:p w:rsidR="000120BC" w:rsidRDefault="000120BC" w:rsidP="00943DC2">
      <w:pPr>
        <w:spacing w:after="0" w:line="240" w:lineRule="auto"/>
        <w:jc w:val="both"/>
        <w:rPr>
          <w:b/>
          <w:bCs/>
          <w:szCs w:val="18"/>
        </w:rPr>
      </w:pPr>
    </w:p>
    <w:p w:rsidR="000120BC" w:rsidRDefault="000120BC" w:rsidP="00943DC2">
      <w:pPr>
        <w:spacing w:after="0" w:line="240" w:lineRule="auto"/>
        <w:jc w:val="both"/>
        <w:rPr>
          <w:b/>
          <w:bCs/>
          <w:szCs w:val="18"/>
        </w:rPr>
      </w:pPr>
    </w:p>
    <w:p w:rsidR="000120BC" w:rsidRDefault="000120BC" w:rsidP="00943DC2">
      <w:pPr>
        <w:spacing w:after="0" w:line="240" w:lineRule="auto"/>
        <w:jc w:val="both"/>
        <w:rPr>
          <w:b/>
          <w:bCs/>
          <w:szCs w:val="18"/>
        </w:rPr>
      </w:pPr>
    </w:p>
    <w:p w:rsidR="000120BC" w:rsidRDefault="000120BC" w:rsidP="00943DC2">
      <w:pPr>
        <w:spacing w:after="0" w:line="240" w:lineRule="auto"/>
        <w:jc w:val="both"/>
        <w:rPr>
          <w:b/>
          <w:bCs/>
          <w:szCs w:val="18"/>
        </w:rPr>
      </w:pPr>
    </w:p>
    <w:p w:rsidR="000120BC" w:rsidRDefault="000120BC" w:rsidP="00943DC2">
      <w:pPr>
        <w:spacing w:after="0" w:line="240" w:lineRule="auto"/>
        <w:jc w:val="both"/>
        <w:rPr>
          <w:b/>
          <w:bCs/>
          <w:szCs w:val="18"/>
        </w:rPr>
      </w:pPr>
    </w:p>
    <w:p w:rsidR="000120BC" w:rsidRDefault="000120BC" w:rsidP="00943DC2">
      <w:pPr>
        <w:spacing w:after="0" w:line="240" w:lineRule="auto"/>
        <w:jc w:val="both"/>
        <w:rPr>
          <w:b/>
          <w:bCs/>
          <w:szCs w:val="18"/>
        </w:rPr>
      </w:pPr>
    </w:p>
    <w:p w:rsidR="000120BC" w:rsidRDefault="000120BC" w:rsidP="00943DC2">
      <w:pPr>
        <w:spacing w:after="0" w:line="240" w:lineRule="auto"/>
        <w:jc w:val="both"/>
        <w:rPr>
          <w:b/>
          <w:bCs/>
          <w:szCs w:val="18"/>
        </w:rPr>
      </w:pPr>
    </w:p>
    <w:p w:rsidR="00A9706E" w:rsidRPr="00601EB6" w:rsidRDefault="00A9706E" w:rsidP="00A9706E">
      <w:pPr>
        <w:pStyle w:val="Caption"/>
        <w:rPr>
          <w:rFonts w:ascii="Calibri" w:hAnsi="Calibri" w:cs="Calibri"/>
          <w:b w:val="0"/>
          <w:i/>
        </w:rPr>
      </w:pPr>
      <w:r>
        <w:lastRenderedPageBreak/>
        <w:t xml:space="preserve">Table </w:t>
      </w:r>
      <w:fldSimple w:instr=" STYLEREF 1 \s ">
        <w:r w:rsidR="001663C2">
          <w:rPr>
            <w:noProof/>
          </w:rPr>
          <w:t>2</w:t>
        </w:r>
      </w:fldSimple>
      <w:r>
        <w:noBreakHyphen/>
      </w:r>
      <w:fldSimple w:instr=" SEQ Table \* ARABIC \s 1 ">
        <w:r w:rsidR="001663C2">
          <w:rPr>
            <w:noProof/>
          </w:rPr>
          <w:t>3</w:t>
        </w:r>
      </w:fldSimple>
      <w:r w:rsidRPr="004E7E79">
        <w:t>: Population Growth by Ward, 2001-2015</w:t>
      </w:r>
    </w:p>
    <w:tbl>
      <w:tblPr>
        <w:tblStyle w:val="TableGrid"/>
        <w:tblW w:w="7980" w:type="dxa"/>
        <w:jc w:val="center"/>
        <w:tblLook w:val="04A0" w:firstRow="1" w:lastRow="0" w:firstColumn="1" w:lastColumn="0" w:noHBand="0" w:noVBand="1"/>
      </w:tblPr>
      <w:tblGrid>
        <w:gridCol w:w="2620"/>
        <w:gridCol w:w="1340"/>
        <w:gridCol w:w="1340"/>
        <w:gridCol w:w="1340"/>
        <w:gridCol w:w="1340"/>
      </w:tblGrid>
      <w:tr w:rsidR="00A9706E" w:rsidRPr="00AA68C4" w:rsidTr="00031B92">
        <w:trPr>
          <w:trHeight w:val="300"/>
          <w:tblHeader/>
          <w:jc w:val="center"/>
        </w:trPr>
        <w:tc>
          <w:tcPr>
            <w:tcW w:w="2620" w:type="dxa"/>
            <w:shd w:val="clear" w:color="auto" w:fill="BFBFBF" w:themeFill="background1" w:themeFillShade="BF"/>
            <w:noWrap/>
            <w:vAlign w:val="center"/>
            <w:hideMark/>
          </w:tcPr>
          <w:p w:rsidR="00A9706E" w:rsidRPr="00AA68C4" w:rsidRDefault="00A9706E" w:rsidP="00031B92">
            <w:pPr>
              <w:tabs>
                <w:tab w:val="center" w:pos="1202"/>
                <w:tab w:val="right" w:pos="2404"/>
              </w:tabs>
              <w:jc w:val="center"/>
              <w:rPr>
                <w:rFonts w:eastAsia="Times New Roman" w:cs="Arial"/>
                <w:b/>
                <w:bCs/>
                <w:lang w:eastAsia="en-GB"/>
              </w:rPr>
            </w:pPr>
            <w:r w:rsidRPr="00AA68C4">
              <w:rPr>
                <w:rFonts w:eastAsia="Times New Roman" w:cs="Arial"/>
                <w:b/>
                <w:bCs/>
                <w:lang w:eastAsia="en-GB"/>
              </w:rPr>
              <w:t>Area name</w:t>
            </w:r>
          </w:p>
        </w:tc>
        <w:tc>
          <w:tcPr>
            <w:tcW w:w="1340" w:type="dxa"/>
            <w:shd w:val="clear" w:color="auto" w:fill="BFBFBF" w:themeFill="background1" w:themeFillShade="BF"/>
            <w:noWrap/>
            <w:vAlign w:val="center"/>
            <w:hideMark/>
          </w:tcPr>
          <w:p w:rsidR="00A9706E" w:rsidRPr="00AA68C4" w:rsidRDefault="00A9706E" w:rsidP="00031B92">
            <w:pPr>
              <w:jc w:val="center"/>
              <w:rPr>
                <w:rFonts w:eastAsia="Times New Roman" w:cs="Arial"/>
                <w:b/>
                <w:bCs/>
                <w:lang w:eastAsia="en-GB"/>
              </w:rPr>
            </w:pPr>
            <w:r w:rsidRPr="00AA68C4">
              <w:rPr>
                <w:rFonts w:eastAsia="Times New Roman" w:cs="Arial"/>
                <w:b/>
                <w:bCs/>
                <w:lang w:eastAsia="en-GB"/>
              </w:rPr>
              <w:t>2001</w:t>
            </w:r>
          </w:p>
        </w:tc>
        <w:tc>
          <w:tcPr>
            <w:tcW w:w="1340" w:type="dxa"/>
            <w:shd w:val="clear" w:color="auto" w:fill="BFBFBF" w:themeFill="background1" w:themeFillShade="BF"/>
            <w:noWrap/>
            <w:vAlign w:val="center"/>
            <w:hideMark/>
          </w:tcPr>
          <w:p w:rsidR="00A9706E" w:rsidRPr="00AA68C4" w:rsidRDefault="00A9706E" w:rsidP="00031B92">
            <w:pPr>
              <w:jc w:val="center"/>
              <w:rPr>
                <w:rFonts w:eastAsia="Times New Roman" w:cs="Arial"/>
                <w:b/>
                <w:bCs/>
                <w:lang w:eastAsia="en-GB"/>
              </w:rPr>
            </w:pPr>
            <w:r w:rsidRPr="00AA68C4">
              <w:rPr>
                <w:rFonts w:eastAsia="Times New Roman" w:cs="Arial"/>
                <w:b/>
                <w:bCs/>
                <w:lang w:eastAsia="en-GB"/>
              </w:rPr>
              <w:t>2015</w:t>
            </w:r>
          </w:p>
        </w:tc>
        <w:tc>
          <w:tcPr>
            <w:tcW w:w="1340" w:type="dxa"/>
            <w:shd w:val="clear" w:color="auto" w:fill="BFBFBF" w:themeFill="background1" w:themeFillShade="BF"/>
            <w:noWrap/>
            <w:vAlign w:val="center"/>
            <w:hideMark/>
          </w:tcPr>
          <w:p w:rsidR="00A9706E" w:rsidRPr="00AA68C4" w:rsidRDefault="00A9706E" w:rsidP="00031B92">
            <w:pPr>
              <w:jc w:val="center"/>
              <w:rPr>
                <w:rFonts w:eastAsia="Times New Roman" w:cs="Arial"/>
                <w:b/>
                <w:bCs/>
                <w:lang w:eastAsia="en-GB"/>
              </w:rPr>
            </w:pPr>
            <w:r w:rsidRPr="00AA68C4">
              <w:rPr>
                <w:rFonts w:eastAsia="Times New Roman" w:cs="Arial"/>
                <w:b/>
                <w:bCs/>
                <w:lang w:eastAsia="en-GB"/>
              </w:rPr>
              <w:t>Change</w:t>
            </w:r>
          </w:p>
        </w:tc>
        <w:tc>
          <w:tcPr>
            <w:tcW w:w="1340" w:type="dxa"/>
            <w:shd w:val="clear" w:color="auto" w:fill="BFBFBF" w:themeFill="background1" w:themeFillShade="BF"/>
            <w:noWrap/>
            <w:vAlign w:val="center"/>
            <w:hideMark/>
          </w:tcPr>
          <w:p w:rsidR="00A9706E" w:rsidRPr="00AA68C4" w:rsidRDefault="00A9706E" w:rsidP="00031B92">
            <w:pPr>
              <w:jc w:val="center"/>
              <w:rPr>
                <w:rFonts w:eastAsia="Times New Roman" w:cs="Arial"/>
                <w:b/>
                <w:bCs/>
                <w:lang w:eastAsia="en-GB"/>
              </w:rPr>
            </w:pPr>
            <w:r w:rsidRPr="00AA68C4">
              <w:rPr>
                <w:rFonts w:eastAsia="Times New Roman" w:cs="Arial"/>
                <w:b/>
                <w:bCs/>
                <w:lang w:eastAsia="en-GB"/>
              </w:rPr>
              <w:t>% Change</w:t>
            </w:r>
          </w:p>
        </w:tc>
      </w:tr>
      <w:tr w:rsidR="00A9706E" w:rsidRPr="00AA68C4" w:rsidTr="00031B92">
        <w:trPr>
          <w:trHeight w:val="300"/>
          <w:jc w:val="center"/>
        </w:trPr>
        <w:tc>
          <w:tcPr>
            <w:tcW w:w="262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Brunswick Park</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14,644</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16,402</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1,758</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12.0%</w:t>
            </w:r>
          </w:p>
        </w:tc>
      </w:tr>
      <w:tr w:rsidR="00A9706E" w:rsidRPr="00AA68C4" w:rsidTr="00031B92">
        <w:trPr>
          <w:trHeight w:val="300"/>
          <w:jc w:val="center"/>
        </w:trPr>
        <w:tc>
          <w:tcPr>
            <w:tcW w:w="262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Burnt Oak</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15,242</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18,090</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2,848</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18.7%</w:t>
            </w:r>
          </w:p>
        </w:tc>
      </w:tr>
      <w:tr w:rsidR="00A9706E" w:rsidRPr="00AA68C4" w:rsidTr="00031B92">
        <w:trPr>
          <w:trHeight w:val="300"/>
          <w:jc w:val="center"/>
        </w:trPr>
        <w:tc>
          <w:tcPr>
            <w:tcW w:w="262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Childs Hill</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17,263</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20,695</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3,432</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19.9%</w:t>
            </w:r>
          </w:p>
        </w:tc>
      </w:tr>
      <w:tr w:rsidR="00A9706E" w:rsidRPr="00AA68C4" w:rsidTr="00031B92">
        <w:trPr>
          <w:trHeight w:val="300"/>
          <w:jc w:val="center"/>
        </w:trPr>
        <w:tc>
          <w:tcPr>
            <w:tcW w:w="262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Colindale</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13,857</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21,658</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7,801</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56.3%</w:t>
            </w:r>
          </w:p>
        </w:tc>
      </w:tr>
      <w:tr w:rsidR="00A9706E" w:rsidRPr="00AA68C4" w:rsidTr="00031B92">
        <w:trPr>
          <w:trHeight w:val="300"/>
          <w:jc w:val="center"/>
        </w:trPr>
        <w:tc>
          <w:tcPr>
            <w:tcW w:w="262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Coppetts</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14,500</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17,236</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2,736</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18.9%</w:t>
            </w:r>
          </w:p>
        </w:tc>
      </w:tr>
      <w:tr w:rsidR="00A9706E" w:rsidRPr="00AA68C4" w:rsidTr="00031B92">
        <w:trPr>
          <w:trHeight w:val="300"/>
          <w:jc w:val="center"/>
        </w:trPr>
        <w:tc>
          <w:tcPr>
            <w:tcW w:w="262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East Barnet</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15,339</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16,173</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834</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5.4%</w:t>
            </w:r>
          </w:p>
        </w:tc>
      </w:tr>
      <w:tr w:rsidR="00A9706E" w:rsidRPr="00AA68C4" w:rsidTr="00031B92">
        <w:trPr>
          <w:trHeight w:val="300"/>
          <w:jc w:val="center"/>
        </w:trPr>
        <w:tc>
          <w:tcPr>
            <w:tcW w:w="262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East Finchley</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14,522</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16,285</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1,763</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12.1%</w:t>
            </w:r>
          </w:p>
        </w:tc>
      </w:tr>
      <w:tr w:rsidR="00A9706E" w:rsidRPr="00AA68C4" w:rsidTr="00031B92">
        <w:trPr>
          <w:trHeight w:val="300"/>
          <w:jc w:val="center"/>
        </w:trPr>
        <w:tc>
          <w:tcPr>
            <w:tcW w:w="262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Edgware</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14,823</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17,927</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3,104</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20.9%</w:t>
            </w:r>
          </w:p>
        </w:tc>
      </w:tr>
      <w:tr w:rsidR="00A9706E" w:rsidRPr="00AA68C4" w:rsidTr="00031B92">
        <w:trPr>
          <w:trHeight w:val="300"/>
          <w:jc w:val="center"/>
        </w:trPr>
        <w:tc>
          <w:tcPr>
            <w:tcW w:w="262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Finchley Church End</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13,804</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16,015</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2,211</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16.0%</w:t>
            </w:r>
          </w:p>
        </w:tc>
      </w:tr>
      <w:tr w:rsidR="00A9706E" w:rsidRPr="00AA68C4" w:rsidTr="00031B92">
        <w:trPr>
          <w:trHeight w:val="300"/>
          <w:jc w:val="center"/>
        </w:trPr>
        <w:tc>
          <w:tcPr>
            <w:tcW w:w="262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Garden Suburb</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14,706</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16,078</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1,372</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9.3%</w:t>
            </w:r>
          </w:p>
        </w:tc>
      </w:tr>
      <w:tr w:rsidR="00A9706E" w:rsidRPr="00AA68C4" w:rsidTr="00031B92">
        <w:trPr>
          <w:trHeight w:val="300"/>
          <w:jc w:val="center"/>
        </w:trPr>
        <w:tc>
          <w:tcPr>
            <w:tcW w:w="262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Golders Green</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16,272</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18,979</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2,707</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16.6%</w:t>
            </w:r>
          </w:p>
        </w:tc>
      </w:tr>
      <w:tr w:rsidR="00A9706E" w:rsidRPr="00AA68C4" w:rsidTr="00031B92">
        <w:trPr>
          <w:trHeight w:val="300"/>
          <w:jc w:val="center"/>
        </w:trPr>
        <w:tc>
          <w:tcPr>
            <w:tcW w:w="262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Hale</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15,661</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17,353</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1,692</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10.8%</w:t>
            </w:r>
          </w:p>
        </w:tc>
      </w:tr>
      <w:tr w:rsidR="00A9706E" w:rsidRPr="00AA68C4" w:rsidTr="00031B92">
        <w:trPr>
          <w:trHeight w:val="300"/>
          <w:jc w:val="center"/>
        </w:trPr>
        <w:tc>
          <w:tcPr>
            <w:tcW w:w="262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Hendon</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15,371</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18,886</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3,515</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22.9%</w:t>
            </w:r>
          </w:p>
        </w:tc>
      </w:tr>
      <w:tr w:rsidR="00A9706E" w:rsidRPr="00AA68C4" w:rsidTr="00031B92">
        <w:trPr>
          <w:trHeight w:val="300"/>
          <w:jc w:val="center"/>
        </w:trPr>
        <w:tc>
          <w:tcPr>
            <w:tcW w:w="262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High Barnet</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13,846</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15,367</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1,521</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11.0%</w:t>
            </w:r>
          </w:p>
        </w:tc>
      </w:tr>
      <w:tr w:rsidR="00A9706E" w:rsidRPr="00AA68C4" w:rsidTr="00031B92">
        <w:trPr>
          <w:trHeight w:val="300"/>
          <w:jc w:val="center"/>
        </w:trPr>
        <w:tc>
          <w:tcPr>
            <w:tcW w:w="262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Mill Hill</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15,368</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20,187</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4,819</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31.4%</w:t>
            </w:r>
          </w:p>
        </w:tc>
      </w:tr>
      <w:tr w:rsidR="00A9706E" w:rsidRPr="00AA68C4" w:rsidTr="00031B92">
        <w:trPr>
          <w:trHeight w:val="300"/>
          <w:jc w:val="center"/>
        </w:trPr>
        <w:tc>
          <w:tcPr>
            <w:tcW w:w="262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Oakleigh</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14,739</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15,774</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1,035</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7.0%</w:t>
            </w:r>
          </w:p>
        </w:tc>
      </w:tr>
      <w:tr w:rsidR="00A9706E" w:rsidRPr="00AA68C4" w:rsidTr="00031B92">
        <w:trPr>
          <w:trHeight w:val="300"/>
          <w:jc w:val="center"/>
        </w:trPr>
        <w:tc>
          <w:tcPr>
            <w:tcW w:w="262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Totteridge</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14,445</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15,169</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724</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5.0%</w:t>
            </w:r>
          </w:p>
        </w:tc>
      </w:tr>
      <w:tr w:rsidR="00A9706E" w:rsidRPr="00AA68C4" w:rsidTr="00031B92">
        <w:trPr>
          <w:trHeight w:val="300"/>
          <w:jc w:val="center"/>
        </w:trPr>
        <w:tc>
          <w:tcPr>
            <w:tcW w:w="262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Underhill</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15,728</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16,153</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425</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2.7%</w:t>
            </w:r>
          </w:p>
        </w:tc>
      </w:tr>
      <w:tr w:rsidR="00A9706E" w:rsidRPr="00AA68C4" w:rsidTr="00031B92">
        <w:trPr>
          <w:trHeight w:val="300"/>
          <w:jc w:val="center"/>
        </w:trPr>
        <w:tc>
          <w:tcPr>
            <w:tcW w:w="262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West Finchley</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14,260</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16,959</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2,699</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18.9%</w:t>
            </w:r>
          </w:p>
        </w:tc>
      </w:tr>
      <w:tr w:rsidR="00A9706E" w:rsidRPr="00AA68C4" w:rsidTr="00031B92">
        <w:trPr>
          <w:trHeight w:val="300"/>
          <w:jc w:val="center"/>
        </w:trPr>
        <w:tc>
          <w:tcPr>
            <w:tcW w:w="262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West Hendon</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14,593</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17,961</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3,368</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23.1%</w:t>
            </w:r>
          </w:p>
        </w:tc>
      </w:tr>
      <w:tr w:rsidR="00A9706E" w:rsidRPr="00AA68C4" w:rsidTr="00031B92">
        <w:trPr>
          <w:trHeight w:val="300"/>
          <w:jc w:val="center"/>
        </w:trPr>
        <w:tc>
          <w:tcPr>
            <w:tcW w:w="262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Woodhouse</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15,544</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17,919</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2,375</w:t>
            </w:r>
          </w:p>
        </w:tc>
        <w:tc>
          <w:tcPr>
            <w:tcW w:w="134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15.3%</w:t>
            </w:r>
          </w:p>
        </w:tc>
      </w:tr>
    </w:tbl>
    <w:p w:rsidR="00A9706E" w:rsidRPr="00127697" w:rsidRDefault="00A9706E" w:rsidP="00A9706E">
      <w:pPr>
        <w:jc w:val="both"/>
        <w:rPr>
          <w:rFonts w:ascii="Calibri" w:hAnsi="Calibri" w:cs="Calibri"/>
        </w:rPr>
      </w:pPr>
      <w:r w:rsidRPr="00127697">
        <w:rPr>
          <w:rFonts w:ascii="Calibri" w:hAnsi="Calibri" w:cs="Calibri"/>
        </w:rPr>
        <w:t xml:space="preserve">Source: </w:t>
      </w:r>
      <w:r>
        <w:rPr>
          <w:rFonts w:ascii="Calibri" w:hAnsi="Calibri" w:cs="Calibri"/>
        </w:rPr>
        <w:t xml:space="preserve">2001 Census and GLA Projections 2013 </w:t>
      </w:r>
      <w:r>
        <w:t>(</w:t>
      </w:r>
      <w:r w:rsidRPr="005D3C22">
        <w:t>Preferred Option Projections</w:t>
      </w:r>
      <w:r>
        <w:t>)</w:t>
      </w:r>
    </w:p>
    <w:p w:rsidR="00A9706E" w:rsidRDefault="00A9706E" w:rsidP="00A9706E">
      <w:pPr>
        <w:pStyle w:val="Heading2"/>
      </w:pPr>
      <w:bookmarkStart w:id="405" w:name="_Toc426723297"/>
      <w:bookmarkStart w:id="406" w:name="_Toc431225124"/>
      <w:r>
        <w:t>Population Projections by Ward</w:t>
      </w:r>
      <w:bookmarkEnd w:id="405"/>
      <w:bookmarkEnd w:id="406"/>
    </w:p>
    <w:p w:rsidR="00A9706E" w:rsidRDefault="00A9706E" w:rsidP="00A9706E">
      <w:pPr>
        <w:jc w:val="both"/>
      </w:pPr>
      <w:r>
        <w:t xml:space="preserve">Table </w:t>
      </w:r>
      <w:r>
        <w:rPr>
          <w:rFonts w:ascii="Calibri" w:hAnsi="Calibri" w:cs="Calibri"/>
        </w:rPr>
        <w:t>2-</w:t>
      </w:r>
      <w:r>
        <w:t xml:space="preserve">4 provides a breakdown of the projected population growth by Ward, for the period 2015 – 2021 and 2015 – 2030. </w:t>
      </w:r>
    </w:p>
    <w:p w:rsidR="00A9706E" w:rsidRDefault="00A9706E" w:rsidP="00A9706E">
      <w:pPr>
        <w:pStyle w:val="ListParagraph"/>
        <w:numPr>
          <w:ilvl w:val="0"/>
          <w:numId w:val="9"/>
        </w:numPr>
        <w:jc w:val="both"/>
      </w:pPr>
      <w:r>
        <w:t>Colindale is projected to rise by a further 79.4% (17,917) during the period 2015-2030, whereas Mill Hill will grow by 24.1% (4,875).</w:t>
      </w:r>
    </w:p>
    <w:p w:rsidR="00A9706E" w:rsidRDefault="00A9706E" w:rsidP="00A9706E">
      <w:pPr>
        <w:pStyle w:val="ListParagraph"/>
        <w:numPr>
          <w:ilvl w:val="0"/>
          <w:numId w:val="9"/>
        </w:numPr>
        <w:jc w:val="both"/>
      </w:pPr>
      <w:r>
        <w:t xml:space="preserve">Golders Green is projected to experience the highest rate of growth (113.9%, an additional 21,625 people). </w:t>
      </w:r>
    </w:p>
    <w:p w:rsidR="00A9706E" w:rsidRDefault="00A9706E" w:rsidP="00A9706E">
      <w:pPr>
        <w:pStyle w:val="ListParagraph"/>
        <w:numPr>
          <w:ilvl w:val="0"/>
          <w:numId w:val="9"/>
        </w:numPr>
        <w:jc w:val="both"/>
      </w:pPr>
      <w:r>
        <w:t xml:space="preserve">Not all Wards are projected to increase in population size over this period with the largest proportional decreases projected in Coppetts (-3.1%, a reduction in 541 people) and Hale (-2.3%, a reduction in 402 people). </w:t>
      </w:r>
    </w:p>
    <w:p w:rsidR="00A9706E" w:rsidRDefault="00A9706E" w:rsidP="00A9706E">
      <w:pPr>
        <w:rPr>
          <w:b/>
          <w:bCs/>
          <w:szCs w:val="18"/>
        </w:rPr>
      </w:pPr>
      <w:r>
        <w:br w:type="page"/>
      </w:r>
    </w:p>
    <w:p w:rsidR="00A9706E" w:rsidRPr="00601EB6" w:rsidRDefault="00A9706E" w:rsidP="00A9706E">
      <w:pPr>
        <w:pStyle w:val="Caption"/>
        <w:rPr>
          <w:rFonts w:ascii="Calibri" w:hAnsi="Calibri" w:cs="Calibri"/>
          <w:i/>
        </w:rPr>
      </w:pPr>
      <w:r>
        <w:lastRenderedPageBreak/>
        <w:t xml:space="preserve">Table </w:t>
      </w:r>
      <w:fldSimple w:instr=" STYLEREF 1 \s ">
        <w:r w:rsidR="001663C2">
          <w:rPr>
            <w:noProof/>
          </w:rPr>
          <w:t>2</w:t>
        </w:r>
      </w:fldSimple>
      <w:r>
        <w:noBreakHyphen/>
      </w:r>
      <w:fldSimple w:instr=" SEQ Table \* ARABIC \s 1 ">
        <w:r w:rsidR="001663C2">
          <w:rPr>
            <w:noProof/>
          </w:rPr>
          <w:t>4</w:t>
        </w:r>
      </w:fldSimple>
      <w:r w:rsidRPr="004E7E79">
        <w:t>: Population Growth by Ward 2015, 2021 &amp; 2030</w:t>
      </w:r>
    </w:p>
    <w:tbl>
      <w:tblPr>
        <w:tblStyle w:val="TableGrid"/>
        <w:tblW w:w="10002" w:type="dxa"/>
        <w:jc w:val="center"/>
        <w:tblLook w:val="04A0" w:firstRow="1" w:lastRow="0" w:firstColumn="1" w:lastColumn="0" w:noHBand="0" w:noVBand="1"/>
      </w:tblPr>
      <w:tblGrid>
        <w:gridCol w:w="2718"/>
        <w:gridCol w:w="829"/>
        <w:gridCol w:w="829"/>
        <w:gridCol w:w="950"/>
        <w:gridCol w:w="1420"/>
        <w:gridCol w:w="829"/>
        <w:gridCol w:w="950"/>
        <w:gridCol w:w="1480"/>
      </w:tblGrid>
      <w:tr w:rsidR="00A9706E" w:rsidRPr="00AA68C4" w:rsidTr="00031B92">
        <w:trPr>
          <w:trHeight w:val="510"/>
          <w:tblHeader/>
          <w:jc w:val="center"/>
        </w:trPr>
        <w:tc>
          <w:tcPr>
            <w:tcW w:w="2718" w:type="dxa"/>
            <w:shd w:val="clear" w:color="auto" w:fill="BFBFBF" w:themeFill="background1" w:themeFillShade="BF"/>
            <w:vAlign w:val="center"/>
            <w:hideMark/>
          </w:tcPr>
          <w:p w:rsidR="00A9706E" w:rsidRPr="00AA68C4" w:rsidRDefault="00A9706E" w:rsidP="00031B92">
            <w:pPr>
              <w:jc w:val="center"/>
              <w:rPr>
                <w:rFonts w:eastAsia="Times New Roman" w:cs="Arial"/>
                <w:b/>
                <w:bCs/>
                <w:lang w:eastAsia="en-GB"/>
              </w:rPr>
            </w:pPr>
            <w:r w:rsidRPr="00AA68C4">
              <w:rPr>
                <w:rFonts w:eastAsia="Times New Roman" w:cs="Arial"/>
                <w:b/>
                <w:bCs/>
                <w:lang w:eastAsia="en-GB"/>
              </w:rPr>
              <w:t>Area name</w:t>
            </w:r>
          </w:p>
        </w:tc>
        <w:tc>
          <w:tcPr>
            <w:tcW w:w="828" w:type="dxa"/>
            <w:shd w:val="clear" w:color="auto" w:fill="BFBFBF" w:themeFill="background1" w:themeFillShade="BF"/>
            <w:vAlign w:val="center"/>
            <w:hideMark/>
          </w:tcPr>
          <w:p w:rsidR="00A9706E" w:rsidRPr="00AA68C4" w:rsidRDefault="00A9706E" w:rsidP="00031B92">
            <w:pPr>
              <w:jc w:val="center"/>
              <w:rPr>
                <w:rFonts w:eastAsia="Times New Roman" w:cs="Arial"/>
                <w:b/>
                <w:bCs/>
                <w:lang w:eastAsia="en-GB"/>
              </w:rPr>
            </w:pPr>
            <w:r w:rsidRPr="00AA68C4">
              <w:rPr>
                <w:rFonts w:eastAsia="Times New Roman" w:cs="Arial"/>
                <w:b/>
                <w:bCs/>
                <w:lang w:eastAsia="en-GB"/>
              </w:rPr>
              <w:t>2015</w:t>
            </w:r>
          </w:p>
        </w:tc>
        <w:tc>
          <w:tcPr>
            <w:tcW w:w="828" w:type="dxa"/>
            <w:shd w:val="clear" w:color="auto" w:fill="BFBFBF" w:themeFill="background1" w:themeFillShade="BF"/>
            <w:vAlign w:val="center"/>
            <w:hideMark/>
          </w:tcPr>
          <w:p w:rsidR="00A9706E" w:rsidRPr="00AA68C4" w:rsidRDefault="00A9706E" w:rsidP="00031B92">
            <w:pPr>
              <w:jc w:val="center"/>
              <w:rPr>
                <w:rFonts w:eastAsia="Times New Roman" w:cs="Arial"/>
                <w:b/>
                <w:bCs/>
                <w:lang w:eastAsia="en-GB"/>
              </w:rPr>
            </w:pPr>
            <w:r w:rsidRPr="00AA68C4">
              <w:rPr>
                <w:rFonts w:eastAsia="Times New Roman" w:cs="Arial"/>
                <w:b/>
                <w:bCs/>
                <w:lang w:eastAsia="en-GB"/>
              </w:rPr>
              <w:t>2021</w:t>
            </w:r>
          </w:p>
        </w:tc>
        <w:tc>
          <w:tcPr>
            <w:tcW w:w="950" w:type="dxa"/>
            <w:shd w:val="clear" w:color="auto" w:fill="BFBFBF" w:themeFill="background1" w:themeFillShade="BF"/>
            <w:vAlign w:val="center"/>
            <w:hideMark/>
          </w:tcPr>
          <w:p w:rsidR="00A9706E" w:rsidRPr="00AA68C4" w:rsidRDefault="00A9706E" w:rsidP="00031B92">
            <w:pPr>
              <w:jc w:val="center"/>
              <w:rPr>
                <w:rFonts w:eastAsia="Times New Roman" w:cs="Arial"/>
                <w:b/>
                <w:bCs/>
                <w:lang w:eastAsia="en-GB"/>
              </w:rPr>
            </w:pPr>
            <w:r w:rsidRPr="00AA68C4">
              <w:rPr>
                <w:rFonts w:eastAsia="Times New Roman" w:cs="Arial"/>
                <w:b/>
                <w:bCs/>
                <w:lang w:eastAsia="en-GB"/>
              </w:rPr>
              <w:t>Change</w:t>
            </w:r>
          </w:p>
        </w:tc>
        <w:tc>
          <w:tcPr>
            <w:tcW w:w="1420" w:type="dxa"/>
            <w:shd w:val="clear" w:color="auto" w:fill="BFBFBF" w:themeFill="background1" w:themeFillShade="BF"/>
            <w:vAlign w:val="center"/>
            <w:hideMark/>
          </w:tcPr>
          <w:p w:rsidR="00A9706E" w:rsidRPr="00AA68C4" w:rsidRDefault="00A9706E" w:rsidP="00031B92">
            <w:pPr>
              <w:jc w:val="center"/>
              <w:rPr>
                <w:rFonts w:eastAsia="Times New Roman" w:cs="Arial"/>
                <w:b/>
                <w:bCs/>
                <w:lang w:eastAsia="en-GB"/>
              </w:rPr>
            </w:pPr>
            <w:r w:rsidRPr="00AA68C4">
              <w:rPr>
                <w:rFonts w:eastAsia="Times New Roman" w:cs="Arial"/>
                <w:b/>
                <w:bCs/>
                <w:lang w:eastAsia="en-GB"/>
              </w:rPr>
              <w:t>% Change 2015-2021</w:t>
            </w:r>
          </w:p>
        </w:tc>
        <w:tc>
          <w:tcPr>
            <w:tcW w:w="828" w:type="dxa"/>
            <w:shd w:val="clear" w:color="auto" w:fill="BFBFBF" w:themeFill="background1" w:themeFillShade="BF"/>
            <w:vAlign w:val="center"/>
            <w:hideMark/>
          </w:tcPr>
          <w:p w:rsidR="00A9706E" w:rsidRPr="00AA68C4" w:rsidRDefault="00A9706E" w:rsidP="00031B92">
            <w:pPr>
              <w:jc w:val="center"/>
              <w:rPr>
                <w:rFonts w:eastAsia="Times New Roman" w:cs="Arial"/>
                <w:b/>
                <w:bCs/>
                <w:lang w:eastAsia="en-GB"/>
              </w:rPr>
            </w:pPr>
            <w:r w:rsidRPr="00AA68C4">
              <w:rPr>
                <w:rFonts w:eastAsia="Times New Roman" w:cs="Arial"/>
                <w:b/>
                <w:bCs/>
                <w:lang w:eastAsia="en-GB"/>
              </w:rPr>
              <w:t>2030</w:t>
            </w:r>
          </w:p>
        </w:tc>
        <w:tc>
          <w:tcPr>
            <w:tcW w:w="950" w:type="dxa"/>
            <w:shd w:val="clear" w:color="auto" w:fill="BFBFBF" w:themeFill="background1" w:themeFillShade="BF"/>
            <w:vAlign w:val="center"/>
            <w:hideMark/>
          </w:tcPr>
          <w:p w:rsidR="00A9706E" w:rsidRPr="00AA68C4" w:rsidRDefault="00A9706E" w:rsidP="00031B92">
            <w:pPr>
              <w:jc w:val="center"/>
              <w:rPr>
                <w:rFonts w:eastAsia="Times New Roman" w:cs="Arial"/>
                <w:b/>
                <w:bCs/>
                <w:lang w:eastAsia="en-GB"/>
              </w:rPr>
            </w:pPr>
            <w:r w:rsidRPr="00AA68C4">
              <w:rPr>
                <w:rFonts w:eastAsia="Times New Roman" w:cs="Arial"/>
                <w:b/>
                <w:bCs/>
                <w:lang w:eastAsia="en-GB"/>
              </w:rPr>
              <w:t>Change</w:t>
            </w:r>
          </w:p>
        </w:tc>
        <w:tc>
          <w:tcPr>
            <w:tcW w:w="1480" w:type="dxa"/>
            <w:shd w:val="clear" w:color="auto" w:fill="BFBFBF" w:themeFill="background1" w:themeFillShade="BF"/>
            <w:vAlign w:val="center"/>
            <w:hideMark/>
          </w:tcPr>
          <w:p w:rsidR="00A9706E" w:rsidRPr="00AA68C4" w:rsidRDefault="00A9706E" w:rsidP="00031B92">
            <w:pPr>
              <w:jc w:val="center"/>
              <w:rPr>
                <w:rFonts w:eastAsia="Times New Roman" w:cs="Arial"/>
                <w:b/>
                <w:bCs/>
                <w:lang w:eastAsia="en-GB"/>
              </w:rPr>
            </w:pPr>
            <w:r w:rsidRPr="00AA68C4">
              <w:rPr>
                <w:rFonts w:eastAsia="Times New Roman" w:cs="Arial"/>
                <w:b/>
                <w:bCs/>
                <w:lang w:eastAsia="en-GB"/>
              </w:rPr>
              <w:t>% Change 2015-2030</w:t>
            </w:r>
          </w:p>
        </w:tc>
      </w:tr>
      <w:tr w:rsidR="00A9706E" w:rsidRPr="00AA68C4" w:rsidTr="00031B92">
        <w:trPr>
          <w:trHeight w:val="300"/>
          <w:jc w:val="center"/>
        </w:trPr>
        <w:tc>
          <w:tcPr>
            <w:tcW w:w="271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Brunswick Park Ward</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16,402</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17,093</w:t>
            </w:r>
          </w:p>
        </w:tc>
        <w:tc>
          <w:tcPr>
            <w:tcW w:w="95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691</w:t>
            </w:r>
          </w:p>
        </w:tc>
        <w:tc>
          <w:tcPr>
            <w:tcW w:w="142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4.2%</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17,093</w:t>
            </w:r>
          </w:p>
        </w:tc>
        <w:tc>
          <w:tcPr>
            <w:tcW w:w="95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691</w:t>
            </w:r>
          </w:p>
        </w:tc>
        <w:tc>
          <w:tcPr>
            <w:tcW w:w="148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4.2%</w:t>
            </w:r>
          </w:p>
        </w:tc>
      </w:tr>
      <w:tr w:rsidR="00A9706E" w:rsidRPr="00AA68C4" w:rsidTr="00031B92">
        <w:trPr>
          <w:trHeight w:val="300"/>
          <w:jc w:val="center"/>
        </w:trPr>
        <w:tc>
          <w:tcPr>
            <w:tcW w:w="271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Burnt Oak Ward</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18,090</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18,238</w:t>
            </w:r>
          </w:p>
        </w:tc>
        <w:tc>
          <w:tcPr>
            <w:tcW w:w="95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148</w:t>
            </w:r>
          </w:p>
        </w:tc>
        <w:tc>
          <w:tcPr>
            <w:tcW w:w="142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0.8%</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17,814</w:t>
            </w:r>
          </w:p>
        </w:tc>
        <w:tc>
          <w:tcPr>
            <w:tcW w:w="95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-276</w:t>
            </w:r>
          </w:p>
        </w:tc>
        <w:tc>
          <w:tcPr>
            <w:tcW w:w="148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-1.5%</w:t>
            </w:r>
          </w:p>
        </w:tc>
      </w:tr>
      <w:tr w:rsidR="00A9706E" w:rsidRPr="00AA68C4" w:rsidTr="00031B92">
        <w:trPr>
          <w:trHeight w:val="300"/>
          <w:jc w:val="center"/>
        </w:trPr>
        <w:tc>
          <w:tcPr>
            <w:tcW w:w="271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Childs Hill Ward</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20,695</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21,251</w:t>
            </w:r>
          </w:p>
        </w:tc>
        <w:tc>
          <w:tcPr>
            <w:tcW w:w="95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556</w:t>
            </w:r>
          </w:p>
        </w:tc>
        <w:tc>
          <w:tcPr>
            <w:tcW w:w="142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2.7%</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21,351</w:t>
            </w:r>
          </w:p>
        </w:tc>
        <w:tc>
          <w:tcPr>
            <w:tcW w:w="95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656</w:t>
            </w:r>
          </w:p>
        </w:tc>
        <w:tc>
          <w:tcPr>
            <w:tcW w:w="148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3.2%</w:t>
            </w:r>
          </w:p>
        </w:tc>
      </w:tr>
      <w:tr w:rsidR="00A9706E" w:rsidRPr="00AA68C4" w:rsidTr="00031B92">
        <w:trPr>
          <w:trHeight w:val="300"/>
          <w:jc w:val="center"/>
        </w:trPr>
        <w:tc>
          <w:tcPr>
            <w:tcW w:w="271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Colindale Ward</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21,658</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32,895</w:t>
            </w:r>
          </w:p>
        </w:tc>
        <w:tc>
          <w:tcPr>
            <w:tcW w:w="95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11,237</w:t>
            </w:r>
          </w:p>
        </w:tc>
        <w:tc>
          <w:tcPr>
            <w:tcW w:w="142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51.9%</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38,855</w:t>
            </w:r>
          </w:p>
        </w:tc>
        <w:tc>
          <w:tcPr>
            <w:tcW w:w="95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17,197</w:t>
            </w:r>
          </w:p>
        </w:tc>
        <w:tc>
          <w:tcPr>
            <w:tcW w:w="148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79.4%</w:t>
            </w:r>
          </w:p>
        </w:tc>
      </w:tr>
      <w:tr w:rsidR="00A9706E" w:rsidRPr="00AA68C4" w:rsidTr="00031B92">
        <w:trPr>
          <w:trHeight w:val="300"/>
          <w:jc w:val="center"/>
        </w:trPr>
        <w:tc>
          <w:tcPr>
            <w:tcW w:w="271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Coppetts Ward</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17,236</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17,061</w:t>
            </w:r>
          </w:p>
        </w:tc>
        <w:tc>
          <w:tcPr>
            <w:tcW w:w="95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-175</w:t>
            </w:r>
          </w:p>
        </w:tc>
        <w:tc>
          <w:tcPr>
            <w:tcW w:w="142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-1.0%</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16,695</w:t>
            </w:r>
          </w:p>
        </w:tc>
        <w:tc>
          <w:tcPr>
            <w:tcW w:w="95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-541</w:t>
            </w:r>
          </w:p>
        </w:tc>
        <w:tc>
          <w:tcPr>
            <w:tcW w:w="148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-3.1%</w:t>
            </w:r>
          </w:p>
        </w:tc>
      </w:tr>
      <w:tr w:rsidR="00A9706E" w:rsidRPr="00AA68C4" w:rsidTr="00031B92">
        <w:trPr>
          <w:trHeight w:val="300"/>
          <w:jc w:val="center"/>
        </w:trPr>
        <w:tc>
          <w:tcPr>
            <w:tcW w:w="271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East Barnet Ward</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16,173</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16,443</w:t>
            </w:r>
          </w:p>
        </w:tc>
        <w:tc>
          <w:tcPr>
            <w:tcW w:w="95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270</w:t>
            </w:r>
          </w:p>
        </w:tc>
        <w:tc>
          <w:tcPr>
            <w:tcW w:w="142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1.7%</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17,238</w:t>
            </w:r>
          </w:p>
        </w:tc>
        <w:tc>
          <w:tcPr>
            <w:tcW w:w="95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1,065</w:t>
            </w:r>
          </w:p>
        </w:tc>
        <w:tc>
          <w:tcPr>
            <w:tcW w:w="148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6.6%</w:t>
            </w:r>
          </w:p>
        </w:tc>
      </w:tr>
      <w:tr w:rsidR="00A9706E" w:rsidRPr="00AA68C4" w:rsidTr="00031B92">
        <w:trPr>
          <w:trHeight w:val="300"/>
          <w:jc w:val="center"/>
        </w:trPr>
        <w:tc>
          <w:tcPr>
            <w:tcW w:w="271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East Finchley Ward</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16,285</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16,256</w:t>
            </w:r>
          </w:p>
        </w:tc>
        <w:tc>
          <w:tcPr>
            <w:tcW w:w="95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-29</w:t>
            </w:r>
          </w:p>
        </w:tc>
        <w:tc>
          <w:tcPr>
            <w:tcW w:w="142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-0.2%</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15,985</w:t>
            </w:r>
          </w:p>
        </w:tc>
        <w:tc>
          <w:tcPr>
            <w:tcW w:w="95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-300</w:t>
            </w:r>
          </w:p>
        </w:tc>
        <w:tc>
          <w:tcPr>
            <w:tcW w:w="148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-1.8%</w:t>
            </w:r>
          </w:p>
        </w:tc>
      </w:tr>
      <w:tr w:rsidR="00A9706E" w:rsidRPr="00AA68C4" w:rsidTr="00031B92">
        <w:trPr>
          <w:trHeight w:val="300"/>
          <w:jc w:val="center"/>
        </w:trPr>
        <w:tc>
          <w:tcPr>
            <w:tcW w:w="271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Edgware Ward</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17,927</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19,431</w:t>
            </w:r>
          </w:p>
        </w:tc>
        <w:tc>
          <w:tcPr>
            <w:tcW w:w="95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1,504</w:t>
            </w:r>
          </w:p>
        </w:tc>
        <w:tc>
          <w:tcPr>
            <w:tcW w:w="142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8.4%</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20,098</w:t>
            </w:r>
          </w:p>
        </w:tc>
        <w:tc>
          <w:tcPr>
            <w:tcW w:w="95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2,171</w:t>
            </w:r>
          </w:p>
        </w:tc>
        <w:tc>
          <w:tcPr>
            <w:tcW w:w="148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12.1%</w:t>
            </w:r>
          </w:p>
        </w:tc>
      </w:tr>
      <w:tr w:rsidR="00A9706E" w:rsidRPr="00AA68C4" w:rsidTr="00031B92">
        <w:trPr>
          <w:trHeight w:val="300"/>
          <w:jc w:val="center"/>
        </w:trPr>
        <w:tc>
          <w:tcPr>
            <w:tcW w:w="271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Finchley Church End Ward</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16,015</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16,273</w:t>
            </w:r>
          </w:p>
        </w:tc>
        <w:tc>
          <w:tcPr>
            <w:tcW w:w="95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258</w:t>
            </w:r>
          </w:p>
        </w:tc>
        <w:tc>
          <w:tcPr>
            <w:tcW w:w="142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1.6%</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16,207</w:t>
            </w:r>
          </w:p>
        </w:tc>
        <w:tc>
          <w:tcPr>
            <w:tcW w:w="95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192</w:t>
            </w:r>
          </w:p>
        </w:tc>
        <w:tc>
          <w:tcPr>
            <w:tcW w:w="148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1.2%</w:t>
            </w:r>
          </w:p>
        </w:tc>
      </w:tr>
      <w:tr w:rsidR="00A9706E" w:rsidRPr="00AA68C4" w:rsidTr="00031B92">
        <w:trPr>
          <w:trHeight w:val="300"/>
          <w:jc w:val="center"/>
        </w:trPr>
        <w:tc>
          <w:tcPr>
            <w:tcW w:w="271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Garden Suburb Ward</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16,078</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16,099</w:t>
            </w:r>
          </w:p>
        </w:tc>
        <w:tc>
          <w:tcPr>
            <w:tcW w:w="95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21</w:t>
            </w:r>
          </w:p>
        </w:tc>
        <w:tc>
          <w:tcPr>
            <w:tcW w:w="142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0.1%</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15,974</w:t>
            </w:r>
          </w:p>
        </w:tc>
        <w:tc>
          <w:tcPr>
            <w:tcW w:w="95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-104</w:t>
            </w:r>
          </w:p>
        </w:tc>
        <w:tc>
          <w:tcPr>
            <w:tcW w:w="148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-0.6%</w:t>
            </w:r>
          </w:p>
        </w:tc>
      </w:tr>
      <w:tr w:rsidR="00A9706E" w:rsidRPr="00AA68C4" w:rsidTr="00031B92">
        <w:trPr>
          <w:trHeight w:val="300"/>
          <w:jc w:val="center"/>
        </w:trPr>
        <w:tc>
          <w:tcPr>
            <w:tcW w:w="271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Golders Green Ward</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18,979</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24,841</w:t>
            </w:r>
          </w:p>
        </w:tc>
        <w:tc>
          <w:tcPr>
            <w:tcW w:w="95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5,862</w:t>
            </w:r>
          </w:p>
        </w:tc>
        <w:tc>
          <w:tcPr>
            <w:tcW w:w="142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30.9%</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40,605</w:t>
            </w:r>
          </w:p>
        </w:tc>
        <w:tc>
          <w:tcPr>
            <w:tcW w:w="95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21,626</w:t>
            </w:r>
          </w:p>
        </w:tc>
        <w:tc>
          <w:tcPr>
            <w:tcW w:w="148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113.9%</w:t>
            </w:r>
          </w:p>
        </w:tc>
      </w:tr>
      <w:tr w:rsidR="00A9706E" w:rsidRPr="00AA68C4" w:rsidTr="00031B92">
        <w:trPr>
          <w:trHeight w:val="300"/>
          <w:jc w:val="center"/>
        </w:trPr>
        <w:tc>
          <w:tcPr>
            <w:tcW w:w="271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Hale Ward</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17,353</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17,245</w:t>
            </w:r>
          </w:p>
        </w:tc>
        <w:tc>
          <w:tcPr>
            <w:tcW w:w="95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-108</w:t>
            </w:r>
          </w:p>
        </w:tc>
        <w:tc>
          <w:tcPr>
            <w:tcW w:w="142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-0.6%</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16,951</w:t>
            </w:r>
          </w:p>
        </w:tc>
        <w:tc>
          <w:tcPr>
            <w:tcW w:w="95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-402</w:t>
            </w:r>
          </w:p>
        </w:tc>
        <w:tc>
          <w:tcPr>
            <w:tcW w:w="148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-2.3%</w:t>
            </w:r>
          </w:p>
        </w:tc>
      </w:tr>
      <w:tr w:rsidR="00A9706E" w:rsidRPr="00AA68C4" w:rsidTr="00031B92">
        <w:trPr>
          <w:trHeight w:val="300"/>
          <w:jc w:val="center"/>
        </w:trPr>
        <w:tc>
          <w:tcPr>
            <w:tcW w:w="271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Hendon Ward</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18,886</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18,751</w:t>
            </w:r>
          </w:p>
        </w:tc>
        <w:tc>
          <w:tcPr>
            <w:tcW w:w="95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-135</w:t>
            </w:r>
          </w:p>
        </w:tc>
        <w:tc>
          <w:tcPr>
            <w:tcW w:w="142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-0.7%</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18,483</w:t>
            </w:r>
          </w:p>
        </w:tc>
        <w:tc>
          <w:tcPr>
            <w:tcW w:w="95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-403</w:t>
            </w:r>
          </w:p>
        </w:tc>
        <w:tc>
          <w:tcPr>
            <w:tcW w:w="148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-2.1%</w:t>
            </w:r>
          </w:p>
        </w:tc>
      </w:tr>
      <w:tr w:rsidR="00A9706E" w:rsidRPr="00AA68C4" w:rsidTr="00031B92">
        <w:trPr>
          <w:trHeight w:val="300"/>
          <w:jc w:val="center"/>
        </w:trPr>
        <w:tc>
          <w:tcPr>
            <w:tcW w:w="271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High Barnet Ward</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15,367</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15,482</w:t>
            </w:r>
          </w:p>
        </w:tc>
        <w:tc>
          <w:tcPr>
            <w:tcW w:w="95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115</w:t>
            </w:r>
          </w:p>
        </w:tc>
        <w:tc>
          <w:tcPr>
            <w:tcW w:w="142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0.7%</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16,199</w:t>
            </w:r>
          </w:p>
        </w:tc>
        <w:tc>
          <w:tcPr>
            <w:tcW w:w="95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832</w:t>
            </w:r>
          </w:p>
        </w:tc>
        <w:tc>
          <w:tcPr>
            <w:tcW w:w="148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5.4%</w:t>
            </w:r>
          </w:p>
        </w:tc>
      </w:tr>
      <w:tr w:rsidR="00A9706E" w:rsidRPr="00AA68C4" w:rsidTr="00031B92">
        <w:trPr>
          <w:trHeight w:val="300"/>
          <w:jc w:val="center"/>
        </w:trPr>
        <w:tc>
          <w:tcPr>
            <w:tcW w:w="271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Mill Hill Ward</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20,187</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22,551</w:t>
            </w:r>
          </w:p>
        </w:tc>
        <w:tc>
          <w:tcPr>
            <w:tcW w:w="95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2,364</w:t>
            </w:r>
          </w:p>
        </w:tc>
        <w:tc>
          <w:tcPr>
            <w:tcW w:w="142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11.7%</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25,062</w:t>
            </w:r>
          </w:p>
        </w:tc>
        <w:tc>
          <w:tcPr>
            <w:tcW w:w="95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4,875</w:t>
            </w:r>
          </w:p>
        </w:tc>
        <w:tc>
          <w:tcPr>
            <w:tcW w:w="148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24.1%</w:t>
            </w:r>
          </w:p>
        </w:tc>
      </w:tr>
      <w:tr w:rsidR="00A9706E" w:rsidRPr="00AA68C4" w:rsidTr="00031B92">
        <w:trPr>
          <w:trHeight w:val="300"/>
          <w:jc w:val="center"/>
        </w:trPr>
        <w:tc>
          <w:tcPr>
            <w:tcW w:w="271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Oakleigh Ward</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15,774</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15,682</w:t>
            </w:r>
          </w:p>
        </w:tc>
        <w:tc>
          <w:tcPr>
            <w:tcW w:w="95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-92</w:t>
            </w:r>
          </w:p>
        </w:tc>
        <w:tc>
          <w:tcPr>
            <w:tcW w:w="142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-0.6%</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15,466</w:t>
            </w:r>
          </w:p>
        </w:tc>
        <w:tc>
          <w:tcPr>
            <w:tcW w:w="95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-308</w:t>
            </w:r>
          </w:p>
        </w:tc>
        <w:tc>
          <w:tcPr>
            <w:tcW w:w="148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-2.0%</w:t>
            </w:r>
          </w:p>
        </w:tc>
      </w:tr>
      <w:tr w:rsidR="00A9706E" w:rsidRPr="00AA68C4" w:rsidTr="00031B92">
        <w:trPr>
          <w:trHeight w:val="300"/>
          <w:jc w:val="center"/>
        </w:trPr>
        <w:tc>
          <w:tcPr>
            <w:tcW w:w="271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Totteridge Ward</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15,169</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15,750</w:t>
            </w:r>
          </w:p>
        </w:tc>
        <w:tc>
          <w:tcPr>
            <w:tcW w:w="95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581</w:t>
            </w:r>
          </w:p>
        </w:tc>
        <w:tc>
          <w:tcPr>
            <w:tcW w:w="142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3.8%</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15,590</w:t>
            </w:r>
          </w:p>
        </w:tc>
        <w:tc>
          <w:tcPr>
            <w:tcW w:w="95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421</w:t>
            </w:r>
          </w:p>
        </w:tc>
        <w:tc>
          <w:tcPr>
            <w:tcW w:w="148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2.8%</w:t>
            </w:r>
          </w:p>
        </w:tc>
      </w:tr>
      <w:tr w:rsidR="00A9706E" w:rsidRPr="00AA68C4" w:rsidTr="00031B92">
        <w:trPr>
          <w:trHeight w:val="300"/>
          <w:jc w:val="center"/>
        </w:trPr>
        <w:tc>
          <w:tcPr>
            <w:tcW w:w="271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Underhill Ward</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16,153</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16,064</w:t>
            </w:r>
          </w:p>
        </w:tc>
        <w:tc>
          <w:tcPr>
            <w:tcW w:w="95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-89</w:t>
            </w:r>
          </w:p>
        </w:tc>
        <w:tc>
          <w:tcPr>
            <w:tcW w:w="142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-0.6%</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15,902</w:t>
            </w:r>
          </w:p>
        </w:tc>
        <w:tc>
          <w:tcPr>
            <w:tcW w:w="95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-251</w:t>
            </w:r>
          </w:p>
        </w:tc>
        <w:tc>
          <w:tcPr>
            <w:tcW w:w="148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-1.6%</w:t>
            </w:r>
          </w:p>
        </w:tc>
      </w:tr>
      <w:tr w:rsidR="00A9706E" w:rsidRPr="00AA68C4" w:rsidTr="00031B92">
        <w:trPr>
          <w:trHeight w:val="300"/>
          <w:jc w:val="center"/>
        </w:trPr>
        <w:tc>
          <w:tcPr>
            <w:tcW w:w="271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West Finchley Ward</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16,959</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17,523</w:t>
            </w:r>
          </w:p>
        </w:tc>
        <w:tc>
          <w:tcPr>
            <w:tcW w:w="95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564</w:t>
            </w:r>
          </w:p>
        </w:tc>
        <w:tc>
          <w:tcPr>
            <w:tcW w:w="142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3.3%</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17,358</w:t>
            </w:r>
          </w:p>
        </w:tc>
        <w:tc>
          <w:tcPr>
            <w:tcW w:w="95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399</w:t>
            </w:r>
          </w:p>
        </w:tc>
        <w:tc>
          <w:tcPr>
            <w:tcW w:w="148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2.4%</w:t>
            </w:r>
          </w:p>
        </w:tc>
      </w:tr>
      <w:tr w:rsidR="00A9706E" w:rsidRPr="00AA68C4" w:rsidTr="00031B92">
        <w:trPr>
          <w:trHeight w:val="300"/>
          <w:jc w:val="center"/>
        </w:trPr>
        <w:tc>
          <w:tcPr>
            <w:tcW w:w="271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West Hendon Ward</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17,961</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18,247</w:t>
            </w:r>
          </w:p>
        </w:tc>
        <w:tc>
          <w:tcPr>
            <w:tcW w:w="95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286</w:t>
            </w:r>
          </w:p>
        </w:tc>
        <w:tc>
          <w:tcPr>
            <w:tcW w:w="142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1.6%</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19,245</w:t>
            </w:r>
          </w:p>
        </w:tc>
        <w:tc>
          <w:tcPr>
            <w:tcW w:w="95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1,284</w:t>
            </w:r>
          </w:p>
        </w:tc>
        <w:tc>
          <w:tcPr>
            <w:tcW w:w="148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7.1%</w:t>
            </w:r>
          </w:p>
        </w:tc>
      </w:tr>
      <w:tr w:rsidR="00A9706E" w:rsidRPr="00AA68C4" w:rsidTr="00031B92">
        <w:trPr>
          <w:trHeight w:val="300"/>
          <w:jc w:val="center"/>
        </w:trPr>
        <w:tc>
          <w:tcPr>
            <w:tcW w:w="271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Woodhouse Ward</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17,919</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18,296</w:t>
            </w:r>
          </w:p>
        </w:tc>
        <w:tc>
          <w:tcPr>
            <w:tcW w:w="95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377</w:t>
            </w:r>
          </w:p>
        </w:tc>
        <w:tc>
          <w:tcPr>
            <w:tcW w:w="142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2.1%</w:t>
            </w:r>
          </w:p>
        </w:tc>
        <w:tc>
          <w:tcPr>
            <w:tcW w:w="828"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19,402</w:t>
            </w:r>
          </w:p>
        </w:tc>
        <w:tc>
          <w:tcPr>
            <w:tcW w:w="95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1,483</w:t>
            </w:r>
          </w:p>
        </w:tc>
        <w:tc>
          <w:tcPr>
            <w:tcW w:w="1480" w:type="dxa"/>
            <w:noWrap/>
            <w:vAlign w:val="center"/>
            <w:hideMark/>
          </w:tcPr>
          <w:p w:rsidR="00A9706E" w:rsidRPr="00AA68C4" w:rsidRDefault="00A9706E" w:rsidP="00031B92">
            <w:pPr>
              <w:jc w:val="center"/>
              <w:rPr>
                <w:rFonts w:eastAsia="Times New Roman" w:cs="Arial"/>
                <w:lang w:eastAsia="en-GB"/>
              </w:rPr>
            </w:pPr>
            <w:r w:rsidRPr="00AA68C4">
              <w:rPr>
                <w:rFonts w:eastAsia="Times New Roman" w:cs="Arial"/>
                <w:lang w:eastAsia="en-GB"/>
              </w:rPr>
              <w:t>8.3%</w:t>
            </w:r>
          </w:p>
        </w:tc>
      </w:tr>
    </w:tbl>
    <w:p w:rsidR="00A9706E" w:rsidRPr="00531AE2" w:rsidRDefault="00A9706E" w:rsidP="00A9706E">
      <w:pPr>
        <w:spacing w:after="0" w:line="240" w:lineRule="auto"/>
        <w:jc w:val="both"/>
        <w:rPr>
          <w:rFonts w:ascii="Calibri" w:hAnsi="Calibri" w:cs="Calibri"/>
        </w:rPr>
      </w:pPr>
      <w:r w:rsidRPr="00531AE2">
        <w:rPr>
          <w:rFonts w:ascii="Calibri" w:hAnsi="Calibri" w:cs="Calibri"/>
        </w:rPr>
        <w:t>Source:</w:t>
      </w:r>
      <w:r>
        <w:rPr>
          <w:rFonts w:ascii="Calibri" w:hAnsi="Calibri" w:cs="Calibri"/>
        </w:rPr>
        <w:t xml:space="preserve"> GLA Projections 2013 </w:t>
      </w:r>
      <w:r>
        <w:t>(</w:t>
      </w:r>
      <w:r w:rsidRPr="005D3C22">
        <w:t>Preferred Option Projections</w:t>
      </w:r>
      <w:r>
        <w:t>)</w:t>
      </w:r>
    </w:p>
    <w:p w:rsidR="00A9706E" w:rsidRDefault="00A9706E" w:rsidP="00A9706E">
      <w:pPr>
        <w:spacing w:after="0" w:line="240" w:lineRule="auto"/>
        <w:jc w:val="both"/>
        <w:rPr>
          <w:rFonts w:ascii="Calibri" w:hAnsi="Calibri" w:cs="Calibri"/>
        </w:rPr>
      </w:pPr>
    </w:p>
    <w:p w:rsidR="00A9706E" w:rsidRPr="0062157A" w:rsidRDefault="00A9706E" w:rsidP="00A9706E">
      <w:pPr>
        <w:spacing w:after="0" w:line="240" w:lineRule="auto"/>
        <w:jc w:val="both"/>
        <w:rPr>
          <w:rFonts w:ascii="Calibri" w:hAnsi="Calibri" w:cs="Calibri"/>
        </w:rPr>
      </w:pPr>
      <w:r w:rsidRPr="0062157A">
        <w:rPr>
          <w:rFonts w:ascii="Calibri" w:hAnsi="Calibri" w:cs="Calibri"/>
        </w:rPr>
        <w:t xml:space="preserve">One of the major driving forces of growth in the west of the </w:t>
      </w:r>
      <w:r>
        <w:rPr>
          <w:rFonts w:ascii="Calibri" w:hAnsi="Calibri" w:cs="Calibri"/>
        </w:rPr>
        <w:t>Borough</w:t>
      </w:r>
      <w:r w:rsidRPr="0062157A">
        <w:rPr>
          <w:rFonts w:ascii="Calibri" w:hAnsi="Calibri" w:cs="Calibri"/>
        </w:rPr>
        <w:t xml:space="preserve"> is the planned development taking place</w:t>
      </w:r>
      <w:r>
        <w:rPr>
          <w:rFonts w:ascii="Calibri" w:hAnsi="Calibri" w:cs="Calibri"/>
        </w:rPr>
        <w:t>, with the</w:t>
      </w:r>
      <w:r w:rsidRPr="0062157A">
        <w:rPr>
          <w:rFonts w:ascii="Calibri" w:hAnsi="Calibri" w:cs="Calibri"/>
        </w:rPr>
        <w:t xml:space="preserve"> Wards with the greatest projected increases in population, directly correlat</w:t>
      </w:r>
      <w:r>
        <w:rPr>
          <w:rFonts w:ascii="Calibri" w:hAnsi="Calibri" w:cs="Calibri"/>
        </w:rPr>
        <w:t>ing</w:t>
      </w:r>
      <w:r w:rsidRPr="0062157A">
        <w:rPr>
          <w:rFonts w:ascii="Calibri" w:hAnsi="Calibri" w:cs="Calibri"/>
        </w:rPr>
        <w:t xml:space="preserve"> with the planned re</w:t>
      </w:r>
      <w:r>
        <w:rPr>
          <w:rFonts w:ascii="Calibri" w:hAnsi="Calibri" w:cs="Calibri"/>
        </w:rPr>
        <w:t>gener</w:t>
      </w:r>
      <w:r w:rsidRPr="0062157A">
        <w:rPr>
          <w:rFonts w:ascii="Calibri" w:hAnsi="Calibri" w:cs="Calibri"/>
        </w:rPr>
        <w:t>ation</w:t>
      </w:r>
      <w:r>
        <w:rPr>
          <w:rFonts w:ascii="Calibri" w:hAnsi="Calibri" w:cs="Calibri"/>
        </w:rPr>
        <w:t xml:space="preserve"> localities of Colindale and Brent Cross Cricklewood (as shown in Figure 2-</w:t>
      </w:r>
      <w:r w:rsidR="00C52CEE">
        <w:rPr>
          <w:rFonts w:ascii="Calibri" w:hAnsi="Calibri" w:cs="Calibri"/>
        </w:rPr>
        <w:t>4 and 2-5</w:t>
      </w:r>
      <w:r>
        <w:rPr>
          <w:rFonts w:ascii="Calibri" w:hAnsi="Calibri" w:cs="Calibri"/>
        </w:rPr>
        <w:t xml:space="preserve">). </w:t>
      </w:r>
    </w:p>
    <w:p w:rsidR="00A9706E" w:rsidRDefault="00A9706E" w:rsidP="00A9706E">
      <w:pPr>
        <w:spacing w:after="0" w:line="240" w:lineRule="auto"/>
        <w:jc w:val="both"/>
        <w:rPr>
          <w:rFonts w:ascii="Calibri" w:hAnsi="Calibri" w:cs="Calibri"/>
          <w:b/>
          <w: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A9706E" w:rsidRPr="00D17897" w:rsidTr="00031B92">
        <w:trPr>
          <w:trHeight w:val="484"/>
        </w:trPr>
        <w:tc>
          <w:tcPr>
            <w:tcW w:w="4621" w:type="dxa"/>
          </w:tcPr>
          <w:p w:rsidR="00A9706E" w:rsidRPr="00D17897" w:rsidRDefault="00A9706E" w:rsidP="00031B92">
            <w:pPr>
              <w:pStyle w:val="Caption"/>
              <w:keepNext/>
              <w:rPr>
                <w:rFonts w:ascii="Calibri" w:hAnsi="Calibri" w:cs="Calibri"/>
                <w:i/>
              </w:rPr>
            </w:pPr>
            <w:r>
              <w:lastRenderedPageBreak/>
              <w:t xml:space="preserve">Figure </w:t>
            </w:r>
            <w:fldSimple w:instr=" STYLEREF 1 \s ">
              <w:r w:rsidR="001663C2">
                <w:rPr>
                  <w:noProof/>
                </w:rPr>
                <w:t>2</w:t>
              </w:r>
            </w:fldSimple>
            <w:r w:rsidR="00943DC2">
              <w:noBreakHyphen/>
            </w:r>
            <w:fldSimple w:instr=" SEQ Figure \* ARABIC \s 1 ">
              <w:r w:rsidR="001663C2">
                <w:rPr>
                  <w:noProof/>
                </w:rPr>
                <w:t>4</w:t>
              </w:r>
            </w:fldSimple>
            <w:r>
              <w:t xml:space="preserve"> </w:t>
            </w:r>
            <w:r w:rsidRPr="004E7E79">
              <w:t>: Planned Regeneration Works</w:t>
            </w:r>
          </w:p>
        </w:tc>
        <w:tc>
          <w:tcPr>
            <w:tcW w:w="4621" w:type="dxa"/>
          </w:tcPr>
          <w:p w:rsidR="00A9706E" w:rsidRPr="00D17897" w:rsidRDefault="00A9706E" w:rsidP="00031B92">
            <w:pPr>
              <w:pStyle w:val="Caption"/>
              <w:keepNext/>
              <w:rPr>
                <w:rFonts w:ascii="Calibri" w:hAnsi="Calibri" w:cs="Calibri"/>
                <w:i/>
              </w:rPr>
            </w:pPr>
            <w:r>
              <w:t xml:space="preserve">Figure </w:t>
            </w:r>
            <w:fldSimple w:instr=" STYLEREF 1 \s ">
              <w:r w:rsidR="001663C2">
                <w:rPr>
                  <w:noProof/>
                </w:rPr>
                <w:t>2</w:t>
              </w:r>
            </w:fldSimple>
            <w:r w:rsidR="00943DC2">
              <w:noBreakHyphen/>
            </w:r>
            <w:fldSimple w:instr=" SEQ Figure \* ARABIC \s 1 ">
              <w:r w:rsidR="001663C2">
                <w:rPr>
                  <w:noProof/>
                </w:rPr>
                <w:t>5</w:t>
              </w:r>
            </w:fldSimple>
            <w:r>
              <w:t xml:space="preserve">: </w:t>
            </w:r>
            <w:r w:rsidRPr="004E7E79">
              <w:t>Barnet Population Growth by Ward 2015-2030</w:t>
            </w:r>
          </w:p>
        </w:tc>
      </w:tr>
    </w:tbl>
    <w:p w:rsidR="00A9706E" w:rsidRDefault="00A9706E" w:rsidP="00C52CEE">
      <w:pPr>
        <w:spacing w:after="0" w:line="240" w:lineRule="auto"/>
        <w:ind w:hanging="993"/>
        <w:jc w:val="both"/>
        <w:rPr>
          <w:rFonts w:ascii="Calibri" w:hAnsi="Calibri" w:cs="Calibri"/>
        </w:rPr>
      </w:pPr>
      <w:r w:rsidRPr="00CE4FC1">
        <w:rPr>
          <w:rFonts w:ascii="Calibri" w:hAnsi="Calibri" w:cs="Calibri"/>
          <w:noProof/>
          <w:lang w:eastAsia="en-GB"/>
        </w:rPr>
        <mc:AlternateContent>
          <mc:Choice Requires="wpg">
            <w:drawing>
              <wp:inline distT="0" distB="0" distL="0" distR="0" wp14:anchorId="2AC33185" wp14:editId="1D4F76BD">
                <wp:extent cx="6921795" cy="3604437"/>
                <wp:effectExtent l="0" t="0" r="0" b="0"/>
                <wp:docPr id="43011" name="Group 7"/>
                <wp:cNvGraphicFramePr/>
                <a:graphic xmlns:a="http://schemas.openxmlformats.org/drawingml/2006/main">
                  <a:graphicData uri="http://schemas.microsoft.com/office/word/2010/wordprocessingGroup">
                    <wpg:wgp>
                      <wpg:cNvGrpSpPr/>
                      <wpg:grpSpPr>
                        <a:xfrm>
                          <a:off x="0" y="0"/>
                          <a:ext cx="6921795" cy="3604437"/>
                          <a:chOff x="0" y="0"/>
                          <a:chExt cx="7429958" cy="3816424"/>
                        </a:xfrm>
                      </wpg:grpSpPr>
                      <pic:pic xmlns:pic="http://schemas.openxmlformats.org/drawingml/2006/picture">
                        <pic:nvPicPr>
                          <pic:cNvPr id="43015" name="Picture 43015"/>
                          <pic:cNvPicPr/>
                        </pic:nvPicPr>
                        <pic:blipFill rotWithShape="1">
                          <a:blip r:embed="rId15">
                            <a:extLst>
                              <a:ext uri="{28A0092B-C50C-407E-A947-70E740481C1C}">
                                <a14:useLocalDpi xmlns:a14="http://schemas.microsoft.com/office/drawing/2010/main" val="0"/>
                              </a:ext>
                            </a:extLst>
                          </a:blip>
                          <a:srcRect r="22841"/>
                          <a:stretch/>
                        </pic:blipFill>
                        <pic:spPr bwMode="auto">
                          <a:xfrm>
                            <a:off x="0" y="0"/>
                            <a:ext cx="3708412" cy="3816424"/>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43016" name="Rectangle 43016"/>
                        <wps:cNvSpPr/>
                        <wps:spPr>
                          <a:xfrm>
                            <a:off x="3024336" y="2744849"/>
                            <a:ext cx="1368152" cy="50405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90277" w:rsidRDefault="00890277" w:rsidP="00A9706E">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3017" name="Rectangle 43017"/>
                        <wps:cNvSpPr/>
                        <wps:spPr>
                          <a:xfrm>
                            <a:off x="2927362" y="2826394"/>
                            <a:ext cx="1368152" cy="34096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90277" w:rsidRDefault="00890277" w:rsidP="00A9706E">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3018" name="Picture 43018"/>
                          <pic:cNvPicPr/>
                        </pic:nvPicPr>
                        <pic:blipFill rotWithShape="1">
                          <a:blip r:embed="rId16" cstate="print">
                            <a:extLst>
                              <a:ext uri="{28A0092B-C50C-407E-A947-70E740481C1C}">
                                <a14:useLocalDpi xmlns:a14="http://schemas.microsoft.com/office/drawing/2010/main" val="0"/>
                              </a:ext>
                            </a:extLst>
                          </a:blip>
                          <a:srcRect l="16506" t="2747" r="2743" b="3204"/>
                          <a:stretch/>
                        </pic:blipFill>
                        <pic:spPr bwMode="auto">
                          <a:xfrm>
                            <a:off x="3685542" y="433933"/>
                            <a:ext cx="3744416" cy="3240359"/>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id="Group 7" o:spid="_x0000_s1032" style="width:545pt;height:283.8pt;mso-position-horizontal-relative:char;mso-position-vertical-relative:line" coordsize="74299,381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3015" o:spid="_x0000_s1033" type="#_x0000_t75" style="position:absolute;width:37084;height:38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HEyDIAAAA3gAAAA8AAABkcnMvZG93bnJldi54bWxEj91qAjEUhO8LvkM4Qm+KJtpWZTWKlLYU&#10;iyz+PMBhc9wsbk7WTarbt28KhV4OM/MNs1h1rhZXakPlWcNoqEAQF95UXGo4Ht4GMxAhIhusPZOG&#10;bwqwWvbuFpgZf+MdXfexFAnCIUMNNsYmkzIUlhyGoW+Ik3fyrcOYZFtK0+ItwV0tx0pNpMOK04LF&#10;hl4sFef9l9OwPo7fp67yZ/u5fb1sVJ3nDzbX+r7frecgInXxP/zX/jAanh7V6Bl+76QrIJc/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HRxMgyAAAAN4AAAAPAAAAAAAAAAAA&#10;AAAAAJ8CAABkcnMvZG93bnJldi54bWxQSwUGAAAAAAQABAD3AAAAlAMAAAAA&#10;" fillcolor="#4f81bd [3204]" strokecolor="black [3213]">
                  <v:imagedata r:id="rId17" o:title="" cropright="14969f"/>
                  <v:shadow color="#eeece1 [3214]"/>
                </v:shape>
                <v:rect id="Rectangle 43016" o:spid="_x0000_s1034" style="position:absolute;left:30243;top:27448;width:13681;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1jDMcA&#10;AADeAAAADwAAAGRycy9kb3ducmV2LnhtbESPQUsDMRSE70L/Q3iCF7HZVVvabdNSBMGT0tZLb4/N&#10;62Zx87Ikz+3qrzeC4HGYmW+Y9Xb0nRoopjawgXJagCKug225MfB+fL5bgEqCbLELTAa+KMF2M7la&#10;Y2XDhfc0HKRRGcKpQgNOpK+0TrUjj2kaeuLsnUP0KFnGRtuIlwz3nb4virn22HJecNjTk6P64/Dp&#10;DSy/6zdZhH7mpD0tG1++nuNwa8zN9bhbgRIa5T/8136xBh4finIOv3fyFdC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dtYwzHAAAA3gAAAA8AAAAAAAAAAAAAAAAAmAIAAGRy&#10;cy9kb3ducmV2LnhtbFBLBQYAAAAABAAEAPUAAACMAwAAAAA=&#10;" fillcolor="white [3212]" strokecolor="white [3212]" strokeweight="2pt">
                  <v:textbox>
                    <w:txbxContent>
                      <w:p w:rsidR="00D7687B" w:rsidRDefault="00D7687B" w:rsidP="00A9706E">
                        <w:pPr>
                          <w:rPr>
                            <w:rFonts w:eastAsia="Times New Roman"/>
                          </w:rPr>
                        </w:pPr>
                      </w:p>
                    </w:txbxContent>
                  </v:textbox>
                </v:rect>
                <v:rect id="Rectangle 43017" o:spid="_x0000_s1035" style="position:absolute;left:29273;top:28263;width:13682;height:34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HGl8cA&#10;AADeAAAADwAAAGRycy9kb3ducmV2LnhtbESPQUsDMRSE74L/ITzBi7TZVavt2rQUQfBkae3F22Pz&#10;ulncvCzJ63b11xtB8DjMzDfMcj36Tg0UUxvYQDktQBHXwbbcGDi8v0zmoJIgW+wCk4EvSrBeXV4s&#10;sbLhzDsa9tKoDOFUoQEn0ldap9qRxzQNPXH2jiF6lCxjo23Ec4b7Tt8WxYP22HJecNjTs6P6c3/y&#10;Bhbf9VbmoZ85aT8WjS/fjnG4Meb6atw8gRIa5T/81361Bu7vivIRfu/kK6B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ghxpfHAAAA3gAAAA8AAAAAAAAAAAAAAAAAmAIAAGRy&#10;cy9kb3ducmV2LnhtbFBLBQYAAAAABAAEAPUAAACMAwAAAAA=&#10;" fillcolor="white [3212]" strokecolor="white [3212]" strokeweight="2pt">
                  <v:textbox>
                    <w:txbxContent>
                      <w:p w:rsidR="00D7687B" w:rsidRDefault="00D7687B" w:rsidP="00A9706E">
                        <w:pPr>
                          <w:rPr>
                            <w:rFonts w:eastAsia="Times New Roman"/>
                          </w:rPr>
                        </w:pPr>
                      </w:p>
                    </w:txbxContent>
                  </v:textbox>
                </v:rect>
                <v:shape id="Picture 43018" o:spid="_x0000_s1036" type="#_x0000_t75" style="position:absolute;left:36855;top:4339;width:37444;height:32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Ddr3EAAAA3gAAAA8AAABkcnMvZG93bnJldi54bWxET89rwjAUvgv7H8IbeJtJ1cnomsoQ3YQd&#10;xDrY9dG8td2al9JEW/97cxh4/Ph+Z+vRtuJCvW8ca0hmCgRx6UzDlYav0+7pBYQPyAZbx6ThSh7W&#10;+cMkw9S4gY90KUIlYgj7FDXUIXSplL6syaKfuY44cj+utxgi7CtpehxiuG3lXKmVtNhwbKixo01N&#10;5V9xtho+TfI8XDen81ztD7+t3X68I35rPX0c315BBBrDXfzv3hsNy4VK4t54J14Bm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GDdr3EAAAA3gAAAA8AAAAAAAAAAAAAAAAA&#10;nwIAAGRycy9kb3ducmV2LnhtbFBLBQYAAAAABAAEAPcAAACQAwAAAAA=&#10;">
                  <v:imagedata r:id="rId18" o:title="" croptop="1800f" cropbottom="2100f" cropleft="10817f" cropright="1798f"/>
                </v:shape>
                <w10:anchorlock/>
              </v:group>
            </w:pict>
          </mc:Fallback>
        </mc:AlternateContent>
      </w:r>
    </w:p>
    <w:p w:rsidR="00A9706E" w:rsidRPr="00531AE2" w:rsidRDefault="00A9706E" w:rsidP="00A9706E">
      <w:pPr>
        <w:spacing w:after="0" w:line="240" w:lineRule="auto"/>
        <w:jc w:val="both"/>
        <w:rPr>
          <w:rFonts w:ascii="Calibri" w:hAnsi="Calibri" w:cs="Calibri"/>
        </w:rPr>
      </w:pPr>
      <w:r w:rsidRPr="00531AE2">
        <w:rPr>
          <w:rFonts w:ascii="Calibri" w:hAnsi="Calibri" w:cs="Calibri"/>
        </w:rPr>
        <w:t>Source:</w:t>
      </w:r>
      <w:r>
        <w:rPr>
          <w:rFonts w:ascii="Calibri" w:hAnsi="Calibri" w:cs="Calibri"/>
        </w:rPr>
        <w:t xml:space="preserve"> GLA Projections 2013 </w:t>
      </w:r>
      <w:r>
        <w:t>(</w:t>
      </w:r>
      <w:r w:rsidRPr="005D3C22">
        <w:t>Preferred Option Projections</w:t>
      </w:r>
      <w:r>
        <w:t>)</w:t>
      </w:r>
    </w:p>
    <w:p w:rsidR="00A9706E" w:rsidRDefault="00A9706E" w:rsidP="00A9706E">
      <w:pPr>
        <w:pStyle w:val="Heading2"/>
      </w:pPr>
      <w:bookmarkStart w:id="407" w:name="_Toc426723298"/>
      <w:bookmarkStart w:id="408" w:name="_Toc431225125"/>
      <w:r>
        <w:t>Age and Gender Structure</w:t>
      </w:r>
      <w:bookmarkEnd w:id="407"/>
      <w:bookmarkEnd w:id="408"/>
    </w:p>
    <w:p w:rsidR="00A9706E" w:rsidRPr="0077460B" w:rsidRDefault="00A9706E" w:rsidP="00A9706E">
      <w:pPr>
        <w:jc w:val="both"/>
      </w:pPr>
      <w:r>
        <w:t xml:space="preserve">This section of the report looks at the population of Barnet by age and gender. Ages are broken up by broad age categories (0-15, 16-64 and 65+); and by five year age bands. </w:t>
      </w:r>
    </w:p>
    <w:p w:rsidR="00A9706E" w:rsidRPr="00B42512" w:rsidRDefault="00A9706E" w:rsidP="00A9706E">
      <w:pPr>
        <w:jc w:val="both"/>
        <w:rPr>
          <w:rFonts w:ascii="Calibri" w:hAnsi="Calibri" w:cs="Calibri"/>
          <w:b/>
          <w:i/>
        </w:rPr>
      </w:pPr>
      <w:r>
        <w:rPr>
          <w:rFonts w:ascii="Calibri" w:hAnsi="Calibri" w:cs="Calibri"/>
        </w:rPr>
        <w:t xml:space="preserve">The overall Barnet distribution by age group is displayed is shown in Table 2-5 below. When viewed by broad age band, Barnet has a similar population profile to Outer London. Whereas, when compared to the United Kingdom, Barnet and Outer London have a higher rate of people within the 0-15 category and a lower proportion of people in the 65 and over category. The differences in these age structures is further emphasised when broken down by five year age band, as shown in </w:t>
      </w:r>
      <w:r w:rsidR="003062FC">
        <w:rPr>
          <w:rFonts w:ascii="Calibri" w:hAnsi="Calibri" w:cs="Calibri"/>
        </w:rPr>
        <w:t>Table</w:t>
      </w:r>
      <w:r>
        <w:rPr>
          <w:rFonts w:ascii="Calibri" w:hAnsi="Calibri" w:cs="Calibri"/>
        </w:rPr>
        <w:t xml:space="preserve"> 2-5.</w:t>
      </w:r>
    </w:p>
    <w:p w:rsidR="00A9706E" w:rsidRPr="00533D2A" w:rsidRDefault="00A9706E" w:rsidP="00A9706E">
      <w:pPr>
        <w:pStyle w:val="Caption"/>
        <w:keepNext/>
        <w:rPr>
          <w:rFonts w:ascii="Calibri" w:hAnsi="Calibri" w:cs="Calibri"/>
          <w:b w:val="0"/>
          <w:i/>
        </w:rPr>
      </w:pPr>
      <w:r>
        <w:t xml:space="preserve">Table </w:t>
      </w:r>
      <w:fldSimple w:instr=" STYLEREF 1 \s ">
        <w:r w:rsidR="001663C2">
          <w:rPr>
            <w:noProof/>
          </w:rPr>
          <w:t>2</w:t>
        </w:r>
      </w:fldSimple>
      <w:r>
        <w:noBreakHyphen/>
      </w:r>
      <w:fldSimple w:instr=" SEQ Table \* ARABIC \s 1 ">
        <w:r w:rsidR="001663C2">
          <w:rPr>
            <w:noProof/>
          </w:rPr>
          <w:t>5</w:t>
        </w:r>
      </w:fldSimple>
      <w:r>
        <w:t xml:space="preserve">: </w:t>
      </w:r>
      <w:r w:rsidRPr="004E7E79">
        <w:t>Population 2015, by Broad Age Group (Barnet, Regional and National)</w:t>
      </w:r>
    </w:p>
    <w:tbl>
      <w:tblPr>
        <w:tblW w:w="9160" w:type="dxa"/>
        <w:tblInd w:w="93" w:type="dxa"/>
        <w:tblLook w:val="04A0" w:firstRow="1" w:lastRow="0" w:firstColumn="1" w:lastColumn="0" w:noHBand="0" w:noVBand="1"/>
      </w:tblPr>
      <w:tblGrid>
        <w:gridCol w:w="1300"/>
        <w:gridCol w:w="1400"/>
        <w:gridCol w:w="1220"/>
        <w:gridCol w:w="1400"/>
        <w:gridCol w:w="1220"/>
        <w:gridCol w:w="1400"/>
        <w:gridCol w:w="1220"/>
      </w:tblGrid>
      <w:tr w:rsidR="00A9706E" w:rsidRPr="00C43210" w:rsidTr="00031B92">
        <w:trPr>
          <w:trHeight w:val="300"/>
        </w:trPr>
        <w:tc>
          <w:tcPr>
            <w:tcW w:w="1300" w:type="dxa"/>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noWrap/>
            <w:vAlign w:val="center"/>
            <w:hideMark/>
          </w:tcPr>
          <w:p w:rsidR="00A9706E" w:rsidRPr="00C43210" w:rsidRDefault="00A9706E" w:rsidP="00031B92">
            <w:pPr>
              <w:spacing w:after="0" w:line="240" w:lineRule="auto"/>
              <w:jc w:val="center"/>
              <w:rPr>
                <w:rFonts w:ascii="Calibri" w:eastAsia="Times New Roman" w:hAnsi="Calibri" w:cs="Times New Roman"/>
                <w:b/>
                <w:bCs/>
                <w:color w:val="000000"/>
                <w:lang w:eastAsia="en-GB"/>
              </w:rPr>
            </w:pPr>
            <w:r w:rsidRPr="00C43210">
              <w:rPr>
                <w:rFonts w:ascii="Calibri" w:eastAsia="Times New Roman" w:hAnsi="Calibri" w:cs="Times New Roman"/>
                <w:b/>
                <w:bCs/>
                <w:color w:val="000000"/>
                <w:lang w:eastAsia="en-GB"/>
              </w:rPr>
              <w:t>Age</w:t>
            </w:r>
          </w:p>
        </w:tc>
        <w:tc>
          <w:tcPr>
            <w:tcW w:w="2620" w:type="dxa"/>
            <w:gridSpan w:val="2"/>
            <w:tcBorders>
              <w:top w:val="single" w:sz="4" w:space="0" w:color="auto"/>
              <w:left w:val="nil"/>
              <w:bottom w:val="single" w:sz="4" w:space="0" w:color="auto"/>
              <w:right w:val="single" w:sz="4" w:space="0" w:color="auto"/>
            </w:tcBorders>
            <w:shd w:val="clear" w:color="auto" w:fill="BFBFBF" w:themeFill="background1" w:themeFillShade="BF"/>
            <w:noWrap/>
            <w:vAlign w:val="bottom"/>
            <w:hideMark/>
          </w:tcPr>
          <w:p w:rsidR="00A9706E" w:rsidRPr="00C43210" w:rsidRDefault="00A9706E" w:rsidP="00031B92">
            <w:pPr>
              <w:spacing w:after="0" w:line="240" w:lineRule="auto"/>
              <w:jc w:val="center"/>
              <w:rPr>
                <w:rFonts w:ascii="Calibri" w:eastAsia="Times New Roman" w:hAnsi="Calibri" w:cs="Times New Roman"/>
                <w:b/>
                <w:bCs/>
                <w:color w:val="000000"/>
                <w:lang w:eastAsia="en-GB"/>
              </w:rPr>
            </w:pPr>
            <w:r w:rsidRPr="00C43210">
              <w:rPr>
                <w:rFonts w:ascii="Calibri" w:eastAsia="Times New Roman" w:hAnsi="Calibri" w:cs="Times New Roman"/>
                <w:b/>
                <w:bCs/>
                <w:color w:val="000000"/>
                <w:lang w:eastAsia="en-GB"/>
              </w:rPr>
              <w:t>All Persons</w:t>
            </w:r>
          </w:p>
        </w:tc>
        <w:tc>
          <w:tcPr>
            <w:tcW w:w="2620" w:type="dxa"/>
            <w:gridSpan w:val="2"/>
            <w:tcBorders>
              <w:top w:val="single" w:sz="4" w:space="0" w:color="auto"/>
              <w:left w:val="nil"/>
              <w:bottom w:val="single" w:sz="4" w:space="0" w:color="auto"/>
              <w:right w:val="single" w:sz="4" w:space="0" w:color="auto"/>
            </w:tcBorders>
            <w:shd w:val="clear" w:color="auto" w:fill="BFBFBF" w:themeFill="background1" w:themeFillShade="BF"/>
            <w:noWrap/>
            <w:vAlign w:val="bottom"/>
            <w:hideMark/>
          </w:tcPr>
          <w:p w:rsidR="00A9706E" w:rsidRPr="00C43210" w:rsidRDefault="00A9706E" w:rsidP="00031B92">
            <w:pPr>
              <w:spacing w:after="0" w:line="240" w:lineRule="auto"/>
              <w:jc w:val="center"/>
              <w:rPr>
                <w:rFonts w:ascii="Calibri" w:eastAsia="Times New Roman" w:hAnsi="Calibri" w:cs="Times New Roman"/>
                <w:b/>
                <w:bCs/>
                <w:color w:val="000000"/>
                <w:lang w:eastAsia="en-GB"/>
              </w:rPr>
            </w:pPr>
            <w:r w:rsidRPr="00C43210">
              <w:rPr>
                <w:rFonts w:ascii="Calibri" w:eastAsia="Times New Roman" w:hAnsi="Calibri" w:cs="Times New Roman"/>
                <w:b/>
                <w:bCs/>
                <w:color w:val="000000"/>
                <w:lang w:eastAsia="en-GB"/>
              </w:rPr>
              <w:t>Outer London</w:t>
            </w:r>
          </w:p>
        </w:tc>
        <w:tc>
          <w:tcPr>
            <w:tcW w:w="2620" w:type="dxa"/>
            <w:gridSpan w:val="2"/>
            <w:tcBorders>
              <w:top w:val="single" w:sz="4" w:space="0" w:color="auto"/>
              <w:left w:val="nil"/>
              <w:bottom w:val="single" w:sz="4" w:space="0" w:color="auto"/>
              <w:right w:val="single" w:sz="4" w:space="0" w:color="auto"/>
            </w:tcBorders>
            <w:shd w:val="clear" w:color="auto" w:fill="BFBFBF" w:themeFill="background1" w:themeFillShade="BF"/>
            <w:noWrap/>
            <w:vAlign w:val="bottom"/>
            <w:hideMark/>
          </w:tcPr>
          <w:p w:rsidR="00A9706E" w:rsidRPr="00C43210" w:rsidRDefault="00A9706E" w:rsidP="00031B92">
            <w:pPr>
              <w:spacing w:after="0" w:line="240" w:lineRule="auto"/>
              <w:jc w:val="center"/>
              <w:rPr>
                <w:rFonts w:ascii="Calibri" w:eastAsia="Times New Roman" w:hAnsi="Calibri" w:cs="Times New Roman"/>
                <w:b/>
                <w:bCs/>
                <w:color w:val="000000"/>
                <w:lang w:eastAsia="en-GB"/>
              </w:rPr>
            </w:pPr>
            <w:r w:rsidRPr="00C43210">
              <w:rPr>
                <w:rFonts w:ascii="Calibri" w:eastAsia="Times New Roman" w:hAnsi="Calibri" w:cs="Times New Roman"/>
                <w:b/>
                <w:bCs/>
                <w:color w:val="000000"/>
                <w:lang w:eastAsia="en-GB"/>
              </w:rPr>
              <w:t>United Kingdom</w:t>
            </w:r>
          </w:p>
        </w:tc>
      </w:tr>
      <w:tr w:rsidR="00A9706E" w:rsidRPr="00C43210" w:rsidTr="00031B92">
        <w:trPr>
          <w:trHeight w:val="300"/>
        </w:trPr>
        <w:tc>
          <w:tcPr>
            <w:tcW w:w="1300" w:type="dxa"/>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rsidR="00A9706E" w:rsidRPr="00C43210" w:rsidRDefault="00A9706E" w:rsidP="00031B92">
            <w:pPr>
              <w:spacing w:after="0" w:line="240" w:lineRule="auto"/>
              <w:jc w:val="center"/>
              <w:rPr>
                <w:rFonts w:ascii="Calibri" w:eastAsia="Times New Roman" w:hAnsi="Calibri" w:cs="Times New Roman"/>
                <w:b/>
                <w:bCs/>
                <w:color w:val="000000"/>
                <w:lang w:eastAsia="en-GB"/>
              </w:rPr>
            </w:pPr>
          </w:p>
        </w:tc>
        <w:tc>
          <w:tcPr>
            <w:tcW w:w="1400" w:type="dxa"/>
            <w:tcBorders>
              <w:top w:val="nil"/>
              <w:left w:val="nil"/>
              <w:bottom w:val="single" w:sz="4" w:space="0" w:color="auto"/>
              <w:right w:val="single" w:sz="4" w:space="0" w:color="auto"/>
            </w:tcBorders>
            <w:shd w:val="clear" w:color="auto" w:fill="BFBFBF" w:themeFill="background1" w:themeFillShade="BF"/>
            <w:noWrap/>
            <w:vAlign w:val="bottom"/>
            <w:hideMark/>
          </w:tcPr>
          <w:p w:rsidR="00A9706E" w:rsidRPr="00C43210" w:rsidRDefault="00A9706E" w:rsidP="00031B92">
            <w:pPr>
              <w:spacing w:after="0" w:line="240" w:lineRule="auto"/>
              <w:jc w:val="center"/>
              <w:rPr>
                <w:rFonts w:ascii="Calibri" w:eastAsia="Times New Roman" w:hAnsi="Calibri" w:cs="Times New Roman"/>
                <w:b/>
                <w:bCs/>
                <w:color w:val="000000"/>
                <w:lang w:eastAsia="en-GB"/>
              </w:rPr>
            </w:pPr>
            <w:r w:rsidRPr="00C43210">
              <w:rPr>
                <w:rFonts w:ascii="Calibri" w:eastAsia="Times New Roman" w:hAnsi="Calibri" w:cs="Times New Roman"/>
                <w:b/>
                <w:bCs/>
                <w:color w:val="000000"/>
                <w:lang w:eastAsia="en-GB"/>
              </w:rPr>
              <w:t>No. of People</w:t>
            </w:r>
          </w:p>
        </w:tc>
        <w:tc>
          <w:tcPr>
            <w:tcW w:w="1220" w:type="dxa"/>
            <w:tcBorders>
              <w:top w:val="nil"/>
              <w:left w:val="nil"/>
              <w:bottom w:val="single" w:sz="4" w:space="0" w:color="auto"/>
              <w:right w:val="single" w:sz="4" w:space="0" w:color="auto"/>
            </w:tcBorders>
            <w:shd w:val="clear" w:color="auto" w:fill="BFBFBF" w:themeFill="background1" w:themeFillShade="BF"/>
            <w:noWrap/>
            <w:vAlign w:val="bottom"/>
            <w:hideMark/>
          </w:tcPr>
          <w:p w:rsidR="00A9706E" w:rsidRPr="00C43210" w:rsidRDefault="00A9706E" w:rsidP="00031B92">
            <w:pPr>
              <w:spacing w:after="0" w:line="240" w:lineRule="auto"/>
              <w:jc w:val="center"/>
              <w:rPr>
                <w:rFonts w:ascii="Calibri" w:eastAsia="Times New Roman" w:hAnsi="Calibri" w:cs="Times New Roman"/>
                <w:b/>
                <w:bCs/>
                <w:color w:val="000000"/>
                <w:lang w:eastAsia="en-GB"/>
              </w:rPr>
            </w:pPr>
            <w:r w:rsidRPr="00C43210">
              <w:rPr>
                <w:rFonts w:ascii="Calibri" w:eastAsia="Times New Roman" w:hAnsi="Calibri" w:cs="Times New Roman"/>
                <w:b/>
                <w:bCs/>
                <w:color w:val="000000"/>
                <w:lang w:eastAsia="en-GB"/>
              </w:rPr>
              <w:t>% of People</w:t>
            </w:r>
          </w:p>
        </w:tc>
        <w:tc>
          <w:tcPr>
            <w:tcW w:w="1400" w:type="dxa"/>
            <w:tcBorders>
              <w:top w:val="nil"/>
              <w:left w:val="nil"/>
              <w:bottom w:val="single" w:sz="4" w:space="0" w:color="auto"/>
              <w:right w:val="single" w:sz="4" w:space="0" w:color="auto"/>
            </w:tcBorders>
            <w:shd w:val="clear" w:color="auto" w:fill="BFBFBF" w:themeFill="background1" w:themeFillShade="BF"/>
            <w:noWrap/>
            <w:vAlign w:val="bottom"/>
            <w:hideMark/>
          </w:tcPr>
          <w:p w:rsidR="00A9706E" w:rsidRPr="00C43210" w:rsidRDefault="00A9706E" w:rsidP="00031B92">
            <w:pPr>
              <w:spacing w:after="0" w:line="240" w:lineRule="auto"/>
              <w:jc w:val="center"/>
              <w:rPr>
                <w:rFonts w:ascii="Calibri" w:eastAsia="Times New Roman" w:hAnsi="Calibri" w:cs="Times New Roman"/>
                <w:b/>
                <w:bCs/>
                <w:color w:val="000000"/>
                <w:lang w:eastAsia="en-GB"/>
              </w:rPr>
            </w:pPr>
            <w:r w:rsidRPr="00C43210">
              <w:rPr>
                <w:rFonts w:ascii="Calibri" w:eastAsia="Times New Roman" w:hAnsi="Calibri" w:cs="Times New Roman"/>
                <w:b/>
                <w:bCs/>
                <w:color w:val="000000"/>
                <w:lang w:eastAsia="en-GB"/>
              </w:rPr>
              <w:t>No. of People</w:t>
            </w:r>
          </w:p>
        </w:tc>
        <w:tc>
          <w:tcPr>
            <w:tcW w:w="1220" w:type="dxa"/>
            <w:tcBorders>
              <w:top w:val="nil"/>
              <w:left w:val="nil"/>
              <w:bottom w:val="single" w:sz="4" w:space="0" w:color="auto"/>
              <w:right w:val="single" w:sz="4" w:space="0" w:color="auto"/>
            </w:tcBorders>
            <w:shd w:val="clear" w:color="auto" w:fill="BFBFBF" w:themeFill="background1" w:themeFillShade="BF"/>
            <w:noWrap/>
            <w:vAlign w:val="bottom"/>
            <w:hideMark/>
          </w:tcPr>
          <w:p w:rsidR="00A9706E" w:rsidRPr="00C43210" w:rsidRDefault="00A9706E" w:rsidP="00031B92">
            <w:pPr>
              <w:spacing w:after="0" w:line="240" w:lineRule="auto"/>
              <w:jc w:val="center"/>
              <w:rPr>
                <w:rFonts w:ascii="Calibri" w:eastAsia="Times New Roman" w:hAnsi="Calibri" w:cs="Times New Roman"/>
                <w:b/>
                <w:bCs/>
                <w:color w:val="000000"/>
                <w:lang w:eastAsia="en-GB"/>
              </w:rPr>
            </w:pPr>
            <w:r w:rsidRPr="00C43210">
              <w:rPr>
                <w:rFonts w:ascii="Calibri" w:eastAsia="Times New Roman" w:hAnsi="Calibri" w:cs="Times New Roman"/>
                <w:b/>
                <w:bCs/>
                <w:color w:val="000000"/>
                <w:lang w:eastAsia="en-GB"/>
              </w:rPr>
              <w:t>% of People</w:t>
            </w:r>
          </w:p>
        </w:tc>
        <w:tc>
          <w:tcPr>
            <w:tcW w:w="1400" w:type="dxa"/>
            <w:tcBorders>
              <w:top w:val="nil"/>
              <w:left w:val="nil"/>
              <w:bottom w:val="single" w:sz="4" w:space="0" w:color="auto"/>
              <w:right w:val="single" w:sz="4" w:space="0" w:color="auto"/>
            </w:tcBorders>
            <w:shd w:val="clear" w:color="auto" w:fill="BFBFBF" w:themeFill="background1" w:themeFillShade="BF"/>
            <w:noWrap/>
            <w:vAlign w:val="bottom"/>
            <w:hideMark/>
          </w:tcPr>
          <w:p w:rsidR="00A9706E" w:rsidRPr="00C43210" w:rsidRDefault="00A9706E" w:rsidP="00031B92">
            <w:pPr>
              <w:spacing w:after="0" w:line="240" w:lineRule="auto"/>
              <w:jc w:val="center"/>
              <w:rPr>
                <w:rFonts w:ascii="Calibri" w:eastAsia="Times New Roman" w:hAnsi="Calibri" w:cs="Times New Roman"/>
                <w:b/>
                <w:bCs/>
                <w:color w:val="000000"/>
                <w:lang w:eastAsia="en-GB"/>
              </w:rPr>
            </w:pPr>
            <w:r w:rsidRPr="00C43210">
              <w:rPr>
                <w:rFonts w:ascii="Calibri" w:eastAsia="Times New Roman" w:hAnsi="Calibri" w:cs="Times New Roman"/>
                <w:b/>
                <w:bCs/>
                <w:color w:val="000000"/>
                <w:lang w:eastAsia="en-GB"/>
              </w:rPr>
              <w:t>No. of People</w:t>
            </w:r>
          </w:p>
        </w:tc>
        <w:tc>
          <w:tcPr>
            <w:tcW w:w="1220" w:type="dxa"/>
            <w:tcBorders>
              <w:top w:val="nil"/>
              <w:left w:val="nil"/>
              <w:bottom w:val="single" w:sz="4" w:space="0" w:color="auto"/>
              <w:right w:val="single" w:sz="4" w:space="0" w:color="auto"/>
            </w:tcBorders>
            <w:shd w:val="clear" w:color="auto" w:fill="BFBFBF" w:themeFill="background1" w:themeFillShade="BF"/>
            <w:noWrap/>
            <w:vAlign w:val="bottom"/>
            <w:hideMark/>
          </w:tcPr>
          <w:p w:rsidR="00A9706E" w:rsidRPr="00C43210" w:rsidRDefault="00A9706E" w:rsidP="00031B92">
            <w:pPr>
              <w:spacing w:after="0" w:line="240" w:lineRule="auto"/>
              <w:jc w:val="center"/>
              <w:rPr>
                <w:rFonts w:ascii="Calibri" w:eastAsia="Times New Roman" w:hAnsi="Calibri" w:cs="Times New Roman"/>
                <w:b/>
                <w:bCs/>
                <w:color w:val="000000"/>
                <w:lang w:eastAsia="en-GB"/>
              </w:rPr>
            </w:pPr>
            <w:r w:rsidRPr="00C43210">
              <w:rPr>
                <w:rFonts w:ascii="Calibri" w:eastAsia="Times New Roman" w:hAnsi="Calibri" w:cs="Times New Roman"/>
                <w:b/>
                <w:bCs/>
                <w:color w:val="000000"/>
                <w:lang w:eastAsia="en-GB"/>
              </w:rPr>
              <w:t>% of People</w:t>
            </w:r>
          </w:p>
        </w:tc>
      </w:tr>
      <w:tr w:rsidR="00A9706E" w:rsidRPr="00C43210" w:rsidTr="00031B92">
        <w:trPr>
          <w:trHeight w:val="300"/>
        </w:trPr>
        <w:tc>
          <w:tcPr>
            <w:tcW w:w="1300" w:type="dxa"/>
            <w:tcBorders>
              <w:top w:val="nil"/>
              <w:left w:val="single" w:sz="4" w:space="0" w:color="auto"/>
              <w:bottom w:val="single" w:sz="4" w:space="0" w:color="auto"/>
              <w:right w:val="single" w:sz="4" w:space="0" w:color="auto"/>
            </w:tcBorders>
            <w:shd w:val="clear" w:color="auto" w:fill="auto"/>
            <w:noWrap/>
            <w:vAlign w:val="center"/>
            <w:hideMark/>
          </w:tcPr>
          <w:p w:rsidR="00A9706E" w:rsidRPr="00C43210" w:rsidRDefault="00A9706E" w:rsidP="00031B92">
            <w:pPr>
              <w:spacing w:after="0" w:line="240" w:lineRule="auto"/>
              <w:jc w:val="center"/>
              <w:rPr>
                <w:rFonts w:ascii="Calibri" w:eastAsia="Times New Roman" w:hAnsi="Calibri" w:cs="Times New Roman"/>
                <w:b/>
                <w:bCs/>
                <w:color w:val="000000"/>
                <w:lang w:eastAsia="en-GB"/>
              </w:rPr>
            </w:pPr>
            <w:r w:rsidRPr="00C43210">
              <w:rPr>
                <w:rFonts w:ascii="Calibri" w:eastAsia="Times New Roman" w:hAnsi="Calibri" w:cs="Times New Roman"/>
                <w:b/>
                <w:bCs/>
                <w:color w:val="000000"/>
                <w:lang w:eastAsia="en-GB"/>
              </w:rPr>
              <w:t>0 - 15</w:t>
            </w:r>
          </w:p>
        </w:tc>
        <w:tc>
          <w:tcPr>
            <w:tcW w:w="1400" w:type="dxa"/>
            <w:tcBorders>
              <w:top w:val="nil"/>
              <w:left w:val="nil"/>
              <w:bottom w:val="single" w:sz="4" w:space="0" w:color="auto"/>
              <w:right w:val="single" w:sz="4" w:space="0" w:color="auto"/>
            </w:tcBorders>
            <w:shd w:val="clear" w:color="auto" w:fill="auto"/>
            <w:noWrap/>
            <w:vAlign w:val="center"/>
            <w:hideMark/>
          </w:tcPr>
          <w:p w:rsidR="00A9706E" w:rsidRPr="00C43210" w:rsidRDefault="00A9706E" w:rsidP="00031B92">
            <w:pPr>
              <w:spacing w:after="0" w:line="240" w:lineRule="auto"/>
              <w:jc w:val="center"/>
              <w:rPr>
                <w:rFonts w:ascii="Calibri" w:eastAsia="Times New Roman" w:hAnsi="Calibri" w:cs="Times New Roman"/>
                <w:color w:val="000000"/>
                <w:lang w:eastAsia="en-GB"/>
              </w:rPr>
            </w:pPr>
            <w:r w:rsidRPr="00C43210">
              <w:rPr>
                <w:rFonts w:ascii="Calibri" w:eastAsia="Times New Roman" w:hAnsi="Calibri" w:cs="Times New Roman"/>
                <w:color w:val="000000"/>
                <w:lang w:eastAsia="en-GB"/>
              </w:rPr>
              <w:t>77,789</w:t>
            </w:r>
          </w:p>
        </w:tc>
        <w:tc>
          <w:tcPr>
            <w:tcW w:w="1220" w:type="dxa"/>
            <w:tcBorders>
              <w:top w:val="nil"/>
              <w:left w:val="nil"/>
              <w:bottom w:val="single" w:sz="4" w:space="0" w:color="auto"/>
              <w:right w:val="single" w:sz="4" w:space="0" w:color="auto"/>
            </w:tcBorders>
            <w:shd w:val="clear" w:color="auto" w:fill="auto"/>
            <w:noWrap/>
            <w:vAlign w:val="center"/>
            <w:hideMark/>
          </w:tcPr>
          <w:p w:rsidR="00A9706E" w:rsidRPr="00C43210" w:rsidRDefault="00A9706E" w:rsidP="00031B92">
            <w:pPr>
              <w:spacing w:after="0" w:line="240" w:lineRule="auto"/>
              <w:jc w:val="center"/>
              <w:rPr>
                <w:rFonts w:ascii="Calibri" w:eastAsia="Times New Roman" w:hAnsi="Calibri" w:cs="Times New Roman"/>
                <w:color w:val="000000"/>
                <w:lang w:eastAsia="en-GB"/>
              </w:rPr>
            </w:pPr>
            <w:r w:rsidRPr="00C43210">
              <w:rPr>
                <w:rFonts w:ascii="Calibri" w:eastAsia="Times New Roman" w:hAnsi="Calibri" w:cs="Times New Roman"/>
                <w:color w:val="000000"/>
                <w:lang w:eastAsia="en-GB"/>
              </w:rPr>
              <w:t>21.2%</w:t>
            </w:r>
          </w:p>
        </w:tc>
        <w:tc>
          <w:tcPr>
            <w:tcW w:w="1400" w:type="dxa"/>
            <w:tcBorders>
              <w:top w:val="nil"/>
              <w:left w:val="nil"/>
              <w:bottom w:val="single" w:sz="4" w:space="0" w:color="auto"/>
              <w:right w:val="single" w:sz="4" w:space="0" w:color="auto"/>
            </w:tcBorders>
            <w:shd w:val="clear" w:color="auto" w:fill="auto"/>
            <w:noWrap/>
            <w:vAlign w:val="center"/>
            <w:hideMark/>
          </w:tcPr>
          <w:p w:rsidR="00A9706E" w:rsidRPr="00C43210" w:rsidRDefault="00A9706E" w:rsidP="00031B92">
            <w:pPr>
              <w:spacing w:after="0" w:line="240" w:lineRule="auto"/>
              <w:jc w:val="center"/>
              <w:rPr>
                <w:rFonts w:ascii="Calibri" w:eastAsia="Times New Roman" w:hAnsi="Calibri" w:cs="Times New Roman"/>
                <w:color w:val="000000"/>
                <w:lang w:eastAsia="en-GB"/>
              </w:rPr>
            </w:pPr>
            <w:r w:rsidRPr="00C43210">
              <w:rPr>
                <w:rFonts w:ascii="Calibri" w:eastAsia="Times New Roman" w:hAnsi="Calibri" w:cs="Times New Roman"/>
                <w:color w:val="000000"/>
                <w:lang w:eastAsia="en-GB"/>
              </w:rPr>
              <w:t>1,075,500</w:t>
            </w:r>
          </w:p>
        </w:tc>
        <w:tc>
          <w:tcPr>
            <w:tcW w:w="1220" w:type="dxa"/>
            <w:tcBorders>
              <w:top w:val="nil"/>
              <w:left w:val="nil"/>
              <w:bottom w:val="single" w:sz="4" w:space="0" w:color="auto"/>
              <w:right w:val="single" w:sz="4" w:space="0" w:color="auto"/>
            </w:tcBorders>
            <w:shd w:val="clear" w:color="auto" w:fill="auto"/>
            <w:noWrap/>
            <w:vAlign w:val="center"/>
            <w:hideMark/>
          </w:tcPr>
          <w:p w:rsidR="00A9706E" w:rsidRPr="00C43210" w:rsidRDefault="00A9706E" w:rsidP="00031B92">
            <w:pPr>
              <w:spacing w:after="0" w:line="240" w:lineRule="auto"/>
              <w:jc w:val="center"/>
              <w:rPr>
                <w:rFonts w:ascii="Calibri" w:eastAsia="Times New Roman" w:hAnsi="Calibri" w:cs="Times New Roman"/>
                <w:color w:val="000000"/>
                <w:lang w:eastAsia="en-GB"/>
              </w:rPr>
            </w:pPr>
            <w:r w:rsidRPr="00C43210">
              <w:rPr>
                <w:rFonts w:ascii="Calibri" w:eastAsia="Times New Roman" w:hAnsi="Calibri" w:cs="Times New Roman"/>
                <w:color w:val="000000"/>
                <w:lang w:eastAsia="en-GB"/>
              </w:rPr>
              <w:t>21.2%</w:t>
            </w:r>
          </w:p>
        </w:tc>
        <w:tc>
          <w:tcPr>
            <w:tcW w:w="1400" w:type="dxa"/>
            <w:tcBorders>
              <w:top w:val="nil"/>
              <w:left w:val="nil"/>
              <w:bottom w:val="single" w:sz="4" w:space="0" w:color="auto"/>
              <w:right w:val="single" w:sz="4" w:space="0" w:color="auto"/>
            </w:tcBorders>
            <w:shd w:val="clear" w:color="auto" w:fill="auto"/>
            <w:noWrap/>
            <w:vAlign w:val="center"/>
            <w:hideMark/>
          </w:tcPr>
          <w:p w:rsidR="00A9706E" w:rsidRPr="00C43210" w:rsidRDefault="00A9706E" w:rsidP="00031B92">
            <w:pPr>
              <w:spacing w:after="0" w:line="240" w:lineRule="auto"/>
              <w:jc w:val="center"/>
              <w:rPr>
                <w:rFonts w:ascii="Calibri" w:eastAsia="Times New Roman" w:hAnsi="Calibri" w:cs="Times New Roman"/>
                <w:color w:val="000000"/>
                <w:lang w:eastAsia="en-GB"/>
              </w:rPr>
            </w:pPr>
            <w:r w:rsidRPr="00C43210">
              <w:rPr>
                <w:rFonts w:ascii="Calibri" w:eastAsia="Times New Roman" w:hAnsi="Calibri" w:cs="Times New Roman"/>
                <w:color w:val="000000"/>
                <w:lang w:eastAsia="en-GB"/>
              </w:rPr>
              <w:t>12,058,700</w:t>
            </w:r>
          </w:p>
        </w:tc>
        <w:tc>
          <w:tcPr>
            <w:tcW w:w="1220" w:type="dxa"/>
            <w:tcBorders>
              <w:top w:val="nil"/>
              <w:left w:val="nil"/>
              <w:bottom w:val="single" w:sz="4" w:space="0" w:color="auto"/>
              <w:right w:val="single" w:sz="4" w:space="0" w:color="auto"/>
            </w:tcBorders>
            <w:shd w:val="clear" w:color="auto" w:fill="auto"/>
            <w:noWrap/>
            <w:vAlign w:val="center"/>
            <w:hideMark/>
          </w:tcPr>
          <w:p w:rsidR="00A9706E" w:rsidRPr="00C43210" w:rsidRDefault="00A9706E" w:rsidP="00031B92">
            <w:pPr>
              <w:spacing w:after="0" w:line="240" w:lineRule="auto"/>
              <w:jc w:val="center"/>
              <w:rPr>
                <w:rFonts w:ascii="Calibri" w:eastAsia="Times New Roman" w:hAnsi="Calibri" w:cs="Times New Roman"/>
                <w:color w:val="000000"/>
                <w:lang w:eastAsia="en-GB"/>
              </w:rPr>
            </w:pPr>
            <w:r w:rsidRPr="00C43210">
              <w:rPr>
                <w:rFonts w:ascii="Calibri" w:eastAsia="Times New Roman" w:hAnsi="Calibri" w:cs="Times New Roman"/>
                <w:color w:val="000000"/>
                <w:lang w:eastAsia="en-GB"/>
              </w:rPr>
              <w:t>18.8%</w:t>
            </w:r>
          </w:p>
        </w:tc>
      </w:tr>
      <w:tr w:rsidR="00A9706E" w:rsidRPr="00C43210" w:rsidTr="00031B92">
        <w:trPr>
          <w:trHeight w:val="300"/>
        </w:trPr>
        <w:tc>
          <w:tcPr>
            <w:tcW w:w="1300" w:type="dxa"/>
            <w:tcBorders>
              <w:top w:val="nil"/>
              <w:left w:val="single" w:sz="4" w:space="0" w:color="auto"/>
              <w:bottom w:val="single" w:sz="4" w:space="0" w:color="auto"/>
              <w:right w:val="single" w:sz="4" w:space="0" w:color="auto"/>
            </w:tcBorders>
            <w:shd w:val="clear" w:color="auto" w:fill="auto"/>
            <w:noWrap/>
            <w:vAlign w:val="center"/>
            <w:hideMark/>
          </w:tcPr>
          <w:p w:rsidR="00A9706E" w:rsidRPr="00C43210" w:rsidRDefault="00A9706E" w:rsidP="00031B92">
            <w:pPr>
              <w:spacing w:after="0" w:line="240" w:lineRule="auto"/>
              <w:jc w:val="center"/>
              <w:rPr>
                <w:rFonts w:ascii="Calibri" w:eastAsia="Times New Roman" w:hAnsi="Calibri" w:cs="Times New Roman"/>
                <w:b/>
                <w:bCs/>
                <w:color w:val="000000"/>
                <w:lang w:eastAsia="en-GB"/>
              </w:rPr>
            </w:pPr>
            <w:r w:rsidRPr="00C43210">
              <w:rPr>
                <w:rFonts w:ascii="Calibri" w:eastAsia="Times New Roman" w:hAnsi="Calibri" w:cs="Times New Roman"/>
                <w:b/>
                <w:bCs/>
                <w:color w:val="000000"/>
                <w:lang w:eastAsia="en-GB"/>
              </w:rPr>
              <w:t>16 - 64</w:t>
            </w:r>
          </w:p>
        </w:tc>
        <w:tc>
          <w:tcPr>
            <w:tcW w:w="1400" w:type="dxa"/>
            <w:tcBorders>
              <w:top w:val="nil"/>
              <w:left w:val="nil"/>
              <w:bottom w:val="single" w:sz="4" w:space="0" w:color="auto"/>
              <w:right w:val="single" w:sz="4" w:space="0" w:color="auto"/>
            </w:tcBorders>
            <w:shd w:val="clear" w:color="auto" w:fill="auto"/>
            <w:noWrap/>
            <w:vAlign w:val="center"/>
            <w:hideMark/>
          </w:tcPr>
          <w:p w:rsidR="00A9706E" w:rsidRPr="00C43210" w:rsidRDefault="00A9706E" w:rsidP="00031B92">
            <w:pPr>
              <w:spacing w:after="0" w:line="240" w:lineRule="auto"/>
              <w:jc w:val="center"/>
              <w:rPr>
                <w:rFonts w:ascii="Calibri" w:eastAsia="Times New Roman" w:hAnsi="Calibri" w:cs="Times New Roman"/>
                <w:color w:val="000000"/>
                <w:lang w:eastAsia="en-GB"/>
              </w:rPr>
            </w:pPr>
            <w:r w:rsidRPr="00C43210">
              <w:rPr>
                <w:rFonts w:ascii="Calibri" w:eastAsia="Times New Roman" w:hAnsi="Calibri" w:cs="Times New Roman"/>
                <w:color w:val="000000"/>
                <w:lang w:eastAsia="en-GB"/>
              </w:rPr>
              <w:t>237,901</w:t>
            </w:r>
          </w:p>
        </w:tc>
        <w:tc>
          <w:tcPr>
            <w:tcW w:w="1220" w:type="dxa"/>
            <w:tcBorders>
              <w:top w:val="nil"/>
              <w:left w:val="nil"/>
              <w:bottom w:val="single" w:sz="4" w:space="0" w:color="auto"/>
              <w:right w:val="single" w:sz="4" w:space="0" w:color="auto"/>
            </w:tcBorders>
            <w:shd w:val="clear" w:color="auto" w:fill="auto"/>
            <w:noWrap/>
            <w:vAlign w:val="center"/>
            <w:hideMark/>
          </w:tcPr>
          <w:p w:rsidR="00A9706E" w:rsidRPr="00C43210" w:rsidRDefault="00A9706E" w:rsidP="00031B92">
            <w:pPr>
              <w:spacing w:after="0" w:line="240" w:lineRule="auto"/>
              <w:jc w:val="center"/>
              <w:rPr>
                <w:rFonts w:ascii="Calibri" w:eastAsia="Times New Roman" w:hAnsi="Calibri" w:cs="Times New Roman"/>
                <w:color w:val="000000"/>
                <w:lang w:eastAsia="en-GB"/>
              </w:rPr>
            </w:pPr>
            <w:r w:rsidRPr="00C43210">
              <w:rPr>
                <w:rFonts w:ascii="Calibri" w:eastAsia="Times New Roman" w:hAnsi="Calibri" w:cs="Times New Roman"/>
                <w:color w:val="000000"/>
                <w:lang w:eastAsia="en-GB"/>
              </w:rPr>
              <w:t>64.8%</w:t>
            </w:r>
          </w:p>
        </w:tc>
        <w:tc>
          <w:tcPr>
            <w:tcW w:w="1400" w:type="dxa"/>
            <w:tcBorders>
              <w:top w:val="nil"/>
              <w:left w:val="nil"/>
              <w:bottom w:val="single" w:sz="4" w:space="0" w:color="auto"/>
              <w:right w:val="single" w:sz="4" w:space="0" w:color="auto"/>
            </w:tcBorders>
            <w:shd w:val="clear" w:color="auto" w:fill="auto"/>
            <w:noWrap/>
            <w:vAlign w:val="center"/>
            <w:hideMark/>
          </w:tcPr>
          <w:p w:rsidR="00A9706E" w:rsidRPr="00C43210" w:rsidRDefault="00A9706E" w:rsidP="00031B92">
            <w:pPr>
              <w:spacing w:after="0" w:line="240" w:lineRule="auto"/>
              <w:jc w:val="center"/>
              <w:rPr>
                <w:rFonts w:ascii="Calibri" w:eastAsia="Times New Roman" w:hAnsi="Calibri" w:cs="Times New Roman"/>
                <w:color w:val="000000"/>
                <w:lang w:eastAsia="en-GB"/>
              </w:rPr>
            </w:pPr>
            <w:r w:rsidRPr="00C43210">
              <w:rPr>
                <w:rFonts w:ascii="Calibri" w:eastAsia="Times New Roman" w:hAnsi="Calibri" w:cs="Times New Roman"/>
                <w:color w:val="000000"/>
                <w:lang w:eastAsia="en-GB"/>
              </w:rPr>
              <w:t>3,340,500</w:t>
            </w:r>
          </w:p>
        </w:tc>
        <w:tc>
          <w:tcPr>
            <w:tcW w:w="1220" w:type="dxa"/>
            <w:tcBorders>
              <w:top w:val="nil"/>
              <w:left w:val="nil"/>
              <w:bottom w:val="single" w:sz="4" w:space="0" w:color="auto"/>
              <w:right w:val="single" w:sz="4" w:space="0" w:color="auto"/>
            </w:tcBorders>
            <w:shd w:val="clear" w:color="auto" w:fill="auto"/>
            <w:noWrap/>
            <w:vAlign w:val="center"/>
            <w:hideMark/>
          </w:tcPr>
          <w:p w:rsidR="00A9706E" w:rsidRPr="00C43210" w:rsidRDefault="00A9706E" w:rsidP="00031B92">
            <w:pPr>
              <w:spacing w:after="0" w:line="240" w:lineRule="auto"/>
              <w:jc w:val="center"/>
              <w:rPr>
                <w:rFonts w:ascii="Calibri" w:eastAsia="Times New Roman" w:hAnsi="Calibri" w:cs="Times New Roman"/>
                <w:color w:val="000000"/>
                <w:lang w:eastAsia="en-GB"/>
              </w:rPr>
            </w:pPr>
            <w:r w:rsidRPr="00C43210">
              <w:rPr>
                <w:rFonts w:ascii="Calibri" w:eastAsia="Times New Roman" w:hAnsi="Calibri" w:cs="Times New Roman"/>
                <w:color w:val="000000"/>
                <w:lang w:eastAsia="en-GB"/>
              </w:rPr>
              <w:t>65.7%</w:t>
            </w:r>
          </w:p>
        </w:tc>
        <w:tc>
          <w:tcPr>
            <w:tcW w:w="1400" w:type="dxa"/>
            <w:tcBorders>
              <w:top w:val="nil"/>
              <w:left w:val="nil"/>
              <w:bottom w:val="single" w:sz="4" w:space="0" w:color="auto"/>
              <w:right w:val="single" w:sz="4" w:space="0" w:color="auto"/>
            </w:tcBorders>
            <w:shd w:val="clear" w:color="auto" w:fill="auto"/>
            <w:noWrap/>
            <w:vAlign w:val="center"/>
            <w:hideMark/>
          </w:tcPr>
          <w:p w:rsidR="00A9706E" w:rsidRPr="00C43210" w:rsidRDefault="00A9706E" w:rsidP="00031B92">
            <w:pPr>
              <w:spacing w:after="0" w:line="240" w:lineRule="auto"/>
              <w:jc w:val="center"/>
              <w:rPr>
                <w:rFonts w:ascii="Calibri" w:eastAsia="Times New Roman" w:hAnsi="Calibri" w:cs="Times New Roman"/>
                <w:color w:val="000000"/>
                <w:lang w:eastAsia="en-GB"/>
              </w:rPr>
            </w:pPr>
            <w:r w:rsidRPr="00C43210">
              <w:rPr>
                <w:rFonts w:ascii="Calibri" w:eastAsia="Times New Roman" w:hAnsi="Calibri" w:cs="Times New Roman"/>
                <w:color w:val="000000"/>
                <w:lang w:eastAsia="en-GB"/>
              </w:rPr>
              <w:t>40,915,200</w:t>
            </w:r>
          </w:p>
        </w:tc>
        <w:tc>
          <w:tcPr>
            <w:tcW w:w="1220" w:type="dxa"/>
            <w:tcBorders>
              <w:top w:val="nil"/>
              <w:left w:val="nil"/>
              <w:bottom w:val="single" w:sz="4" w:space="0" w:color="auto"/>
              <w:right w:val="single" w:sz="4" w:space="0" w:color="auto"/>
            </w:tcBorders>
            <w:shd w:val="clear" w:color="auto" w:fill="auto"/>
            <w:noWrap/>
            <w:vAlign w:val="center"/>
            <w:hideMark/>
          </w:tcPr>
          <w:p w:rsidR="00A9706E" w:rsidRPr="00C43210" w:rsidRDefault="00A9706E" w:rsidP="00031B92">
            <w:pPr>
              <w:spacing w:after="0" w:line="240" w:lineRule="auto"/>
              <w:jc w:val="center"/>
              <w:rPr>
                <w:rFonts w:ascii="Calibri" w:eastAsia="Times New Roman" w:hAnsi="Calibri" w:cs="Times New Roman"/>
                <w:color w:val="000000"/>
                <w:lang w:eastAsia="en-GB"/>
              </w:rPr>
            </w:pPr>
            <w:r w:rsidRPr="00C43210">
              <w:rPr>
                <w:rFonts w:ascii="Calibri" w:eastAsia="Times New Roman" w:hAnsi="Calibri" w:cs="Times New Roman"/>
                <w:color w:val="000000"/>
                <w:lang w:eastAsia="en-GB"/>
              </w:rPr>
              <w:t>63.8%</w:t>
            </w:r>
          </w:p>
        </w:tc>
      </w:tr>
      <w:tr w:rsidR="00A9706E" w:rsidRPr="00C43210" w:rsidTr="00031B92">
        <w:trPr>
          <w:trHeight w:val="300"/>
        </w:trPr>
        <w:tc>
          <w:tcPr>
            <w:tcW w:w="1300" w:type="dxa"/>
            <w:tcBorders>
              <w:top w:val="nil"/>
              <w:left w:val="single" w:sz="4" w:space="0" w:color="auto"/>
              <w:bottom w:val="single" w:sz="4" w:space="0" w:color="auto"/>
              <w:right w:val="single" w:sz="4" w:space="0" w:color="auto"/>
            </w:tcBorders>
            <w:shd w:val="clear" w:color="auto" w:fill="auto"/>
            <w:noWrap/>
            <w:vAlign w:val="center"/>
            <w:hideMark/>
          </w:tcPr>
          <w:p w:rsidR="00A9706E" w:rsidRPr="00C43210" w:rsidRDefault="00A9706E" w:rsidP="00031B92">
            <w:pPr>
              <w:spacing w:after="0" w:line="240" w:lineRule="auto"/>
              <w:jc w:val="center"/>
              <w:rPr>
                <w:rFonts w:ascii="Calibri" w:eastAsia="Times New Roman" w:hAnsi="Calibri" w:cs="Times New Roman"/>
                <w:b/>
                <w:bCs/>
                <w:color w:val="000000"/>
                <w:lang w:eastAsia="en-GB"/>
              </w:rPr>
            </w:pPr>
            <w:r w:rsidRPr="00C43210">
              <w:rPr>
                <w:rFonts w:ascii="Calibri" w:eastAsia="Times New Roman" w:hAnsi="Calibri" w:cs="Times New Roman"/>
                <w:b/>
                <w:bCs/>
                <w:color w:val="000000"/>
                <w:lang w:eastAsia="en-GB"/>
              </w:rPr>
              <w:t>65 and over</w:t>
            </w:r>
          </w:p>
        </w:tc>
        <w:tc>
          <w:tcPr>
            <w:tcW w:w="1400" w:type="dxa"/>
            <w:tcBorders>
              <w:top w:val="nil"/>
              <w:left w:val="nil"/>
              <w:bottom w:val="single" w:sz="4" w:space="0" w:color="auto"/>
              <w:right w:val="single" w:sz="4" w:space="0" w:color="auto"/>
            </w:tcBorders>
            <w:shd w:val="clear" w:color="auto" w:fill="auto"/>
            <w:noWrap/>
            <w:vAlign w:val="center"/>
            <w:hideMark/>
          </w:tcPr>
          <w:p w:rsidR="00A9706E" w:rsidRPr="00C43210" w:rsidRDefault="00A9706E" w:rsidP="00031B92">
            <w:pPr>
              <w:spacing w:after="0" w:line="240" w:lineRule="auto"/>
              <w:jc w:val="center"/>
              <w:rPr>
                <w:rFonts w:ascii="Calibri" w:eastAsia="Times New Roman" w:hAnsi="Calibri" w:cs="Times New Roman"/>
                <w:color w:val="000000"/>
                <w:lang w:eastAsia="en-GB"/>
              </w:rPr>
            </w:pPr>
            <w:r w:rsidRPr="00C43210">
              <w:rPr>
                <w:rFonts w:ascii="Calibri" w:eastAsia="Times New Roman" w:hAnsi="Calibri" w:cs="Times New Roman"/>
                <w:color w:val="000000"/>
                <w:lang w:eastAsia="en-GB"/>
              </w:rPr>
              <w:t>51,575</w:t>
            </w:r>
          </w:p>
        </w:tc>
        <w:tc>
          <w:tcPr>
            <w:tcW w:w="1220" w:type="dxa"/>
            <w:tcBorders>
              <w:top w:val="nil"/>
              <w:left w:val="nil"/>
              <w:bottom w:val="single" w:sz="4" w:space="0" w:color="auto"/>
              <w:right w:val="single" w:sz="4" w:space="0" w:color="auto"/>
            </w:tcBorders>
            <w:shd w:val="clear" w:color="auto" w:fill="auto"/>
            <w:noWrap/>
            <w:vAlign w:val="center"/>
            <w:hideMark/>
          </w:tcPr>
          <w:p w:rsidR="00A9706E" w:rsidRPr="00C43210" w:rsidRDefault="00A9706E" w:rsidP="00031B92">
            <w:pPr>
              <w:spacing w:after="0" w:line="240" w:lineRule="auto"/>
              <w:jc w:val="center"/>
              <w:rPr>
                <w:rFonts w:ascii="Calibri" w:eastAsia="Times New Roman" w:hAnsi="Calibri" w:cs="Times New Roman"/>
                <w:color w:val="000000"/>
                <w:lang w:eastAsia="en-GB"/>
              </w:rPr>
            </w:pPr>
            <w:r w:rsidRPr="00C43210">
              <w:rPr>
                <w:rFonts w:ascii="Calibri" w:eastAsia="Times New Roman" w:hAnsi="Calibri" w:cs="Times New Roman"/>
                <w:color w:val="000000"/>
                <w:lang w:eastAsia="en-GB"/>
              </w:rPr>
              <w:t>14.0%</w:t>
            </w:r>
          </w:p>
        </w:tc>
        <w:tc>
          <w:tcPr>
            <w:tcW w:w="1400" w:type="dxa"/>
            <w:tcBorders>
              <w:top w:val="nil"/>
              <w:left w:val="nil"/>
              <w:bottom w:val="single" w:sz="4" w:space="0" w:color="auto"/>
              <w:right w:val="single" w:sz="4" w:space="0" w:color="auto"/>
            </w:tcBorders>
            <w:shd w:val="clear" w:color="auto" w:fill="auto"/>
            <w:noWrap/>
            <w:vAlign w:val="center"/>
            <w:hideMark/>
          </w:tcPr>
          <w:p w:rsidR="00A9706E" w:rsidRPr="00C43210" w:rsidRDefault="00A9706E" w:rsidP="00031B92">
            <w:pPr>
              <w:spacing w:after="0" w:line="240" w:lineRule="auto"/>
              <w:jc w:val="center"/>
              <w:rPr>
                <w:rFonts w:ascii="Calibri" w:eastAsia="Times New Roman" w:hAnsi="Calibri" w:cs="Times New Roman"/>
                <w:color w:val="000000"/>
                <w:lang w:eastAsia="en-GB"/>
              </w:rPr>
            </w:pPr>
            <w:r w:rsidRPr="00C43210">
              <w:rPr>
                <w:rFonts w:ascii="Calibri" w:eastAsia="Times New Roman" w:hAnsi="Calibri" w:cs="Times New Roman"/>
                <w:color w:val="000000"/>
                <w:lang w:eastAsia="en-GB"/>
              </w:rPr>
              <w:t>665,100</w:t>
            </w:r>
          </w:p>
        </w:tc>
        <w:tc>
          <w:tcPr>
            <w:tcW w:w="1220" w:type="dxa"/>
            <w:tcBorders>
              <w:top w:val="nil"/>
              <w:left w:val="nil"/>
              <w:bottom w:val="single" w:sz="4" w:space="0" w:color="auto"/>
              <w:right w:val="single" w:sz="4" w:space="0" w:color="auto"/>
            </w:tcBorders>
            <w:shd w:val="clear" w:color="auto" w:fill="auto"/>
            <w:noWrap/>
            <w:vAlign w:val="center"/>
            <w:hideMark/>
          </w:tcPr>
          <w:p w:rsidR="00A9706E" w:rsidRPr="00C43210" w:rsidRDefault="00A9706E" w:rsidP="00031B92">
            <w:pPr>
              <w:spacing w:after="0" w:line="240" w:lineRule="auto"/>
              <w:jc w:val="center"/>
              <w:rPr>
                <w:rFonts w:ascii="Calibri" w:eastAsia="Times New Roman" w:hAnsi="Calibri" w:cs="Times New Roman"/>
                <w:color w:val="000000"/>
                <w:lang w:eastAsia="en-GB"/>
              </w:rPr>
            </w:pPr>
            <w:r w:rsidRPr="00C43210">
              <w:rPr>
                <w:rFonts w:ascii="Calibri" w:eastAsia="Times New Roman" w:hAnsi="Calibri" w:cs="Times New Roman"/>
                <w:color w:val="000000"/>
                <w:lang w:eastAsia="en-GB"/>
              </w:rPr>
              <w:t>13.1%</w:t>
            </w:r>
          </w:p>
        </w:tc>
        <w:tc>
          <w:tcPr>
            <w:tcW w:w="1400" w:type="dxa"/>
            <w:tcBorders>
              <w:top w:val="nil"/>
              <w:left w:val="nil"/>
              <w:bottom w:val="single" w:sz="4" w:space="0" w:color="auto"/>
              <w:right w:val="single" w:sz="4" w:space="0" w:color="auto"/>
            </w:tcBorders>
            <w:shd w:val="clear" w:color="auto" w:fill="auto"/>
            <w:noWrap/>
            <w:vAlign w:val="center"/>
            <w:hideMark/>
          </w:tcPr>
          <w:p w:rsidR="00A9706E" w:rsidRPr="00C43210" w:rsidRDefault="00A9706E" w:rsidP="00031B92">
            <w:pPr>
              <w:spacing w:after="0" w:line="240" w:lineRule="auto"/>
              <w:jc w:val="center"/>
              <w:rPr>
                <w:rFonts w:ascii="Calibri" w:eastAsia="Times New Roman" w:hAnsi="Calibri" w:cs="Times New Roman"/>
                <w:color w:val="000000"/>
                <w:lang w:eastAsia="en-GB"/>
              </w:rPr>
            </w:pPr>
            <w:r w:rsidRPr="00C43210">
              <w:rPr>
                <w:rFonts w:ascii="Calibri" w:eastAsia="Times New Roman" w:hAnsi="Calibri" w:cs="Times New Roman"/>
                <w:color w:val="000000"/>
                <w:lang w:eastAsia="en-GB"/>
              </w:rPr>
              <w:t>11,131,800</w:t>
            </w:r>
          </w:p>
        </w:tc>
        <w:tc>
          <w:tcPr>
            <w:tcW w:w="1220" w:type="dxa"/>
            <w:tcBorders>
              <w:top w:val="nil"/>
              <w:left w:val="nil"/>
              <w:bottom w:val="single" w:sz="4" w:space="0" w:color="auto"/>
              <w:right w:val="single" w:sz="4" w:space="0" w:color="auto"/>
            </w:tcBorders>
            <w:shd w:val="clear" w:color="auto" w:fill="auto"/>
            <w:noWrap/>
            <w:vAlign w:val="center"/>
            <w:hideMark/>
          </w:tcPr>
          <w:p w:rsidR="00A9706E" w:rsidRPr="00C43210" w:rsidRDefault="00A9706E" w:rsidP="00031B92">
            <w:pPr>
              <w:spacing w:after="0" w:line="240" w:lineRule="auto"/>
              <w:jc w:val="center"/>
              <w:rPr>
                <w:rFonts w:ascii="Calibri" w:eastAsia="Times New Roman" w:hAnsi="Calibri" w:cs="Times New Roman"/>
                <w:color w:val="000000"/>
                <w:lang w:eastAsia="en-GB"/>
              </w:rPr>
            </w:pPr>
            <w:r w:rsidRPr="00C43210">
              <w:rPr>
                <w:rFonts w:ascii="Calibri" w:eastAsia="Times New Roman" w:hAnsi="Calibri" w:cs="Times New Roman"/>
                <w:color w:val="000000"/>
                <w:lang w:eastAsia="en-GB"/>
              </w:rPr>
              <w:t>17.4%</w:t>
            </w:r>
          </w:p>
        </w:tc>
      </w:tr>
      <w:tr w:rsidR="00A9706E" w:rsidRPr="00C43210" w:rsidTr="00031B92">
        <w:trPr>
          <w:trHeight w:val="300"/>
        </w:trPr>
        <w:tc>
          <w:tcPr>
            <w:tcW w:w="1300" w:type="dxa"/>
            <w:tcBorders>
              <w:top w:val="nil"/>
              <w:left w:val="single" w:sz="4" w:space="0" w:color="auto"/>
              <w:bottom w:val="single" w:sz="4" w:space="0" w:color="auto"/>
              <w:right w:val="single" w:sz="4" w:space="0" w:color="auto"/>
            </w:tcBorders>
            <w:shd w:val="clear" w:color="auto" w:fill="auto"/>
            <w:vAlign w:val="center"/>
            <w:hideMark/>
          </w:tcPr>
          <w:p w:rsidR="00A9706E" w:rsidRPr="00C43210" w:rsidRDefault="00A9706E" w:rsidP="00031B92">
            <w:pPr>
              <w:spacing w:after="0" w:line="240" w:lineRule="auto"/>
              <w:jc w:val="center"/>
              <w:rPr>
                <w:rFonts w:ascii="Calibri" w:eastAsia="Times New Roman" w:hAnsi="Calibri" w:cs="Times New Roman"/>
                <w:b/>
                <w:bCs/>
                <w:color w:val="000000"/>
                <w:lang w:eastAsia="en-GB"/>
              </w:rPr>
            </w:pPr>
            <w:r w:rsidRPr="00C43210">
              <w:rPr>
                <w:rFonts w:ascii="Calibri" w:eastAsia="Times New Roman" w:hAnsi="Calibri" w:cs="Times New Roman"/>
                <w:b/>
                <w:bCs/>
                <w:color w:val="000000"/>
                <w:lang w:eastAsia="en-GB"/>
              </w:rPr>
              <w:t>Total</w:t>
            </w:r>
          </w:p>
        </w:tc>
        <w:tc>
          <w:tcPr>
            <w:tcW w:w="1400" w:type="dxa"/>
            <w:tcBorders>
              <w:top w:val="nil"/>
              <w:left w:val="nil"/>
              <w:bottom w:val="single" w:sz="4" w:space="0" w:color="auto"/>
              <w:right w:val="single" w:sz="4" w:space="0" w:color="auto"/>
            </w:tcBorders>
            <w:shd w:val="clear" w:color="auto" w:fill="auto"/>
            <w:vAlign w:val="center"/>
            <w:hideMark/>
          </w:tcPr>
          <w:p w:rsidR="00A9706E" w:rsidRPr="00C43210" w:rsidRDefault="00A9706E" w:rsidP="00031B92">
            <w:pPr>
              <w:spacing w:after="0" w:line="240" w:lineRule="auto"/>
              <w:jc w:val="center"/>
              <w:rPr>
                <w:rFonts w:ascii="Calibri" w:eastAsia="Times New Roman" w:hAnsi="Calibri" w:cs="Times New Roman"/>
                <w:color w:val="000000"/>
                <w:lang w:eastAsia="en-GB"/>
              </w:rPr>
            </w:pPr>
            <w:r w:rsidRPr="00C43210">
              <w:rPr>
                <w:rFonts w:ascii="Calibri" w:eastAsia="Times New Roman" w:hAnsi="Calibri" w:cs="Times New Roman"/>
                <w:color w:val="000000"/>
                <w:lang w:eastAsia="en-GB"/>
              </w:rPr>
              <w:t>367,265</w:t>
            </w:r>
          </w:p>
        </w:tc>
        <w:tc>
          <w:tcPr>
            <w:tcW w:w="1220" w:type="dxa"/>
            <w:tcBorders>
              <w:top w:val="nil"/>
              <w:left w:val="nil"/>
              <w:bottom w:val="single" w:sz="4" w:space="0" w:color="auto"/>
              <w:right w:val="single" w:sz="4" w:space="0" w:color="auto"/>
            </w:tcBorders>
            <w:shd w:val="clear" w:color="auto" w:fill="auto"/>
            <w:noWrap/>
            <w:vAlign w:val="center"/>
            <w:hideMark/>
          </w:tcPr>
          <w:p w:rsidR="00A9706E" w:rsidRPr="00C43210" w:rsidRDefault="00A9706E" w:rsidP="00031B92">
            <w:pPr>
              <w:spacing w:after="0" w:line="240" w:lineRule="auto"/>
              <w:jc w:val="center"/>
              <w:rPr>
                <w:rFonts w:ascii="Calibri" w:eastAsia="Times New Roman" w:hAnsi="Calibri" w:cs="Times New Roman"/>
                <w:color w:val="000000"/>
                <w:lang w:eastAsia="en-GB"/>
              </w:rPr>
            </w:pPr>
            <w:r w:rsidRPr="00C43210">
              <w:rPr>
                <w:rFonts w:ascii="Calibri" w:eastAsia="Times New Roman" w:hAnsi="Calibri" w:cs="Times New Roman"/>
                <w:color w:val="000000"/>
                <w:lang w:eastAsia="en-GB"/>
              </w:rPr>
              <w:t>100.0%</w:t>
            </w:r>
          </w:p>
        </w:tc>
        <w:tc>
          <w:tcPr>
            <w:tcW w:w="1400" w:type="dxa"/>
            <w:tcBorders>
              <w:top w:val="nil"/>
              <w:left w:val="nil"/>
              <w:bottom w:val="single" w:sz="4" w:space="0" w:color="auto"/>
              <w:right w:val="single" w:sz="4" w:space="0" w:color="auto"/>
            </w:tcBorders>
            <w:shd w:val="clear" w:color="auto" w:fill="auto"/>
            <w:vAlign w:val="center"/>
            <w:hideMark/>
          </w:tcPr>
          <w:p w:rsidR="00A9706E" w:rsidRPr="00C43210" w:rsidRDefault="00A9706E" w:rsidP="00031B92">
            <w:pPr>
              <w:spacing w:after="0" w:line="240" w:lineRule="auto"/>
              <w:jc w:val="center"/>
              <w:rPr>
                <w:rFonts w:ascii="Calibri" w:eastAsia="Times New Roman" w:hAnsi="Calibri" w:cs="Times New Roman"/>
                <w:color w:val="000000"/>
                <w:lang w:eastAsia="en-GB"/>
              </w:rPr>
            </w:pPr>
            <w:r w:rsidRPr="00C43210">
              <w:rPr>
                <w:rFonts w:ascii="Calibri" w:eastAsia="Times New Roman" w:hAnsi="Calibri" w:cs="Times New Roman"/>
                <w:color w:val="000000"/>
                <w:lang w:eastAsia="en-GB"/>
              </w:rPr>
              <w:t>5,081,100</w:t>
            </w:r>
          </w:p>
        </w:tc>
        <w:tc>
          <w:tcPr>
            <w:tcW w:w="1220" w:type="dxa"/>
            <w:tcBorders>
              <w:top w:val="nil"/>
              <w:left w:val="nil"/>
              <w:bottom w:val="single" w:sz="4" w:space="0" w:color="auto"/>
              <w:right w:val="single" w:sz="4" w:space="0" w:color="auto"/>
            </w:tcBorders>
            <w:shd w:val="clear" w:color="auto" w:fill="auto"/>
            <w:noWrap/>
            <w:vAlign w:val="center"/>
            <w:hideMark/>
          </w:tcPr>
          <w:p w:rsidR="00A9706E" w:rsidRPr="00C43210" w:rsidRDefault="00A9706E" w:rsidP="00031B92">
            <w:pPr>
              <w:spacing w:after="0" w:line="240" w:lineRule="auto"/>
              <w:jc w:val="center"/>
              <w:rPr>
                <w:rFonts w:ascii="Calibri" w:eastAsia="Times New Roman" w:hAnsi="Calibri" w:cs="Times New Roman"/>
                <w:color w:val="000000"/>
                <w:lang w:eastAsia="en-GB"/>
              </w:rPr>
            </w:pPr>
            <w:r w:rsidRPr="00C43210">
              <w:rPr>
                <w:rFonts w:ascii="Calibri" w:eastAsia="Times New Roman" w:hAnsi="Calibri" w:cs="Times New Roman"/>
                <w:color w:val="000000"/>
                <w:lang w:eastAsia="en-GB"/>
              </w:rPr>
              <w:t>100.0%</w:t>
            </w:r>
          </w:p>
        </w:tc>
        <w:tc>
          <w:tcPr>
            <w:tcW w:w="1400" w:type="dxa"/>
            <w:tcBorders>
              <w:top w:val="nil"/>
              <w:left w:val="nil"/>
              <w:bottom w:val="single" w:sz="4" w:space="0" w:color="auto"/>
              <w:right w:val="single" w:sz="4" w:space="0" w:color="auto"/>
            </w:tcBorders>
            <w:shd w:val="clear" w:color="auto" w:fill="auto"/>
            <w:vAlign w:val="center"/>
            <w:hideMark/>
          </w:tcPr>
          <w:p w:rsidR="00A9706E" w:rsidRPr="00C43210" w:rsidRDefault="00A9706E" w:rsidP="00031B92">
            <w:pPr>
              <w:spacing w:after="0" w:line="240" w:lineRule="auto"/>
              <w:jc w:val="center"/>
              <w:rPr>
                <w:rFonts w:ascii="Calibri" w:eastAsia="Times New Roman" w:hAnsi="Calibri" w:cs="Times New Roman"/>
                <w:color w:val="000000"/>
                <w:lang w:eastAsia="en-GB"/>
              </w:rPr>
            </w:pPr>
            <w:r w:rsidRPr="00C43210">
              <w:rPr>
                <w:rFonts w:ascii="Calibri" w:eastAsia="Times New Roman" w:hAnsi="Calibri" w:cs="Times New Roman"/>
                <w:color w:val="000000"/>
                <w:lang w:eastAsia="en-GB"/>
              </w:rPr>
              <w:t>64,105,700</w:t>
            </w:r>
          </w:p>
        </w:tc>
        <w:tc>
          <w:tcPr>
            <w:tcW w:w="1220" w:type="dxa"/>
            <w:tcBorders>
              <w:top w:val="nil"/>
              <w:left w:val="nil"/>
              <w:bottom w:val="single" w:sz="4" w:space="0" w:color="auto"/>
              <w:right w:val="single" w:sz="4" w:space="0" w:color="auto"/>
            </w:tcBorders>
            <w:shd w:val="clear" w:color="auto" w:fill="auto"/>
            <w:noWrap/>
            <w:vAlign w:val="center"/>
            <w:hideMark/>
          </w:tcPr>
          <w:p w:rsidR="00A9706E" w:rsidRPr="00C43210" w:rsidRDefault="00A9706E" w:rsidP="00031B92">
            <w:pPr>
              <w:spacing w:after="0" w:line="240" w:lineRule="auto"/>
              <w:jc w:val="center"/>
              <w:rPr>
                <w:rFonts w:ascii="Calibri" w:eastAsia="Times New Roman" w:hAnsi="Calibri" w:cs="Times New Roman"/>
                <w:color w:val="000000"/>
                <w:lang w:eastAsia="en-GB"/>
              </w:rPr>
            </w:pPr>
            <w:r w:rsidRPr="00C43210">
              <w:rPr>
                <w:rFonts w:ascii="Calibri" w:eastAsia="Times New Roman" w:hAnsi="Calibri" w:cs="Times New Roman"/>
                <w:color w:val="000000"/>
                <w:lang w:eastAsia="en-GB"/>
              </w:rPr>
              <w:t>100.0%</w:t>
            </w:r>
          </w:p>
        </w:tc>
      </w:tr>
    </w:tbl>
    <w:p w:rsidR="00A9706E" w:rsidRDefault="00A9706E" w:rsidP="00A9706E">
      <w:pPr>
        <w:jc w:val="both"/>
      </w:pPr>
      <w:r w:rsidRPr="00F65590">
        <w:t xml:space="preserve">Source: GLA 2013 </w:t>
      </w:r>
      <w:r w:rsidR="00DD3A76" w:rsidRPr="00F65590">
        <w:t>Projections</w:t>
      </w:r>
      <w:r w:rsidR="00DD3A76">
        <w:t xml:space="preserve"> (</w:t>
      </w:r>
      <w:r w:rsidRPr="005D3C22">
        <w:t>Preferred Option Projections</w:t>
      </w:r>
      <w:r>
        <w:t>) (Barnet and Outer London) and ONS Mid-year Projections 2012 (UK)</w:t>
      </w:r>
    </w:p>
    <w:p w:rsidR="00A9706E" w:rsidRDefault="00A9706E" w:rsidP="00A9706E">
      <w:pPr>
        <w:pStyle w:val="ListParagraph"/>
        <w:numPr>
          <w:ilvl w:val="0"/>
          <w:numId w:val="6"/>
        </w:numPr>
        <w:jc w:val="both"/>
        <w:rPr>
          <w:rFonts w:ascii="Calibri" w:hAnsi="Calibri" w:cs="Calibri"/>
        </w:rPr>
      </w:pPr>
      <w:r w:rsidRPr="00FB4BB6">
        <w:rPr>
          <w:rFonts w:ascii="Calibri" w:hAnsi="Calibri" w:cs="Calibri"/>
        </w:rPr>
        <w:lastRenderedPageBreak/>
        <w:t xml:space="preserve">Within Barnet and Outer London, the largest proportion of the population is within the 30-34 and the 25-29 age groups.  Whereas, within the UK as a whole, 45-49 and 50-54 are the largest age bands in terms of population size. </w:t>
      </w:r>
    </w:p>
    <w:p w:rsidR="00A9706E" w:rsidRDefault="00A9706E" w:rsidP="00A9706E">
      <w:pPr>
        <w:pStyle w:val="ListParagraph"/>
        <w:numPr>
          <w:ilvl w:val="0"/>
          <w:numId w:val="6"/>
        </w:numPr>
        <w:jc w:val="both"/>
        <w:rPr>
          <w:rFonts w:ascii="Calibri" w:hAnsi="Calibri" w:cs="Calibri"/>
        </w:rPr>
      </w:pPr>
      <w:r w:rsidRPr="00FC020F">
        <w:rPr>
          <w:rFonts w:ascii="Calibri" w:hAnsi="Calibri" w:cs="Calibri"/>
        </w:rPr>
        <w:t>Barnet has a higher proportion of people aged 85 an</w:t>
      </w:r>
      <w:r w:rsidRPr="005E2C88">
        <w:rPr>
          <w:rFonts w:ascii="Calibri" w:hAnsi="Calibri" w:cs="Calibri"/>
        </w:rPr>
        <w:t>d</w:t>
      </w:r>
      <w:r w:rsidRPr="00FC020F">
        <w:rPr>
          <w:rFonts w:ascii="Calibri" w:hAnsi="Calibri" w:cs="Calibri"/>
        </w:rPr>
        <w:t xml:space="preserve"> over (3.1%) compared to Outer London (1.8%) and the UK (2.3%). This </w:t>
      </w:r>
      <w:r>
        <w:rPr>
          <w:rFonts w:ascii="Calibri" w:hAnsi="Calibri" w:cs="Calibri"/>
        </w:rPr>
        <w:t>is reflective of high life expectancy within the Borough.</w:t>
      </w:r>
    </w:p>
    <w:p w:rsidR="00A9706E" w:rsidRPr="00531AE2" w:rsidRDefault="00A9706E" w:rsidP="00A9706E">
      <w:pPr>
        <w:pStyle w:val="ListParagraph"/>
        <w:numPr>
          <w:ilvl w:val="0"/>
          <w:numId w:val="6"/>
        </w:numPr>
        <w:spacing w:after="0" w:line="240" w:lineRule="auto"/>
        <w:jc w:val="both"/>
        <w:rPr>
          <w:rFonts w:ascii="Calibri" w:hAnsi="Calibri" w:cs="Calibri"/>
        </w:rPr>
      </w:pPr>
      <w:r w:rsidRPr="00FC020F">
        <w:rPr>
          <w:rFonts w:ascii="Calibri" w:hAnsi="Calibri" w:cs="Calibri"/>
        </w:rPr>
        <w:t xml:space="preserve">Although, data from the 2011 </w:t>
      </w:r>
      <w:r>
        <w:t xml:space="preserve">Census indicates that as a whole, Barnet has a younger population than the average for England as a whole. The average age of people living within Barnet is 36.8, compared to 39.3 for England. This is represented within the age groups, as 40.6% of the UK population is aged between 45 and 84, compared to 34.6% in Barnet. </w:t>
      </w:r>
    </w:p>
    <w:p w:rsidR="00A9706E" w:rsidRPr="00FC020F" w:rsidRDefault="00A9706E" w:rsidP="00A9706E">
      <w:pPr>
        <w:pStyle w:val="ListParagraph"/>
        <w:spacing w:after="0" w:line="240" w:lineRule="auto"/>
        <w:jc w:val="both"/>
        <w:rPr>
          <w:rFonts w:ascii="Calibri" w:hAnsi="Calibri" w:cs="Calibri"/>
        </w:rPr>
      </w:pPr>
    </w:p>
    <w:p w:rsidR="00A9706E" w:rsidRPr="00533D2A" w:rsidRDefault="00A9706E" w:rsidP="00A9706E">
      <w:pPr>
        <w:pStyle w:val="Caption"/>
        <w:rPr>
          <w:b w:val="0"/>
          <w:i/>
        </w:rPr>
      </w:pPr>
      <w:r>
        <w:t xml:space="preserve">Figure </w:t>
      </w:r>
      <w:fldSimple w:instr=" STYLEREF 1 \s ">
        <w:r w:rsidR="001663C2">
          <w:rPr>
            <w:noProof/>
          </w:rPr>
          <w:t>2</w:t>
        </w:r>
      </w:fldSimple>
      <w:r w:rsidR="00943DC2">
        <w:noBreakHyphen/>
      </w:r>
      <w:fldSimple w:instr=" SEQ Figure \* ARABIC \s 1 ">
        <w:r w:rsidR="001663C2">
          <w:rPr>
            <w:noProof/>
          </w:rPr>
          <w:t>6</w:t>
        </w:r>
      </w:fldSimple>
      <w:r w:rsidRPr="004E7E79">
        <w:t>: Population % by Five Year Age Band in 2015 (Barnet, Regional and National)</w:t>
      </w:r>
    </w:p>
    <w:p w:rsidR="00A9706E" w:rsidRDefault="00A9706E" w:rsidP="00A9706E">
      <w:pPr>
        <w:spacing w:after="0" w:line="240" w:lineRule="auto"/>
        <w:jc w:val="center"/>
        <w:rPr>
          <w:b/>
        </w:rPr>
      </w:pPr>
      <w:r>
        <w:rPr>
          <w:noProof/>
          <w:lang w:eastAsia="en-GB"/>
        </w:rPr>
        <w:drawing>
          <wp:inline distT="0" distB="0" distL="0" distR="0" wp14:anchorId="78E4F84A" wp14:editId="03163648">
            <wp:extent cx="5533901" cy="2090057"/>
            <wp:effectExtent l="0" t="0" r="10160" b="24765"/>
            <wp:docPr id="43021" name="Chart 430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A9706E" w:rsidRDefault="00A9706E" w:rsidP="00A9706E">
      <w:pPr>
        <w:spacing w:after="0" w:line="240" w:lineRule="auto"/>
        <w:jc w:val="both"/>
      </w:pPr>
      <w:r w:rsidRPr="00F65590">
        <w:t>Source: GLA 2013 Projections</w:t>
      </w:r>
      <w:r>
        <w:t xml:space="preserve"> (</w:t>
      </w:r>
      <w:r w:rsidRPr="005D3C22">
        <w:t>Preferred Option Projections</w:t>
      </w:r>
      <w:r>
        <w:t>) (Barnet and Outer London) and ONS Mid-year Projections 2012 (UK)</w:t>
      </w:r>
    </w:p>
    <w:p w:rsidR="00A9706E" w:rsidRDefault="00A9706E" w:rsidP="00A9706E">
      <w:pPr>
        <w:spacing w:after="0" w:line="240" w:lineRule="auto"/>
        <w:jc w:val="both"/>
        <w:rPr>
          <w:b/>
        </w:rPr>
      </w:pPr>
    </w:p>
    <w:p w:rsidR="00A9706E" w:rsidRDefault="00A9706E" w:rsidP="00A9706E">
      <w:pPr>
        <w:jc w:val="both"/>
        <w:rPr>
          <w:rFonts w:ascii="Calibri" w:hAnsi="Calibri" w:cs="Calibri"/>
        </w:rPr>
      </w:pPr>
      <w:r>
        <w:t xml:space="preserve">By gender, women account for a larger proportion of the Barnet population than men. 51.1% (187,685) of the population are women and 48.9% (179,580) of the population are men. As shown in Figure </w:t>
      </w:r>
      <w:r>
        <w:rPr>
          <w:rFonts w:ascii="Calibri" w:hAnsi="Calibri" w:cs="Calibri"/>
        </w:rPr>
        <w:t>2-</w:t>
      </w:r>
      <w:r w:rsidR="00C52CEE">
        <w:rPr>
          <w:rFonts w:ascii="Calibri" w:hAnsi="Calibri" w:cs="Calibri"/>
        </w:rPr>
        <w:t>7</w:t>
      </w:r>
      <w:r>
        <w:t>, t</w:t>
      </w:r>
      <w:r w:rsidRPr="00273688">
        <w:rPr>
          <w:rFonts w:ascii="Calibri" w:hAnsi="Calibri" w:cs="Calibri"/>
        </w:rPr>
        <w:t>he proportion of men to women is roughly e</w:t>
      </w:r>
      <w:r>
        <w:rPr>
          <w:rFonts w:ascii="Calibri" w:hAnsi="Calibri" w:cs="Calibri"/>
        </w:rPr>
        <w:t>qual below 65, w</w:t>
      </w:r>
      <w:r w:rsidRPr="00273688">
        <w:rPr>
          <w:rFonts w:ascii="Calibri" w:hAnsi="Calibri" w:cs="Calibri"/>
        </w:rPr>
        <w:t xml:space="preserve">hereas above 64, women account for 56.5% of the population (29,152) compared to men who account for 43.5% (22,423). This reflects the longer lifespans of women. </w:t>
      </w:r>
    </w:p>
    <w:p w:rsidR="00C52CEE" w:rsidRDefault="00C52CEE" w:rsidP="00A9706E">
      <w:pPr>
        <w:pStyle w:val="Caption"/>
      </w:pPr>
    </w:p>
    <w:p w:rsidR="00C52CEE" w:rsidRDefault="00C52CEE" w:rsidP="00A9706E">
      <w:pPr>
        <w:pStyle w:val="Caption"/>
      </w:pPr>
    </w:p>
    <w:p w:rsidR="00C52CEE" w:rsidRDefault="00C52CEE" w:rsidP="00A9706E">
      <w:pPr>
        <w:pStyle w:val="Caption"/>
      </w:pPr>
    </w:p>
    <w:p w:rsidR="00C52CEE" w:rsidRDefault="00C52CEE" w:rsidP="00A9706E">
      <w:pPr>
        <w:pStyle w:val="Caption"/>
      </w:pPr>
    </w:p>
    <w:p w:rsidR="00C52CEE" w:rsidRDefault="00C52CEE" w:rsidP="00A9706E">
      <w:pPr>
        <w:pStyle w:val="Caption"/>
      </w:pPr>
    </w:p>
    <w:p w:rsidR="00C52CEE" w:rsidRDefault="00C52CEE" w:rsidP="00A9706E">
      <w:pPr>
        <w:pStyle w:val="Caption"/>
      </w:pPr>
    </w:p>
    <w:p w:rsidR="00C52CEE" w:rsidRDefault="00C52CEE" w:rsidP="00A9706E">
      <w:pPr>
        <w:pStyle w:val="Caption"/>
      </w:pPr>
    </w:p>
    <w:p w:rsidR="00C52CEE" w:rsidRDefault="00C52CEE" w:rsidP="00A9706E">
      <w:pPr>
        <w:pStyle w:val="Caption"/>
      </w:pPr>
    </w:p>
    <w:p w:rsidR="00C52CEE" w:rsidRDefault="00C52CEE" w:rsidP="00A9706E">
      <w:pPr>
        <w:pStyle w:val="Caption"/>
      </w:pPr>
    </w:p>
    <w:p w:rsidR="00C52CEE" w:rsidRDefault="00C52CEE" w:rsidP="00A9706E">
      <w:pPr>
        <w:pStyle w:val="Caption"/>
      </w:pPr>
    </w:p>
    <w:p w:rsidR="00C52CEE" w:rsidRDefault="00C52CEE" w:rsidP="00A9706E">
      <w:pPr>
        <w:pStyle w:val="Caption"/>
      </w:pPr>
    </w:p>
    <w:p w:rsidR="00C52CEE" w:rsidRDefault="00C52CEE" w:rsidP="00A9706E">
      <w:pPr>
        <w:pStyle w:val="Caption"/>
      </w:pPr>
    </w:p>
    <w:p w:rsidR="00C52CEE" w:rsidRDefault="00C52CEE" w:rsidP="00A9706E">
      <w:pPr>
        <w:pStyle w:val="Caption"/>
      </w:pPr>
    </w:p>
    <w:p w:rsidR="00A9706E" w:rsidRDefault="00A9706E" w:rsidP="00A9706E">
      <w:pPr>
        <w:pStyle w:val="Caption"/>
        <w:rPr>
          <w:rFonts w:cs="Calibri"/>
        </w:rPr>
      </w:pPr>
      <w:r>
        <w:lastRenderedPageBreak/>
        <w:t xml:space="preserve">Figure </w:t>
      </w:r>
      <w:fldSimple w:instr=" STYLEREF 1 \s ">
        <w:r w:rsidR="001663C2">
          <w:rPr>
            <w:noProof/>
          </w:rPr>
          <w:t>2</w:t>
        </w:r>
      </w:fldSimple>
      <w:r w:rsidR="00943DC2">
        <w:noBreakHyphen/>
      </w:r>
      <w:fldSimple w:instr=" SEQ Figure \* ARABIC \s 1 ">
        <w:r w:rsidR="001663C2">
          <w:rPr>
            <w:noProof/>
          </w:rPr>
          <w:t>7</w:t>
        </w:r>
      </w:fldSimple>
      <w:r w:rsidRPr="004E7E79">
        <w:rPr>
          <w:rFonts w:cs="Calibri"/>
        </w:rPr>
        <w:t>: Barnet Population by Age Band and Gender in 2015</w:t>
      </w:r>
    </w:p>
    <w:p w:rsidR="00A9706E" w:rsidRPr="007B31C7" w:rsidRDefault="00A9706E" w:rsidP="00A9706E">
      <w:pPr>
        <w:spacing w:after="0" w:line="240" w:lineRule="auto"/>
        <w:jc w:val="center"/>
      </w:pPr>
      <w:r>
        <w:rPr>
          <w:noProof/>
          <w:lang w:eastAsia="en-GB"/>
        </w:rPr>
        <w:drawing>
          <wp:inline distT="0" distB="0" distL="0" distR="0" wp14:anchorId="062D2454" wp14:editId="0CD75887">
            <wp:extent cx="5603358" cy="3224213"/>
            <wp:effectExtent l="0" t="0" r="0" b="0"/>
            <wp:docPr id="43022" name="Picture 43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1670" t="17066" r="65218" b="49062"/>
                    <a:stretch/>
                  </pic:blipFill>
                  <pic:spPr bwMode="auto">
                    <a:xfrm>
                      <a:off x="0" y="0"/>
                      <a:ext cx="5642710" cy="3246857"/>
                    </a:xfrm>
                    <a:prstGeom prst="rect">
                      <a:avLst/>
                    </a:prstGeom>
                    <a:ln>
                      <a:noFill/>
                    </a:ln>
                    <a:extLst>
                      <a:ext uri="{53640926-AAD7-44D8-BBD7-CCE9431645EC}">
                        <a14:shadowObscured xmlns:a14="http://schemas.microsoft.com/office/drawing/2010/main"/>
                      </a:ext>
                    </a:extLst>
                  </pic:spPr>
                </pic:pic>
              </a:graphicData>
            </a:graphic>
          </wp:inline>
        </w:drawing>
      </w:r>
    </w:p>
    <w:p w:rsidR="00A9706E" w:rsidRDefault="00A9706E" w:rsidP="00A9706E">
      <w:pPr>
        <w:spacing w:after="0" w:line="240" w:lineRule="auto"/>
        <w:jc w:val="both"/>
        <w:rPr>
          <w:rFonts w:ascii="Calibri" w:hAnsi="Calibri" w:cs="Calibri"/>
        </w:rPr>
      </w:pPr>
      <w:r>
        <w:rPr>
          <w:rFonts w:ascii="Calibri" w:hAnsi="Calibri" w:cs="Calibri"/>
        </w:rPr>
        <w:t xml:space="preserve">Source: GLA 2013 Projections </w:t>
      </w:r>
      <w:r>
        <w:t>(</w:t>
      </w:r>
      <w:r w:rsidRPr="005D3C22">
        <w:t>Preferred Option Projections</w:t>
      </w:r>
      <w:r>
        <w:t>)</w:t>
      </w:r>
    </w:p>
    <w:p w:rsidR="00A9706E" w:rsidRDefault="00A9706E" w:rsidP="00A9706E">
      <w:pPr>
        <w:pStyle w:val="Heading3"/>
        <w:jc w:val="both"/>
      </w:pPr>
      <w:r>
        <w:t>Population Projections by Age</w:t>
      </w:r>
    </w:p>
    <w:p w:rsidR="00A9706E" w:rsidRPr="005C69AD" w:rsidRDefault="00A9706E" w:rsidP="00A9706E">
      <w:pPr>
        <w:jc w:val="both"/>
      </w:pPr>
      <w:r>
        <w:t xml:space="preserve">Table </w:t>
      </w:r>
      <w:r>
        <w:rPr>
          <w:rFonts w:ascii="Calibri" w:hAnsi="Calibri" w:cs="Calibri"/>
        </w:rPr>
        <w:t>2-</w:t>
      </w:r>
      <w:r>
        <w:t xml:space="preserve">6 identifies the population projections by broad age structure for the period 2015 – 2021, and 2015 – 2030.  </w:t>
      </w:r>
    </w:p>
    <w:p w:rsidR="00A9706E" w:rsidRPr="00074345" w:rsidRDefault="00A9706E" w:rsidP="00A9706E">
      <w:pPr>
        <w:pStyle w:val="Caption"/>
        <w:rPr>
          <w:rFonts w:ascii="Calibri" w:hAnsi="Calibri" w:cs="Calibri"/>
          <w:i/>
        </w:rPr>
      </w:pPr>
      <w:r>
        <w:t xml:space="preserve">Table </w:t>
      </w:r>
      <w:fldSimple w:instr=" STYLEREF 1 \s ">
        <w:r w:rsidR="001663C2">
          <w:rPr>
            <w:noProof/>
          </w:rPr>
          <w:t>2</w:t>
        </w:r>
      </w:fldSimple>
      <w:r>
        <w:noBreakHyphen/>
      </w:r>
      <w:fldSimple w:instr=" SEQ Table \* ARABIC \s 1 ">
        <w:r w:rsidR="001663C2">
          <w:rPr>
            <w:noProof/>
          </w:rPr>
          <w:t>6</w:t>
        </w:r>
      </w:fldSimple>
      <w:r w:rsidRPr="004E7E79">
        <w:rPr>
          <w:rFonts w:cs="Calibri"/>
        </w:rPr>
        <w:t>: Population Projections by Broad Age Structure 2015, 2021 &amp; 2030 (Barnet)</w:t>
      </w:r>
    </w:p>
    <w:tbl>
      <w:tblPr>
        <w:tblW w:w="9004" w:type="dxa"/>
        <w:tblInd w:w="93" w:type="dxa"/>
        <w:tblLook w:val="04A0" w:firstRow="1" w:lastRow="0" w:firstColumn="1" w:lastColumn="0" w:noHBand="0" w:noVBand="1"/>
      </w:tblPr>
      <w:tblGrid>
        <w:gridCol w:w="1140"/>
        <w:gridCol w:w="1002"/>
        <w:gridCol w:w="992"/>
        <w:gridCol w:w="1134"/>
        <w:gridCol w:w="1352"/>
        <w:gridCol w:w="940"/>
        <w:gridCol w:w="1110"/>
        <w:gridCol w:w="1334"/>
      </w:tblGrid>
      <w:tr w:rsidR="00A9706E" w:rsidRPr="00B74C11" w:rsidTr="00031B92">
        <w:trPr>
          <w:trHeight w:val="600"/>
        </w:trPr>
        <w:tc>
          <w:tcPr>
            <w:tcW w:w="1140"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A9706E" w:rsidRPr="00B74C11" w:rsidRDefault="00A9706E" w:rsidP="00031B92">
            <w:pPr>
              <w:spacing w:after="0" w:line="240" w:lineRule="auto"/>
              <w:jc w:val="center"/>
              <w:rPr>
                <w:rFonts w:ascii="Calibri" w:eastAsia="Times New Roman" w:hAnsi="Calibri" w:cs="Times New Roman"/>
                <w:b/>
                <w:color w:val="000000"/>
                <w:lang w:eastAsia="en-GB"/>
              </w:rPr>
            </w:pPr>
            <w:r w:rsidRPr="00B74C11">
              <w:rPr>
                <w:rFonts w:ascii="Calibri" w:eastAsia="Times New Roman" w:hAnsi="Calibri" w:cs="Times New Roman"/>
                <w:b/>
                <w:color w:val="000000"/>
                <w:lang w:eastAsia="en-GB"/>
              </w:rPr>
              <w:t>Age Group</w:t>
            </w:r>
          </w:p>
        </w:tc>
        <w:tc>
          <w:tcPr>
            <w:tcW w:w="1002"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A9706E" w:rsidRPr="00B74C11" w:rsidRDefault="00A9706E" w:rsidP="00031B92">
            <w:pPr>
              <w:spacing w:after="0" w:line="240" w:lineRule="auto"/>
              <w:jc w:val="center"/>
              <w:rPr>
                <w:rFonts w:ascii="Calibri" w:eastAsia="Times New Roman" w:hAnsi="Calibri" w:cs="Times New Roman"/>
                <w:b/>
                <w:color w:val="000000"/>
                <w:lang w:eastAsia="en-GB"/>
              </w:rPr>
            </w:pPr>
            <w:r w:rsidRPr="00B74C11">
              <w:rPr>
                <w:rFonts w:ascii="Calibri" w:eastAsia="Times New Roman" w:hAnsi="Calibri" w:cs="Times New Roman"/>
                <w:b/>
                <w:color w:val="000000"/>
                <w:lang w:eastAsia="en-GB"/>
              </w:rPr>
              <w:t>2015</w:t>
            </w:r>
          </w:p>
        </w:tc>
        <w:tc>
          <w:tcPr>
            <w:tcW w:w="992"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A9706E" w:rsidRPr="00B74C11" w:rsidRDefault="00A9706E" w:rsidP="00031B92">
            <w:pPr>
              <w:spacing w:after="0" w:line="240" w:lineRule="auto"/>
              <w:jc w:val="center"/>
              <w:rPr>
                <w:rFonts w:ascii="Calibri" w:eastAsia="Times New Roman" w:hAnsi="Calibri" w:cs="Times New Roman"/>
                <w:b/>
                <w:color w:val="000000"/>
                <w:lang w:eastAsia="en-GB"/>
              </w:rPr>
            </w:pPr>
            <w:r w:rsidRPr="00B74C11">
              <w:rPr>
                <w:rFonts w:ascii="Calibri" w:eastAsia="Times New Roman" w:hAnsi="Calibri" w:cs="Times New Roman"/>
                <w:b/>
                <w:color w:val="000000"/>
                <w:lang w:eastAsia="en-GB"/>
              </w:rPr>
              <w:t>2021</w:t>
            </w:r>
          </w:p>
        </w:tc>
        <w:tc>
          <w:tcPr>
            <w:tcW w:w="1134"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A9706E" w:rsidRPr="00B74C11" w:rsidRDefault="00A9706E" w:rsidP="00031B92">
            <w:pPr>
              <w:spacing w:after="0" w:line="240" w:lineRule="auto"/>
              <w:jc w:val="center"/>
              <w:rPr>
                <w:rFonts w:ascii="Calibri" w:eastAsia="Times New Roman" w:hAnsi="Calibri" w:cs="Times New Roman"/>
                <w:b/>
                <w:color w:val="000000"/>
                <w:lang w:eastAsia="en-GB"/>
              </w:rPr>
            </w:pPr>
            <w:r w:rsidRPr="00B74C11">
              <w:rPr>
                <w:rFonts w:ascii="Calibri" w:eastAsia="Times New Roman" w:hAnsi="Calibri" w:cs="Times New Roman"/>
                <w:b/>
                <w:color w:val="000000"/>
                <w:lang w:eastAsia="en-GB"/>
              </w:rPr>
              <w:t>Change</w:t>
            </w:r>
          </w:p>
        </w:tc>
        <w:tc>
          <w:tcPr>
            <w:tcW w:w="1352"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A9706E" w:rsidRPr="00B74C11" w:rsidRDefault="00A9706E" w:rsidP="00031B92">
            <w:pPr>
              <w:spacing w:after="0" w:line="240" w:lineRule="auto"/>
              <w:jc w:val="center"/>
              <w:rPr>
                <w:rFonts w:ascii="Calibri" w:eastAsia="Times New Roman" w:hAnsi="Calibri" w:cs="Times New Roman"/>
                <w:b/>
                <w:color w:val="000000"/>
                <w:lang w:eastAsia="en-GB"/>
              </w:rPr>
            </w:pPr>
            <w:r w:rsidRPr="00B74C11">
              <w:rPr>
                <w:rFonts w:ascii="Calibri" w:eastAsia="Times New Roman" w:hAnsi="Calibri" w:cs="Times New Roman"/>
                <w:b/>
                <w:color w:val="000000"/>
                <w:lang w:eastAsia="en-GB"/>
              </w:rPr>
              <w:t>% Change 2015-2021</w:t>
            </w:r>
          </w:p>
        </w:tc>
        <w:tc>
          <w:tcPr>
            <w:tcW w:w="94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A9706E" w:rsidRPr="00B74C11" w:rsidRDefault="00A9706E" w:rsidP="00031B92">
            <w:pPr>
              <w:spacing w:after="0" w:line="240" w:lineRule="auto"/>
              <w:jc w:val="center"/>
              <w:rPr>
                <w:rFonts w:ascii="Calibri" w:eastAsia="Times New Roman" w:hAnsi="Calibri" w:cs="Times New Roman"/>
                <w:b/>
                <w:color w:val="000000"/>
                <w:lang w:eastAsia="en-GB"/>
              </w:rPr>
            </w:pPr>
            <w:r w:rsidRPr="00B74C11">
              <w:rPr>
                <w:rFonts w:ascii="Calibri" w:eastAsia="Times New Roman" w:hAnsi="Calibri" w:cs="Times New Roman"/>
                <w:b/>
                <w:color w:val="000000"/>
                <w:lang w:eastAsia="en-GB"/>
              </w:rPr>
              <w:t>2030</w:t>
            </w:r>
          </w:p>
        </w:tc>
        <w:tc>
          <w:tcPr>
            <w:tcW w:w="1110"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A9706E" w:rsidRPr="00B74C11" w:rsidRDefault="00A9706E" w:rsidP="00031B92">
            <w:pPr>
              <w:spacing w:after="0" w:line="240" w:lineRule="auto"/>
              <w:jc w:val="center"/>
              <w:rPr>
                <w:rFonts w:ascii="Calibri" w:eastAsia="Times New Roman" w:hAnsi="Calibri" w:cs="Times New Roman"/>
                <w:b/>
                <w:color w:val="000000"/>
                <w:lang w:eastAsia="en-GB"/>
              </w:rPr>
            </w:pPr>
            <w:r w:rsidRPr="00B74C11">
              <w:rPr>
                <w:rFonts w:ascii="Calibri" w:eastAsia="Times New Roman" w:hAnsi="Calibri" w:cs="Times New Roman"/>
                <w:b/>
                <w:color w:val="000000"/>
                <w:lang w:eastAsia="en-GB"/>
              </w:rPr>
              <w:t>Change</w:t>
            </w:r>
          </w:p>
        </w:tc>
        <w:tc>
          <w:tcPr>
            <w:tcW w:w="1334"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A9706E" w:rsidRPr="00B74C11" w:rsidRDefault="00A9706E" w:rsidP="00031B92">
            <w:pPr>
              <w:spacing w:after="0" w:line="240" w:lineRule="auto"/>
              <w:jc w:val="center"/>
              <w:rPr>
                <w:rFonts w:ascii="Calibri" w:eastAsia="Times New Roman" w:hAnsi="Calibri" w:cs="Times New Roman"/>
                <w:b/>
                <w:color w:val="000000"/>
                <w:lang w:eastAsia="en-GB"/>
              </w:rPr>
            </w:pPr>
            <w:r w:rsidRPr="00B74C11">
              <w:rPr>
                <w:rFonts w:ascii="Calibri" w:eastAsia="Times New Roman" w:hAnsi="Calibri" w:cs="Times New Roman"/>
                <w:b/>
                <w:color w:val="000000"/>
                <w:lang w:eastAsia="en-GB"/>
              </w:rPr>
              <w:t>% Change 2015-2030</w:t>
            </w:r>
          </w:p>
        </w:tc>
      </w:tr>
      <w:tr w:rsidR="00A9706E" w:rsidRPr="00B74C11" w:rsidTr="00031B92">
        <w:trPr>
          <w:trHeight w:val="300"/>
        </w:trPr>
        <w:tc>
          <w:tcPr>
            <w:tcW w:w="1140" w:type="dxa"/>
            <w:tcBorders>
              <w:top w:val="nil"/>
              <w:left w:val="single" w:sz="4" w:space="0" w:color="auto"/>
              <w:bottom w:val="single" w:sz="4" w:space="0" w:color="auto"/>
              <w:right w:val="single" w:sz="4" w:space="0" w:color="auto"/>
            </w:tcBorders>
            <w:shd w:val="clear" w:color="auto" w:fill="auto"/>
            <w:noWrap/>
            <w:vAlign w:val="bottom"/>
            <w:hideMark/>
          </w:tcPr>
          <w:p w:rsidR="00A9706E" w:rsidRPr="00B74C11" w:rsidRDefault="00A9706E" w:rsidP="00031B92">
            <w:pPr>
              <w:spacing w:after="0" w:line="240" w:lineRule="auto"/>
              <w:jc w:val="center"/>
              <w:rPr>
                <w:rFonts w:ascii="Calibri" w:eastAsia="Times New Roman" w:hAnsi="Calibri" w:cs="Times New Roman"/>
                <w:color w:val="000000"/>
                <w:lang w:eastAsia="en-GB"/>
              </w:rPr>
            </w:pPr>
            <w:r w:rsidRPr="00B74C11">
              <w:rPr>
                <w:rFonts w:ascii="Calibri" w:eastAsia="Times New Roman" w:hAnsi="Calibri" w:cs="Times New Roman"/>
                <w:color w:val="000000"/>
                <w:lang w:eastAsia="en-GB"/>
              </w:rPr>
              <w:t>0-15</w:t>
            </w:r>
          </w:p>
        </w:tc>
        <w:tc>
          <w:tcPr>
            <w:tcW w:w="1002" w:type="dxa"/>
            <w:tcBorders>
              <w:top w:val="nil"/>
              <w:left w:val="nil"/>
              <w:bottom w:val="single" w:sz="4" w:space="0" w:color="auto"/>
              <w:right w:val="single" w:sz="4" w:space="0" w:color="auto"/>
            </w:tcBorders>
            <w:shd w:val="clear" w:color="auto" w:fill="auto"/>
            <w:noWrap/>
            <w:vAlign w:val="bottom"/>
            <w:hideMark/>
          </w:tcPr>
          <w:p w:rsidR="00A9706E" w:rsidRPr="00B74C11" w:rsidRDefault="00A9706E" w:rsidP="00031B92">
            <w:pPr>
              <w:spacing w:after="0" w:line="240" w:lineRule="auto"/>
              <w:jc w:val="center"/>
              <w:rPr>
                <w:rFonts w:ascii="Calibri" w:eastAsia="Times New Roman" w:hAnsi="Calibri" w:cs="Times New Roman"/>
                <w:color w:val="000000"/>
                <w:lang w:eastAsia="en-GB"/>
              </w:rPr>
            </w:pPr>
            <w:r w:rsidRPr="00B74C11">
              <w:rPr>
                <w:rFonts w:ascii="Calibri" w:eastAsia="Times New Roman" w:hAnsi="Calibri" w:cs="Times New Roman"/>
                <w:color w:val="000000"/>
                <w:lang w:eastAsia="en-GB"/>
              </w:rPr>
              <w:t>77</w:t>
            </w:r>
            <w:r>
              <w:rPr>
                <w:rFonts w:ascii="Calibri" w:eastAsia="Times New Roman" w:hAnsi="Calibri" w:cs="Times New Roman"/>
                <w:color w:val="000000"/>
                <w:lang w:eastAsia="en-GB"/>
              </w:rPr>
              <w:t>,</w:t>
            </w:r>
            <w:r w:rsidRPr="00B74C11">
              <w:rPr>
                <w:rFonts w:ascii="Calibri" w:eastAsia="Times New Roman" w:hAnsi="Calibri" w:cs="Times New Roman"/>
                <w:color w:val="000000"/>
                <w:lang w:eastAsia="en-GB"/>
              </w:rPr>
              <w:t>789</w:t>
            </w:r>
          </w:p>
        </w:tc>
        <w:tc>
          <w:tcPr>
            <w:tcW w:w="992" w:type="dxa"/>
            <w:tcBorders>
              <w:top w:val="nil"/>
              <w:left w:val="nil"/>
              <w:bottom w:val="single" w:sz="4" w:space="0" w:color="auto"/>
              <w:right w:val="single" w:sz="4" w:space="0" w:color="auto"/>
            </w:tcBorders>
            <w:shd w:val="clear" w:color="auto" w:fill="auto"/>
            <w:noWrap/>
            <w:vAlign w:val="bottom"/>
            <w:hideMark/>
          </w:tcPr>
          <w:p w:rsidR="00A9706E" w:rsidRPr="00B74C11" w:rsidRDefault="00A9706E" w:rsidP="00031B92">
            <w:pPr>
              <w:spacing w:after="0" w:line="240" w:lineRule="auto"/>
              <w:jc w:val="center"/>
              <w:rPr>
                <w:rFonts w:ascii="Calibri" w:eastAsia="Times New Roman" w:hAnsi="Calibri" w:cs="Times New Roman"/>
                <w:color w:val="000000"/>
                <w:lang w:eastAsia="en-GB"/>
              </w:rPr>
            </w:pPr>
            <w:r w:rsidRPr="00B74C11">
              <w:rPr>
                <w:rFonts w:ascii="Calibri" w:eastAsia="Times New Roman" w:hAnsi="Calibri" w:cs="Times New Roman"/>
                <w:color w:val="000000"/>
                <w:lang w:eastAsia="en-GB"/>
              </w:rPr>
              <w:t>83</w:t>
            </w:r>
            <w:r>
              <w:rPr>
                <w:rFonts w:ascii="Calibri" w:eastAsia="Times New Roman" w:hAnsi="Calibri" w:cs="Times New Roman"/>
                <w:color w:val="000000"/>
                <w:lang w:eastAsia="en-GB"/>
              </w:rPr>
              <w:t>,</w:t>
            </w:r>
            <w:r w:rsidRPr="00B74C11">
              <w:rPr>
                <w:rFonts w:ascii="Calibri" w:eastAsia="Times New Roman" w:hAnsi="Calibri" w:cs="Times New Roman"/>
                <w:color w:val="000000"/>
                <w:lang w:eastAsia="en-GB"/>
              </w:rPr>
              <w:t>966</w:t>
            </w:r>
          </w:p>
        </w:tc>
        <w:tc>
          <w:tcPr>
            <w:tcW w:w="1134" w:type="dxa"/>
            <w:tcBorders>
              <w:top w:val="nil"/>
              <w:left w:val="nil"/>
              <w:bottom w:val="single" w:sz="4" w:space="0" w:color="auto"/>
              <w:right w:val="single" w:sz="4" w:space="0" w:color="auto"/>
            </w:tcBorders>
            <w:shd w:val="clear" w:color="auto" w:fill="auto"/>
            <w:noWrap/>
            <w:vAlign w:val="bottom"/>
            <w:hideMark/>
          </w:tcPr>
          <w:p w:rsidR="00A9706E" w:rsidRPr="00B74C11" w:rsidRDefault="00A9706E" w:rsidP="00031B92">
            <w:pPr>
              <w:spacing w:after="0" w:line="240" w:lineRule="auto"/>
              <w:jc w:val="center"/>
              <w:rPr>
                <w:rFonts w:ascii="Calibri" w:eastAsia="Times New Roman" w:hAnsi="Calibri" w:cs="Times New Roman"/>
                <w:color w:val="000000"/>
                <w:lang w:eastAsia="en-GB"/>
              </w:rPr>
            </w:pPr>
            <w:r w:rsidRPr="00B74C11">
              <w:rPr>
                <w:rFonts w:ascii="Calibri" w:eastAsia="Times New Roman" w:hAnsi="Calibri" w:cs="Times New Roman"/>
                <w:color w:val="000000"/>
                <w:lang w:eastAsia="en-GB"/>
              </w:rPr>
              <w:t>6</w:t>
            </w:r>
            <w:r>
              <w:rPr>
                <w:rFonts w:ascii="Calibri" w:eastAsia="Times New Roman" w:hAnsi="Calibri" w:cs="Times New Roman"/>
                <w:color w:val="000000"/>
                <w:lang w:eastAsia="en-GB"/>
              </w:rPr>
              <w:t>,</w:t>
            </w:r>
            <w:r w:rsidRPr="00B74C11">
              <w:rPr>
                <w:rFonts w:ascii="Calibri" w:eastAsia="Times New Roman" w:hAnsi="Calibri" w:cs="Times New Roman"/>
                <w:color w:val="000000"/>
                <w:lang w:eastAsia="en-GB"/>
              </w:rPr>
              <w:t>177</w:t>
            </w:r>
          </w:p>
        </w:tc>
        <w:tc>
          <w:tcPr>
            <w:tcW w:w="1352" w:type="dxa"/>
            <w:tcBorders>
              <w:top w:val="nil"/>
              <w:left w:val="nil"/>
              <w:bottom w:val="single" w:sz="4" w:space="0" w:color="auto"/>
              <w:right w:val="single" w:sz="4" w:space="0" w:color="auto"/>
            </w:tcBorders>
            <w:shd w:val="clear" w:color="auto" w:fill="auto"/>
            <w:noWrap/>
            <w:vAlign w:val="bottom"/>
            <w:hideMark/>
          </w:tcPr>
          <w:p w:rsidR="00A9706E" w:rsidRPr="00B74C11" w:rsidRDefault="00A9706E" w:rsidP="00031B92">
            <w:pPr>
              <w:spacing w:after="0" w:line="240" w:lineRule="auto"/>
              <w:jc w:val="center"/>
              <w:rPr>
                <w:rFonts w:ascii="Calibri" w:eastAsia="Times New Roman" w:hAnsi="Calibri" w:cs="Times New Roman"/>
                <w:color w:val="000000"/>
                <w:lang w:eastAsia="en-GB"/>
              </w:rPr>
            </w:pPr>
            <w:r w:rsidRPr="00B74C11">
              <w:rPr>
                <w:rFonts w:ascii="Calibri" w:eastAsia="Times New Roman" w:hAnsi="Calibri" w:cs="Times New Roman"/>
                <w:color w:val="000000"/>
                <w:lang w:eastAsia="en-GB"/>
              </w:rPr>
              <w:t>7.9%</w:t>
            </w:r>
          </w:p>
        </w:tc>
        <w:tc>
          <w:tcPr>
            <w:tcW w:w="940" w:type="dxa"/>
            <w:tcBorders>
              <w:top w:val="nil"/>
              <w:left w:val="nil"/>
              <w:bottom w:val="single" w:sz="4" w:space="0" w:color="auto"/>
              <w:right w:val="single" w:sz="4" w:space="0" w:color="auto"/>
            </w:tcBorders>
            <w:shd w:val="clear" w:color="auto" w:fill="auto"/>
            <w:noWrap/>
            <w:vAlign w:val="bottom"/>
            <w:hideMark/>
          </w:tcPr>
          <w:p w:rsidR="00A9706E" w:rsidRPr="00B74C11" w:rsidRDefault="00A9706E" w:rsidP="00031B92">
            <w:pPr>
              <w:spacing w:after="0" w:line="240" w:lineRule="auto"/>
              <w:jc w:val="center"/>
              <w:rPr>
                <w:rFonts w:ascii="Calibri" w:eastAsia="Times New Roman" w:hAnsi="Calibri" w:cs="Times New Roman"/>
                <w:color w:val="000000"/>
                <w:lang w:eastAsia="en-GB"/>
              </w:rPr>
            </w:pPr>
            <w:r w:rsidRPr="00B74C11">
              <w:rPr>
                <w:rFonts w:ascii="Calibri" w:eastAsia="Times New Roman" w:hAnsi="Calibri" w:cs="Times New Roman"/>
                <w:color w:val="000000"/>
                <w:lang w:eastAsia="en-GB"/>
              </w:rPr>
              <w:t>85</w:t>
            </w:r>
            <w:r>
              <w:rPr>
                <w:rFonts w:ascii="Calibri" w:eastAsia="Times New Roman" w:hAnsi="Calibri" w:cs="Times New Roman"/>
                <w:color w:val="000000"/>
                <w:lang w:eastAsia="en-GB"/>
              </w:rPr>
              <w:t>,</w:t>
            </w:r>
            <w:r w:rsidRPr="00B74C11">
              <w:rPr>
                <w:rFonts w:ascii="Calibri" w:eastAsia="Times New Roman" w:hAnsi="Calibri" w:cs="Times New Roman"/>
                <w:color w:val="000000"/>
                <w:lang w:eastAsia="en-GB"/>
              </w:rPr>
              <w:t>560</w:t>
            </w:r>
          </w:p>
        </w:tc>
        <w:tc>
          <w:tcPr>
            <w:tcW w:w="1110" w:type="dxa"/>
            <w:tcBorders>
              <w:top w:val="nil"/>
              <w:left w:val="nil"/>
              <w:bottom w:val="single" w:sz="4" w:space="0" w:color="auto"/>
              <w:right w:val="single" w:sz="4" w:space="0" w:color="auto"/>
            </w:tcBorders>
            <w:shd w:val="clear" w:color="auto" w:fill="auto"/>
            <w:noWrap/>
            <w:vAlign w:val="bottom"/>
            <w:hideMark/>
          </w:tcPr>
          <w:p w:rsidR="00A9706E" w:rsidRPr="00B74C11" w:rsidRDefault="00A9706E" w:rsidP="00031B92">
            <w:pPr>
              <w:spacing w:after="0" w:line="240" w:lineRule="auto"/>
              <w:jc w:val="center"/>
              <w:rPr>
                <w:rFonts w:ascii="Calibri" w:eastAsia="Times New Roman" w:hAnsi="Calibri" w:cs="Times New Roman"/>
                <w:color w:val="000000"/>
                <w:lang w:eastAsia="en-GB"/>
              </w:rPr>
            </w:pPr>
            <w:r w:rsidRPr="00B74C11">
              <w:rPr>
                <w:rFonts w:ascii="Calibri" w:eastAsia="Times New Roman" w:hAnsi="Calibri" w:cs="Times New Roman"/>
                <w:color w:val="000000"/>
                <w:lang w:eastAsia="en-GB"/>
              </w:rPr>
              <w:t>7</w:t>
            </w:r>
            <w:r>
              <w:rPr>
                <w:rFonts w:ascii="Calibri" w:eastAsia="Times New Roman" w:hAnsi="Calibri" w:cs="Times New Roman"/>
                <w:color w:val="000000"/>
                <w:lang w:eastAsia="en-GB"/>
              </w:rPr>
              <w:t>,</w:t>
            </w:r>
            <w:r w:rsidRPr="00B74C11">
              <w:rPr>
                <w:rFonts w:ascii="Calibri" w:eastAsia="Times New Roman" w:hAnsi="Calibri" w:cs="Times New Roman"/>
                <w:color w:val="000000"/>
                <w:lang w:eastAsia="en-GB"/>
              </w:rPr>
              <w:t>772</w:t>
            </w:r>
          </w:p>
        </w:tc>
        <w:tc>
          <w:tcPr>
            <w:tcW w:w="1334" w:type="dxa"/>
            <w:tcBorders>
              <w:top w:val="nil"/>
              <w:left w:val="nil"/>
              <w:bottom w:val="single" w:sz="4" w:space="0" w:color="auto"/>
              <w:right w:val="single" w:sz="4" w:space="0" w:color="auto"/>
            </w:tcBorders>
            <w:shd w:val="clear" w:color="auto" w:fill="auto"/>
            <w:noWrap/>
            <w:vAlign w:val="bottom"/>
            <w:hideMark/>
          </w:tcPr>
          <w:p w:rsidR="00A9706E" w:rsidRPr="00B74C11" w:rsidRDefault="00A9706E" w:rsidP="00031B92">
            <w:pPr>
              <w:spacing w:after="0" w:line="240" w:lineRule="auto"/>
              <w:jc w:val="center"/>
              <w:rPr>
                <w:rFonts w:ascii="Calibri" w:eastAsia="Times New Roman" w:hAnsi="Calibri" w:cs="Times New Roman"/>
                <w:color w:val="000000"/>
                <w:lang w:eastAsia="en-GB"/>
              </w:rPr>
            </w:pPr>
            <w:r w:rsidRPr="00B74C11">
              <w:rPr>
                <w:rFonts w:ascii="Calibri" w:eastAsia="Times New Roman" w:hAnsi="Calibri" w:cs="Times New Roman"/>
                <w:color w:val="000000"/>
                <w:lang w:eastAsia="en-GB"/>
              </w:rPr>
              <w:t>10.0%</w:t>
            </w:r>
          </w:p>
        </w:tc>
      </w:tr>
      <w:tr w:rsidR="00A9706E" w:rsidRPr="00B74C11" w:rsidTr="00031B92">
        <w:trPr>
          <w:trHeight w:val="300"/>
        </w:trPr>
        <w:tc>
          <w:tcPr>
            <w:tcW w:w="1140" w:type="dxa"/>
            <w:tcBorders>
              <w:top w:val="nil"/>
              <w:left w:val="single" w:sz="4" w:space="0" w:color="auto"/>
              <w:bottom w:val="single" w:sz="4" w:space="0" w:color="auto"/>
              <w:right w:val="single" w:sz="4" w:space="0" w:color="auto"/>
            </w:tcBorders>
            <w:shd w:val="clear" w:color="auto" w:fill="auto"/>
            <w:noWrap/>
            <w:vAlign w:val="bottom"/>
            <w:hideMark/>
          </w:tcPr>
          <w:p w:rsidR="00A9706E" w:rsidRPr="00B74C11" w:rsidRDefault="00A9706E" w:rsidP="00031B92">
            <w:pPr>
              <w:spacing w:after="0" w:line="240" w:lineRule="auto"/>
              <w:jc w:val="center"/>
              <w:rPr>
                <w:rFonts w:ascii="Calibri" w:eastAsia="Times New Roman" w:hAnsi="Calibri" w:cs="Times New Roman"/>
                <w:color w:val="000000"/>
                <w:lang w:eastAsia="en-GB"/>
              </w:rPr>
            </w:pPr>
            <w:r w:rsidRPr="00B74C11">
              <w:rPr>
                <w:rFonts w:ascii="Calibri" w:eastAsia="Times New Roman" w:hAnsi="Calibri" w:cs="Times New Roman"/>
                <w:color w:val="000000"/>
                <w:lang w:eastAsia="en-GB"/>
              </w:rPr>
              <w:t>16-64</w:t>
            </w:r>
          </w:p>
        </w:tc>
        <w:tc>
          <w:tcPr>
            <w:tcW w:w="1002" w:type="dxa"/>
            <w:tcBorders>
              <w:top w:val="nil"/>
              <w:left w:val="nil"/>
              <w:bottom w:val="single" w:sz="4" w:space="0" w:color="auto"/>
              <w:right w:val="single" w:sz="4" w:space="0" w:color="auto"/>
            </w:tcBorders>
            <w:shd w:val="clear" w:color="auto" w:fill="auto"/>
            <w:noWrap/>
            <w:vAlign w:val="bottom"/>
            <w:hideMark/>
          </w:tcPr>
          <w:p w:rsidR="00A9706E" w:rsidRPr="00B74C11" w:rsidRDefault="00A9706E" w:rsidP="00031B92">
            <w:pPr>
              <w:spacing w:after="0" w:line="240" w:lineRule="auto"/>
              <w:jc w:val="center"/>
              <w:rPr>
                <w:rFonts w:ascii="Calibri" w:eastAsia="Times New Roman" w:hAnsi="Calibri" w:cs="Times New Roman"/>
                <w:color w:val="000000"/>
                <w:lang w:eastAsia="en-GB"/>
              </w:rPr>
            </w:pPr>
            <w:r w:rsidRPr="00B74C11">
              <w:rPr>
                <w:rFonts w:ascii="Calibri" w:eastAsia="Times New Roman" w:hAnsi="Calibri" w:cs="Times New Roman"/>
                <w:color w:val="000000"/>
                <w:lang w:eastAsia="en-GB"/>
              </w:rPr>
              <w:t>237</w:t>
            </w:r>
            <w:r>
              <w:rPr>
                <w:rFonts w:ascii="Calibri" w:eastAsia="Times New Roman" w:hAnsi="Calibri" w:cs="Times New Roman"/>
                <w:color w:val="000000"/>
                <w:lang w:eastAsia="en-GB"/>
              </w:rPr>
              <w:t>,</w:t>
            </w:r>
            <w:r w:rsidRPr="00B74C11">
              <w:rPr>
                <w:rFonts w:ascii="Calibri" w:eastAsia="Times New Roman" w:hAnsi="Calibri" w:cs="Times New Roman"/>
                <w:color w:val="000000"/>
                <w:lang w:eastAsia="en-GB"/>
              </w:rPr>
              <w:t>901</w:t>
            </w:r>
          </w:p>
        </w:tc>
        <w:tc>
          <w:tcPr>
            <w:tcW w:w="992" w:type="dxa"/>
            <w:tcBorders>
              <w:top w:val="nil"/>
              <w:left w:val="nil"/>
              <w:bottom w:val="single" w:sz="4" w:space="0" w:color="auto"/>
              <w:right w:val="single" w:sz="4" w:space="0" w:color="auto"/>
            </w:tcBorders>
            <w:shd w:val="clear" w:color="auto" w:fill="auto"/>
            <w:noWrap/>
            <w:vAlign w:val="bottom"/>
            <w:hideMark/>
          </w:tcPr>
          <w:p w:rsidR="00A9706E" w:rsidRPr="00B74C11" w:rsidRDefault="00A9706E" w:rsidP="00031B92">
            <w:pPr>
              <w:spacing w:after="0" w:line="240" w:lineRule="auto"/>
              <w:jc w:val="center"/>
              <w:rPr>
                <w:rFonts w:ascii="Calibri" w:eastAsia="Times New Roman" w:hAnsi="Calibri" w:cs="Times New Roman"/>
                <w:color w:val="000000"/>
                <w:lang w:eastAsia="en-GB"/>
              </w:rPr>
            </w:pPr>
            <w:r w:rsidRPr="00B74C11">
              <w:rPr>
                <w:rFonts w:ascii="Calibri" w:eastAsia="Times New Roman" w:hAnsi="Calibri" w:cs="Times New Roman"/>
                <w:color w:val="000000"/>
                <w:lang w:eastAsia="en-GB"/>
              </w:rPr>
              <w:t>250</w:t>
            </w:r>
            <w:r>
              <w:rPr>
                <w:rFonts w:ascii="Calibri" w:eastAsia="Times New Roman" w:hAnsi="Calibri" w:cs="Times New Roman"/>
                <w:color w:val="000000"/>
                <w:lang w:eastAsia="en-GB"/>
              </w:rPr>
              <w:t>,</w:t>
            </w:r>
            <w:r w:rsidRPr="00B74C11">
              <w:rPr>
                <w:rFonts w:ascii="Calibri" w:eastAsia="Times New Roman" w:hAnsi="Calibri" w:cs="Times New Roman"/>
                <w:color w:val="000000"/>
                <w:lang w:eastAsia="en-GB"/>
              </w:rPr>
              <w:t>408</w:t>
            </w:r>
          </w:p>
        </w:tc>
        <w:tc>
          <w:tcPr>
            <w:tcW w:w="1134" w:type="dxa"/>
            <w:tcBorders>
              <w:top w:val="nil"/>
              <w:left w:val="nil"/>
              <w:bottom w:val="single" w:sz="4" w:space="0" w:color="auto"/>
              <w:right w:val="single" w:sz="4" w:space="0" w:color="auto"/>
            </w:tcBorders>
            <w:shd w:val="clear" w:color="auto" w:fill="auto"/>
            <w:noWrap/>
            <w:vAlign w:val="bottom"/>
            <w:hideMark/>
          </w:tcPr>
          <w:p w:rsidR="00A9706E" w:rsidRPr="00B74C11" w:rsidRDefault="00A9706E" w:rsidP="00031B92">
            <w:pPr>
              <w:spacing w:after="0" w:line="240" w:lineRule="auto"/>
              <w:jc w:val="center"/>
              <w:rPr>
                <w:rFonts w:ascii="Calibri" w:eastAsia="Times New Roman" w:hAnsi="Calibri" w:cs="Times New Roman"/>
                <w:color w:val="000000"/>
                <w:lang w:eastAsia="en-GB"/>
              </w:rPr>
            </w:pPr>
            <w:r w:rsidRPr="00B74C11">
              <w:rPr>
                <w:rFonts w:ascii="Calibri" w:eastAsia="Times New Roman" w:hAnsi="Calibri" w:cs="Times New Roman"/>
                <w:color w:val="000000"/>
                <w:lang w:eastAsia="en-GB"/>
              </w:rPr>
              <w:t>12</w:t>
            </w:r>
            <w:r>
              <w:rPr>
                <w:rFonts w:ascii="Calibri" w:eastAsia="Times New Roman" w:hAnsi="Calibri" w:cs="Times New Roman"/>
                <w:color w:val="000000"/>
                <w:lang w:eastAsia="en-GB"/>
              </w:rPr>
              <w:t>,</w:t>
            </w:r>
            <w:r w:rsidRPr="00B74C11">
              <w:rPr>
                <w:rFonts w:ascii="Calibri" w:eastAsia="Times New Roman" w:hAnsi="Calibri" w:cs="Times New Roman"/>
                <w:color w:val="000000"/>
                <w:lang w:eastAsia="en-GB"/>
              </w:rPr>
              <w:t>507</w:t>
            </w:r>
          </w:p>
        </w:tc>
        <w:tc>
          <w:tcPr>
            <w:tcW w:w="1352" w:type="dxa"/>
            <w:tcBorders>
              <w:top w:val="nil"/>
              <w:left w:val="nil"/>
              <w:bottom w:val="single" w:sz="4" w:space="0" w:color="auto"/>
              <w:right w:val="single" w:sz="4" w:space="0" w:color="auto"/>
            </w:tcBorders>
            <w:shd w:val="clear" w:color="auto" w:fill="auto"/>
            <w:noWrap/>
            <w:vAlign w:val="bottom"/>
            <w:hideMark/>
          </w:tcPr>
          <w:p w:rsidR="00A9706E" w:rsidRPr="00B74C11" w:rsidRDefault="00A9706E" w:rsidP="00031B92">
            <w:pPr>
              <w:spacing w:after="0" w:line="240" w:lineRule="auto"/>
              <w:jc w:val="center"/>
              <w:rPr>
                <w:rFonts w:ascii="Calibri" w:eastAsia="Times New Roman" w:hAnsi="Calibri" w:cs="Times New Roman"/>
                <w:color w:val="000000"/>
                <w:lang w:eastAsia="en-GB"/>
              </w:rPr>
            </w:pPr>
            <w:r w:rsidRPr="00B74C11">
              <w:rPr>
                <w:rFonts w:ascii="Calibri" w:eastAsia="Times New Roman" w:hAnsi="Calibri" w:cs="Times New Roman"/>
                <w:color w:val="000000"/>
                <w:lang w:eastAsia="en-GB"/>
              </w:rPr>
              <w:t>5.3%</w:t>
            </w:r>
          </w:p>
        </w:tc>
        <w:tc>
          <w:tcPr>
            <w:tcW w:w="940" w:type="dxa"/>
            <w:tcBorders>
              <w:top w:val="nil"/>
              <w:left w:val="nil"/>
              <w:bottom w:val="single" w:sz="4" w:space="0" w:color="auto"/>
              <w:right w:val="single" w:sz="4" w:space="0" w:color="auto"/>
            </w:tcBorders>
            <w:shd w:val="clear" w:color="auto" w:fill="auto"/>
            <w:noWrap/>
            <w:vAlign w:val="bottom"/>
            <w:hideMark/>
          </w:tcPr>
          <w:p w:rsidR="00A9706E" w:rsidRPr="00B74C11" w:rsidRDefault="00A9706E" w:rsidP="00031B92">
            <w:pPr>
              <w:spacing w:after="0" w:line="240" w:lineRule="auto"/>
              <w:jc w:val="center"/>
              <w:rPr>
                <w:rFonts w:ascii="Calibri" w:eastAsia="Times New Roman" w:hAnsi="Calibri" w:cs="Times New Roman"/>
                <w:color w:val="000000"/>
                <w:lang w:eastAsia="en-GB"/>
              </w:rPr>
            </w:pPr>
            <w:r w:rsidRPr="00B74C11">
              <w:rPr>
                <w:rFonts w:ascii="Calibri" w:eastAsia="Times New Roman" w:hAnsi="Calibri" w:cs="Times New Roman"/>
                <w:color w:val="000000"/>
                <w:lang w:eastAsia="en-GB"/>
              </w:rPr>
              <w:t>262</w:t>
            </w:r>
            <w:r>
              <w:rPr>
                <w:rFonts w:ascii="Calibri" w:eastAsia="Times New Roman" w:hAnsi="Calibri" w:cs="Times New Roman"/>
                <w:color w:val="000000"/>
                <w:lang w:eastAsia="en-GB"/>
              </w:rPr>
              <w:t>,</w:t>
            </w:r>
            <w:r w:rsidRPr="00B74C11">
              <w:rPr>
                <w:rFonts w:ascii="Calibri" w:eastAsia="Times New Roman" w:hAnsi="Calibri" w:cs="Times New Roman"/>
                <w:color w:val="000000"/>
                <w:lang w:eastAsia="en-GB"/>
              </w:rPr>
              <w:t>648</w:t>
            </w:r>
          </w:p>
        </w:tc>
        <w:tc>
          <w:tcPr>
            <w:tcW w:w="1110" w:type="dxa"/>
            <w:tcBorders>
              <w:top w:val="nil"/>
              <w:left w:val="nil"/>
              <w:bottom w:val="single" w:sz="4" w:space="0" w:color="auto"/>
              <w:right w:val="single" w:sz="4" w:space="0" w:color="auto"/>
            </w:tcBorders>
            <w:shd w:val="clear" w:color="auto" w:fill="auto"/>
            <w:noWrap/>
            <w:vAlign w:val="bottom"/>
            <w:hideMark/>
          </w:tcPr>
          <w:p w:rsidR="00A9706E" w:rsidRPr="00B74C11" w:rsidRDefault="00A9706E" w:rsidP="00031B92">
            <w:pPr>
              <w:spacing w:after="0" w:line="240" w:lineRule="auto"/>
              <w:jc w:val="center"/>
              <w:rPr>
                <w:rFonts w:ascii="Calibri" w:eastAsia="Times New Roman" w:hAnsi="Calibri" w:cs="Times New Roman"/>
                <w:color w:val="000000"/>
                <w:lang w:eastAsia="en-GB"/>
              </w:rPr>
            </w:pPr>
            <w:r w:rsidRPr="00B74C11">
              <w:rPr>
                <w:rFonts w:ascii="Calibri" w:eastAsia="Times New Roman" w:hAnsi="Calibri" w:cs="Times New Roman"/>
                <w:color w:val="000000"/>
                <w:lang w:eastAsia="en-GB"/>
              </w:rPr>
              <w:t>24</w:t>
            </w:r>
            <w:r>
              <w:rPr>
                <w:rFonts w:ascii="Calibri" w:eastAsia="Times New Roman" w:hAnsi="Calibri" w:cs="Times New Roman"/>
                <w:color w:val="000000"/>
                <w:lang w:eastAsia="en-GB"/>
              </w:rPr>
              <w:t>,</w:t>
            </w:r>
            <w:r w:rsidRPr="00B74C11">
              <w:rPr>
                <w:rFonts w:ascii="Calibri" w:eastAsia="Times New Roman" w:hAnsi="Calibri" w:cs="Times New Roman"/>
                <w:color w:val="000000"/>
                <w:lang w:eastAsia="en-GB"/>
              </w:rPr>
              <w:t>747</w:t>
            </w:r>
          </w:p>
        </w:tc>
        <w:tc>
          <w:tcPr>
            <w:tcW w:w="1334" w:type="dxa"/>
            <w:tcBorders>
              <w:top w:val="nil"/>
              <w:left w:val="nil"/>
              <w:bottom w:val="single" w:sz="4" w:space="0" w:color="auto"/>
              <w:right w:val="single" w:sz="4" w:space="0" w:color="auto"/>
            </w:tcBorders>
            <w:shd w:val="clear" w:color="auto" w:fill="auto"/>
            <w:noWrap/>
            <w:vAlign w:val="bottom"/>
            <w:hideMark/>
          </w:tcPr>
          <w:p w:rsidR="00A9706E" w:rsidRPr="00B74C11" w:rsidRDefault="00A9706E" w:rsidP="00031B92">
            <w:pPr>
              <w:spacing w:after="0" w:line="240" w:lineRule="auto"/>
              <w:jc w:val="center"/>
              <w:rPr>
                <w:rFonts w:ascii="Calibri" w:eastAsia="Times New Roman" w:hAnsi="Calibri" w:cs="Times New Roman"/>
                <w:color w:val="000000"/>
                <w:lang w:eastAsia="en-GB"/>
              </w:rPr>
            </w:pPr>
            <w:r w:rsidRPr="00B74C11">
              <w:rPr>
                <w:rFonts w:ascii="Calibri" w:eastAsia="Times New Roman" w:hAnsi="Calibri" w:cs="Times New Roman"/>
                <w:color w:val="000000"/>
                <w:lang w:eastAsia="en-GB"/>
              </w:rPr>
              <w:t>10.4%</w:t>
            </w:r>
          </w:p>
        </w:tc>
      </w:tr>
      <w:tr w:rsidR="00A9706E" w:rsidRPr="00B74C11" w:rsidTr="00031B92">
        <w:trPr>
          <w:trHeight w:val="300"/>
        </w:trPr>
        <w:tc>
          <w:tcPr>
            <w:tcW w:w="1140" w:type="dxa"/>
            <w:tcBorders>
              <w:top w:val="nil"/>
              <w:left w:val="single" w:sz="4" w:space="0" w:color="auto"/>
              <w:bottom w:val="single" w:sz="4" w:space="0" w:color="auto"/>
              <w:right w:val="single" w:sz="4" w:space="0" w:color="auto"/>
            </w:tcBorders>
            <w:shd w:val="clear" w:color="auto" w:fill="auto"/>
            <w:noWrap/>
            <w:vAlign w:val="bottom"/>
            <w:hideMark/>
          </w:tcPr>
          <w:p w:rsidR="00A9706E" w:rsidRPr="00B74C11" w:rsidRDefault="00A9706E" w:rsidP="00031B92">
            <w:pPr>
              <w:spacing w:after="0" w:line="240" w:lineRule="auto"/>
              <w:jc w:val="center"/>
              <w:rPr>
                <w:rFonts w:ascii="Calibri" w:eastAsia="Times New Roman" w:hAnsi="Calibri" w:cs="Times New Roman"/>
                <w:color w:val="000000"/>
                <w:lang w:eastAsia="en-GB"/>
              </w:rPr>
            </w:pPr>
            <w:r w:rsidRPr="00B74C11">
              <w:rPr>
                <w:rFonts w:ascii="Calibri" w:eastAsia="Times New Roman" w:hAnsi="Calibri" w:cs="Times New Roman"/>
                <w:color w:val="000000"/>
                <w:lang w:eastAsia="en-GB"/>
              </w:rPr>
              <w:t>65+</w:t>
            </w:r>
          </w:p>
        </w:tc>
        <w:tc>
          <w:tcPr>
            <w:tcW w:w="1002" w:type="dxa"/>
            <w:tcBorders>
              <w:top w:val="nil"/>
              <w:left w:val="nil"/>
              <w:bottom w:val="single" w:sz="4" w:space="0" w:color="auto"/>
              <w:right w:val="single" w:sz="4" w:space="0" w:color="auto"/>
            </w:tcBorders>
            <w:shd w:val="clear" w:color="auto" w:fill="auto"/>
            <w:noWrap/>
            <w:vAlign w:val="bottom"/>
            <w:hideMark/>
          </w:tcPr>
          <w:p w:rsidR="00A9706E" w:rsidRPr="00B74C11" w:rsidRDefault="00A9706E" w:rsidP="00031B92">
            <w:pPr>
              <w:spacing w:after="0" w:line="240" w:lineRule="auto"/>
              <w:jc w:val="center"/>
              <w:rPr>
                <w:rFonts w:ascii="Calibri" w:eastAsia="Times New Roman" w:hAnsi="Calibri" w:cs="Times New Roman"/>
                <w:color w:val="000000"/>
                <w:lang w:eastAsia="en-GB"/>
              </w:rPr>
            </w:pPr>
            <w:r w:rsidRPr="00B74C11">
              <w:rPr>
                <w:rFonts w:ascii="Calibri" w:eastAsia="Times New Roman" w:hAnsi="Calibri" w:cs="Times New Roman"/>
                <w:color w:val="000000"/>
                <w:lang w:eastAsia="en-GB"/>
              </w:rPr>
              <w:t>51</w:t>
            </w:r>
            <w:r>
              <w:rPr>
                <w:rFonts w:ascii="Calibri" w:eastAsia="Times New Roman" w:hAnsi="Calibri" w:cs="Times New Roman"/>
                <w:color w:val="000000"/>
                <w:lang w:eastAsia="en-GB"/>
              </w:rPr>
              <w:t>,</w:t>
            </w:r>
            <w:r w:rsidRPr="00B74C11">
              <w:rPr>
                <w:rFonts w:ascii="Calibri" w:eastAsia="Times New Roman" w:hAnsi="Calibri" w:cs="Times New Roman"/>
                <w:color w:val="000000"/>
                <w:lang w:eastAsia="en-GB"/>
              </w:rPr>
              <w:t>576</w:t>
            </w:r>
          </w:p>
        </w:tc>
        <w:tc>
          <w:tcPr>
            <w:tcW w:w="992" w:type="dxa"/>
            <w:tcBorders>
              <w:top w:val="nil"/>
              <w:left w:val="nil"/>
              <w:bottom w:val="single" w:sz="4" w:space="0" w:color="auto"/>
              <w:right w:val="single" w:sz="4" w:space="0" w:color="auto"/>
            </w:tcBorders>
            <w:shd w:val="clear" w:color="auto" w:fill="auto"/>
            <w:noWrap/>
            <w:vAlign w:val="bottom"/>
            <w:hideMark/>
          </w:tcPr>
          <w:p w:rsidR="00A9706E" w:rsidRPr="00B74C11" w:rsidRDefault="00A9706E" w:rsidP="00031B92">
            <w:pPr>
              <w:spacing w:after="0" w:line="240" w:lineRule="auto"/>
              <w:jc w:val="center"/>
              <w:rPr>
                <w:rFonts w:ascii="Calibri" w:eastAsia="Times New Roman" w:hAnsi="Calibri" w:cs="Times New Roman"/>
                <w:color w:val="000000"/>
                <w:lang w:eastAsia="en-GB"/>
              </w:rPr>
            </w:pPr>
            <w:r w:rsidRPr="00B74C11">
              <w:rPr>
                <w:rFonts w:ascii="Calibri" w:eastAsia="Times New Roman" w:hAnsi="Calibri" w:cs="Times New Roman"/>
                <w:color w:val="000000"/>
                <w:lang w:eastAsia="en-GB"/>
              </w:rPr>
              <w:t>57</w:t>
            </w:r>
            <w:r>
              <w:rPr>
                <w:rFonts w:ascii="Calibri" w:eastAsia="Times New Roman" w:hAnsi="Calibri" w:cs="Times New Roman"/>
                <w:color w:val="000000"/>
                <w:lang w:eastAsia="en-GB"/>
              </w:rPr>
              <w:t>,</w:t>
            </w:r>
            <w:r w:rsidRPr="00B74C11">
              <w:rPr>
                <w:rFonts w:ascii="Calibri" w:eastAsia="Times New Roman" w:hAnsi="Calibri" w:cs="Times New Roman"/>
                <w:color w:val="000000"/>
                <w:lang w:eastAsia="en-GB"/>
              </w:rPr>
              <w:t>098</w:t>
            </w:r>
          </w:p>
        </w:tc>
        <w:tc>
          <w:tcPr>
            <w:tcW w:w="1134" w:type="dxa"/>
            <w:tcBorders>
              <w:top w:val="nil"/>
              <w:left w:val="nil"/>
              <w:bottom w:val="single" w:sz="4" w:space="0" w:color="auto"/>
              <w:right w:val="single" w:sz="4" w:space="0" w:color="auto"/>
            </w:tcBorders>
            <w:shd w:val="clear" w:color="auto" w:fill="auto"/>
            <w:noWrap/>
            <w:vAlign w:val="bottom"/>
            <w:hideMark/>
          </w:tcPr>
          <w:p w:rsidR="00A9706E" w:rsidRPr="00B74C11" w:rsidRDefault="00A9706E" w:rsidP="00031B92">
            <w:pPr>
              <w:spacing w:after="0" w:line="240" w:lineRule="auto"/>
              <w:jc w:val="center"/>
              <w:rPr>
                <w:rFonts w:ascii="Calibri" w:eastAsia="Times New Roman" w:hAnsi="Calibri" w:cs="Times New Roman"/>
                <w:color w:val="000000"/>
                <w:lang w:eastAsia="en-GB"/>
              </w:rPr>
            </w:pPr>
            <w:r w:rsidRPr="00B74C11">
              <w:rPr>
                <w:rFonts w:ascii="Calibri" w:eastAsia="Times New Roman" w:hAnsi="Calibri" w:cs="Times New Roman"/>
                <w:color w:val="000000"/>
                <w:lang w:eastAsia="en-GB"/>
              </w:rPr>
              <w:t>5</w:t>
            </w:r>
            <w:r>
              <w:rPr>
                <w:rFonts w:ascii="Calibri" w:eastAsia="Times New Roman" w:hAnsi="Calibri" w:cs="Times New Roman"/>
                <w:color w:val="000000"/>
                <w:lang w:eastAsia="en-GB"/>
              </w:rPr>
              <w:t>,</w:t>
            </w:r>
            <w:r w:rsidRPr="00B74C11">
              <w:rPr>
                <w:rFonts w:ascii="Calibri" w:eastAsia="Times New Roman" w:hAnsi="Calibri" w:cs="Times New Roman"/>
                <w:color w:val="000000"/>
                <w:lang w:eastAsia="en-GB"/>
              </w:rPr>
              <w:t>522</w:t>
            </w:r>
          </w:p>
        </w:tc>
        <w:tc>
          <w:tcPr>
            <w:tcW w:w="1352" w:type="dxa"/>
            <w:tcBorders>
              <w:top w:val="nil"/>
              <w:left w:val="nil"/>
              <w:bottom w:val="single" w:sz="4" w:space="0" w:color="auto"/>
              <w:right w:val="single" w:sz="4" w:space="0" w:color="auto"/>
            </w:tcBorders>
            <w:shd w:val="clear" w:color="auto" w:fill="auto"/>
            <w:noWrap/>
            <w:vAlign w:val="bottom"/>
            <w:hideMark/>
          </w:tcPr>
          <w:p w:rsidR="00A9706E" w:rsidRPr="00B74C11" w:rsidRDefault="00A9706E" w:rsidP="00031B92">
            <w:pPr>
              <w:spacing w:after="0" w:line="240" w:lineRule="auto"/>
              <w:jc w:val="center"/>
              <w:rPr>
                <w:rFonts w:ascii="Calibri" w:eastAsia="Times New Roman" w:hAnsi="Calibri" w:cs="Times New Roman"/>
                <w:color w:val="000000"/>
                <w:lang w:eastAsia="en-GB"/>
              </w:rPr>
            </w:pPr>
            <w:r w:rsidRPr="00B74C11">
              <w:rPr>
                <w:rFonts w:ascii="Calibri" w:eastAsia="Times New Roman" w:hAnsi="Calibri" w:cs="Times New Roman"/>
                <w:color w:val="000000"/>
                <w:lang w:eastAsia="en-GB"/>
              </w:rPr>
              <w:t>10.7%</w:t>
            </w:r>
          </w:p>
        </w:tc>
        <w:tc>
          <w:tcPr>
            <w:tcW w:w="940" w:type="dxa"/>
            <w:tcBorders>
              <w:top w:val="nil"/>
              <w:left w:val="nil"/>
              <w:bottom w:val="single" w:sz="4" w:space="0" w:color="auto"/>
              <w:right w:val="single" w:sz="4" w:space="0" w:color="auto"/>
            </w:tcBorders>
            <w:shd w:val="clear" w:color="auto" w:fill="auto"/>
            <w:noWrap/>
            <w:vAlign w:val="bottom"/>
            <w:hideMark/>
          </w:tcPr>
          <w:p w:rsidR="00A9706E" w:rsidRPr="00B74C11" w:rsidRDefault="00A9706E" w:rsidP="00031B92">
            <w:pPr>
              <w:spacing w:after="0" w:line="240" w:lineRule="auto"/>
              <w:jc w:val="center"/>
              <w:rPr>
                <w:rFonts w:ascii="Calibri" w:eastAsia="Times New Roman" w:hAnsi="Calibri" w:cs="Times New Roman"/>
                <w:color w:val="000000"/>
                <w:lang w:eastAsia="en-GB"/>
              </w:rPr>
            </w:pPr>
            <w:r w:rsidRPr="00B74C11">
              <w:rPr>
                <w:rFonts w:ascii="Calibri" w:eastAsia="Times New Roman" w:hAnsi="Calibri" w:cs="Times New Roman"/>
                <w:color w:val="000000"/>
                <w:lang w:eastAsia="en-GB"/>
              </w:rPr>
              <w:t>69</w:t>
            </w:r>
            <w:r>
              <w:rPr>
                <w:rFonts w:ascii="Calibri" w:eastAsia="Times New Roman" w:hAnsi="Calibri" w:cs="Times New Roman"/>
                <w:color w:val="000000"/>
                <w:lang w:eastAsia="en-GB"/>
              </w:rPr>
              <w:t>,</w:t>
            </w:r>
            <w:r w:rsidRPr="00B74C11">
              <w:rPr>
                <w:rFonts w:ascii="Calibri" w:eastAsia="Times New Roman" w:hAnsi="Calibri" w:cs="Times New Roman"/>
                <w:color w:val="000000"/>
                <w:lang w:eastAsia="en-GB"/>
              </w:rPr>
              <w:t>364</w:t>
            </w:r>
          </w:p>
        </w:tc>
        <w:tc>
          <w:tcPr>
            <w:tcW w:w="1110" w:type="dxa"/>
            <w:tcBorders>
              <w:top w:val="nil"/>
              <w:left w:val="nil"/>
              <w:bottom w:val="single" w:sz="4" w:space="0" w:color="auto"/>
              <w:right w:val="single" w:sz="4" w:space="0" w:color="auto"/>
            </w:tcBorders>
            <w:shd w:val="clear" w:color="auto" w:fill="auto"/>
            <w:noWrap/>
            <w:vAlign w:val="bottom"/>
            <w:hideMark/>
          </w:tcPr>
          <w:p w:rsidR="00A9706E" w:rsidRPr="00B74C11" w:rsidRDefault="00A9706E" w:rsidP="00031B92">
            <w:pPr>
              <w:spacing w:after="0" w:line="240" w:lineRule="auto"/>
              <w:jc w:val="center"/>
              <w:rPr>
                <w:rFonts w:ascii="Calibri" w:eastAsia="Times New Roman" w:hAnsi="Calibri" w:cs="Times New Roman"/>
                <w:color w:val="000000"/>
                <w:lang w:eastAsia="en-GB"/>
              </w:rPr>
            </w:pPr>
            <w:r w:rsidRPr="00B74C11">
              <w:rPr>
                <w:rFonts w:ascii="Calibri" w:eastAsia="Times New Roman" w:hAnsi="Calibri" w:cs="Times New Roman"/>
                <w:color w:val="000000"/>
                <w:lang w:eastAsia="en-GB"/>
              </w:rPr>
              <w:t>17</w:t>
            </w:r>
            <w:r>
              <w:rPr>
                <w:rFonts w:ascii="Calibri" w:eastAsia="Times New Roman" w:hAnsi="Calibri" w:cs="Times New Roman"/>
                <w:color w:val="000000"/>
                <w:lang w:eastAsia="en-GB"/>
              </w:rPr>
              <w:t>,</w:t>
            </w:r>
            <w:r w:rsidRPr="00B74C11">
              <w:rPr>
                <w:rFonts w:ascii="Calibri" w:eastAsia="Times New Roman" w:hAnsi="Calibri" w:cs="Times New Roman"/>
                <w:color w:val="000000"/>
                <w:lang w:eastAsia="en-GB"/>
              </w:rPr>
              <w:t>789</w:t>
            </w:r>
          </w:p>
        </w:tc>
        <w:tc>
          <w:tcPr>
            <w:tcW w:w="1334" w:type="dxa"/>
            <w:tcBorders>
              <w:top w:val="nil"/>
              <w:left w:val="nil"/>
              <w:bottom w:val="single" w:sz="4" w:space="0" w:color="auto"/>
              <w:right w:val="single" w:sz="4" w:space="0" w:color="auto"/>
            </w:tcBorders>
            <w:shd w:val="clear" w:color="auto" w:fill="auto"/>
            <w:noWrap/>
            <w:vAlign w:val="bottom"/>
            <w:hideMark/>
          </w:tcPr>
          <w:p w:rsidR="00A9706E" w:rsidRPr="00B74C11" w:rsidRDefault="00A9706E" w:rsidP="00031B92">
            <w:pPr>
              <w:spacing w:after="0" w:line="240" w:lineRule="auto"/>
              <w:jc w:val="center"/>
              <w:rPr>
                <w:rFonts w:ascii="Calibri" w:eastAsia="Times New Roman" w:hAnsi="Calibri" w:cs="Times New Roman"/>
                <w:color w:val="000000"/>
                <w:lang w:eastAsia="en-GB"/>
              </w:rPr>
            </w:pPr>
            <w:r w:rsidRPr="00B74C11">
              <w:rPr>
                <w:rFonts w:ascii="Calibri" w:eastAsia="Times New Roman" w:hAnsi="Calibri" w:cs="Times New Roman"/>
                <w:color w:val="000000"/>
                <w:lang w:eastAsia="en-GB"/>
              </w:rPr>
              <w:t>34.5%</w:t>
            </w:r>
          </w:p>
        </w:tc>
      </w:tr>
    </w:tbl>
    <w:p w:rsidR="00A9706E" w:rsidRDefault="00A9706E" w:rsidP="00A9706E">
      <w:pPr>
        <w:spacing w:after="0" w:line="240" w:lineRule="auto"/>
        <w:jc w:val="both"/>
        <w:rPr>
          <w:rFonts w:ascii="Calibri" w:hAnsi="Calibri" w:cs="Calibri"/>
        </w:rPr>
      </w:pPr>
      <w:r w:rsidRPr="00074345">
        <w:rPr>
          <w:rFonts w:ascii="Calibri" w:hAnsi="Calibri" w:cs="Calibri"/>
        </w:rPr>
        <w:t>Source: GLA Projections 2013</w:t>
      </w:r>
      <w:r>
        <w:rPr>
          <w:rFonts w:ascii="Calibri" w:hAnsi="Calibri" w:cs="Calibri"/>
        </w:rPr>
        <w:t xml:space="preserve"> </w:t>
      </w:r>
      <w:r>
        <w:t>(</w:t>
      </w:r>
      <w:r w:rsidRPr="005D3C22">
        <w:t>Preferred Option Projections</w:t>
      </w:r>
      <w:r>
        <w:t>)</w:t>
      </w:r>
    </w:p>
    <w:p w:rsidR="00A9706E" w:rsidRPr="00074345" w:rsidRDefault="00A9706E" w:rsidP="00C52CEE">
      <w:pPr>
        <w:spacing w:after="0" w:line="240" w:lineRule="auto"/>
        <w:jc w:val="both"/>
        <w:rPr>
          <w:rFonts w:ascii="Calibri" w:hAnsi="Calibri" w:cs="Calibri"/>
        </w:rPr>
      </w:pPr>
    </w:p>
    <w:p w:rsidR="00A9706E" w:rsidRDefault="00A9706E" w:rsidP="00C52CEE">
      <w:pPr>
        <w:spacing w:after="0" w:line="240" w:lineRule="auto"/>
        <w:jc w:val="both"/>
      </w:pPr>
      <w:r>
        <w:t>Growth is projected across all three age groups</w:t>
      </w:r>
      <w:r w:rsidRPr="00B050A1">
        <w:t xml:space="preserve"> </w:t>
      </w:r>
      <w:r>
        <w:t>h</w:t>
      </w:r>
      <w:r w:rsidRPr="00B050A1">
        <w:t>owever; it is not a uniform rise</w:t>
      </w:r>
      <w:r>
        <w:t xml:space="preserve">. As with the whole of England, Barnet’s population is projected to become proportionally older as the over 65’s age group grows at a much faster rate than the 0-15 and 16-64 age bands. This is a significant concern for Barnet as it will likely drive up the dependency ratio within the Borough. </w:t>
      </w:r>
    </w:p>
    <w:p w:rsidR="00C52CEE" w:rsidRPr="00B050A1" w:rsidRDefault="00C52CEE" w:rsidP="00C52CEE">
      <w:pPr>
        <w:spacing w:after="0" w:line="240" w:lineRule="auto"/>
        <w:jc w:val="both"/>
      </w:pPr>
    </w:p>
    <w:p w:rsidR="00A9706E" w:rsidRDefault="00A9706E" w:rsidP="00A9706E">
      <w:pPr>
        <w:jc w:val="both"/>
      </w:pPr>
      <w:r>
        <w:t>T</w:t>
      </w:r>
      <w:r w:rsidRPr="00B050A1">
        <w:t xml:space="preserve">he 0-15 age group shows growth at a greater rate than the 16-64 age group until 2026 after which the child population is expected to slightly decline. The 16-64 population is expected to increase steadily through to </w:t>
      </w:r>
      <w:r>
        <w:t>2030</w:t>
      </w:r>
      <w:r w:rsidRPr="00B050A1">
        <w:t>. This pattern of growth suggests that families are moving to Barnet with children for school and choosing to stay into older age once children leave for university or begin careers outside Barnet.</w:t>
      </w:r>
    </w:p>
    <w:p w:rsidR="00C52CEE" w:rsidRDefault="00C52CEE" w:rsidP="00A9706E">
      <w:pPr>
        <w:jc w:val="both"/>
      </w:pPr>
    </w:p>
    <w:p w:rsidR="00C52CEE" w:rsidRDefault="00C52CEE" w:rsidP="00A9706E">
      <w:pPr>
        <w:jc w:val="both"/>
      </w:pPr>
    </w:p>
    <w:p w:rsidR="00C52CEE" w:rsidRPr="00B050A1" w:rsidRDefault="00C52CEE" w:rsidP="00A9706E">
      <w:pPr>
        <w:jc w:val="both"/>
      </w:pPr>
    </w:p>
    <w:p w:rsidR="00A9706E" w:rsidRPr="005E2372" w:rsidRDefault="00A9706E" w:rsidP="00A9706E">
      <w:pPr>
        <w:pStyle w:val="Caption"/>
        <w:rPr>
          <w:rFonts w:ascii="Calibri" w:hAnsi="Calibri" w:cs="Calibri"/>
          <w:b w:val="0"/>
          <w:i/>
        </w:rPr>
      </w:pPr>
      <w:r>
        <w:lastRenderedPageBreak/>
        <w:t xml:space="preserve">Figure </w:t>
      </w:r>
      <w:fldSimple w:instr=" STYLEREF 1 \s ">
        <w:r w:rsidR="001663C2">
          <w:rPr>
            <w:noProof/>
          </w:rPr>
          <w:t>2</w:t>
        </w:r>
      </w:fldSimple>
      <w:r w:rsidR="00943DC2">
        <w:noBreakHyphen/>
      </w:r>
      <w:fldSimple w:instr=" SEQ Figure \* ARABIC \s 1 ">
        <w:r w:rsidR="001663C2">
          <w:rPr>
            <w:noProof/>
          </w:rPr>
          <w:t>8</w:t>
        </w:r>
      </w:fldSimple>
      <w:r w:rsidRPr="004E7E79">
        <w:rPr>
          <w:rFonts w:cs="Calibri"/>
        </w:rPr>
        <w:t>: Barnet Population Growth by Broad Age Structure 2015 –2030</w:t>
      </w:r>
    </w:p>
    <w:p w:rsidR="00A9706E" w:rsidRPr="00B74C11" w:rsidRDefault="00A9706E" w:rsidP="00A9706E">
      <w:pPr>
        <w:spacing w:after="0" w:line="240" w:lineRule="auto"/>
        <w:jc w:val="both"/>
        <w:rPr>
          <w:rFonts w:ascii="Calibri" w:hAnsi="Calibri" w:cs="Calibri"/>
        </w:rPr>
      </w:pPr>
      <w:r>
        <w:rPr>
          <w:noProof/>
          <w:lang w:eastAsia="en-GB"/>
        </w:rPr>
        <w:drawing>
          <wp:inline distT="0" distB="0" distL="0" distR="0" wp14:anchorId="6098671D" wp14:editId="51B8A7A3">
            <wp:extent cx="5730949" cy="2254102"/>
            <wp:effectExtent l="0" t="0" r="22225" b="13335"/>
            <wp:docPr id="43023" name="Chart 430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A9706E" w:rsidRDefault="00A9706E" w:rsidP="00A9706E">
      <w:pPr>
        <w:spacing w:after="0" w:line="240" w:lineRule="auto"/>
        <w:jc w:val="both"/>
        <w:rPr>
          <w:rFonts w:ascii="Calibri" w:hAnsi="Calibri" w:cs="Calibri"/>
        </w:rPr>
      </w:pPr>
      <w:r w:rsidRPr="005E2372">
        <w:rPr>
          <w:rFonts w:ascii="Calibri" w:hAnsi="Calibri" w:cs="Calibri"/>
        </w:rPr>
        <w:t>Source: GLA Projections 2013</w:t>
      </w:r>
      <w:r>
        <w:rPr>
          <w:rFonts w:ascii="Calibri" w:hAnsi="Calibri" w:cs="Calibri"/>
        </w:rPr>
        <w:t xml:space="preserve"> </w:t>
      </w:r>
      <w:r>
        <w:t>(</w:t>
      </w:r>
      <w:r w:rsidRPr="005D3C22">
        <w:t>Preferred Option Projections</w:t>
      </w:r>
      <w:r>
        <w:t>)</w:t>
      </w:r>
    </w:p>
    <w:p w:rsidR="00A9706E" w:rsidRDefault="00A9706E" w:rsidP="00A9706E">
      <w:pPr>
        <w:spacing w:after="0" w:line="240" w:lineRule="auto"/>
        <w:jc w:val="both"/>
        <w:rPr>
          <w:rFonts w:ascii="Calibri" w:hAnsi="Calibri" w:cs="Calibri"/>
        </w:rPr>
      </w:pPr>
    </w:p>
    <w:p w:rsidR="00A9706E" w:rsidRPr="007E1D86" w:rsidRDefault="00A9706E" w:rsidP="00A9706E">
      <w:pPr>
        <w:jc w:val="both"/>
      </w:pPr>
      <w:r>
        <w:t xml:space="preserve">Table </w:t>
      </w:r>
      <w:r>
        <w:rPr>
          <w:rFonts w:ascii="Calibri" w:hAnsi="Calibri" w:cs="Calibri"/>
        </w:rPr>
        <w:t>2-</w:t>
      </w:r>
      <w:r>
        <w:t>7</w:t>
      </w:r>
      <w:r w:rsidRPr="007E1D86">
        <w:t xml:space="preserve"> below shows the proportion of people aged 65 and over by ward. Currently </w:t>
      </w:r>
      <w:r>
        <w:t xml:space="preserve">both </w:t>
      </w:r>
      <w:r w:rsidRPr="007E1D86">
        <w:t xml:space="preserve">Garden Suburb and High Barnet have the largest proportion of people aged 65 and over, 18.1%. By 2030, although Garden Suburb’s 65 and over population is projected to have increased to 21.6% of the population; High Barnet’s is projected to have increased to 22.9%. </w:t>
      </w:r>
    </w:p>
    <w:p w:rsidR="00A9706E" w:rsidRPr="007E1D86" w:rsidRDefault="00A9706E" w:rsidP="00A9706E">
      <w:pPr>
        <w:jc w:val="both"/>
      </w:pPr>
      <w:r w:rsidRPr="007E1D86">
        <w:t xml:space="preserve">Although, over this period Brunswick Park and Hale are projected to experience the highest levels of growth in the proportion of the population of people aged 65 and over, increasing by 5.8% and 5.5% respectively. </w:t>
      </w:r>
    </w:p>
    <w:p w:rsidR="00A9706E" w:rsidRPr="00584EB7" w:rsidRDefault="00A9706E" w:rsidP="00A9706E">
      <w:pPr>
        <w:jc w:val="both"/>
      </w:pPr>
      <w:r w:rsidRPr="007E1D86">
        <w:t xml:space="preserve">Interestingly, the wards that are projected the highest levels of overall population growth over the period 2015-2030, Golders Green and Colindale are also projected to see the smallest increase in the proportion of the population who are 65 and over. In fact Golders Green is projected to reduce by 2.4%.  This </w:t>
      </w:r>
      <w:r>
        <w:t xml:space="preserve">is due to </w:t>
      </w:r>
      <w:r w:rsidRPr="007E1D86">
        <w:t>growth in these areas is predominantly</w:t>
      </w:r>
      <w:r>
        <w:t xml:space="preserve"> being</w:t>
      </w:r>
      <w:r w:rsidRPr="007E1D86">
        <w:t xml:space="preserve"> driven by development which </w:t>
      </w:r>
      <w:r>
        <w:t>will bring</w:t>
      </w:r>
      <w:r w:rsidRPr="007E1D86">
        <w:t xml:space="preserve"> younger people into the </w:t>
      </w:r>
      <w:r>
        <w:t>Borough</w:t>
      </w:r>
      <w:r w:rsidRPr="007E1D86">
        <w:t>.</w:t>
      </w:r>
      <w:r w:rsidRPr="00584EB7">
        <w:t xml:space="preserve"> </w:t>
      </w:r>
    </w:p>
    <w:p w:rsidR="000120BC" w:rsidRDefault="000120BC" w:rsidP="00A9706E">
      <w:pPr>
        <w:pStyle w:val="Caption"/>
      </w:pPr>
    </w:p>
    <w:p w:rsidR="000120BC" w:rsidRDefault="000120BC" w:rsidP="00A9706E">
      <w:pPr>
        <w:pStyle w:val="Caption"/>
      </w:pPr>
    </w:p>
    <w:p w:rsidR="000120BC" w:rsidRDefault="000120BC" w:rsidP="00A9706E">
      <w:pPr>
        <w:pStyle w:val="Caption"/>
      </w:pPr>
    </w:p>
    <w:p w:rsidR="000120BC" w:rsidRDefault="000120BC" w:rsidP="00A9706E">
      <w:pPr>
        <w:pStyle w:val="Caption"/>
      </w:pPr>
    </w:p>
    <w:p w:rsidR="000120BC" w:rsidRDefault="000120BC" w:rsidP="00A9706E">
      <w:pPr>
        <w:pStyle w:val="Caption"/>
      </w:pPr>
    </w:p>
    <w:p w:rsidR="000120BC" w:rsidRDefault="000120BC" w:rsidP="00A9706E">
      <w:pPr>
        <w:pStyle w:val="Caption"/>
      </w:pPr>
    </w:p>
    <w:p w:rsidR="000120BC" w:rsidRDefault="000120BC" w:rsidP="00A9706E">
      <w:pPr>
        <w:pStyle w:val="Caption"/>
      </w:pPr>
    </w:p>
    <w:p w:rsidR="000120BC" w:rsidRDefault="000120BC" w:rsidP="00A9706E">
      <w:pPr>
        <w:pStyle w:val="Caption"/>
      </w:pPr>
    </w:p>
    <w:p w:rsidR="000120BC" w:rsidRDefault="000120BC" w:rsidP="00A9706E">
      <w:pPr>
        <w:pStyle w:val="Caption"/>
      </w:pPr>
    </w:p>
    <w:p w:rsidR="000120BC" w:rsidRDefault="000120BC" w:rsidP="00A9706E">
      <w:pPr>
        <w:pStyle w:val="Caption"/>
      </w:pPr>
    </w:p>
    <w:p w:rsidR="000120BC" w:rsidRDefault="000120BC" w:rsidP="00A9706E">
      <w:pPr>
        <w:pStyle w:val="Caption"/>
      </w:pPr>
    </w:p>
    <w:p w:rsidR="000120BC" w:rsidRDefault="000120BC" w:rsidP="00A9706E">
      <w:pPr>
        <w:pStyle w:val="Caption"/>
      </w:pPr>
    </w:p>
    <w:p w:rsidR="000120BC" w:rsidRDefault="000120BC" w:rsidP="00A9706E">
      <w:pPr>
        <w:pStyle w:val="Caption"/>
      </w:pPr>
    </w:p>
    <w:p w:rsidR="000120BC" w:rsidRDefault="000120BC" w:rsidP="00A9706E">
      <w:pPr>
        <w:pStyle w:val="Caption"/>
      </w:pPr>
    </w:p>
    <w:p w:rsidR="000120BC" w:rsidRDefault="000120BC" w:rsidP="00A9706E">
      <w:pPr>
        <w:pStyle w:val="Caption"/>
      </w:pPr>
    </w:p>
    <w:p w:rsidR="000120BC" w:rsidRDefault="000120BC" w:rsidP="00A9706E">
      <w:pPr>
        <w:pStyle w:val="Caption"/>
      </w:pPr>
    </w:p>
    <w:p w:rsidR="00A9706E" w:rsidRPr="005E2372" w:rsidRDefault="00A9706E" w:rsidP="00A9706E">
      <w:pPr>
        <w:pStyle w:val="Caption"/>
        <w:rPr>
          <w:rFonts w:ascii="Calibri" w:hAnsi="Calibri" w:cs="Calibri"/>
          <w:b w:val="0"/>
          <w:i/>
        </w:rPr>
      </w:pPr>
      <w:r>
        <w:lastRenderedPageBreak/>
        <w:t xml:space="preserve">Table </w:t>
      </w:r>
      <w:fldSimple w:instr=" STYLEREF 1 \s ">
        <w:r w:rsidR="001663C2">
          <w:rPr>
            <w:noProof/>
          </w:rPr>
          <w:t>2</w:t>
        </w:r>
      </w:fldSimple>
      <w:r>
        <w:noBreakHyphen/>
      </w:r>
      <w:fldSimple w:instr=" SEQ Table \* ARABIC \s 1 ">
        <w:r w:rsidR="001663C2">
          <w:rPr>
            <w:noProof/>
          </w:rPr>
          <w:t>7</w:t>
        </w:r>
      </w:fldSimple>
      <w:r w:rsidRPr="004E7E79">
        <w:rPr>
          <w:rFonts w:cs="Calibri"/>
        </w:rPr>
        <w:t>:  65 and Over Proportion of Total Population in Barnet by Ward, 2015 –2030</w:t>
      </w:r>
    </w:p>
    <w:tbl>
      <w:tblPr>
        <w:tblStyle w:val="TableGrid"/>
        <w:tblW w:w="7468" w:type="dxa"/>
        <w:jc w:val="center"/>
        <w:tblInd w:w="-554" w:type="dxa"/>
        <w:tblLook w:val="04A0" w:firstRow="1" w:lastRow="0" w:firstColumn="1" w:lastColumn="0" w:noHBand="0" w:noVBand="1"/>
      </w:tblPr>
      <w:tblGrid>
        <w:gridCol w:w="2554"/>
        <w:gridCol w:w="1520"/>
        <w:gridCol w:w="960"/>
        <w:gridCol w:w="960"/>
        <w:gridCol w:w="1474"/>
      </w:tblGrid>
      <w:tr w:rsidR="00A9706E" w:rsidRPr="00631A30" w:rsidTr="00031B92">
        <w:trPr>
          <w:trHeight w:val="300"/>
          <w:tblHeader/>
          <w:jc w:val="center"/>
        </w:trPr>
        <w:tc>
          <w:tcPr>
            <w:tcW w:w="2554" w:type="dxa"/>
            <w:shd w:val="clear" w:color="auto" w:fill="BFBFBF" w:themeFill="background1" w:themeFillShade="BF"/>
            <w:noWrap/>
            <w:vAlign w:val="center"/>
            <w:hideMark/>
          </w:tcPr>
          <w:p w:rsidR="00A9706E" w:rsidRPr="00631A30" w:rsidRDefault="00A9706E" w:rsidP="00031B92">
            <w:pPr>
              <w:jc w:val="center"/>
              <w:rPr>
                <w:rFonts w:ascii="Calibri" w:eastAsia="Times New Roman" w:hAnsi="Calibri" w:cs="Times New Roman"/>
                <w:b/>
                <w:color w:val="000000"/>
                <w:lang w:eastAsia="en-GB"/>
              </w:rPr>
            </w:pPr>
            <w:r w:rsidRPr="00631A30">
              <w:rPr>
                <w:rFonts w:ascii="Calibri" w:eastAsia="Times New Roman" w:hAnsi="Calibri" w:cs="Times New Roman"/>
                <w:b/>
                <w:color w:val="000000"/>
                <w:lang w:eastAsia="en-GB"/>
              </w:rPr>
              <w:t>Ward Name</w:t>
            </w:r>
          </w:p>
        </w:tc>
        <w:tc>
          <w:tcPr>
            <w:tcW w:w="1520" w:type="dxa"/>
            <w:shd w:val="clear" w:color="auto" w:fill="BFBFBF" w:themeFill="background1" w:themeFillShade="BF"/>
            <w:noWrap/>
            <w:vAlign w:val="center"/>
            <w:hideMark/>
          </w:tcPr>
          <w:p w:rsidR="00A9706E" w:rsidRPr="00631A30" w:rsidRDefault="00A9706E" w:rsidP="00031B92">
            <w:pPr>
              <w:jc w:val="center"/>
              <w:rPr>
                <w:rFonts w:ascii="Calibri" w:eastAsia="Times New Roman" w:hAnsi="Calibri" w:cs="Times New Roman"/>
                <w:b/>
                <w:color w:val="000000"/>
                <w:lang w:eastAsia="en-GB"/>
              </w:rPr>
            </w:pPr>
            <w:r w:rsidRPr="00631A30">
              <w:rPr>
                <w:rFonts w:ascii="Calibri" w:eastAsia="Times New Roman" w:hAnsi="Calibri" w:cs="Times New Roman"/>
                <w:b/>
                <w:color w:val="000000"/>
                <w:lang w:eastAsia="en-GB"/>
              </w:rPr>
              <w:t>2015</w:t>
            </w:r>
          </w:p>
        </w:tc>
        <w:tc>
          <w:tcPr>
            <w:tcW w:w="960" w:type="dxa"/>
            <w:shd w:val="clear" w:color="auto" w:fill="BFBFBF" w:themeFill="background1" w:themeFillShade="BF"/>
            <w:noWrap/>
            <w:vAlign w:val="center"/>
            <w:hideMark/>
          </w:tcPr>
          <w:p w:rsidR="00A9706E" w:rsidRPr="00631A30" w:rsidRDefault="00A9706E" w:rsidP="00031B92">
            <w:pPr>
              <w:jc w:val="center"/>
              <w:rPr>
                <w:rFonts w:ascii="Calibri" w:eastAsia="Times New Roman" w:hAnsi="Calibri" w:cs="Times New Roman"/>
                <w:b/>
                <w:color w:val="000000"/>
                <w:lang w:eastAsia="en-GB"/>
              </w:rPr>
            </w:pPr>
            <w:r w:rsidRPr="00631A30">
              <w:rPr>
                <w:rFonts w:ascii="Calibri" w:eastAsia="Times New Roman" w:hAnsi="Calibri" w:cs="Times New Roman"/>
                <w:b/>
                <w:color w:val="000000"/>
                <w:lang w:eastAsia="en-GB"/>
              </w:rPr>
              <w:t>2021</w:t>
            </w:r>
          </w:p>
        </w:tc>
        <w:tc>
          <w:tcPr>
            <w:tcW w:w="960" w:type="dxa"/>
            <w:shd w:val="clear" w:color="auto" w:fill="BFBFBF" w:themeFill="background1" w:themeFillShade="BF"/>
            <w:noWrap/>
            <w:vAlign w:val="center"/>
            <w:hideMark/>
          </w:tcPr>
          <w:p w:rsidR="00A9706E" w:rsidRPr="00631A30" w:rsidRDefault="00A9706E" w:rsidP="00031B92">
            <w:pPr>
              <w:jc w:val="center"/>
              <w:rPr>
                <w:rFonts w:ascii="Calibri" w:eastAsia="Times New Roman" w:hAnsi="Calibri" w:cs="Times New Roman"/>
                <w:b/>
                <w:color w:val="000000"/>
                <w:lang w:eastAsia="en-GB"/>
              </w:rPr>
            </w:pPr>
            <w:r w:rsidRPr="00631A30">
              <w:rPr>
                <w:rFonts w:ascii="Calibri" w:eastAsia="Times New Roman" w:hAnsi="Calibri" w:cs="Times New Roman"/>
                <w:b/>
                <w:color w:val="000000"/>
                <w:lang w:eastAsia="en-GB"/>
              </w:rPr>
              <w:t>2030</w:t>
            </w:r>
          </w:p>
        </w:tc>
        <w:tc>
          <w:tcPr>
            <w:tcW w:w="1474" w:type="dxa"/>
            <w:shd w:val="clear" w:color="auto" w:fill="BFBFBF" w:themeFill="background1" w:themeFillShade="BF"/>
            <w:noWrap/>
            <w:vAlign w:val="center"/>
            <w:hideMark/>
          </w:tcPr>
          <w:p w:rsidR="00A9706E" w:rsidRPr="00631A30" w:rsidRDefault="00A9706E" w:rsidP="00031B92">
            <w:pPr>
              <w:jc w:val="center"/>
              <w:rPr>
                <w:rFonts w:ascii="Calibri" w:eastAsia="Times New Roman" w:hAnsi="Calibri" w:cs="Times New Roman"/>
                <w:b/>
                <w:color w:val="000000"/>
                <w:lang w:eastAsia="en-GB"/>
              </w:rPr>
            </w:pPr>
            <w:r>
              <w:rPr>
                <w:rFonts w:ascii="Calibri" w:eastAsia="Times New Roman" w:hAnsi="Calibri" w:cs="Times New Roman"/>
                <w:b/>
                <w:color w:val="000000"/>
                <w:lang w:eastAsia="en-GB"/>
              </w:rPr>
              <w:t xml:space="preserve">Change from </w:t>
            </w:r>
            <w:r w:rsidRPr="00631A30">
              <w:rPr>
                <w:rFonts w:ascii="Calibri" w:eastAsia="Times New Roman" w:hAnsi="Calibri" w:cs="Times New Roman"/>
                <w:b/>
                <w:color w:val="000000"/>
                <w:lang w:eastAsia="en-GB"/>
              </w:rPr>
              <w:t>2015-2030</w:t>
            </w:r>
          </w:p>
        </w:tc>
      </w:tr>
      <w:tr w:rsidR="00A9706E" w:rsidRPr="00631A30" w:rsidTr="00031B92">
        <w:trPr>
          <w:trHeight w:val="300"/>
          <w:jc w:val="center"/>
        </w:trPr>
        <w:tc>
          <w:tcPr>
            <w:tcW w:w="2554" w:type="dxa"/>
            <w:noWrap/>
            <w:hideMark/>
          </w:tcPr>
          <w:p w:rsidR="00A9706E" w:rsidRPr="00631A30" w:rsidRDefault="00A9706E" w:rsidP="00031B92">
            <w:pP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Brunswick Park</w:t>
            </w:r>
          </w:p>
        </w:tc>
        <w:tc>
          <w:tcPr>
            <w:tcW w:w="152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16.5%</w:t>
            </w:r>
          </w:p>
        </w:tc>
        <w:tc>
          <w:tcPr>
            <w:tcW w:w="96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17.9%</w:t>
            </w:r>
          </w:p>
        </w:tc>
        <w:tc>
          <w:tcPr>
            <w:tcW w:w="96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22.3%</w:t>
            </w:r>
          </w:p>
        </w:tc>
        <w:tc>
          <w:tcPr>
            <w:tcW w:w="1474"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5.8%</w:t>
            </w:r>
          </w:p>
        </w:tc>
      </w:tr>
      <w:tr w:rsidR="00A9706E" w:rsidRPr="00631A30" w:rsidTr="00031B92">
        <w:trPr>
          <w:trHeight w:val="300"/>
          <w:jc w:val="center"/>
        </w:trPr>
        <w:tc>
          <w:tcPr>
            <w:tcW w:w="2554" w:type="dxa"/>
            <w:noWrap/>
            <w:hideMark/>
          </w:tcPr>
          <w:p w:rsidR="00A9706E" w:rsidRPr="00631A30" w:rsidRDefault="00A9706E" w:rsidP="00031B92">
            <w:pP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Burnt Oak</w:t>
            </w:r>
          </w:p>
        </w:tc>
        <w:tc>
          <w:tcPr>
            <w:tcW w:w="152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9.5%</w:t>
            </w:r>
          </w:p>
        </w:tc>
        <w:tc>
          <w:tcPr>
            <w:tcW w:w="96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10.3%</w:t>
            </w:r>
          </w:p>
        </w:tc>
        <w:tc>
          <w:tcPr>
            <w:tcW w:w="96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13.3%</w:t>
            </w:r>
          </w:p>
        </w:tc>
        <w:tc>
          <w:tcPr>
            <w:tcW w:w="1474"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3.8%</w:t>
            </w:r>
          </w:p>
        </w:tc>
      </w:tr>
      <w:tr w:rsidR="00A9706E" w:rsidRPr="00631A30" w:rsidTr="00031B92">
        <w:trPr>
          <w:trHeight w:val="300"/>
          <w:jc w:val="center"/>
        </w:trPr>
        <w:tc>
          <w:tcPr>
            <w:tcW w:w="2554" w:type="dxa"/>
            <w:noWrap/>
            <w:hideMark/>
          </w:tcPr>
          <w:p w:rsidR="00A9706E" w:rsidRPr="00631A30" w:rsidRDefault="00A9706E" w:rsidP="00031B92">
            <w:pP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Childs Hill</w:t>
            </w:r>
          </w:p>
        </w:tc>
        <w:tc>
          <w:tcPr>
            <w:tcW w:w="152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12.6%</w:t>
            </w:r>
          </w:p>
        </w:tc>
        <w:tc>
          <w:tcPr>
            <w:tcW w:w="96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13.3%</w:t>
            </w:r>
          </w:p>
        </w:tc>
        <w:tc>
          <w:tcPr>
            <w:tcW w:w="96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15.2%</w:t>
            </w:r>
          </w:p>
        </w:tc>
        <w:tc>
          <w:tcPr>
            <w:tcW w:w="1474"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2.7%</w:t>
            </w:r>
          </w:p>
        </w:tc>
      </w:tr>
      <w:tr w:rsidR="00A9706E" w:rsidRPr="00631A30" w:rsidTr="00031B92">
        <w:trPr>
          <w:trHeight w:val="300"/>
          <w:jc w:val="center"/>
        </w:trPr>
        <w:tc>
          <w:tcPr>
            <w:tcW w:w="2554" w:type="dxa"/>
            <w:noWrap/>
            <w:hideMark/>
          </w:tcPr>
          <w:p w:rsidR="00A9706E" w:rsidRPr="00631A30" w:rsidRDefault="00A9706E" w:rsidP="00031B92">
            <w:pP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Colindale</w:t>
            </w:r>
          </w:p>
        </w:tc>
        <w:tc>
          <w:tcPr>
            <w:tcW w:w="152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8.1%</w:t>
            </w:r>
          </w:p>
        </w:tc>
        <w:tc>
          <w:tcPr>
            <w:tcW w:w="96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7.6%</w:t>
            </w:r>
          </w:p>
        </w:tc>
        <w:tc>
          <w:tcPr>
            <w:tcW w:w="96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9.0%</w:t>
            </w:r>
          </w:p>
        </w:tc>
        <w:tc>
          <w:tcPr>
            <w:tcW w:w="1474"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0.9%</w:t>
            </w:r>
          </w:p>
        </w:tc>
      </w:tr>
      <w:tr w:rsidR="00A9706E" w:rsidRPr="00631A30" w:rsidTr="00031B92">
        <w:trPr>
          <w:trHeight w:val="300"/>
          <w:jc w:val="center"/>
        </w:trPr>
        <w:tc>
          <w:tcPr>
            <w:tcW w:w="2554" w:type="dxa"/>
            <w:noWrap/>
            <w:hideMark/>
          </w:tcPr>
          <w:p w:rsidR="00A9706E" w:rsidRPr="00631A30" w:rsidRDefault="00A9706E" w:rsidP="00031B92">
            <w:pP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Coppetts</w:t>
            </w:r>
          </w:p>
        </w:tc>
        <w:tc>
          <w:tcPr>
            <w:tcW w:w="152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11.3%</w:t>
            </w:r>
          </w:p>
        </w:tc>
        <w:tc>
          <w:tcPr>
            <w:tcW w:w="96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12.8%</w:t>
            </w:r>
          </w:p>
        </w:tc>
        <w:tc>
          <w:tcPr>
            <w:tcW w:w="96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16.0%</w:t>
            </w:r>
          </w:p>
        </w:tc>
        <w:tc>
          <w:tcPr>
            <w:tcW w:w="1474"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4.7%</w:t>
            </w:r>
          </w:p>
        </w:tc>
      </w:tr>
      <w:tr w:rsidR="00A9706E" w:rsidRPr="00631A30" w:rsidTr="00031B92">
        <w:trPr>
          <w:trHeight w:val="300"/>
          <w:jc w:val="center"/>
        </w:trPr>
        <w:tc>
          <w:tcPr>
            <w:tcW w:w="2554" w:type="dxa"/>
            <w:noWrap/>
            <w:hideMark/>
          </w:tcPr>
          <w:p w:rsidR="00A9706E" w:rsidRPr="00631A30" w:rsidRDefault="00A9706E" w:rsidP="00031B92">
            <w:pP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East Barnet</w:t>
            </w:r>
          </w:p>
        </w:tc>
        <w:tc>
          <w:tcPr>
            <w:tcW w:w="152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15.2%</w:t>
            </w:r>
          </w:p>
        </w:tc>
        <w:tc>
          <w:tcPr>
            <w:tcW w:w="96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16.7%</w:t>
            </w:r>
          </w:p>
        </w:tc>
        <w:tc>
          <w:tcPr>
            <w:tcW w:w="96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19.9%</w:t>
            </w:r>
          </w:p>
        </w:tc>
        <w:tc>
          <w:tcPr>
            <w:tcW w:w="1474"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4.7%</w:t>
            </w:r>
          </w:p>
        </w:tc>
      </w:tr>
      <w:tr w:rsidR="00A9706E" w:rsidRPr="00631A30" w:rsidTr="00031B92">
        <w:trPr>
          <w:trHeight w:val="300"/>
          <w:jc w:val="center"/>
        </w:trPr>
        <w:tc>
          <w:tcPr>
            <w:tcW w:w="2554" w:type="dxa"/>
            <w:noWrap/>
            <w:hideMark/>
          </w:tcPr>
          <w:p w:rsidR="00A9706E" w:rsidRPr="00631A30" w:rsidRDefault="00A9706E" w:rsidP="00031B92">
            <w:pP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East Finchley</w:t>
            </w:r>
          </w:p>
        </w:tc>
        <w:tc>
          <w:tcPr>
            <w:tcW w:w="152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13.8%</w:t>
            </w:r>
          </w:p>
        </w:tc>
        <w:tc>
          <w:tcPr>
            <w:tcW w:w="96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14.6%</w:t>
            </w:r>
          </w:p>
        </w:tc>
        <w:tc>
          <w:tcPr>
            <w:tcW w:w="96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16.9%</w:t>
            </w:r>
          </w:p>
        </w:tc>
        <w:tc>
          <w:tcPr>
            <w:tcW w:w="1474"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3.0%</w:t>
            </w:r>
          </w:p>
        </w:tc>
      </w:tr>
      <w:tr w:rsidR="00A9706E" w:rsidRPr="00631A30" w:rsidTr="00031B92">
        <w:trPr>
          <w:trHeight w:val="300"/>
          <w:jc w:val="center"/>
        </w:trPr>
        <w:tc>
          <w:tcPr>
            <w:tcW w:w="2554" w:type="dxa"/>
            <w:noWrap/>
            <w:hideMark/>
          </w:tcPr>
          <w:p w:rsidR="00A9706E" w:rsidRPr="00631A30" w:rsidRDefault="00A9706E" w:rsidP="00031B92">
            <w:pP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Edgware</w:t>
            </w:r>
          </w:p>
        </w:tc>
        <w:tc>
          <w:tcPr>
            <w:tcW w:w="152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15.2%</w:t>
            </w:r>
          </w:p>
        </w:tc>
        <w:tc>
          <w:tcPr>
            <w:tcW w:w="96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16.6%</w:t>
            </w:r>
          </w:p>
        </w:tc>
        <w:tc>
          <w:tcPr>
            <w:tcW w:w="96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19.5%</w:t>
            </w:r>
          </w:p>
        </w:tc>
        <w:tc>
          <w:tcPr>
            <w:tcW w:w="1474"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4.3%</w:t>
            </w:r>
          </w:p>
        </w:tc>
      </w:tr>
      <w:tr w:rsidR="00A9706E" w:rsidRPr="00631A30" w:rsidTr="00031B92">
        <w:trPr>
          <w:trHeight w:val="300"/>
          <w:jc w:val="center"/>
        </w:trPr>
        <w:tc>
          <w:tcPr>
            <w:tcW w:w="2554" w:type="dxa"/>
            <w:noWrap/>
            <w:hideMark/>
          </w:tcPr>
          <w:p w:rsidR="00A9706E" w:rsidRPr="00631A30" w:rsidRDefault="00A9706E" w:rsidP="00031B92">
            <w:pP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Finchley Church End</w:t>
            </w:r>
          </w:p>
        </w:tc>
        <w:tc>
          <w:tcPr>
            <w:tcW w:w="152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17.0%</w:t>
            </w:r>
          </w:p>
        </w:tc>
        <w:tc>
          <w:tcPr>
            <w:tcW w:w="96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17.7%</w:t>
            </w:r>
          </w:p>
        </w:tc>
        <w:tc>
          <w:tcPr>
            <w:tcW w:w="96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19.7%</w:t>
            </w:r>
          </w:p>
        </w:tc>
        <w:tc>
          <w:tcPr>
            <w:tcW w:w="1474"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2.7%</w:t>
            </w:r>
          </w:p>
        </w:tc>
      </w:tr>
      <w:tr w:rsidR="00A9706E" w:rsidRPr="00631A30" w:rsidTr="00031B92">
        <w:trPr>
          <w:trHeight w:val="300"/>
          <w:jc w:val="center"/>
        </w:trPr>
        <w:tc>
          <w:tcPr>
            <w:tcW w:w="2554" w:type="dxa"/>
            <w:noWrap/>
            <w:hideMark/>
          </w:tcPr>
          <w:p w:rsidR="00A9706E" w:rsidRPr="00631A30" w:rsidRDefault="00A9706E" w:rsidP="00031B92">
            <w:pP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Garden Suburb</w:t>
            </w:r>
          </w:p>
        </w:tc>
        <w:tc>
          <w:tcPr>
            <w:tcW w:w="152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18.1%</w:t>
            </w:r>
          </w:p>
        </w:tc>
        <w:tc>
          <w:tcPr>
            <w:tcW w:w="96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19.0%</w:t>
            </w:r>
          </w:p>
        </w:tc>
        <w:tc>
          <w:tcPr>
            <w:tcW w:w="96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21.6%</w:t>
            </w:r>
          </w:p>
        </w:tc>
        <w:tc>
          <w:tcPr>
            <w:tcW w:w="1474"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3.6%</w:t>
            </w:r>
          </w:p>
        </w:tc>
      </w:tr>
      <w:tr w:rsidR="00A9706E" w:rsidRPr="00631A30" w:rsidTr="00031B92">
        <w:trPr>
          <w:trHeight w:val="300"/>
          <w:jc w:val="center"/>
        </w:trPr>
        <w:tc>
          <w:tcPr>
            <w:tcW w:w="2554" w:type="dxa"/>
            <w:noWrap/>
            <w:hideMark/>
          </w:tcPr>
          <w:p w:rsidR="00A9706E" w:rsidRPr="00631A30" w:rsidRDefault="00A9706E" w:rsidP="00031B92">
            <w:pP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Golders Green</w:t>
            </w:r>
          </w:p>
        </w:tc>
        <w:tc>
          <w:tcPr>
            <w:tcW w:w="152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12.0%</w:t>
            </w:r>
          </w:p>
        </w:tc>
        <w:tc>
          <w:tcPr>
            <w:tcW w:w="96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10.7%</w:t>
            </w:r>
          </w:p>
        </w:tc>
        <w:tc>
          <w:tcPr>
            <w:tcW w:w="96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9.6%</w:t>
            </w:r>
          </w:p>
        </w:tc>
        <w:tc>
          <w:tcPr>
            <w:tcW w:w="1474"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-2.4%</w:t>
            </w:r>
          </w:p>
        </w:tc>
      </w:tr>
      <w:tr w:rsidR="00A9706E" w:rsidRPr="00631A30" w:rsidTr="00031B92">
        <w:trPr>
          <w:trHeight w:val="300"/>
          <w:jc w:val="center"/>
        </w:trPr>
        <w:tc>
          <w:tcPr>
            <w:tcW w:w="2554" w:type="dxa"/>
            <w:noWrap/>
            <w:hideMark/>
          </w:tcPr>
          <w:p w:rsidR="00A9706E" w:rsidRPr="00631A30" w:rsidRDefault="00A9706E" w:rsidP="00031B92">
            <w:pP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Hale</w:t>
            </w:r>
          </w:p>
        </w:tc>
        <w:tc>
          <w:tcPr>
            <w:tcW w:w="152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14.7%</w:t>
            </w:r>
          </w:p>
        </w:tc>
        <w:tc>
          <w:tcPr>
            <w:tcW w:w="96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16.5%</w:t>
            </w:r>
          </w:p>
        </w:tc>
        <w:tc>
          <w:tcPr>
            <w:tcW w:w="96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20.2%</w:t>
            </w:r>
          </w:p>
        </w:tc>
        <w:tc>
          <w:tcPr>
            <w:tcW w:w="1474"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5.5%</w:t>
            </w:r>
          </w:p>
        </w:tc>
      </w:tr>
      <w:tr w:rsidR="00A9706E" w:rsidRPr="00631A30" w:rsidTr="00031B92">
        <w:trPr>
          <w:trHeight w:val="300"/>
          <w:jc w:val="center"/>
        </w:trPr>
        <w:tc>
          <w:tcPr>
            <w:tcW w:w="2554" w:type="dxa"/>
            <w:noWrap/>
            <w:hideMark/>
          </w:tcPr>
          <w:p w:rsidR="00A9706E" w:rsidRPr="00631A30" w:rsidRDefault="00A9706E" w:rsidP="00031B92">
            <w:pP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Hendon</w:t>
            </w:r>
          </w:p>
        </w:tc>
        <w:tc>
          <w:tcPr>
            <w:tcW w:w="152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12.0%</w:t>
            </w:r>
          </w:p>
        </w:tc>
        <w:tc>
          <w:tcPr>
            <w:tcW w:w="96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12.5%</w:t>
            </w:r>
          </w:p>
        </w:tc>
        <w:tc>
          <w:tcPr>
            <w:tcW w:w="96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14.3%</w:t>
            </w:r>
          </w:p>
        </w:tc>
        <w:tc>
          <w:tcPr>
            <w:tcW w:w="1474"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2.2%</w:t>
            </w:r>
          </w:p>
        </w:tc>
      </w:tr>
      <w:tr w:rsidR="00A9706E" w:rsidRPr="00631A30" w:rsidTr="00031B92">
        <w:trPr>
          <w:trHeight w:val="300"/>
          <w:jc w:val="center"/>
        </w:trPr>
        <w:tc>
          <w:tcPr>
            <w:tcW w:w="2554" w:type="dxa"/>
            <w:noWrap/>
            <w:hideMark/>
          </w:tcPr>
          <w:p w:rsidR="00A9706E" w:rsidRPr="00631A30" w:rsidRDefault="00A9706E" w:rsidP="00031B92">
            <w:pP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High Barnet</w:t>
            </w:r>
          </w:p>
        </w:tc>
        <w:tc>
          <w:tcPr>
            <w:tcW w:w="152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18.1%</w:t>
            </w:r>
          </w:p>
        </w:tc>
        <w:tc>
          <w:tcPr>
            <w:tcW w:w="96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19.6%</w:t>
            </w:r>
          </w:p>
        </w:tc>
        <w:tc>
          <w:tcPr>
            <w:tcW w:w="96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22.9%</w:t>
            </w:r>
          </w:p>
        </w:tc>
        <w:tc>
          <w:tcPr>
            <w:tcW w:w="1474"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4.9%</w:t>
            </w:r>
          </w:p>
        </w:tc>
      </w:tr>
      <w:tr w:rsidR="00A9706E" w:rsidRPr="00631A30" w:rsidTr="00031B92">
        <w:trPr>
          <w:trHeight w:val="300"/>
          <w:jc w:val="center"/>
        </w:trPr>
        <w:tc>
          <w:tcPr>
            <w:tcW w:w="2554" w:type="dxa"/>
            <w:noWrap/>
            <w:hideMark/>
          </w:tcPr>
          <w:p w:rsidR="00A9706E" w:rsidRPr="00631A30" w:rsidRDefault="00A9706E" w:rsidP="00031B92">
            <w:pP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Mill Hill</w:t>
            </w:r>
          </w:p>
        </w:tc>
        <w:tc>
          <w:tcPr>
            <w:tcW w:w="152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13.8%</w:t>
            </w:r>
          </w:p>
        </w:tc>
        <w:tc>
          <w:tcPr>
            <w:tcW w:w="96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14.5%</w:t>
            </w:r>
          </w:p>
        </w:tc>
        <w:tc>
          <w:tcPr>
            <w:tcW w:w="96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17.2%</w:t>
            </w:r>
          </w:p>
        </w:tc>
        <w:tc>
          <w:tcPr>
            <w:tcW w:w="1474"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3.4%</w:t>
            </w:r>
          </w:p>
        </w:tc>
      </w:tr>
      <w:tr w:rsidR="00A9706E" w:rsidRPr="00631A30" w:rsidTr="00031B92">
        <w:trPr>
          <w:trHeight w:val="300"/>
          <w:jc w:val="center"/>
        </w:trPr>
        <w:tc>
          <w:tcPr>
            <w:tcW w:w="2554" w:type="dxa"/>
            <w:noWrap/>
            <w:hideMark/>
          </w:tcPr>
          <w:p w:rsidR="00A9706E" w:rsidRPr="00631A30" w:rsidRDefault="00A9706E" w:rsidP="00031B92">
            <w:pP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Oakleigh</w:t>
            </w:r>
          </w:p>
        </w:tc>
        <w:tc>
          <w:tcPr>
            <w:tcW w:w="152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17.6%</w:t>
            </w:r>
          </w:p>
        </w:tc>
        <w:tc>
          <w:tcPr>
            <w:tcW w:w="96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18.9%</w:t>
            </w:r>
          </w:p>
        </w:tc>
        <w:tc>
          <w:tcPr>
            <w:tcW w:w="96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22.0%</w:t>
            </w:r>
          </w:p>
        </w:tc>
        <w:tc>
          <w:tcPr>
            <w:tcW w:w="1474"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4.4%</w:t>
            </w:r>
          </w:p>
        </w:tc>
      </w:tr>
      <w:tr w:rsidR="00A9706E" w:rsidRPr="00631A30" w:rsidTr="00031B92">
        <w:trPr>
          <w:trHeight w:val="300"/>
          <w:jc w:val="center"/>
        </w:trPr>
        <w:tc>
          <w:tcPr>
            <w:tcW w:w="2554" w:type="dxa"/>
            <w:noWrap/>
            <w:hideMark/>
          </w:tcPr>
          <w:p w:rsidR="00A9706E" w:rsidRPr="00631A30" w:rsidRDefault="00A9706E" w:rsidP="00031B92">
            <w:pP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Totteridge</w:t>
            </w:r>
          </w:p>
        </w:tc>
        <w:tc>
          <w:tcPr>
            <w:tcW w:w="152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18.0%</w:t>
            </w:r>
          </w:p>
        </w:tc>
        <w:tc>
          <w:tcPr>
            <w:tcW w:w="96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18.8%</w:t>
            </w:r>
          </w:p>
        </w:tc>
        <w:tc>
          <w:tcPr>
            <w:tcW w:w="96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21.7%</w:t>
            </w:r>
          </w:p>
        </w:tc>
        <w:tc>
          <w:tcPr>
            <w:tcW w:w="1474"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3.7%</w:t>
            </w:r>
          </w:p>
        </w:tc>
      </w:tr>
      <w:tr w:rsidR="00A9706E" w:rsidRPr="00631A30" w:rsidTr="00031B92">
        <w:trPr>
          <w:trHeight w:val="300"/>
          <w:jc w:val="center"/>
        </w:trPr>
        <w:tc>
          <w:tcPr>
            <w:tcW w:w="2554" w:type="dxa"/>
            <w:noWrap/>
            <w:hideMark/>
          </w:tcPr>
          <w:p w:rsidR="00A9706E" w:rsidRPr="00631A30" w:rsidRDefault="00A9706E" w:rsidP="00031B92">
            <w:pP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Underhill</w:t>
            </w:r>
          </w:p>
        </w:tc>
        <w:tc>
          <w:tcPr>
            <w:tcW w:w="152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17.1%</w:t>
            </w:r>
          </w:p>
        </w:tc>
        <w:tc>
          <w:tcPr>
            <w:tcW w:w="96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18.3%</w:t>
            </w:r>
          </w:p>
        </w:tc>
        <w:tc>
          <w:tcPr>
            <w:tcW w:w="96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21.3%</w:t>
            </w:r>
          </w:p>
        </w:tc>
        <w:tc>
          <w:tcPr>
            <w:tcW w:w="1474"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4.2%</w:t>
            </w:r>
          </w:p>
        </w:tc>
      </w:tr>
      <w:tr w:rsidR="00A9706E" w:rsidRPr="00631A30" w:rsidTr="00031B92">
        <w:trPr>
          <w:trHeight w:val="300"/>
          <w:jc w:val="center"/>
        </w:trPr>
        <w:tc>
          <w:tcPr>
            <w:tcW w:w="2554" w:type="dxa"/>
            <w:noWrap/>
            <w:hideMark/>
          </w:tcPr>
          <w:p w:rsidR="00A9706E" w:rsidRPr="00631A30" w:rsidRDefault="00A9706E" w:rsidP="00031B92">
            <w:pP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West Finchley</w:t>
            </w:r>
          </w:p>
        </w:tc>
        <w:tc>
          <w:tcPr>
            <w:tcW w:w="152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13.2%</w:t>
            </w:r>
          </w:p>
        </w:tc>
        <w:tc>
          <w:tcPr>
            <w:tcW w:w="96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13.9%</w:t>
            </w:r>
          </w:p>
        </w:tc>
        <w:tc>
          <w:tcPr>
            <w:tcW w:w="96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16.7%</w:t>
            </w:r>
          </w:p>
        </w:tc>
        <w:tc>
          <w:tcPr>
            <w:tcW w:w="1474"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3.5%</w:t>
            </w:r>
          </w:p>
        </w:tc>
      </w:tr>
      <w:tr w:rsidR="00A9706E" w:rsidRPr="00631A30" w:rsidTr="00031B92">
        <w:trPr>
          <w:trHeight w:val="300"/>
          <w:jc w:val="center"/>
        </w:trPr>
        <w:tc>
          <w:tcPr>
            <w:tcW w:w="2554" w:type="dxa"/>
            <w:noWrap/>
            <w:hideMark/>
          </w:tcPr>
          <w:p w:rsidR="00A9706E" w:rsidRPr="00631A30" w:rsidRDefault="00A9706E" w:rsidP="00031B92">
            <w:pP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West Hendon</w:t>
            </w:r>
          </w:p>
        </w:tc>
        <w:tc>
          <w:tcPr>
            <w:tcW w:w="152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11.6%</w:t>
            </w:r>
          </w:p>
        </w:tc>
        <w:tc>
          <w:tcPr>
            <w:tcW w:w="96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12.2%</w:t>
            </w:r>
          </w:p>
        </w:tc>
        <w:tc>
          <w:tcPr>
            <w:tcW w:w="96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14.0%</w:t>
            </w:r>
          </w:p>
        </w:tc>
        <w:tc>
          <w:tcPr>
            <w:tcW w:w="1474"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2.4%</w:t>
            </w:r>
          </w:p>
        </w:tc>
      </w:tr>
      <w:tr w:rsidR="00A9706E" w:rsidRPr="00631A30" w:rsidTr="00031B92">
        <w:trPr>
          <w:trHeight w:val="300"/>
          <w:jc w:val="center"/>
        </w:trPr>
        <w:tc>
          <w:tcPr>
            <w:tcW w:w="2554" w:type="dxa"/>
            <w:noWrap/>
            <w:hideMark/>
          </w:tcPr>
          <w:p w:rsidR="00A9706E" w:rsidRPr="00631A30" w:rsidRDefault="00A9706E" w:rsidP="00031B92">
            <w:pP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Woodhouse</w:t>
            </w:r>
          </w:p>
        </w:tc>
        <w:tc>
          <w:tcPr>
            <w:tcW w:w="152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14.0%</w:t>
            </w:r>
          </w:p>
        </w:tc>
        <w:tc>
          <w:tcPr>
            <w:tcW w:w="96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14.9%</w:t>
            </w:r>
          </w:p>
        </w:tc>
        <w:tc>
          <w:tcPr>
            <w:tcW w:w="960"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17.1%</w:t>
            </w:r>
          </w:p>
        </w:tc>
        <w:tc>
          <w:tcPr>
            <w:tcW w:w="1474" w:type="dxa"/>
            <w:noWrap/>
            <w:hideMark/>
          </w:tcPr>
          <w:p w:rsidR="00A9706E" w:rsidRPr="00631A30" w:rsidRDefault="00A9706E" w:rsidP="00031B92">
            <w:pPr>
              <w:jc w:val="center"/>
              <w:rPr>
                <w:rFonts w:ascii="Calibri" w:eastAsia="Times New Roman" w:hAnsi="Calibri" w:cs="Times New Roman"/>
                <w:color w:val="000000"/>
                <w:lang w:eastAsia="en-GB"/>
              </w:rPr>
            </w:pPr>
            <w:r w:rsidRPr="00631A30">
              <w:rPr>
                <w:rFonts w:ascii="Calibri" w:eastAsia="Times New Roman" w:hAnsi="Calibri" w:cs="Times New Roman"/>
                <w:color w:val="000000"/>
                <w:lang w:eastAsia="en-GB"/>
              </w:rPr>
              <w:t>3.2%</w:t>
            </w:r>
          </w:p>
        </w:tc>
      </w:tr>
    </w:tbl>
    <w:p w:rsidR="00A9706E" w:rsidRDefault="00A9706E" w:rsidP="00A9706E">
      <w:pPr>
        <w:spacing w:after="0" w:line="240" w:lineRule="auto"/>
        <w:jc w:val="both"/>
        <w:rPr>
          <w:rFonts w:ascii="Calibri" w:hAnsi="Calibri" w:cs="Calibri"/>
        </w:rPr>
      </w:pPr>
      <w:r w:rsidRPr="005E2372">
        <w:rPr>
          <w:rFonts w:ascii="Calibri" w:hAnsi="Calibri" w:cs="Calibri"/>
        </w:rPr>
        <w:t>Source: GLA Projections 2013</w:t>
      </w:r>
      <w:r>
        <w:rPr>
          <w:rFonts w:ascii="Calibri" w:hAnsi="Calibri" w:cs="Calibri"/>
        </w:rPr>
        <w:t xml:space="preserve"> </w:t>
      </w:r>
      <w:r>
        <w:t>(</w:t>
      </w:r>
      <w:r w:rsidRPr="005D3C22">
        <w:t>Preferred Option Projections</w:t>
      </w:r>
      <w:r>
        <w:t>)</w:t>
      </w:r>
    </w:p>
    <w:p w:rsidR="00A9706E" w:rsidRDefault="00A9706E" w:rsidP="00A9706E">
      <w:pPr>
        <w:pStyle w:val="Heading2"/>
      </w:pPr>
      <w:bookmarkStart w:id="409" w:name="_Toc426723299"/>
      <w:bookmarkStart w:id="410" w:name="_Toc431225126"/>
      <w:r w:rsidRPr="00B14363">
        <w:t>Ethnicity</w:t>
      </w:r>
      <w:bookmarkEnd w:id="409"/>
      <w:bookmarkEnd w:id="410"/>
      <w:r>
        <w:tab/>
      </w:r>
      <w:r>
        <w:tab/>
      </w:r>
    </w:p>
    <w:p w:rsidR="00A9706E" w:rsidRDefault="00A9706E" w:rsidP="00A9706E">
      <w:pPr>
        <w:jc w:val="both"/>
      </w:pPr>
      <w:r>
        <w:t xml:space="preserve">Table </w:t>
      </w:r>
      <w:r>
        <w:rPr>
          <w:rFonts w:ascii="Calibri" w:hAnsi="Calibri" w:cs="Calibri"/>
        </w:rPr>
        <w:t>2-</w:t>
      </w:r>
      <w:r>
        <w:t xml:space="preserve">8 displays the ethnic profile of Barnet in 2015. Compared to the Outer London average, Barnet has a higher proportion of people within the White ethnic group; 57.8% and 61.3% respectively.  Barnet also has higher rates of the population within </w:t>
      </w:r>
      <w:proofErr w:type="gramStart"/>
      <w:r>
        <w:t>Other</w:t>
      </w:r>
      <w:proofErr w:type="gramEnd"/>
      <w:r>
        <w:t xml:space="preserve">; Other Asian and Chinese ethnic groups.  </w:t>
      </w:r>
    </w:p>
    <w:p w:rsidR="000120BC" w:rsidRDefault="000120BC" w:rsidP="00A9706E">
      <w:pPr>
        <w:pStyle w:val="Caption"/>
      </w:pPr>
    </w:p>
    <w:p w:rsidR="000120BC" w:rsidRDefault="000120BC" w:rsidP="00A9706E">
      <w:pPr>
        <w:pStyle w:val="Caption"/>
      </w:pPr>
    </w:p>
    <w:p w:rsidR="000120BC" w:rsidRDefault="000120BC" w:rsidP="00A9706E">
      <w:pPr>
        <w:pStyle w:val="Caption"/>
      </w:pPr>
    </w:p>
    <w:p w:rsidR="000120BC" w:rsidRDefault="000120BC" w:rsidP="00A9706E">
      <w:pPr>
        <w:pStyle w:val="Caption"/>
      </w:pPr>
    </w:p>
    <w:p w:rsidR="000120BC" w:rsidRDefault="000120BC" w:rsidP="00A9706E">
      <w:pPr>
        <w:pStyle w:val="Caption"/>
      </w:pPr>
    </w:p>
    <w:p w:rsidR="000120BC" w:rsidRDefault="000120BC" w:rsidP="00A9706E">
      <w:pPr>
        <w:pStyle w:val="Caption"/>
      </w:pPr>
    </w:p>
    <w:p w:rsidR="000120BC" w:rsidRDefault="000120BC" w:rsidP="00A9706E">
      <w:pPr>
        <w:pStyle w:val="Caption"/>
      </w:pPr>
    </w:p>
    <w:p w:rsidR="000120BC" w:rsidRDefault="000120BC" w:rsidP="00A9706E">
      <w:pPr>
        <w:pStyle w:val="Caption"/>
      </w:pPr>
    </w:p>
    <w:p w:rsidR="000120BC" w:rsidRDefault="000120BC" w:rsidP="00A9706E">
      <w:pPr>
        <w:pStyle w:val="Caption"/>
      </w:pPr>
    </w:p>
    <w:p w:rsidR="000120BC" w:rsidRDefault="000120BC" w:rsidP="00A9706E">
      <w:pPr>
        <w:pStyle w:val="Caption"/>
      </w:pPr>
    </w:p>
    <w:p w:rsidR="000120BC" w:rsidRDefault="000120BC" w:rsidP="00A9706E">
      <w:pPr>
        <w:pStyle w:val="Caption"/>
      </w:pPr>
    </w:p>
    <w:p w:rsidR="000120BC" w:rsidRDefault="000120BC" w:rsidP="00A9706E">
      <w:pPr>
        <w:pStyle w:val="Caption"/>
      </w:pPr>
    </w:p>
    <w:p w:rsidR="000120BC" w:rsidRDefault="000120BC" w:rsidP="00A9706E">
      <w:pPr>
        <w:pStyle w:val="Caption"/>
      </w:pPr>
    </w:p>
    <w:p w:rsidR="00A9706E" w:rsidRDefault="00A9706E" w:rsidP="00A9706E">
      <w:pPr>
        <w:pStyle w:val="Caption"/>
        <w:rPr>
          <w:rFonts w:cs="Calibri"/>
        </w:rPr>
      </w:pPr>
      <w:r>
        <w:lastRenderedPageBreak/>
        <w:t xml:space="preserve">Table </w:t>
      </w:r>
      <w:fldSimple w:instr=" STYLEREF 1 \s ">
        <w:r w:rsidR="001663C2">
          <w:rPr>
            <w:noProof/>
          </w:rPr>
          <w:t>2</w:t>
        </w:r>
      </w:fldSimple>
      <w:r>
        <w:noBreakHyphen/>
      </w:r>
      <w:fldSimple w:instr=" SEQ Table \* ARABIC \s 1 ">
        <w:r w:rsidR="001663C2">
          <w:rPr>
            <w:noProof/>
          </w:rPr>
          <w:t>8</w:t>
        </w:r>
      </w:fldSimple>
      <w:r w:rsidRPr="004E7E79">
        <w:rPr>
          <w:rFonts w:cs="Calibri"/>
        </w:rPr>
        <w:t>: Population by Ethnicity, 2015 (Barnet and Regional)</w:t>
      </w:r>
    </w:p>
    <w:tbl>
      <w:tblPr>
        <w:tblW w:w="8789" w:type="dxa"/>
        <w:jc w:val="center"/>
        <w:tblInd w:w="-176" w:type="dxa"/>
        <w:tblLook w:val="04A0" w:firstRow="1" w:lastRow="0" w:firstColumn="1" w:lastColumn="0" w:noHBand="0" w:noVBand="1"/>
      </w:tblPr>
      <w:tblGrid>
        <w:gridCol w:w="1869"/>
        <w:gridCol w:w="1534"/>
        <w:gridCol w:w="1843"/>
        <w:gridCol w:w="1701"/>
        <w:gridCol w:w="1842"/>
      </w:tblGrid>
      <w:tr w:rsidR="00A9706E" w:rsidRPr="007B31C7" w:rsidTr="00031B92">
        <w:trPr>
          <w:trHeight w:val="300"/>
          <w:jc w:val="center"/>
        </w:trPr>
        <w:tc>
          <w:tcPr>
            <w:tcW w:w="1869" w:type="dxa"/>
            <w:vMerge w:val="restart"/>
            <w:tcBorders>
              <w:top w:val="single" w:sz="4" w:space="0" w:color="auto"/>
              <w:left w:val="single" w:sz="4" w:space="0" w:color="auto"/>
              <w:bottom w:val="single" w:sz="4" w:space="0" w:color="auto"/>
              <w:right w:val="single" w:sz="4" w:space="0" w:color="auto"/>
            </w:tcBorders>
            <w:shd w:val="clear" w:color="000000" w:fill="A6A6A6"/>
            <w:noWrap/>
            <w:vAlign w:val="center"/>
            <w:hideMark/>
          </w:tcPr>
          <w:p w:rsidR="00A9706E" w:rsidRPr="007B31C7" w:rsidRDefault="00A9706E" w:rsidP="00031B92">
            <w:pPr>
              <w:spacing w:after="0" w:line="240" w:lineRule="auto"/>
              <w:jc w:val="center"/>
              <w:rPr>
                <w:rFonts w:ascii="Calibri" w:eastAsia="Times New Roman" w:hAnsi="Calibri" w:cs="Times New Roman"/>
                <w:b/>
                <w:bCs/>
                <w:color w:val="000000"/>
                <w:lang w:eastAsia="en-GB"/>
              </w:rPr>
            </w:pPr>
            <w:r w:rsidRPr="007B31C7">
              <w:rPr>
                <w:rFonts w:ascii="Calibri" w:eastAsia="Times New Roman" w:hAnsi="Calibri" w:cs="Times New Roman"/>
                <w:b/>
                <w:bCs/>
                <w:color w:val="000000"/>
                <w:lang w:eastAsia="en-GB"/>
              </w:rPr>
              <w:t>Ethnicity</w:t>
            </w:r>
          </w:p>
        </w:tc>
        <w:tc>
          <w:tcPr>
            <w:tcW w:w="3377" w:type="dxa"/>
            <w:gridSpan w:val="2"/>
            <w:tcBorders>
              <w:top w:val="single" w:sz="4" w:space="0" w:color="auto"/>
              <w:left w:val="nil"/>
              <w:bottom w:val="single" w:sz="4" w:space="0" w:color="auto"/>
              <w:right w:val="single" w:sz="4" w:space="0" w:color="auto"/>
            </w:tcBorders>
            <w:shd w:val="clear" w:color="000000" w:fill="A6A6A6"/>
            <w:noWrap/>
            <w:vAlign w:val="bottom"/>
            <w:hideMark/>
          </w:tcPr>
          <w:p w:rsidR="00A9706E" w:rsidRPr="007B31C7" w:rsidRDefault="00A9706E" w:rsidP="00031B92">
            <w:pPr>
              <w:spacing w:after="0" w:line="240" w:lineRule="auto"/>
              <w:jc w:val="center"/>
              <w:rPr>
                <w:rFonts w:ascii="Calibri" w:eastAsia="Times New Roman" w:hAnsi="Calibri" w:cs="Times New Roman"/>
                <w:b/>
                <w:bCs/>
                <w:color w:val="000000"/>
                <w:lang w:eastAsia="en-GB"/>
              </w:rPr>
            </w:pPr>
            <w:r w:rsidRPr="007B31C7">
              <w:rPr>
                <w:rFonts w:ascii="Calibri" w:eastAsia="Times New Roman" w:hAnsi="Calibri" w:cs="Times New Roman"/>
                <w:b/>
                <w:bCs/>
                <w:color w:val="000000"/>
                <w:lang w:eastAsia="en-GB"/>
              </w:rPr>
              <w:t>Barnet</w:t>
            </w:r>
          </w:p>
        </w:tc>
        <w:tc>
          <w:tcPr>
            <w:tcW w:w="3543" w:type="dxa"/>
            <w:gridSpan w:val="2"/>
            <w:tcBorders>
              <w:top w:val="single" w:sz="4" w:space="0" w:color="auto"/>
              <w:left w:val="nil"/>
              <w:bottom w:val="single" w:sz="4" w:space="0" w:color="auto"/>
              <w:right w:val="single" w:sz="4" w:space="0" w:color="auto"/>
            </w:tcBorders>
            <w:shd w:val="clear" w:color="000000" w:fill="A6A6A6"/>
            <w:noWrap/>
            <w:vAlign w:val="bottom"/>
            <w:hideMark/>
          </w:tcPr>
          <w:p w:rsidR="00A9706E" w:rsidRPr="007B31C7" w:rsidRDefault="00A9706E" w:rsidP="00031B92">
            <w:pPr>
              <w:spacing w:after="0" w:line="240" w:lineRule="auto"/>
              <w:jc w:val="center"/>
              <w:rPr>
                <w:rFonts w:ascii="Calibri" w:eastAsia="Times New Roman" w:hAnsi="Calibri" w:cs="Times New Roman"/>
                <w:b/>
                <w:bCs/>
                <w:color w:val="000000"/>
                <w:lang w:eastAsia="en-GB"/>
              </w:rPr>
            </w:pPr>
            <w:r w:rsidRPr="007B31C7">
              <w:rPr>
                <w:rFonts w:ascii="Calibri" w:eastAsia="Times New Roman" w:hAnsi="Calibri" w:cs="Times New Roman"/>
                <w:b/>
                <w:bCs/>
                <w:color w:val="000000"/>
                <w:lang w:eastAsia="en-GB"/>
              </w:rPr>
              <w:t>Outer London</w:t>
            </w:r>
          </w:p>
        </w:tc>
      </w:tr>
      <w:tr w:rsidR="00A9706E" w:rsidRPr="007B31C7" w:rsidTr="00031B92">
        <w:trPr>
          <w:trHeight w:val="300"/>
          <w:jc w:val="center"/>
        </w:trPr>
        <w:tc>
          <w:tcPr>
            <w:tcW w:w="1869" w:type="dxa"/>
            <w:vMerge/>
            <w:tcBorders>
              <w:top w:val="single" w:sz="4" w:space="0" w:color="auto"/>
              <w:left w:val="single" w:sz="4" w:space="0" w:color="auto"/>
              <w:bottom w:val="single" w:sz="4" w:space="0" w:color="auto"/>
              <w:right w:val="single" w:sz="4" w:space="0" w:color="auto"/>
            </w:tcBorders>
            <w:vAlign w:val="center"/>
            <w:hideMark/>
          </w:tcPr>
          <w:p w:rsidR="00A9706E" w:rsidRPr="007B31C7" w:rsidRDefault="00A9706E" w:rsidP="00031B92">
            <w:pPr>
              <w:spacing w:after="0" w:line="240" w:lineRule="auto"/>
              <w:rPr>
                <w:rFonts w:ascii="Calibri" w:eastAsia="Times New Roman" w:hAnsi="Calibri" w:cs="Times New Roman"/>
                <w:b/>
                <w:bCs/>
                <w:color w:val="000000"/>
                <w:lang w:eastAsia="en-GB"/>
              </w:rPr>
            </w:pPr>
          </w:p>
        </w:tc>
        <w:tc>
          <w:tcPr>
            <w:tcW w:w="1534" w:type="dxa"/>
            <w:tcBorders>
              <w:top w:val="nil"/>
              <w:left w:val="nil"/>
              <w:bottom w:val="single" w:sz="4" w:space="0" w:color="auto"/>
              <w:right w:val="single" w:sz="4" w:space="0" w:color="auto"/>
            </w:tcBorders>
            <w:shd w:val="clear" w:color="000000" w:fill="A6A6A6"/>
            <w:noWrap/>
            <w:vAlign w:val="bottom"/>
            <w:hideMark/>
          </w:tcPr>
          <w:p w:rsidR="00A9706E" w:rsidRPr="007B31C7" w:rsidRDefault="00A9706E" w:rsidP="00031B92">
            <w:pPr>
              <w:spacing w:after="0" w:line="240" w:lineRule="auto"/>
              <w:jc w:val="center"/>
              <w:rPr>
                <w:rFonts w:ascii="Calibri" w:eastAsia="Times New Roman" w:hAnsi="Calibri" w:cs="Times New Roman"/>
                <w:b/>
                <w:bCs/>
                <w:color w:val="000000"/>
                <w:lang w:eastAsia="en-GB"/>
              </w:rPr>
            </w:pPr>
            <w:r w:rsidRPr="007B31C7">
              <w:rPr>
                <w:rFonts w:ascii="Calibri" w:eastAsia="Times New Roman" w:hAnsi="Calibri" w:cs="Times New Roman"/>
                <w:b/>
                <w:bCs/>
                <w:color w:val="000000"/>
                <w:lang w:eastAsia="en-GB"/>
              </w:rPr>
              <w:t>No. of People</w:t>
            </w:r>
          </w:p>
        </w:tc>
        <w:tc>
          <w:tcPr>
            <w:tcW w:w="1843" w:type="dxa"/>
            <w:tcBorders>
              <w:top w:val="nil"/>
              <w:left w:val="nil"/>
              <w:bottom w:val="single" w:sz="4" w:space="0" w:color="auto"/>
              <w:right w:val="single" w:sz="4" w:space="0" w:color="auto"/>
            </w:tcBorders>
            <w:shd w:val="clear" w:color="000000" w:fill="A6A6A6"/>
            <w:noWrap/>
            <w:vAlign w:val="bottom"/>
            <w:hideMark/>
          </w:tcPr>
          <w:p w:rsidR="00A9706E" w:rsidRPr="007B31C7" w:rsidRDefault="00A9706E" w:rsidP="00031B92">
            <w:pPr>
              <w:spacing w:after="0" w:line="240" w:lineRule="auto"/>
              <w:jc w:val="center"/>
              <w:rPr>
                <w:rFonts w:ascii="Calibri" w:eastAsia="Times New Roman" w:hAnsi="Calibri" w:cs="Times New Roman"/>
                <w:b/>
                <w:bCs/>
                <w:color w:val="000000"/>
                <w:lang w:eastAsia="en-GB"/>
              </w:rPr>
            </w:pPr>
            <w:r w:rsidRPr="007B31C7">
              <w:rPr>
                <w:rFonts w:ascii="Calibri" w:eastAsia="Times New Roman" w:hAnsi="Calibri" w:cs="Times New Roman"/>
                <w:b/>
                <w:bCs/>
                <w:color w:val="000000"/>
                <w:lang w:eastAsia="en-GB"/>
              </w:rPr>
              <w:t>% of Population</w:t>
            </w:r>
          </w:p>
        </w:tc>
        <w:tc>
          <w:tcPr>
            <w:tcW w:w="1701" w:type="dxa"/>
            <w:tcBorders>
              <w:top w:val="nil"/>
              <w:left w:val="nil"/>
              <w:bottom w:val="single" w:sz="4" w:space="0" w:color="auto"/>
              <w:right w:val="single" w:sz="4" w:space="0" w:color="auto"/>
            </w:tcBorders>
            <w:shd w:val="clear" w:color="000000" w:fill="A6A6A6"/>
            <w:noWrap/>
            <w:vAlign w:val="bottom"/>
            <w:hideMark/>
          </w:tcPr>
          <w:p w:rsidR="00A9706E" w:rsidRPr="007B31C7" w:rsidRDefault="00A9706E" w:rsidP="00031B92">
            <w:pPr>
              <w:spacing w:after="0" w:line="240" w:lineRule="auto"/>
              <w:jc w:val="center"/>
              <w:rPr>
                <w:rFonts w:ascii="Calibri" w:eastAsia="Times New Roman" w:hAnsi="Calibri" w:cs="Times New Roman"/>
                <w:b/>
                <w:bCs/>
                <w:color w:val="000000"/>
                <w:lang w:eastAsia="en-GB"/>
              </w:rPr>
            </w:pPr>
            <w:r w:rsidRPr="007B31C7">
              <w:rPr>
                <w:rFonts w:ascii="Calibri" w:eastAsia="Times New Roman" w:hAnsi="Calibri" w:cs="Times New Roman"/>
                <w:b/>
                <w:bCs/>
                <w:color w:val="000000"/>
                <w:lang w:eastAsia="en-GB"/>
              </w:rPr>
              <w:t>No. of People</w:t>
            </w:r>
          </w:p>
        </w:tc>
        <w:tc>
          <w:tcPr>
            <w:tcW w:w="1842" w:type="dxa"/>
            <w:tcBorders>
              <w:top w:val="nil"/>
              <w:left w:val="nil"/>
              <w:bottom w:val="single" w:sz="4" w:space="0" w:color="auto"/>
              <w:right w:val="single" w:sz="4" w:space="0" w:color="auto"/>
            </w:tcBorders>
            <w:shd w:val="clear" w:color="000000" w:fill="A6A6A6"/>
            <w:noWrap/>
            <w:vAlign w:val="bottom"/>
            <w:hideMark/>
          </w:tcPr>
          <w:p w:rsidR="00A9706E" w:rsidRPr="007B31C7" w:rsidRDefault="00A9706E" w:rsidP="00031B92">
            <w:pPr>
              <w:spacing w:after="0" w:line="240" w:lineRule="auto"/>
              <w:jc w:val="center"/>
              <w:rPr>
                <w:rFonts w:ascii="Calibri" w:eastAsia="Times New Roman" w:hAnsi="Calibri" w:cs="Times New Roman"/>
                <w:b/>
                <w:bCs/>
                <w:color w:val="000000"/>
                <w:lang w:eastAsia="en-GB"/>
              </w:rPr>
            </w:pPr>
            <w:r w:rsidRPr="007B31C7">
              <w:rPr>
                <w:rFonts w:ascii="Calibri" w:eastAsia="Times New Roman" w:hAnsi="Calibri" w:cs="Times New Roman"/>
                <w:b/>
                <w:bCs/>
                <w:color w:val="000000"/>
                <w:lang w:eastAsia="en-GB"/>
              </w:rPr>
              <w:t>% of Population</w:t>
            </w:r>
          </w:p>
        </w:tc>
      </w:tr>
      <w:tr w:rsidR="00A9706E" w:rsidRPr="007B31C7" w:rsidTr="00031B92">
        <w:trPr>
          <w:trHeight w:val="300"/>
          <w:jc w:val="center"/>
        </w:trPr>
        <w:tc>
          <w:tcPr>
            <w:tcW w:w="1869" w:type="dxa"/>
            <w:tcBorders>
              <w:top w:val="nil"/>
              <w:left w:val="single" w:sz="4" w:space="0" w:color="auto"/>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rPr>
                <w:rFonts w:ascii="Calibri" w:eastAsia="Times New Roman" w:hAnsi="Calibri" w:cs="Times New Roman"/>
                <w:color w:val="000000"/>
                <w:lang w:eastAsia="en-GB"/>
              </w:rPr>
            </w:pPr>
            <w:r w:rsidRPr="007B31C7">
              <w:rPr>
                <w:rFonts w:ascii="Calibri" w:eastAsia="Times New Roman" w:hAnsi="Calibri" w:cs="Times New Roman"/>
                <w:color w:val="000000"/>
                <w:lang w:eastAsia="en-GB"/>
              </w:rPr>
              <w:t>All Ethnicities</w:t>
            </w:r>
          </w:p>
        </w:tc>
        <w:tc>
          <w:tcPr>
            <w:tcW w:w="1534" w:type="dxa"/>
            <w:tcBorders>
              <w:top w:val="nil"/>
              <w:left w:val="nil"/>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jc w:val="center"/>
              <w:rPr>
                <w:rFonts w:ascii="Calibri" w:eastAsia="Times New Roman" w:hAnsi="Calibri" w:cs="Times New Roman"/>
                <w:color w:val="000000"/>
                <w:lang w:eastAsia="en-GB"/>
              </w:rPr>
            </w:pPr>
            <w:r w:rsidRPr="007B31C7">
              <w:rPr>
                <w:rFonts w:ascii="Calibri" w:eastAsia="Times New Roman" w:hAnsi="Calibri" w:cs="Times New Roman"/>
                <w:color w:val="000000"/>
                <w:lang w:eastAsia="en-GB"/>
              </w:rPr>
              <w:t>367,264</w:t>
            </w:r>
          </w:p>
        </w:tc>
        <w:tc>
          <w:tcPr>
            <w:tcW w:w="1843" w:type="dxa"/>
            <w:tcBorders>
              <w:top w:val="nil"/>
              <w:left w:val="nil"/>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jc w:val="center"/>
              <w:rPr>
                <w:rFonts w:ascii="Calibri" w:eastAsia="Times New Roman" w:hAnsi="Calibri" w:cs="Times New Roman"/>
                <w:color w:val="000000"/>
                <w:lang w:eastAsia="en-GB"/>
              </w:rPr>
            </w:pPr>
            <w:r w:rsidRPr="007B31C7">
              <w:rPr>
                <w:rFonts w:ascii="Calibri" w:eastAsia="Times New Roman" w:hAnsi="Calibri" w:cs="Times New Roman"/>
                <w:color w:val="000000"/>
                <w:lang w:eastAsia="en-GB"/>
              </w:rPr>
              <w:t>100.0%</w:t>
            </w:r>
          </w:p>
        </w:tc>
        <w:tc>
          <w:tcPr>
            <w:tcW w:w="1701" w:type="dxa"/>
            <w:tcBorders>
              <w:top w:val="nil"/>
              <w:left w:val="nil"/>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jc w:val="center"/>
              <w:rPr>
                <w:rFonts w:ascii="Calibri" w:eastAsia="Times New Roman" w:hAnsi="Calibri" w:cs="Times New Roman"/>
                <w:color w:val="000000"/>
                <w:lang w:eastAsia="en-GB"/>
              </w:rPr>
            </w:pPr>
            <w:r w:rsidRPr="007B31C7">
              <w:rPr>
                <w:rFonts w:ascii="Calibri" w:eastAsia="Times New Roman" w:hAnsi="Calibri" w:cs="Times New Roman"/>
                <w:color w:val="000000"/>
                <w:lang w:eastAsia="en-GB"/>
              </w:rPr>
              <w:t>5,236,869</w:t>
            </w:r>
          </w:p>
        </w:tc>
        <w:tc>
          <w:tcPr>
            <w:tcW w:w="1842" w:type="dxa"/>
            <w:tcBorders>
              <w:top w:val="nil"/>
              <w:left w:val="nil"/>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jc w:val="center"/>
              <w:rPr>
                <w:rFonts w:ascii="Calibri" w:eastAsia="Times New Roman" w:hAnsi="Calibri" w:cs="Times New Roman"/>
                <w:color w:val="000000"/>
                <w:lang w:eastAsia="en-GB"/>
              </w:rPr>
            </w:pPr>
            <w:r w:rsidRPr="007B31C7">
              <w:rPr>
                <w:rFonts w:ascii="Calibri" w:eastAsia="Times New Roman" w:hAnsi="Calibri" w:cs="Times New Roman"/>
                <w:color w:val="000000"/>
                <w:lang w:eastAsia="en-GB"/>
              </w:rPr>
              <w:t>100.0%</w:t>
            </w:r>
          </w:p>
        </w:tc>
      </w:tr>
      <w:tr w:rsidR="00A9706E" w:rsidRPr="007B31C7" w:rsidTr="00031B92">
        <w:trPr>
          <w:trHeight w:val="300"/>
          <w:jc w:val="center"/>
        </w:trPr>
        <w:tc>
          <w:tcPr>
            <w:tcW w:w="1869" w:type="dxa"/>
            <w:tcBorders>
              <w:top w:val="nil"/>
              <w:left w:val="single" w:sz="4" w:space="0" w:color="auto"/>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rPr>
                <w:rFonts w:ascii="Calibri" w:eastAsia="Times New Roman" w:hAnsi="Calibri" w:cs="Times New Roman"/>
                <w:color w:val="000000"/>
                <w:lang w:eastAsia="en-GB"/>
              </w:rPr>
            </w:pPr>
            <w:r w:rsidRPr="007B31C7">
              <w:rPr>
                <w:rFonts w:ascii="Calibri" w:eastAsia="Times New Roman" w:hAnsi="Calibri" w:cs="Times New Roman"/>
                <w:color w:val="000000"/>
                <w:lang w:eastAsia="en-GB"/>
              </w:rPr>
              <w:t>White</w:t>
            </w:r>
          </w:p>
        </w:tc>
        <w:tc>
          <w:tcPr>
            <w:tcW w:w="1534" w:type="dxa"/>
            <w:tcBorders>
              <w:top w:val="nil"/>
              <w:left w:val="nil"/>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jc w:val="center"/>
              <w:rPr>
                <w:rFonts w:ascii="Calibri" w:eastAsia="Times New Roman" w:hAnsi="Calibri" w:cs="Times New Roman"/>
                <w:color w:val="000000"/>
                <w:lang w:eastAsia="en-GB"/>
              </w:rPr>
            </w:pPr>
            <w:r w:rsidRPr="007B31C7">
              <w:rPr>
                <w:rFonts w:ascii="Calibri" w:eastAsia="Times New Roman" w:hAnsi="Calibri" w:cs="Times New Roman"/>
                <w:color w:val="000000"/>
                <w:lang w:eastAsia="en-GB"/>
              </w:rPr>
              <w:t>225,192</w:t>
            </w:r>
          </w:p>
        </w:tc>
        <w:tc>
          <w:tcPr>
            <w:tcW w:w="1843" w:type="dxa"/>
            <w:tcBorders>
              <w:top w:val="nil"/>
              <w:left w:val="nil"/>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jc w:val="center"/>
              <w:rPr>
                <w:rFonts w:ascii="Calibri" w:eastAsia="Times New Roman" w:hAnsi="Calibri" w:cs="Times New Roman"/>
                <w:color w:val="000000"/>
                <w:lang w:eastAsia="en-GB"/>
              </w:rPr>
            </w:pPr>
            <w:r w:rsidRPr="007B31C7">
              <w:rPr>
                <w:rFonts w:ascii="Calibri" w:eastAsia="Times New Roman" w:hAnsi="Calibri" w:cs="Times New Roman"/>
                <w:color w:val="000000"/>
                <w:lang w:eastAsia="en-GB"/>
              </w:rPr>
              <w:t>61.3%</w:t>
            </w:r>
          </w:p>
        </w:tc>
        <w:tc>
          <w:tcPr>
            <w:tcW w:w="1701" w:type="dxa"/>
            <w:tcBorders>
              <w:top w:val="nil"/>
              <w:left w:val="nil"/>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jc w:val="center"/>
              <w:rPr>
                <w:rFonts w:ascii="Calibri" w:eastAsia="Times New Roman" w:hAnsi="Calibri" w:cs="Times New Roman"/>
                <w:color w:val="000000"/>
                <w:lang w:eastAsia="en-GB"/>
              </w:rPr>
            </w:pPr>
            <w:r w:rsidRPr="007B31C7">
              <w:rPr>
                <w:rFonts w:ascii="Calibri" w:eastAsia="Times New Roman" w:hAnsi="Calibri" w:cs="Times New Roman"/>
                <w:color w:val="000000"/>
                <w:lang w:eastAsia="en-GB"/>
              </w:rPr>
              <w:t>3,028,406</w:t>
            </w:r>
          </w:p>
        </w:tc>
        <w:tc>
          <w:tcPr>
            <w:tcW w:w="1842" w:type="dxa"/>
            <w:tcBorders>
              <w:top w:val="nil"/>
              <w:left w:val="nil"/>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jc w:val="center"/>
              <w:rPr>
                <w:rFonts w:ascii="Calibri" w:eastAsia="Times New Roman" w:hAnsi="Calibri" w:cs="Times New Roman"/>
                <w:color w:val="000000"/>
                <w:lang w:eastAsia="en-GB"/>
              </w:rPr>
            </w:pPr>
            <w:r w:rsidRPr="007B31C7">
              <w:rPr>
                <w:rFonts w:ascii="Calibri" w:eastAsia="Times New Roman" w:hAnsi="Calibri" w:cs="Times New Roman"/>
                <w:color w:val="000000"/>
                <w:lang w:eastAsia="en-GB"/>
              </w:rPr>
              <w:t>57.8%</w:t>
            </w:r>
          </w:p>
        </w:tc>
      </w:tr>
      <w:tr w:rsidR="00A9706E" w:rsidRPr="007B31C7" w:rsidTr="00031B92">
        <w:trPr>
          <w:trHeight w:val="300"/>
          <w:jc w:val="center"/>
        </w:trPr>
        <w:tc>
          <w:tcPr>
            <w:tcW w:w="1869" w:type="dxa"/>
            <w:tcBorders>
              <w:top w:val="nil"/>
              <w:left w:val="single" w:sz="4" w:space="0" w:color="auto"/>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rPr>
                <w:rFonts w:ascii="Calibri" w:eastAsia="Times New Roman" w:hAnsi="Calibri" w:cs="Times New Roman"/>
                <w:color w:val="000000"/>
                <w:lang w:eastAsia="en-GB"/>
              </w:rPr>
            </w:pPr>
            <w:r w:rsidRPr="00E812FB">
              <w:rPr>
                <w:rFonts w:ascii="Calibri" w:hAnsi="Calibri" w:cs="Calibri"/>
              </w:rPr>
              <w:t>B</w:t>
            </w:r>
            <w:r>
              <w:rPr>
                <w:rFonts w:ascii="Calibri" w:hAnsi="Calibri" w:cs="Calibri"/>
              </w:rPr>
              <w:t>lack, Asian and Minority</w:t>
            </w:r>
          </w:p>
        </w:tc>
        <w:tc>
          <w:tcPr>
            <w:tcW w:w="1534" w:type="dxa"/>
            <w:tcBorders>
              <w:top w:val="nil"/>
              <w:left w:val="nil"/>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jc w:val="center"/>
              <w:rPr>
                <w:rFonts w:ascii="Calibri" w:eastAsia="Times New Roman" w:hAnsi="Calibri" w:cs="Times New Roman"/>
                <w:color w:val="000000"/>
                <w:lang w:eastAsia="en-GB"/>
              </w:rPr>
            </w:pPr>
            <w:r w:rsidRPr="007B31C7">
              <w:rPr>
                <w:rFonts w:ascii="Calibri" w:eastAsia="Times New Roman" w:hAnsi="Calibri" w:cs="Times New Roman"/>
                <w:color w:val="000000"/>
                <w:lang w:eastAsia="en-GB"/>
              </w:rPr>
              <w:t>142,076</w:t>
            </w:r>
          </w:p>
        </w:tc>
        <w:tc>
          <w:tcPr>
            <w:tcW w:w="1843" w:type="dxa"/>
            <w:tcBorders>
              <w:top w:val="nil"/>
              <w:left w:val="nil"/>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jc w:val="center"/>
              <w:rPr>
                <w:rFonts w:ascii="Calibri" w:eastAsia="Times New Roman" w:hAnsi="Calibri" w:cs="Times New Roman"/>
                <w:color w:val="000000"/>
                <w:lang w:eastAsia="en-GB"/>
              </w:rPr>
            </w:pPr>
            <w:r w:rsidRPr="007B31C7">
              <w:rPr>
                <w:rFonts w:ascii="Calibri" w:eastAsia="Times New Roman" w:hAnsi="Calibri" w:cs="Times New Roman"/>
                <w:color w:val="000000"/>
                <w:lang w:eastAsia="en-GB"/>
              </w:rPr>
              <w:t>38.7%</w:t>
            </w:r>
          </w:p>
        </w:tc>
        <w:tc>
          <w:tcPr>
            <w:tcW w:w="1701" w:type="dxa"/>
            <w:tcBorders>
              <w:top w:val="nil"/>
              <w:left w:val="nil"/>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jc w:val="center"/>
              <w:rPr>
                <w:rFonts w:ascii="Calibri" w:eastAsia="Times New Roman" w:hAnsi="Calibri" w:cs="Times New Roman"/>
                <w:color w:val="000000"/>
                <w:lang w:eastAsia="en-GB"/>
              </w:rPr>
            </w:pPr>
            <w:r w:rsidRPr="007B31C7">
              <w:rPr>
                <w:rFonts w:ascii="Calibri" w:eastAsia="Times New Roman" w:hAnsi="Calibri" w:cs="Times New Roman"/>
                <w:color w:val="000000"/>
                <w:lang w:eastAsia="en-GB"/>
              </w:rPr>
              <w:t>2,208,463</w:t>
            </w:r>
          </w:p>
        </w:tc>
        <w:tc>
          <w:tcPr>
            <w:tcW w:w="1842" w:type="dxa"/>
            <w:tcBorders>
              <w:top w:val="nil"/>
              <w:left w:val="nil"/>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jc w:val="center"/>
              <w:rPr>
                <w:rFonts w:ascii="Calibri" w:eastAsia="Times New Roman" w:hAnsi="Calibri" w:cs="Times New Roman"/>
                <w:color w:val="000000"/>
                <w:lang w:eastAsia="en-GB"/>
              </w:rPr>
            </w:pPr>
            <w:r w:rsidRPr="007B31C7">
              <w:rPr>
                <w:rFonts w:ascii="Calibri" w:eastAsia="Times New Roman" w:hAnsi="Calibri" w:cs="Times New Roman"/>
                <w:color w:val="000000"/>
                <w:lang w:eastAsia="en-GB"/>
              </w:rPr>
              <w:t>42.2%</w:t>
            </w:r>
          </w:p>
        </w:tc>
      </w:tr>
      <w:tr w:rsidR="00A9706E" w:rsidRPr="007B31C7" w:rsidTr="00031B92">
        <w:trPr>
          <w:trHeight w:val="300"/>
          <w:jc w:val="center"/>
        </w:trPr>
        <w:tc>
          <w:tcPr>
            <w:tcW w:w="1869" w:type="dxa"/>
            <w:tcBorders>
              <w:top w:val="nil"/>
              <w:left w:val="single" w:sz="4" w:space="0" w:color="auto"/>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rPr>
                <w:rFonts w:ascii="Calibri" w:eastAsia="Times New Roman" w:hAnsi="Calibri" w:cs="Times New Roman"/>
                <w:color w:val="000000"/>
                <w:lang w:eastAsia="en-GB"/>
              </w:rPr>
            </w:pPr>
            <w:r w:rsidRPr="007B31C7">
              <w:rPr>
                <w:rFonts w:ascii="Calibri" w:eastAsia="Times New Roman" w:hAnsi="Calibri" w:cs="Times New Roman"/>
                <w:color w:val="000000"/>
                <w:lang w:eastAsia="en-GB"/>
              </w:rPr>
              <w:t>Other Asian</w:t>
            </w:r>
          </w:p>
        </w:tc>
        <w:tc>
          <w:tcPr>
            <w:tcW w:w="1534" w:type="dxa"/>
            <w:tcBorders>
              <w:top w:val="nil"/>
              <w:left w:val="nil"/>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jc w:val="center"/>
              <w:rPr>
                <w:rFonts w:ascii="Calibri" w:eastAsia="Times New Roman" w:hAnsi="Calibri" w:cs="Times New Roman"/>
                <w:color w:val="000000"/>
                <w:lang w:eastAsia="en-GB"/>
              </w:rPr>
            </w:pPr>
            <w:r w:rsidRPr="007B31C7">
              <w:rPr>
                <w:rFonts w:ascii="Calibri" w:eastAsia="Times New Roman" w:hAnsi="Calibri" w:cs="Times New Roman"/>
                <w:color w:val="000000"/>
                <w:lang w:eastAsia="en-GB"/>
              </w:rPr>
              <w:t>34,296</w:t>
            </w:r>
          </w:p>
        </w:tc>
        <w:tc>
          <w:tcPr>
            <w:tcW w:w="1843" w:type="dxa"/>
            <w:tcBorders>
              <w:top w:val="nil"/>
              <w:left w:val="nil"/>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jc w:val="center"/>
              <w:rPr>
                <w:rFonts w:ascii="Calibri" w:eastAsia="Times New Roman" w:hAnsi="Calibri" w:cs="Times New Roman"/>
                <w:color w:val="000000"/>
                <w:lang w:eastAsia="en-GB"/>
              </w:rPr>
            </w:pPr>
            <w:r w:rsidRPr="007B31C7">
              <w:rPr>
                <w:rFonts w:ascii="Calibri" w:eastAsia="Times New Roman" w:hAnsi="Calibri" w:cs="Times New Roman"/>
                <w:color w:val="000000"/>
                <w:lang w:eastAsia="en-GB"/>
              </w:rPr>
              <w:t>9.3%</w:t>
            </w:r>
          </w:p>
        </w:tc>
        <w:tc>
          <w:tcPr>
            <w:tcW w:w="1701" w:type="dxa"/>
            <w:tcBorders>
              <w:top w:val="nil"/>
              <w:left w:val="nil"/>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jc w:val="center"/>
              <w:rPr>
                <w:rFonts w:ascii="Calibri" w:eastAsia="Times New Roman" w:hAnsi="Calibri" w:cs="Times New Roman"/>
                <w:color w:val="000000"/>
                <w:lang w:eastAsia="en-GB"/>
              </w:rPr>
            </w:pPr>
            <w:r w:rsidRPr="007B31C7">
              <w:rPr>
                <w:rFonts w:ascii="Calibri" w:eastAsia="Times New Roman" w:hAnsi="Calibri" w:cs="Times New Roman"/>
                <w:color w:val="000000"/>
                <w:lang w:eastAsia="en-GB"/>
              </w:rPr>
              <w:t>420,406</w:t>
            </w:r>
          </w:p>
        </w:tc>
        <w:tc>
          <w:tcPr>
            <w:tcW w:w="1842" w:type="dxa"/>
            <w:tcBorders>
              <w:top w:val="nil"/>
              <w:left w:val="nil"/>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jc w:val="center"/>
              <w:rPr>
                <w:rFonts w:ascii="Calibri" w:eastAsia="Times New Roman" w:hAnsi="Calibri" w:cs="Times New Roman"/>
                <w:color w:val="000000"/>
                <w:lang w:eastAsia="en-GB"/>
              </w:rPr>
            </w:pPr>
            <w:r w:rsidRPr="007B31C7">
              <w:rPr>
                <w:rFonts w:ascii="Calibri" w:eastAsia="Times New Roman" w:hAnsi="Calibri" w:cs="Times New Roman"/>
                <w:color w:val="000000"/>
                <w:lang w:eastAsia="en-GB"/>
              </w:rPr>
              <w:t>8.0%</w:t>
            </w:r>
          </w:p>
        </w:tc>
      </w:tr>
      <w:tr w:rsidR="00A9706E" w:rsidRPr="007B31C7" w:rsidTr="00031B92">
        <w:trPr>
          <w:trHeight w:val="300"/>
          <w:jc w:val="center"/>
        </w:trPr>
        <w:tc>
          <w:tcPr>
            <w:tcW w:w="1869" w:type="dxa"/>
            <w:tcBorders>
              <w:top w:val="nil"/>
              <w:left w:val="single" w:sz="4" w:space="0" w:color="auto"/>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rPr>
                <w:rFonts w:ascii="Calibri" w:eastAsia="Times New Roman" w:hAnsi="Calibri" w:cs="Times New Roman"/>
                <w:color w:val="000000"/>
                <w:lang w:eastAsia="en-GB"/>
              </w:rPr>
            </w:pPr>
            <w:r w:rsidRPr="007B31C7">
              <w:rPr>
                <w:rFonts w:ascii="Calibri" w:eastAsia="Times New Roman" w:hAnsi="Calibri" w:cs="Times New Roman"/>
                <w:color w:val="000000"/>
                <w:lang w:eastAsia="en-GB"/>
              </w:rPr>
              <w:t>Indian</w:t>
            </w:r>
          </w:p>
        </w:tc>
        <w:tc>
          <w:tcPr>
            <w:tcW w:w="1534" w:type="dxa"/>
            <w:tcBorders>
              <w:top w:val="nil"/>
              <w:left w:val="nil"/>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jc w:val="center"/>
              <w:rPr>
                <w:rFonts w:ascii="Calibri" w:eastAsia="Times New Roman" w:hAnsi="Calibri" w:cs="Times New Roman"/>
                <w:color w:val="000000"/>
                <w:lang w:eastAsia="en-GB"/>
              </w:rPr>
            </w:pPr>
            <w:r w:rsidRPr="007B31C7">
              <w:rPr>
                <w:rFonts w:ascii="Calibri" w:eastAsia="Times New Roman" w:hAnsi="Calibri" w:cs="Times New Roman"/>
                <w:color w:val="000000"/>
                <w:lang w:eastAsia="en-GB"/>
              </w:rPr>
              <w:t>27,530</w:t>
            </w:r>
          </w:p>
        </w:tc>
        <w:tc>
          <w:tcPr>
            <w:tcW w:w="1843" w:type="dxa"/>
            <w:tcBorders>
              <w:top w:val="nil"/>
              <w:left w:val="nil"/>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jc w:val="center"/>
              <w:rPr>
                <w:rFonts w:ascii="Calibri" w:eastAsia="Times New Roman" w:hAnsi="Calibri" w:cs="Times New Roman"/>
                <w:color w:val="000000"/>
                <w:lang w:eastAsia="en-GB"/>
              </w:rPr>
            </w:pPr>
            <w:r w:rsidRPr="007B31C7">
              <w:rPr>
                <w:rFonts w:ascii="Calibri" w:eastAsia="Times New Roman" w:hAnsi="Calibri" w:cs="Times New Roman"/>
                <w:color w:val="000000"/>
                <w:lang w:eastAsia="en-GB"/>
              </w:rPr>
              <w:t>7.5%</w:t>
            </w:r>
          </w:p>
        </w:tc>
        <w:tc>
          <w:tcPr>
            <w:tcW w:w="1701" w:type="dxa"/>
            <w:tcBorders>
              <w:top w:val="nil"/>
              <w:left w:val="nil"/>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jc w:val="center"/>
              <w:rPr>
                <w:rFonts w:ascii="Calibri" w:eastAsia="Times New Roman" w:hAnsi="Calibri" w:cs="Times New Roman"/>
                <w:color w:val="000000"/>
                <w:lang w:eastAsia="en-GB"/>
              </w:rPr>
            </w:pPr>
            <w:r w:rsidRPr="007B31C7">
              <w:rPr>
                <w:rFonts w:ascii="Calibri" w:eastAsia="Times New Roman" w:hAnsi="Calibri" w:cs="Times New Roman"/>
                <w:color w:val="000000"/>
                <w:lang w:eastAsia="en-GB"/>
              </w:rPr>
              <w:t>466,540</w:t>
            </w:r>
          </w:p>
        </w:tc>
        <w:tc>
          <w:tcPr>
            <w:tcW w:w="1842" w:type="dxa"/>
            <w:tcBorders>
              <w:top w:val="nil"/>
              <w:left w:val="nil"/>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jc w:val="center"/>
              <w:rPr>
                <w:rFonts w:ascii="Calibri" w:eastAsia="Times New Roman" w:hAnsi="Calibri" w:cs="Times New Roman"/>
                <w:color w:val="000000"/>
                <w:lang w:eastAsia="en-GB"/>
              </w:rPr>
            </w:pPr>
            <w:r w:rsidRPr="007B31C7">
              <w:rPr>
                <w:rFonts w:ascii="Calibri" w:eastAsia="Times New Roman" w:hAnsi="Calibri" w:cs="Times New Roman"/>
                <w:color w:val="000000"/>
                <w:lang w:eastAsia="en-GB"/>
              </w:rPr>
              <w:t>8.9%</w:t>
            </w:r>
          </w:p>
        </w:tc>
      </w:tr>
      <w:tr w:rsidR="00A9706E" w:rsidRPr="007B31C7" w:rsidTr="00031B92">
        <w:trPr>
          <w:trHeight w:val="300"/>
          <w:jc w:val="center"/>
        </w:trPr>
        <w:tc>
          <w:tcPr>
            <w:tcW w:w="1869" w:type="dxa"/>
            <w:tcBorders>
              <w:top w:val="nil"/>
              <w:left w:val="single" w:sz="4" w:space="0" w:color="auto"/>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rPr>
                <w:rFonts w:ascii="Calibri" w:eastAsia="Times New Roman" w:hAnsi="Calibri" w:cs="Times New Roman"/>
                <w:color w:val="000000"/>
                <w:lang w:eastAsia="en-GB"/>
              </w:rPr>
            </w:pPr>
            <w:r w:rsidRPr="007B31C7">
              <w:rPr>
                <w:rFonts w:ascii="Calibri" w:eastAsia="Times New Roman" w:hAnsi="Calibri" w:cs="Times New Roman"/>
                <w:color w:val="000000"/>
                <w:lang w:eastAsia="en-GB"/>
              </w:rPr>
              <w:t>Other</w:t>
            </w:r>
          </w:p>
        </w:tc>
        <w:tc>
          <w:tcPr>
            <w:tcW w:w="1534" w:type="dxa"/>
            <w:tcBorders>
              <w:top w:val="nil"/>
              <w:left w:val="nil"/>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jc w:val="center"/>
              <w:rPr>
                <w:rFonts w:ascii="Calibri" w:eastAsia="Times New Roman" w:hAnsi="Calibri" w:cs="Times New Roman"/>
                <w:color w:val="000000"/>
                <w:lang w:eastAsia="en-GB"/>
              </w:rPr>
            </w:pPr>
            <w:r w:rsidRPr="007B31C7">
              <w:rPr>
                <w:rFonts w:ascii="Calibri" w:eastAsia="Times New Roman" w:hAnsi="Calibri" w:cs="Times New Roman"/>
                <w:color w:val="000000"/>
                <w:lang w:eastAsia="en-GB"/>
              </w:rPr>
              <w:t>25,916</w:t>
            </w:r>
          </w:p>
        </w:tc>
        <w:tc>
          <w:tcPr>
            <w:tcW w:w="1843" w:type="dxa"/>
            <w:tcBorders>
              <w:top w:val="nil"/>
              <w:left w:val="nil"/>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jc w:val="center"/>
              <w:rPr>
                <w:rFonts w:ascii="Calibri" w:eastAsia="Times New Roman" w:hAnsi="Calibri" w:cs="Times New Roman"/>
                <w:color w:val="000000"/>
                <w:lang w:eastAsia="en-GB"/>
              </w:rPr>
            </w:pPr>
            <w:r w:rsidRPr="007B31C7">
              <w:rPr>
                <w:rFonts w:ascii="Calibri" w:eastAsia="Times New Roman" w:hAnsi="Calibri" w:cs="Times New Roman"/>
                <w:color w:val="000000"/>
                <w:lang w:eastAsia="en-GB"/>
              </w:rPr>
              <w:t>7.1%</w:t>
            </w:r>
          </w:p>
        </w:tc>
        <w:tc>
          <w:tcPr>
            <w:tcW w:w="1701" w:type="dxa"/>
            <w:tcBorders>
              <w:top w:val="nil"/>
              <w:left w:val="nil"/>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jc w:val="center"/>
              <w:rPr>
                <w:rFonts w:ascii="Calibri" w:eastAsia="Times New Roman" w:hAnsi="Calibri" w:cs="Times New Roman"/>
                <w:color w:val="000000"/>
                <w:lang w:eastAsia="en-GB"/>
              </w:rPr>
            </w:pPr>
            <w:r w:rsidRPr="007B31C7">
              <w:rPr>
                <w:rFonts w:ascii="Calibri" w:eastAsia="Times New Roman" w:hAnsi="Calibri" w:cs="Times New Roman"/>
                <w:color w:val="000000"/>
                <w:lang w:eastAsia="en-GB"/>
              </w:rPr>
              <w:t>249,337</w:t>
            </w:r>
          </w:p>
        </w:tc>
        <w:tc>
          <w:tcPr>
            <w:tcW w:w="1842" w:type="dxa"/>
            <w:tcBorders>
              <w:top w:val="nil"/>
              <w:left w:val="nil"/>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jc w:val="center"/>
              <w:rPr>
                <w:rFonts w:ascii="Calibri" w:eastAsia="Times New Roman" w:hAnsi="Calibri" w:cs="Times New Roman"/>
                <w:color w:val="000000"/>
                <w:lang w:eastAsia="en-GB"/>
              </w:rPr>
            </w:pPr>
            <w:r w:rsidRPr="007B31C7">
              <w:rPr>
                <w:rFonts w:ascii="Calibri" w:eastAsia="Times New Roman" w:hAnsi="Calibri" w:cs="Times New Roman"/>
                <w:color w:val="000000"/>
                <w:lang w:eastAsia="en-GB"/>
              </w:rPr>
              <w:t>4.8%</w:t>
            </w:r>
          </w:p>
        </w:tc>
      </w:tr>
      <w:tr w:rsidR="00A9706E" w:rsidRPr="007B31C7" w:rsidTr="00031B92">
        <w:trPr>
          <w:trHeight w:val="300"/>
          <w:jc w:val="center"/>
        </w:trPr>
        <w:tc>
          <w:tcPr>
            <w:tcW w:w="1869" w:type="dxa"/>
            <w:tcBorders>
              <w:top w:val="nil"/>
              <w:left w:val="single" w:sz="4" w:space="0" w:color="auto"/>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rPr>
                <w:rFonts w:ascii="Calibri" w:eastAsia="Times New Roman" w:hAnsi="Calibri" w:cs="Times New Roman"/>
                <w:color w:val="000000"/>
                <w:lang w:eastAsia="en-GB"/>
              </w:rPr>
            </w:pPr>
            <w:r w:rsidRPr="007B31C7">
              <w:rPr>
                <w:rFonts w:ascii="Calibri" w:eastAsia="Times New Roman" w:hAnsi="Calibri" w:cs="Times New Roman"/>
                <w:color w:val="000000"/>
                <w:lang w:eastAsia="en-GB"/>
              </w:rPr>
              <w:t>Black African</w:t>
            </w:r>
          </w:p>
        </w:tc>
        <w:tc>
          <w:tcPr>
            <w:tcW w:w="1534" w:type="dxa"/>
            <w:tcBorders>
              <w:top w:val="nil"/>
              <w:left w:val="nil"/>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jc w:val="center"/>
              <w:rPr>
                <w:rFonts w:ascii="Calibri" w:eastAsia="Times New Roman" w:hAnsi="Calibri" w:cs="Times New Roman"/>
                <w:color w:val="000000"/>
                <w:lang w:eastAsia="en-GB"/>
              </w:rPr>
            </w:pPr>
            <w:r w:rsidRPr="007B31C7">
              <w:rPr>
                <w:rFonts w:ascii="Calibri" w:eastAsia="Times New Roman" w:hAnsi="Calibri" w:cs="Times New Roman"/>
                <w:color w:val="000000"/>
                <w:lang w:eastAsia="en-GB"/>
              </w:rPr>
              <w:t>21,174</w:t>
            </w:r>
          </w:p>
        </w:tc>
        <w:tc>
          <w:tcPr>
            <w:tcW w:w="1843" w:type="dxa"/>
            <w:tcBorders>
              <w:top w:val="nil"/>
              <w:left w:val="nil"/>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jc w:val="center"/>
              <w:rPr>
                <w:rFonts w:ascii="Calibri" w:eastAsia="Times New Roman" w:hAnsi="Calibri" w:cs="Times New Roman"/>
                <w:color w:val="000000"/>
                <w:lang w:eastAsia="en-GB"/>
              </w:rPr>
            </w:pPr>
            <w:r w:rsidRPr="007B31C7">
              <w:rPr>
                <w:rFonts w:ascii="Calibri" w:eastAsia="Times New Roman" w:hAnsi="Calibri" w:cs="Times New Roman"/>
                <w:color w:val="000000"/>
                <w:lang w:eastAsia="en-GB"/>
              </w:rPr>
              <w:t>5.8%</w:t>
            </w:r>
          </w:p>
        </w:tc>
        <w:tc>
          <w:tcPr>
            <w:tcW w:w="1701" w:type="dxa"/>
            <w:tcBorders>
              <w:top w:val="nil"/>
              <w:left w:val="nil"/>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jc w:val="center"/>
              <w:rPr>
                <w:rFonts w:ascii="Calibri" w:eastAsia="Times New Roman" w:hAnsi="Calibri" w:cs="Times New Roman"/>
                <w:color w:val="000000"/>
                <w:lang w:eastAsia="en-GB"/>
              </w:rPr>
            </w:pPr>
            <w:r w:rsidRPr="007B31C7">
              <w:rPr>
                <w:rFonts w:ascii="Calibri" w:eastAsia="Times New Roman" w:hAnsi="Calibri" w:cs="Times New Roman"/>
                <w:color w:val="000000"/>
                <w:lang w:eastAsia="en-GB"/>
              </w:rPr>
              <w:t>353,533</w:t>
            </w:r>
          </w:p>
        </w:tc>
        <w:tc>
          <w:tcPr>
            <w:tcW w:w="1842" w:type="dxa"/>
            <w:tcBorders>
              <w:top w:val="nil"/>
              <w:left w:val="nil"/>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jc w:val="center"/>
              <w:rPr>
                <w:rFonts w:ascii="Calibri" w:eastAsia="Times New Roman" w:hAnsi="Calibri" w:cs="Times New Roman"/>
                <w:color w:val="000000"/>
                <w:lang w:eastAsia="en-GB"/>
              </w:rPr>
            </w:pPr>
            <w:r w:rsidRPr="007B31C7">
              <w:rPr>
                <w:rFonts w:ascii="Calibri" w:eastAsia="Times New Roman" w:hAnsi="Calibri" w:cs="Times New Roman"/>
                <w:color w:val="000000"/>
                <w:lang w:eastAsia="en-GB"/>
              </w:rPr>
              <w:t>6.8%</w:t>
            </w:r>
          </w:p>
        </w:tc>
      </w:tr>
      <w:tr w:rsidR="00A9706E" w:rsidRPr="007B31C7" w:rsidTr="00031B92">
        <w:trPr>
          <w:trHeight w:val="300"/>
          <w:jc w:val="center"/>
        </w:trPr>
        <w:tc>
          <w:tcPr>
            <w:tcW w:w="1869" w:type="dxa"/>
            <w:tcBorders>
              <w:top w:val="nil"/>
              <w:left w:val="single" w:sz="4" w:space="0" w:color="auto"/>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rPr>
                <w:rFonts w:ascii="Calibri" w:eastAsia="Times New Roman" w:hAnsi="Calibri" w:cs="Times New Roman"/>
                <w:color w:val="000000"/>
                <w:lang w:eastAsia="en-GB"/>
              </w:rPr>
            </w:pPr>
            <w:r w:rsidRPr="007B31C7">
              <w:rPr>
                <w:rFonts w:ascii="Calibri" w:eastAsia="Times New Roman" w:hAnsi="Calibri" w:cs="Times New Roman"/>
                <w:color w:val="000000"/>
                <w:lang w:eastAsia="en-GB"/>
              </w:rPr>
              <w:t>Black Other</w:t>
            </w:r>
          </w:p>
        </w:tc>
        <w:tc>
          <w:tcPr>
            <w:tcW w:w="1534" w:type="dxa"/>
            <w:tcBorders>
              <w:top w:val="nil"/>
              <w:left w:val="nil"/>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jc w:val="center"/>
              <w:rPr>
                <w:rFonts w:ascii="Calibri" w:eastAsia="Times New Roman" w:hAnsi="Calibri" w:cs="Times New Roman"/>
                <w:color w:val="000000"/>
                <w:lang w:eastAsia="en-GB"/>
              </w:rPr>
            </w:pPr>
            <w:r w:rsidRPr="007B31C7">
              <w:rPr>
                <w:rFonts w:ascii="Calibri" w:eastAsia="Times New Roman" w:hAnsi="Calibri" w:cs="Times New Roman"/>
                <w:color w:val="000000"/>
                <w:lang w:eastAsia="en-GB"/>
              </w:rPr>
              <w:t>11,588</w:t>
            </w:r>
          </w:p>
        </w:tc>
        <w:tc>
          <w:tcPr>
            <w:tcW w:w="1843" w:type="dxa"/>
            <w:tcBorders>
              <w:top w:val="nil"/>
              <w:left w:val="nil"/>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jc w:val="center"/>
              <w:rPr>
                <w:rFonts w:ascii="Calibri" w:eastAsia="Times New Roman" w:hAnsi="Calibri" w:cs="Times New Roman"/>
                <w:color w:val="000000"/>
                <w:lang w:eastAsia="en-GB"/>
              </w:rPr>
            </w:pPr>
            <w:r w:rsidRPr="007B31C7">
              <w:rPr>
                <w:rFonts w:ascii="Calibri" w:eastAsia="Times New Roman" w:hAnsi="Calibri" w:cs="Times New Roman"/>
                <w:color w:val="000000"/>
                <w:lang w:eastAsia="en-GB"/>
              </w:rPr>
              <w:t>3.2%</w:t>
            </w:r>
          </w:p>
        </w:tc>
        <w:tc>
          <w:tcPr>
            <w:tcW w:w="1701" w:type="dxa"/>
            <w:tcBorders>
              <w:top w:val="nil"/>
              <w:left w:val="nil"/>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jc w:val="center"/>
              <w:rPr>
                <w:rFonts w:ascii="Calibri" w:eastAsia="Times New Roman" w:hAnsi="Calibri" w:cs="Times New Roman"/>
                <w:color w:val="000000"/>
                <w:lang w:eastAsia="en-GB"/>
              </w:rPr>
            </w:pPr>
            <w:r w:rsidRPr="007B31C7">
              <w:rPr>
                <w:rFonts w:ascii="Calibri" w:eastAsia="Times New Roman" w:hAnsi="Calibri" w:cs="Times New Roman"/>
                <w:color w:val="000000"/>
                <w:lang w:eastAsia="en-GB"/>
              </w:rPr>
              <w:t>217,968</w:t>
            </w:r>
          </w:p>
        </w:tc>
        <w:tc>
          <w:tcPr>
            <w:tcW w:w="1842" w:type="dxa"/>
            <w:tcBorders>
              <w:top w:val="nil"/>
              <w:left w:val="nil"/>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jc w:val="center"/>
              <w:rPr>
                <w:rFonts w:ascii="Calibri" w:eastAsia="Times New Roman" w:hAnsi="Calibri" w:cs="Times New Roman"/>
                <w:color w:val="000000"/>
                <w:lang w:eastAsia="en-GB"/>
              </w:rPr>
            </w:pPr>
            <w:r w:rsidRPr="007B31C7">
              <w:rPr>
                <w:rFonts w:ascii="Calibri" w:eastAsia="Times New Roman" w:hAnsi="Calibri" w:cs="Times New Roman"/>
                <w:color w:val="000000"/>
                <w:lang w:eastAsia="en-GB"/>
              </w:rPr>
              <w:t>4.2%</w:t>
            </w:r>
          </w:p>
        </w:tc>
      </w:tr>
      <w:tr w:rsidR="00A9706E" w:rsidRPr="007B31C7" w:rsidTr="00031B92">
        <w:trPr>
          <w:trHeight w:val="300"/>
          <w:jc w:val="center"/>
        </w:trPr>
        <w:tc>
          <w:tcPr>
            <w:tcW w:w="1869" w:type="dxa"/>
            <w:tcBorders>
              <w:top w:val="nil"/>
              <w:left w:val="single" w:sz="4" w:space="0" w:color="auto"/>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rPr>
                <w:rFonts w:ascii="Calibri" w:eastAsia="Times New Roman" w:hAnsi="Calibri" w:cs="Times New Roman"/>
                <w:color w:val="000000"/>
                <w:lang w:eastAsia="en-GB"/>
              </w:rPr>
            </w:pPr>
            <w:r w:rsidRPr="007B31C7">
              <w:rPr>
                <w:rFonts w:ascii="Calibri" w:eastAsia="Times New Roman" w:hAnsi="Calibri" w:cs="Times New Roman"/>
                <w:color w:val="000000"/>
                <w:lang w:eastAsia="en-GB"/>
              </w:rPr>
              <w:t>Chinese</w:t>
            </w:r>
          </w:p>
        </w:tc>
        <w:tc>
          <w:tcPr>
            <w:tcW w:w="1534" w:type="dxa"/>
            <w:tcBorders>
              <w:top w:val="nil"/>
              <w:left w:val="nil"/>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jc w:val="center"/>
              <w:rPr>
                <w:rFonts w:ascii="Calibri" w:eastAsia="Times New Roman" w:hAnsi="Calibri" w:cs="Times New Roman"/>
                <w:color w:val="000000"/>
                <w:lang w:eastAsia="en-GB"/>
              </w:rPr>
            </w:pPr>
            <w:r w:rsidRPr="007B31C7">
              <w:rPr>
                <w:rFonts w:ascii="Calibri" w:eastAsia="Times New Roman" w:hAnsi="Calibri" w:cs="Times New Roman"/>
                <w:color w:val="000000"/>
                <w:lang w:eastAsia="en-GB"/>
              </w:rPr>
              <w:t>8,804</w:t>
            </w:r>
          </w:p>
        </w:tc>
        <w:tc>
          <w:tcPr>
            <w:tcW w:w="1843" w:type="dxa"/>
            <w:tcBorders>
              <w:top w:val="nil"/>
              <w:left w:val="nil"/>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jc w:val="center"/>
              <w:rPr>
                <w:rFonts w:ascii="Calibri" w:eastAsia="Times New Roman" w:hAnsi="Calibri" w:cs="Times New Roman"/>
                <w:color w:val="000000"/>
                <w:lang w:eastAsia="en-GB"/>
              </w:rPr>
            </w:pPr>
            <w:r w:rsidRPr="007B31C7">
              <w:rPr>
                <w:rFonts w:ascii="Calibri" w:eastAsia="Times New Roman" w:hAnsi="Calibri" w:cs="Times New Roman"/>
                <w:color w:val="000000"/>
                <w:lang w:eastAsia="en-GB"/>
              </w:rPr>
              <w:t>2.4%</w:t>
            </w:r>
          </w:p>
        </w:tc>
        <w:tc>
          <w:tcPr>
            <w:tcW w:w="1701" w:type="dxa"/>
            <w:tcBorders>
              <w:top w:val="nil"/>
              <w:left w:val="nil"/>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jc w:val="center"/>
              <w:rPr>
                <w:rFonts w:ascii="Calibri" w:eastAsia="Times New Roman" w:hAnsi="Calibri" w:cs="Times New Roman"/>
                <w:color w:val="000000"/>
                <w:lang w:eastAsia="en-GB"/>
              </w:rPr>
            </w:pPr>
            <w:r w:rsidRPr="007B31C7">
              <w:rPr>
                <w:rFonts w:ascii="Calibri" w:eastAsia="Times New Roman" w:hAnsi="Calibri" w:cs="Times New Roman"/>
                <w:color w:val="000000"/>
                <w:lang w:eastAsia="en-GB"/>
              </w:rPr>
              <w:t>65,236</w:t>
            </w:r>
          </w:p>
        </w:tc>
        <w:tc>
          <w:tcPr>
            <w:tcW w:w="1842" w:type="dxa"/>
            <w:tcBorders>
              <w:top w:val="nil"/>
              <w:left w:val="nil"/>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jc w:val="center"/>
              <w:rPr>
                <w:rFonts w:ascii="Calibri" w:eastAsia="Times New Roman" w:hAnsi="Calibri" w:cs="Times New Roman"/>
                <w:color w:val="000000"/>
                <w:lang w:eastAsia="en-GB"/>
              </w:rPr>
            </w:pPr>
            <w:r w:rsidRPr="007B31C7">
              <w:rPr>
                <w:rFonts w:ascii="Calibri" w:eastAsia="Times New Roman" w:hAnsi="Calibri" w:cs="Times New Roman"/>
                <w:color w:val="000000"/>
                <w:lang w:eastAsia="en-GB"/>
              </w:rPr>
              <w:t>1.2%</w:t>
            </w:r>
          </w:p>
        </w:tc>
      </w:tr>
      <w:tr w:rsidR="00A9706E" w:rsidRPr="007B31C7" w:rsidTr="00031B92">
        <w:trPr>
          <w:trHeight w:val="300"/>
          <w:jc w:val="center"/>
        </w:trPr>
        <w:tc>
          <w:tcPr>
            <w:tcW w:w="1869" w:type="dxa"/>
            <w:tcBorders>
              <w:top w:val="nil"/>
              <w:left w:val="single" w:sz="4" w:space="0" w:color="auto"/>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rPr>
                <w:rFonts w:ascii="Calibri" w:eastAsia="Times New Roman" w:hAnsi="Calibri" w:cs="Times New Roman"/>
                <w:color w:val="000000"/>
                <w:lang w:eastAsia="en-GB"/>
              </w:rPr>
            </w:pPr>
            <w:r w:rsidRPr="007B31C7">
              <w:rPr>
                <w:rFonts w:ascii="Calibri" w:eastAsia="Times New Roman" w:hAnsi="Calibri" w:cs="Times New Roman"/>
                <w:color w:val="000000"/>
                <w:lang w:eastAsia="en-GB"/>
              </w:rPr>
              <w:t>Pakistani</w:t>
            </w:r>
          </w:p>
        </w:tc>
        <w:tc>
          <w:tcPr>
            <w:tcW w:w="1534" w:type="dxa"/>
            <w:tcBorders>
              <w:top w:val="nil"/>
              <w:left w:val="nil"/>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jc w:val="center"/>
              <w:rPr>
                <w:rFonts w:ascii="Calibri" w:eastAsia="Times New Roman" w:hAnsi="Calibri" w:cs="Times New Roman"/>
                <w:color w:val="000000"/>
                <w:lang w:eastAsia="en-GB"/>
              </w:rPr>
            </w:pPr>
            <w:r w:rsidRPr="007B31C7">
              <w:rPr>
                <w:rFonts w:ascii="Calibri" w:eastAsia="Times New Roman" w:hAnsi="Calibri" w:cs="Times New Roman"/>
                <w:color w:val="000000"/>
                <w:lang w:eastAsia="en-GB"/>
              </w:rPr>
              <w:t>5,699</w:t>
            </w:r>
          </w:p>
        </w:tc>
        <w:tc>
          <w:tcPr>
            <w:tcW w:w="1843" w:type="dxa"/>
            <w:tcBorders>
              <w:top w:val="nil"/>
              <w:left w:val="nil"/>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jc w:val="center"/>
              <w:rPr>
                <w:rFonts w:ascii="Calibri" w:eastAsia="Times New Roman" w:hAnsi="Calibri" w:cs="Times New Roman"/>
                <w:color w:val="000000"/>
                <w:lang w:eastAsia="en-GB"/>
              </w:rPr>
            </w:pPr>
            <w:r w:rsidRPr="007B31C7">
              <w:rPr>
                <w:rFonts w:ascii="Calibri" w:eastAsia="Times New Roman" w:hAnsi="Calibri" w:cs="Times New Roman"/>
                <w:color w:val="000000"/>
                <w:lang w:eastAsia="en-GB"/>
              </w:rPr>
              <w:t>1.6%</w:t>
            </w:r>
          </w:p>
        </w:tc>
        <w:tc>
          <w:tcPr>
            <w:tcW w:w="1701" w:type="dxa"/>
            <w:tcBorders>
              <w:top w:val="nil"/>
              <w:left w:val="nil"/>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jc w:val="center"/>
              <w:rPr>
                <w:rFonts w:ascii="Calibri" w:eastAsia="Times New Roman" w:hAnsi="Calibri" w:cs="Times New Roman"/>
                <w:color w:val="000000"/>
                <w:lang w:eastAsia="en-GB"/>
              </w:rPr>
            </w:pPr>
            <w:r w:rsidRPr="007B31C7">
              <w:rPr>
                <w:rFonts w:ascii="Calibri" w:eastAsia="Times New Roman" w:hAnsi="Calibri" w:cs="Times New Roman"/>
                <w:color w:val="000000"/>
                <w:lang w:eastAsia="en-GB"/>
              </w:rPr>
              <w:t>187,598</w:t>
            </w:r>
          </w:p>
        </w:tc>
        <w:tc>
          <w:tcPr>
            <w:tcW w:w="1842" w:type="dxa"/>
            <w:tcBorders>
              <w:top w:val="nil"/>
              <w:left w:val="nil"/>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jc w:val="center"/>
              <w:rPr>
                <w:rFonts w:ascii="Calibri" w:eastAsia="Times New Roman" w:hAnsi="Calibri" w:cs="Times New Roman"/>
                <w:color w:val="000000"/>
                <w:lang w:eastAsia="en-GB"/>
              </w:rPr>
            </w:pPr>
            <w:r w:rsidRPr="007B31C7">
              <w:rPr>
                <w:rFonts w:ascii="Calibri" w:eastAsia="Times New Roman" w:hAnsi="Calibri" w:cs="Times New Roman"/>
                <w:color w:val="000000"/>
                <w:lang w:eastAsia="en-GB"/>
              </w:rPr>
              <w:t>3.6%</w:t>
            </w:r>
          </w:p>
        </w:tc>
      </w:tr>
      <w:tr w:rsidR="00A9706E" w:rsidRPr="007B31C7" w:rsidTr="00031B92">
        <w:trPr>
          <w:trHeight w:val="300"/>
          <w:jc w:val="center"/>
        </w:trPr>
        <w:tc>
          <w:tcPr>
            <w:tcW w:w="1869" w:type="dxa"/>
            <w:tcBorders>
              <w:top w:val="nil"/>
              <w:left w:val="single" w:sz="4" w:space="0" w:color="auto"/>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rPr>
                <w:rFonts w:ascii="Calibri" w:eastAsia="Times New Roman" w:hAnsi="Calibri" w:cs="Times New Roman"/>
                <w:color w:val="000000"/>
                <w:lang w:eastAsia="en-GB"/>
              </w:rPr>
            </w:pPr>
            <w:r w:rsidRPr="007B31C7">
              <w:rPr>
                <w:rFonts w:ascii="Calibri" w:eastAsia="Times New Roman" w:hAnsi="Calibri" w:cs="Times New Roman"/>
                <w:color w:val="000000"/>
                <w:lang w:eastAsia="en-GB"/>
              </w:rPr>
              <w:t>Black Caribbean</w:t>
            </w:r>
          </w:p>
        </w:tc>
        <w:tc>
          <w:tcPr>
            <w:tcW w:w="1534" w:type="dxa"/>
            <w:tcBorders>
              <w:top w:val="nil"/>
              <w:left w:val="nil"/>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jc w:val="center"/>
              <w:rPr>
                <w:rFonts w:ascii="Calibri" w:eastAsia="Times New Roman" w:hAnsi="Calibri" w:cs="Times New Roman"/>
                <w:color w:val="000000"/>
                <w:lang w:eastAsia="en-GB"/>
              </w:rPr>
            </w:pPr>
            <w:r w:rsidRPr="007B31C7">
              <w:rPr>
                <w:rFonts w:ascii="Calibri" w:eastAsia="Times New Roman" w:hAnsi="Calibri" w:cs="Times New Roman"/>
                <w:color w:val="000000"/>
                <w:lang w:eastAsia="en-GB"/>
              </w:rPr>
              <w:t>4,615</w:t>
            </w:r>
          </w:p>
        </w:tc>
        <w:tc>
          <w:tcPr>
            <w:tcW w:w="1843" w:type="dxa"/>
            <w:tcBorders>
              <w:top w:val="nil"/>
              <w:left w:val="nil"/>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jc w:val="center"/>
              <w:rPr>
                <w:rFonts w:ascii="Calibri" w:eastAsia="Times New Roman" w:hAnsi="Calibri" w:cs="Times New Roman"/>
                <w:color w:val="000000"/>
                <w:lang w:eastAsia="en-GB"/>
              </w:rPr>
            </w:pPr>
            <w:r w:rsidRPr="007B31C7">
              <w:rPr>
                <w:rFonts w:ascii="Calibri" w:eastAsia="Times New Roman" w:hAnsi="Calibri" w:cs="Times New Roman"/>
                <w:color w:val="000000"/>
                <w:lang w:eastAsia="en-GB"/>
              </w:rPr>
              <w:t>1.3%</w:t>
            </w:r>
          </w:p>
        </w:tc>
        <w:tc>
          <w:tcPr>
            <w:tcW w:w="1701" w:type="dxa"/>
            <w:tcBorders>
              <w:top w:val="nil"/>
              <w:left w:val="nil"/>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jc w:val="center"/>
              <w:rPr>
                <w:rFonts w:ascii="Calibri" w:eastAsia="Times New Roman" w:hAnsi="Calibri" w:cs="Times New Roman"/>
                <w:color w:val="000000"/>
                <w:lang w:eastAsia="en-GB"/>
              </w:rPr>
            </w:pPr>
            <w:r w:rsidRPr="007B31C7">
              <w:rPr>
                <w:rFonts w:ascii="Calibri" w:eastAsia="Times New Roman" w:hAnsi="Calibri" w:cs="Times New Roman"/>
                <w:color w:val="000000"/>
                <w:lang w:eastAsia="en-GB"/>
              </w:rPr>
              <w:t>178,809</w:t>
            </w:r>
          </w:p>
        </w:tc>
        <w:tc>
          <w:tcPr>
            <w:tcW w:w="1842" w:type="dxa"/>
            <w:tcBorders>
              <w:top w:val="nil"/>
              <w:left w:val="nil"/>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jc w:val="center"/>
              <w:rPr>
                <w:rFonts w:ascii="Calibri" w:eastAsia="Times New Roman" w:hAnsi="Calibri" w:cs="Times New Roman"/>
                <w:color w:val="000000"/>
                <w:lang w:eastAsia="en-GB"/>
              </w:rPr>
            </w:pPr>
            <w:r w:rsidRPr="007B31C7">
              <w:rPr>
                <w:rFonts w:ascii="Calibri" w:eastAsia="Times New Roman" w:hAnsi="Calibri" w:cs="Times New Roman"/>
                <w:color w:val="000000"/>
                <w:lang w:eastAsia="en-GB"/>
              </w:rPr>
              <w:t>3.4%</w:t>
            </w:r>
          </w:p>
        </w:tc>
      </w:tr>
      <w:tr w:rsidR="00A9706E" w:rsidRPr="007B31C7" w:rsidTr="00031B92">
        <w:trPr>
          <w:trHeight w:val="300"/>
          <w:jc w:val="center"/>
        </w:trPr>
        <w:tc>
          <w:tcPr>
            <w:tcW w:w="1869" w:type="dxa"/>
            <w:tcBorders>
              <w:top w:val="nil"/>
              <w:left w:val="single" w:sz="4" w:space="0" w:color="auto"/>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rPr>
                <w:rFonts w:ascii="Calibri" w:eastAsia="Times New Roman" w:hAnsi="Calibri" w:cs="Times New Roman"/>
                <w:color w:val="000000"/>
                <w:lang w:eastAsia="en-GB"/>
              </w:rPr>
            </w:pPr>
            <w:r w:rsidRPr="007B31C7">
              <w:rPr>
                <w:rFonts w:ascii="Calibri" w:eastAsia="Times New Roman" w:hAnsi="Calibri" w:cs="Times New Roman"/>
                <w:color w:val="000000"/>
                <w:lang w:eastAsia="en-GB"/>
              </w:rPr>
              <w:t>Bangladeshi</w:t>
            </w:r>
          </w:p>
        </w:tc>
        <w:tc>
          <w:tcPr>
            <w:tcW w:w="1534" w:type="dxa"/>
            <w:tcBorders>
              <w:top w:val="nil"/>
              <w:left w:val="nil"/>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jc w:val="center"/>
              <w:rPr>
                <w:rFonts w:ascii="Calibri" w:eastAsia="Times New Roman" w:hAnsi="Calibri" w:cs="Times New Roman"/>
                <w:color w:val="000000"/>
                <w:lang w:eastAsia="en-GB"/>
              </w:rPr>
            </w:pPr>
            <w:r w:rsidRPr="007B31C7">
              <w:rPr>
                <w:rFonts w:ascii="Calibri" w:eastAsia="Times New Roman" w:hAnsi="Calibri" w:cs="Times New Roman"/>
                <w:color w:val="000000"/>
                <w:lang w:eastAsia="en-GB"/>
              </w:rPr>
              <w:t>2,454</w:t>
            </w:r>
          </w:p>
        </w:tc>
        <w:tc>
          <w:tcPr>
            <w:tcW w:w="1843" w:type="dxa"/>
            <w:tcBorders>
              <w:top w:val="nil"/>
              <w:left w:val="nil"/>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jc w:val="center"/>
              <w:rPr>
                <w:rFonts w:ascii="Calibri" w:eastAsia="Times New Roman" w:hAnsi="Calibri" w:cs="Times New Roman"/>
                <w:color w:val="000000"/>
                <w:lang w:eastAsia="en-GB"/>
              </w:rPr>
            </w:pPr>
            <w:r w:rsidRPr="007B31C7">
              <w:rPr>
                <w:rFonts w:ascii="Calibri" w:eastAsia="Times New Roman" w:hAnsi="Calibri" w:cs="Times New Roman"/>
                <w:color w:val="000000"/>
                <w:lang w:eastAsia="en-GB"/>
              </w:rPr>
              <w:t>0.7%</w:t>
            </w:r>
          </w:p>
        </w:tc>
        <w:tc>
          <w:tcPr>
            <w:tcW w:w="1701" w:type="dxa"/>
            <w:tcBorders>
              <w:top w:val="nil"/>
              <w:left w:val="nil"/>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jc w:val="center"/>
              <w:rPr>
                <w:rFonts w:ascii="Calibri" w:eastAsia="Times New Roman" w:hAnsi="Calibri" w:cs="Times New Roman"/>
                <w:color w:val="000000"/>
                <w:lang w:eastAsia="en-GB"/>
              </w:rPr>
            </w:pPr>
            <w:r w:rsidRPr="007B31C7">
              <w:rPr>
                <w:rFonts w:ascii="Calibri" w:eastAsia="Times New Roman" w:hAnsi="Calibri" w:cs="Times New Roman"/>
                <w:color w:val="000000"/>
                <w:lang w:eastAsia="en-GB"/>
              </w:rPr>
              <w:t>69,036</w:t>
            </w:r>
          </w:p>
        </w:tc>
        <w:tc>
          <w:tcPr>
            <w:tcW w:w="1842" w:type="dxa"/>
            <w:tcBorders>
              <w:top w:val="nil"/>
              <w:left w:val="nil"/>
              <w:bottom w:val="single" w:sz="4" w:space="0" w:color="auto"/>
              <w:right w:val="single" w:sz="4" w:space="0" w:color="auto"/>
            </w:tcBorders>
            <w:shd w:val="clear" w:color="auto" w:fill="auto"/>
            <w:noWrap/>
            <w:vAlign w:val="bottom"/>
            <w:hideMark/>
          </w:tcPr>
          <w:p w:rsidR="00A9706E" w:rsidRPr="007B31C7" w:rsidRDefault="00A9706E" w:rsidP="00031B92">
            <w:pPr>
              <w:spacing w:after="0" w:line="240" w:lineRule="auto"/>
              <w:jc w:val="center"/>
              <w:rPr>
                <w:rFonts w:ascii="Calibri" w:eastAsia="Times New Roman" w:hAnsi="Calibri" w:cs="Times New Roman"/>
                <w:color w:val="000000"/>
                <w:lang w:eastAsia="en-GB"/>
              </w:rPr>
            </w:pPr>
            <w:r w:rsidRPr="007B31C7">
              <w:rPr>
                <w:rFonts w:ascii="Calibri" w:eastAsia="Times New Roman" w:hAnsi="Calibri" w:cs="Times New Roman"/>
                <w:color w:val="000000"/>
                <w:lang w:eastAsia="en-GB"/>
              </w:rPr>
              <w:t>1.3%</w:t>
            </w:r>
          </w:p>
        </w:tc>
      </w:tr>
    </w:tbl>
    <w:p w:rsidR="00A9706E" w:rsidRDefault="00A9706E" w:rsidP="00A9706E">
      <w:pPr>
        <w:spacing w:after="0" w:line="240" w:lineRule="auto"/>
        <w:jc w:val="both"/>
        <w:rPr>
          <w:rFonts w:ascii="Calibri" w:hAnsi="Calibri" w:cs="Calibri"/>
        </w:rPr>
      </w:pPr>
      <w:r>
        <w:rPr>
          <w:rFonts w:ascii="Calibri" w:hAnsi="Calibri" w:cs="Calibri"/>
        </w:rPr>
        <w:t xml:space="preserve">Source: GLA Projections 2013 </w:t>
      </w:r>
      <w:r>
        <w:t>(</w:t>
      </w:r>
      <w:r w:rsidRPr="005D3C22">
        <w:t>Preferred Option Projections</w:t>
      </w:r>
      <w:r>
        <w:t>)</w:t>
      </w:r>
    </w:p>
    <w:p w:rsidR="00A9706E" w:rsidRDefault="00A9706E" w:rsidP="00A9706E">
      <w:pPr>
        <w:spacing w:after="0" w:line="240" w:lineRule="auto"/>
        <w:jc w:val="both"/>
      </w:pPr>
    </w:p>
    <w:p w:rsidR="00A9706E" w:rsidRDefault="00A9706E" w:rsidP="00A9706E">
      <w:pPr>
        <w:spacing w:after="0" w:line="240" w:lineRule="auto"/>
        <w:jc w:val="both"/>
      </w:pPr>
      <w:r>
        <w:t>In comparison to Barnet’s statistical and geographical neighbours, Barnet has a relatively low Black, Asian and Minority Ethnic population (39%); whereas 66% of Brent’s population are Black, Asian and Minority Ethnic.</w:t>
      </w:r>
    </w:p>
    <w:p w:rsidR="00A9706E" w:rsidRDefault="00A9706E" w:rsidP="00A9706E">
      <w:pPr>
        <w:spacing w:after="0" w:line="240" w:lineRule="auto"/>
        <w:jc w:val="both"/>
      </w:pPr>
    </w:p>
    <w:p w:rsidR="00A9706E" w:rsidRPr="00CE24E1" w:rsidRDefault="00A9706E" w:rsidP="00A9706E">
      <w:pPr>
        <w:pStyle w:val="Caption"/>
        <w:rPr>
          <w:rFonts w:ascii="Calibri" w:hAnsi="Calibri" w:cs="Calibri"/>
          <w:b w:val="0"/>
          <w:i/>
        </w:rPr>
      </w:pPr>
      <w:r>
        <w:t xml:space="preserve">Figure </w:t>
      </w:r>
      <w:fldSimple w:instr=" STYLEREF 1 \s ">
        <w:r w:rsidR="001663C2">
          <w:rPr>
            <w:noProof/>
          </w:rPr>
          <w:t>2</w:t>
        </w:r>
      </w:fldSimple>
      <w:r w:rsidR="00943DC2">
        <w:noBreakHyphen/>
      </w:r>
      <w:fldSimple w:instr=" SEQ Figure \* ARABIC \s 1 ">
        <w:r w:rsidR="001663C2">
          <w:rPr>
            <w:noProof/>
          </w:rPr>
          <w:t>9</w:t>
        </w:r>
      </w:fldSimple>
      <w:r w:rsidRPr="004E7E79">
        <w:rPr>
          <w:rFonts w:cs="Calibri"/>
        </w:rPr>
        <w:t>: Population by B</w:t>
      </w:r>
      <w:r>
        <w:rPr>
          <w:rFonts w:cs="Calibri"/>
        </w:rPr>
        <w:t>lack, Asian and Minority Ethnic G</w:t>
      </w:r>
      <w:r w:rsidRPr="004E7E79">
        <w:rPr>
          <w:rFonts w:cs="Calibri"/>
        </w:rPr>
        <w:t>roups, 2015 (Barnet, Regional)</w:t>
      </w:r>
    </w:p>
    <w:p w:rsidR="00A9706E" w:rsidRDefault="00A9706E" w:rsidP="00A9706E">
      <w:pPr>
        <w:spacing w:after="0" w:line="240" w:lineRule="auto"/>
        <w:jc w:val="both"/>
      </w:pPr>
      <w:r>
        <w:rPr>
          <w:noProof/>
          <w:lang w:eastAsia="en-GB"/>
        </w:rPr>
        <w:drawing>
          <wp:inline distT="0" distB="0" distL="0" distR="0" wp14:anchorId="5BD8F1B6" wp14:editId="2CBDA949">
            <wp:extent cx="5924550" cy="2457450"/>
            <wp:effectExtent l="0" t="0" r="19050" b="19050"/>
            <wp:docPr id="43024" name="Chart 430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A9706E" w:rsidRPr="002C408A" w:rsidRDefault="00A9706E" w:rsidP="00A9706E">
      <w:pPr>
        <w:spacing w:after="0" w:line="240" w:lineRule="auto"/>
        <w:jc w:val="both"/>
        <w:rPr>
          <w:rFonts w:ascii="Calibri" w:hAnsi="Calibri" w:cs="Calibri"/>
        </w:rPr>
      </w:pPr>
      <w:r w:rsidRPr="002C408A">
        <w:rPr>
          <w:rFonts w:ascii="Calibri" w:hAnsi="Calibri" w:cs="Calibri"/>
        </w:rPr>
        <w:t>Source: GLA Projections 2013</w:t>
      </w:r>
      <w:r>
        <w:rPr>
          <w:rFonts w:ascii="Calibri" w:hAnsi="Calibri" w:cs="Calibri"/>
        </w:rPr>
        <w:t xml:space="preserve"> </w:t>
      </w:r>
      <w:r>
        <w:t>(</w:t>
      </w:r>
      <w:r w:rsidRPr="005D3C22">
        <w:t>Preferred Option Projections</w:t>
      </w:r>
      <w:r>
        <w:t>)</w:t>
      </w:r>
    </w:p>
    <w:p w:rsidR="00A9706E" w:rsidRDefault="00A9706E" w:rsidP="00A9706E">
      <w:pPr>
        <w:spacing w:after="0" w:line="240" w:lineRule="auto"/>
        <w:jc w:val="both"/>
        <w:rPr>
          <w:rFonts w:ascii="Calibri" w:hAnsi="Calibri" w:cs="Calibri"/>
        </w:rPr>
      </w:pPr>
    </w:p>
    <w:p w:rsidR="00A9706E" w:rsidRDefault="00A9706E" w:rsidP="00A9706E">
      <w:pPr>
        <w:jc w:val="both"/>
        <w:rPr>
          <w:rFonts w:ascii="Calibri" w:hAnsi="Calibri" w:cs="Calibri"/>
        </w:rPr>
      </w:pPr>
      <w:r w:rsidRPr="00BE7D00">
        <w:rPr>
          <w:rFonts w:ascii="Calibri" w:hAnsi="Calibri" w:cs="Calibri"/>
        </w:rPr>
        <w:t>However</w:t>
      </w:r>
      <w:r>
        <w:rPr>
          <w:rFonts w:ascii="Calibri" w:hAnsi="Calibri" w:cs="Calibri"/>
        </w:rPr>
        <w:t xml:space="preserve">, certain areas within the Borough have a higher proportional </w:t>
      </w:r>
      <w:r w:rsidRPr="00E812FB">
        <w:rPr>
          <w:rFonts w:ascii="Calibri" w:hAnsi="Calibri" w:cs="Calibri"/>
        </w:rPr>
        <w:t>B</w:t>
      </w:r>
      <w:r>
        <w:rPr>
          <w:rFonts w:ascii="Calibri" w:hAnsi="Calibri" w:cs="Calibri"/>
        </w:rPr>
        <w:t xml:space="preserve">lack, Asian and Minority population than the Borough average. Data from the 2011 Census provides a breakdown of the ethnic profile of Barnet by Ward.  </w:t>
      </w:r>
    </w:p>
    <w:p w:rsidR="00A9706E" w:rsidRDefault="00A9706E" w:rsidP="00A9706E">
      <w:pPr>
        <w:jc w:val="both"/>
        <w:rPr>
          <w:rFonts w:ascii="Calibri" w:hAnsi="Calibri" w:cs="Calibri"/>
        </w:rPr>
      </w:pPr>
      <w:r w:rsidRPr="007D6D39">
        <w:rPr>
          <w:rFonts w:ascii="Calibri" w:hAnsi="Calibri" w:cs="Calibri"/>
        </w:rPr>
        <w:t xml:space="preserve">The </w:t>
      </w:r>
      <w:r w:rsidRPr="00E812FB">
        <w:rPr>
          <w:rFonts w:ascii="Calibri" w:hAnsi="Calibri" w:cs="Calibri"/>
        </w:rPr>
        <w:t>B</w:t>
      </w:r>
      <w:r>
        <w:rPr>
          <w:rFonts w:ascii="Calibri" w:hAnsi="Calibri" w:cs="Calibri"/>
        </w:rPr>
        <w:t xml:space="preserve">lack, Asian and Minority </w:t>
      </w:r>
      <w:r w:rsidRPr="007D6D39">
        <w:rPr>
          <w:rFonts w:ascii="Calibri" w:hAnsi="Calibri" w:cs="Calibri"/>
        </w:rPr>
        <w:t>population in Barnet varies significantly by Ward,</w:t>
      </w:r>
      <w:r w:rsidRPr="001956B3">
        <w:rPr>
          <w:rFonts w:ascii="Calibri" w:hAnsi="Calibri" w:cs="Calibri"/>
        </w:rPr>
        <w:t xml:space="preserve"> </w:t>
      </w:r>
      <w:r>
        <w:rPr>
          <w:rFonts w:ascii="Calibri" w:hAnsi="Calibri" w:cs="Calibri"/>
        </w:rPr>
        <w:t xml:space="preserve">with the </w:t>
      </w:r>
      <w:r w:rsidRPr="007D6D39">
        <w:rPr>
          <w:rFonts w:ascii="Calibri" w:hAnsi="Calibri" w:cs="Calibri"/>
        </w:rPr>
        <w:t xml:space="preserve">highest rates of </w:t>
      </w:r>
      <w:r w:rsidRPr="00E812FB">
        <w:rPr>
          <w:rFonts w:ascii="Calibri" w:hAnsi="Calibri" w:cs="Calibri"/>
        </w:rPr>
        <w:t>B</w:t>
      </w:r>
      <w:r>
        <w:rPr>
          <w:rFonts w:ascii="Calibri" w:hAnsi="Calibri" w:cs="Calibri"/>
        </w:rPr>
        <w:t>lack, Asian and Minority populations</w:t>
      </w:r>
      <w:r w:rsidRPr="007D6D39">
        <w:rPr>
          <w:rFonts w:ascii="Calibri" w:hAnsi="Calibri" w:cs="Calibri"/>
        </w:rPr>
        <w:t xml:space="preserve"> generally found to th</w:t>
      </w:r>
      <w:r>
        <w:rPr>
          <w:rFonts w:ascii="Calibri" w:hAnsi="Calibri" w:cs="Calibri"/>
        </w:rPr>
        <w:t xml:space="preserve">e West of the Borough.  Based on the 2011 Census, Colindale, Burnt Oak and West Hendon all have populations where </w:t>
      </w:r>
      <w:r w:rsidRPr="00E812FB">
        <w:rPr>
          <w:rFonts w:ascii="Calibri" w:hAnsi="Calibri" w:cs="Calibri"/>
        </w:rPr>
        <w:t>B</w:t>
      </w:r>
      <w:r>
        <w:rPr>
          <w:rFonts w:ascii="Calibri" w:hAnsi="Calibri" w:cs="Calibri"/>
        </w:rPr>
        <w:t xml:space="preserve">lack, Asian and Minority residents make up over half of the population; this is significantly above the Borough wide average of 39%. </w:t>
      </w:r>
    </w:p>
    <w:p w:rsidR="00A9706E" w:rsidRDefault="00A9706E" w:rsidP="00A9706E">
      <w:pPr>
        <w:pStyle w:val="Caption"/>
        <w:rPr>
          <w:rFonts w:ascii="Calibri" w:hAnsi="Calibri" w:cs="Calibri"/>
          <w:b w:val="0"/>
        </w:rPr>
      </w:pPr>
      <w:r>
        <w:lastRenderedPageBreak/>
        <w:t xml:space="preserve">Figure </w:t>
      </w:r>
      <w:fldSimple w:instr=" STYLEREF 1 \s ">
        <w:r w:rsidR="001663C2">
          <w:rPr>
            <w:noProof/>
          </w:rPr>
          <w:t>2</w:t>
        </w:r>
      </w:fldSimple>
      <w:r w:rsidR="00943DC2">
        <w:noBreakHyphen/>
      </w:r>
      <w:fldSimple w:instr=" SEQ Figure \* ARABIC \s 1 ">
        <w:r w:rsidR="001663C2">
          <w:rPr>
            <w:noProof/>
          </w:rPr>
          <w:t>10</w:t>
        </w:r>
      </w:fldSimple>
      <w:r w:rsidRPr="00C50055">
        <w:rPr>
          <w:rFonts w:cs="Calibri"/>
        </w:rPr>
        <w:t>: Population by B</w:t>
      </w:r>
      <w:r>
        <w:rPr>
          <w:rFonts w:cs="Calibri"/>
        </w:rPr>
        <w:t xml:space="preserve">lack, Asian and Minority Ethnic </w:t>
      </w:r>
      <w:r w:rsidRPr="00C50055">
        <w:rPr>
          <w:rFonts w:cs="Calibri"/>
        </w:rPr>
        <w:t>Groups by Ward, 2011</w:t>
      </w:r>
    </w:p>
    <w:p w:rsidR="00A9706E" w:rsidRDefault="00A9706E" w:rsidP="00A9706E">
      <w:pPr>
        <w:spacing w:after="0" w:line="240" w:lineRule="auto"/>
        <w:jc w:val="center"/>
        <w:rPr>
          <w:rFonts w:ascii="Calibri" w:hAnsi="Calibri" w:cs="Calibri"/>
        </w:rPr>
      </w:pPr>
      <w:r>
        <w:rPr>
          <w:noProof/>
          <w:lang w:eastAsia="en-GB"/>
        </w:rPr>
        <w:drawing>
          <wp:inline distT="0" distB="0" distL="0" distR="0" wp14:anchorId="03142B04" wp14:editId="37C2F598">
            <wp:extent cx="3871355" cy="3403312"/>
            <wp:effectExtent l="0" t="0" r="0" b="6985"/>
            <wp:docPr id="43025" name="Picture 43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extLst>
                        <a:ext uri="{28A0092B-C50C-407E-A947-70E740481C1C}">
                          <a14:useLocalDpi xmlns:a14="http://schemas.microsoft.com/office/drawing/2010/main" val="0"/>
                        </a:ext>
                      </a:extLst>
                    </a:blip>
                    <a:srcRect l="18750" t="28383" r="43564" b="12697"/>
                    <a:stretch/>
                  </pic:blipFill>
                  <pic:spPr bwMode="auto">
                    <a:xfrm>
                      <a:off x="0" y="0"/>
                      <a:ext cx="3881405" cy="3412147"/>
                    </a:xfrm>
                    <a:prstGeom prst="rect">
                      <a:avLst/>
                    </a:prstGeom>
                    <a:ln>
                      <a:noFill/>
                    </a:ln>
                    <a:extLst>
                      <a:ext uri="{53640926-AAD7-44D8-BBD7-CCE9431645EC}">
                        <a14:shadowObscured xmlns:a14="http://schemas.microsoft.com/office/drawing/2010/main"/>
                      </a:ext>
                    </a:extLst>
                  </pic:spPr>
                </pic:pic>
              </a:graphicData>
            </a:graphic>
          </wp:inline>
        </w:drawing>
      </w:r>
    </w:p>
    <w:p w:rsidR="00A9706E" w:rsidRDefault="00A9706E" w:rsidP="00A9706E">
      <w:pPr>
        <w:spacing w:after="0" w:line="240" w:lineRule="auto"/>
        <w:jc w:val="both"/>
        <w:rPr>
          <w:rFonts w:ascii="Calibri" w:hAnsi="Calibri" w:cs="Calibri"/>
        </w:rPr>
      </w:pPr>
      <w:r w:rsidRPr="004E3595">
        <w:rPr>
          <w:rFonts w:ascii="Calibri" w:hAnsi="Calibri" w:cs="Calibri"/>
        </w:rPr>
        <w:t>Source: 2011 Census</w:t>
      </w:r>
    </w:p>
    <w:p w:rsidR="00A9706E" w:rsidRDefault="00A9706E" w:rsidP="00A9706E">
      <w:pPr>
        <w:spacing w:after="0" w:line="240" w:lineRule="auto"/>
        <w:jc w:val="both"/>
        <w:rPr>
          <w:rFonts w:ascii="Calibri" w:hAnsi="Calibri" w:cs="Calibri"/>
        </w:rPr>
      </w:pPr>
    </w:p>
    <w:p w:rsidR="00A9706E" w:rsidRDefault="00A9706E" w:rsidP="00A9706E">
      <w:pPr>
        <w:spacing w:after="0" w:line="240" w:lineRule="auto"/>
        <w:jc w:val="both"/>
        <w:rPr>
          <w:rFonts w:ascii="Calibri" w:hAnsi="Calibri" w:cs="Calibri"/>
          <w:b/>
        </w:rPr>
      </w:pPr>
      <w:r w:rsidRPr="00E812FB">
        <w:rPr>
          <w:rFonts w:ascii="Calibri" w:hAnsi="Calibri" w:cs="Calibri"/>
        </w:rPr>
        <w:t>By age, the highest proportion of the population from White ethnic backgrounds are found in the 90 and over age group (93.3%); whereas the highest proportion of people from B</w:t>
      </w:r>
      <w:r>
        <w:rPr>
          <w:rFonts w:ascii="Calibri" w:hAnsi="Calibri" w:cs="Calibri"/>
        </w:rPr>
        <w:t xml:space="preserve">lack, Asian and Minority Ethnic </w:t>
      </w:r>
      <w:r w:rsidRPr="00E812FB">
        <w:rPr>
          <w:rFonts w:ascii="Calibri" w:hAnsi="Calibri" w:cs="Calibri"/>
        </w:rPr>
        <w:t xml:space="preserve">groups are found in the 0-4 age group (55.4%). </w:t>
      </w:r>
    </w:p>
    <w:p w:rsidR="00A9706E" w:rsidRDefault="00A9706E" w:rsidP="00A9706E">
      <w:pPr>
        <w:spacing w:after="0" w:line="240" w:lineRule="auto"/>
        <w:jc w:val="both"/>
        <w:rPr>
          <w:rFonts w:ascii="Calibri" w:hAnsi="Calibri" w:cs="Calibri"/>
          <w:b/>
          <w:i/>
        </w:rPr>
      </w:pPr>
    </w:p>
    <w:p w:rsidR="00A9706E" w:rsidRPr="00E812FB" w:rsidRDefault="00A9706E" w:rsidP="00A9706E">
      <w:pPr>
        <w:pStyle w:val="Caption"/>
        <w:rPr>
          <w:rFonts w:ascii="Calibri" w:hAnsi="Calibri" w:cs="Calibri"/>
          <w:b w:val="0"/>
          <w:i/>
        </w:rPr>
      </w:pPr>
      <w:r>
        <w:t xml:space="preserve">Figure </w:t>
      </w:r>
      <w:fldSimple w:instr=" STYLEREF 1 \s ">
        <w:r w:rsidR="001663C2">
          <w:rPr>
            <w:noProof/>
          </w:rPr>
          <w:t>2</w:t>
        </w:r>
      </w:fldSimple>
      <w:r w:rsidR="00943DC2">
        <w:noBreakHyphen/>
      </w:r>
      <w:fldSimple w:instr=" SEQ Figure \* ARABIC \s 1 ">
        <w:r w:rsidR="001663C2">
          <w:rPr>
            <w:noProof/>
          </w:rPr>
          <w:t>11</w:t>
        </w:r>
      </w:fldSimple>
      <w:r w:rsidRPr="004E7E79">
        <w:rPr>
          <w:rFonts w:cs="Calibri"/>
        </w:rPr>
        <w:t>: Barnet Population by Ethnicity by Age, 2015</w:t>
      </w:r>
    </w:p>
    <w:p w:rsidR="00A9706E" w:rsidRPr="004E3595" w:rsidRDefault="00A9706E" w:rsidP="00A9706E">
      <w:pPr>
        <w:spacing w:after="0" w:line="240" w:lineRule="auto"/>
        <w:jc w:val="both"/>
        <w:rPr>
          <w:rFonts w:ascii="Calibri" w:hAnsi="Calibri" w:cs="Calibri"/>
          <w:b/>
        </w:rPr>
      </w:pPr>
      <w:r>
        <w:rPr>
          <w:noProof/>
          <w:lang w:eastAsia="en-GB"/>
        </w:rPr>
        <w:drawing>
          <wp:inline distT="0" distB="0" distL="0" distR="0" wp14:anchorId="4D54AA74" wp14:editId="441BF3A4">
            <wp:extent cx="5730949" cy="2190307"/>
            <wp:effectExtent l="0" t="0" r="22225" b="19685"/>
            <wp:docPr id="43026" name="Chart 430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A9706E" w:rsidRDefault="00A9706E" w:rsidP="00A9706E">
      <w:pPr>
        <w:spacing w:after="0" w:line="240" w:lineRule="auto"/>
        <w:jc w:val="both"/>
        <w:rPr>
          <w:rFonts w:ascii="Calibri" w:hAnsi="Calibri" w:cs="Calibri"/>
        </w:rPr>
      </w:pPr>
      <w:r w:rsidRPr="004E3595">
        <w:rPr>
          <w:rFonts w:ascii="Calibri" w:hAnsi="Calibri" w:cs="Calibri"/>
        </w:rPr>
        <w:t>Source: 2013 GLA Projections</w:t>
      </w:r>
      <w:r>
        <w:rPr>
          <w:rFonts w:ascii="Calibri" w:hAnsi="Calibri" w:cs="Calibri"/>
        </w:rPr>
        <w:t xml:space="preserve"> </w:t>
      </w:r>
      <w:r>
        <w:t>(</w:t>
      </w:r>
      <w:r w:rsidRPr="005D3C22">
        <w:t>Preferred Option Projections</w:t>
      </w:r>
      <w:r>
        <w:t>)</w:t>
      </w:r>
    </w:p>
    <w:p w:rsidR="00A9706E" w:rsidRDefault="00A9706E" w:rsidP="00A9706E">
      <w:pPr>
        <w:spacing w:after="0" w:line="240" w:lineRule="auto"/>
        <w:jc w:val="both"/>
        <w:rPr>
          <w:rFonts w:ascii="Calibri" w:hAnsi="Calibri" w:cs="Calibri"/>
        </w:rPr>
      </w:pPr>
    </w:p>
    <w:p w:rsidR="00A9706E" w:rsidRPr="00E34B89" w:rsidRDefault="00A9706E" w:rsidP="00A9706E">
      <w:pPr>
        <w:jc w:val="both"/>
        <w:rPr>
          <w:rFonts w:cs="Calibri"/>
        </w:rPr>
      </w:pPr>
      <w:r>
        <w:rPr>
          <w:rFonts w:ascii="Calibri" w:hAnsi="Calibri" w:cs="Calibri"/>
        </w:rPr>
        <w:t>Table 2-9</w:t>
      </w:r>
      <w:r w:rsidRPr="00E34B89">
        <w:rPr>
          <w:rFonts w:ascii="Calibri" w:hAnsi="Calibri" w:cs="Calibri"/>
        </w:rPr>
        <w:t xml:space="preserve"> contains the projected population growth by ethnicity for the period 2015-2021 and 2015-2030. </w:t>
      </w:r>
      <w:r w:rsidRPr="00E34B89">
        <w:rPr>
          <w:rFonts w:cs="Calibri"/>
        </w:rPr>
        <w:t>Barnet’s population is projected to become increasingly diverse as the White British population is projected to decrease in proportion to the total population (from 61.3</w:t>
      </w:r>
      <w:r>
        <w:rPr>
          <w:rFonts w:cs="Calibri"/>
        </w:rPr>
        <w:t>% in 2015 to 58.4% in 2021 and 5</w:t>
      </w:r>
      <w:r w:rsidRPr="00E34B89">
        <w:rPr>
          <w:rFonts w:cs="Calibri"/>
        </w:rPr>
        <w:t xml:space="preserve">6.4% in 2030). </w:t>
      </w:r>
    </w:p>
    <w:p w:rsidR="00A9706E" w:rsidRPr="00E34B89" w:rsidRDefault="00A9706E" w:rsidP="00A9706E">
      <w:pPr>
        <w:jc w:val="both"/>
        <w:rPr>
          <w:rFonts w:cs="Calibri"/>
        </w:rPr>
      </w:pPr>
      <w:r w:rsidRPr="00E34B89">
        <w:rPr>
          <w:rFonts w:cs="Calibri"/>
        </w:rPr>
        <w:lastRenderedPageBreak/>
        <w:t>Whereas</w:t>
      </w:r>
      <w:r>
        <w:rPr>
          <w:rFonts w:cs="Calibri"/>
        </w:rPr>
        <w:t>,</w:t>
      </w:r>
      <w:r w:rsidRPr="00E34B89">
        <w:rPr>
          <w:rFonts w:cs="Calibri"/>
        </w:rPr>
        <w:t xml:space="preserve"> the</w:t>
      </w:r>
      <w:r>
        <w:rPr>
          <w:rFonts w:cs="Calibri"/>
        </w:rPr>
        <w:t xml:space="preserve"> proportion of the population who are </w:t>
      </w:r>
      <w:r w:rsidRPr="00E812FB">
        <w:rPr>
          <w:rFonts w:ascii="Calibri" w:hAnsi="Calibri" w:cs="Calibri"/>
        </w:rPr>
        <w:t>B</w:t>
      </w:r>
      <w:r>
        <w:rPr>
          <w:rFonts w:ascii="Calibri" w:hAnsi="Calibri" w:cs="Calibri"/>
        </w:rPr>
        <w:t xml:space="preserve">lack, Asian and Minority </w:t>
      </w:r>
      <w:r>
        <w:rPr>
          <w:rFonts w:cs="Calibri"/>
        </w:rPr>
        <w:t>is projected to increase by 4.9% (40,040), rising from 142,074 to 182,144</w:t>
      </w:r>
      <w:r w:rsidRPr="00E34B89">
        <w:rPr>
          <w:rFonts w:cs="Calibri"/>
        </w:rPr>
        <w:t xml:space="preserve">. This will mean that the </w:t>
      </w:r>
      <w:r w:rsidRPr="00E812FB">
        <w:rPr>
          <w:rFonts w:ascii="Calibri" w:hAnsi="Calibri" w:cs="Calibri"/>
        </w:rPr>
        <w:t>B</w:t>
      </w:r>
      <w:r>
        <w:rPr>
          <w:rFonts w:ascii="Calibri" w:hAnsi="Calibri" w:cs="Calibri"/>
        </w:rPr>
        <w:t xml:space="preserve">lack, Asian and Minority </w:t>
      </w:r>
      <w:r w:rsidRPr="00E34B89">
        <w:rPr>
          <w:rFonts w:cs="Calibri"/>
        </w:rPr>
        <w:t xml:space="preserve">proportion of the total population will rise from 38.7% to 43.6%. </w:t>
      </w:r>
    </w:p>
    <w:p w:rsidR="00A9706E" w:rsidRPr="00E34B89" w:rsidRDefault="00A9706E" w:rsidP="00A9706E">
      <w:pPr>
        <w:jc w:val="both"/>
        <w:rPr>
          <w:rFonts w:ascii="Calibri" w:hAnsi="Calibri" w:cs="Calibri"/>
        </w:rPr>
      </w:pPr>
      <w:r w:rsidRPr="00E34B89">
        <w:rPr>
          <w:rFonts w:cs="Calibri"/>
        </w:rPr>
        <w:t>All B</w:t>
      </w:r>
      <w:r>
        <w:rPr>
          <w:rFonts w:cs="Calibri"/>
        </w:rPr>
        <w:t xml:space="preserve">lack, Asian and Minority Ethnic groups </w:t>
      </w:r>
      <w:r w:rsidRPr="00E34B89">
        <w:rPr>
          <w:rFonts w:cs="Calibri"/>
        </w:rPr>
        <w:t>are projected to increase in number during the pe</w:t>
      </w:r>
      <w:r>
        <w:rPr>
          <w:rFonts w:cs="Calibri"/>
        </w:rPr>
        <w:t>riod 2015 to 2030. Although over this period the proportion of individuals from Indian ethnic groups will reduc</w:t>
      </w:r>
      <w:r w:rsidRPr="00E34B89">
        <w:rPr>
          <w:rFonts w:cs="Calibri"/>
        </w:rPr>
        <w:t xml:space="preserve">e </w:t>
      </w:r>
      <w:r>
        <w:rPr>
          <w:rFonts w:cs="Calibri"/>
        </w:rPr>
        <w:t xml:space="preserve">from </w:t>
      </w:r>
      <w:r w:rsidRPr="00E34B89">
        <w:rPr>
          <w:rFonts w:cs="Calibri"/>
        </w:rPr>
        <w:t>7.5%</w:t>
      </w:r>
      <w:r>
        <w:rPr>
          <w:rFonts w:cs="Calibri"/>
        </w:rPr>
        <w:t xml:space="preserve"> of the total population to 7.1%</w:t>
      </w:r>
      <w:r w:rsidRPr="00E34B89">
        <w:rPr>
          <w:rFonts w:cs="Calibri"/>
        </w:rPr>
        <w:t xml:space="preserve">. </w:t>
      </w:r>
    </w:p>
    <w:p w:rsidR="00A9706E" w:rsidRPr="002E169A" w:rsidRDefault="00A9706E" w:rsidP="00A9706E">
      <w:pPr>
        <w:pStyle w:val="Caption"/>
        <w:rPr>
          <w:rFonts w:ascii="Calibri" w:hAnsi="Calibri" w:cs="Calibri"/>
          <w:b w:val="0"/>
          <w:i/>
        </w:rPr>
      </w:pPr>
      <w:r>
        <w:t xml:space="preserve">Table </w:t>
      </w:r>
      <w:fldSimple w:instr=" STYLEREF 1 \s ">
        <w:r w:rsidR="001663C2">
          <w:rPr>
            <w:noProof/>
          </w:rPr>
          <w:t>2</w:t>
        </w:r>
      </w:fldSimple>
      <w:r>
        <w:noBreakHyphen/>
      </w:r>
      <w:fldSimple w:instr=" SEQ Table \* ARABIC \s 1 ">
        <w:r w:rsidR="001663C2">
          <w:rPr>
            <w:noProof/>
          </w:rPr>
          <w:t>9</w:t>
        </w:r>
      </w:fldSimple>
      <w:r w:rsidRPr="004E7E79">
        <w:rPr>
          <w:rFonts w:cs="Calibri"/>
        </w:rPr>
        <w:t>: Projections of the population by Ethnicity between 2015-2021 and 2015-2030</w:t>
      </w:r>
    </w:p>
    <w:tbl>
      <w:tblPr>
        <w:tblW w:w="9340" w:type="dxa"/>
        <w:tblInd w:w="93" w:type="dxa"/>
        <w:tblLook w:val="04A0" w:firstRow="1" w:lastRow="0" w:firstColumn="1" w:lastColumn="0" w:noHBand="0" w:noVBand="1"/>
      </w:tblPr>
      <w:tblGrid>
        <w:gridCol w:w="1600"/>
        <w:gridCol w:w="1120"/>
        <w:gridCol w:w="1120"/>
        <w:gridCol w:w="1120"/>
        <w:gridCol w:w="1460"/>
        <w:gridCol w:w="1460"/>
        <w:gridCol w:w="1460"/>
      </w:tblGrid>
      <w:tr w:rsidR="00A9706E" w:rsidRPr="00FD7A1F" w:rsidTr="00031B92">
        <w:trPr>
          <w:trHeight w:val="900"/>
        </w:trPr>
        <w:tc>
          <w:tcPr>
            <w:tcW w:w="160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A9706E" w:rsidRPr="00FD7A1F" w:rsidRDefault="00A9706E" w:rsidP="00031B92">
            <w:pPr>
              <w:spacing w:after="0" w:line="240" w:lineRule="auto"/>
              <w:jc w:val="center"/>
              <w:rPr>
                <w:rFonts w:ascii="Calibri" w:eastAsia="Times New Roman" w:hAnsi="Calibri" w:cs="Times New Roman"/>
                <w:b/>
                <w:bCs/>
                <w:color w:val="000000"/>
                <w:lang w:eastAsia="en-GB"/>
              </w:rPr>
            </w:pPr>
            <w:r w:rsidRPr="00FD7A1F">
              <w:rPr>
                <w:rFonts w:ascii="Calibri" w:eastAsia="Times New Roman" w:hAnsi="Calibri" w:cs="Times New Roman"/>
                <w:b/>
                <w:bCs/>
                <w:color w:val="000000"/>
                <w:lang w:eastAsia="en-GB"/>
              </w:rPr>
              <w:t>Ethnic Group</w:t>
            </w:r>
          </w:p>
        </w:tc>
        <w:tc>
          <w:tcPr>
            <w:tcW w:w="112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A9706E" w:rsidRPr="00FD7A1F" w:rsidRDefault="00A9706E" w:rsidP="00031B92">
            <w:pPr>
              <w:spacing w:after="0" w:line="240" w:lineRule="auto"/>
              <w:jc w:val="center"/>
              <w:rPr>
                <w:rFonts w:ascii="Calibri" w:eastAsia="Times New Roman" w:hAnsi="Calibri" w:cs="Times New Roman"/>
                <w:b/>
                <w:bCs/>
                <w:color w:val="000000"/>
                <w:lang w:eastAsia="en-GB"/>
              </w:rPr>
            </w:pPr>
            <w:r w:rsidRPr="00FD7A1F">
              <w:rPr>
                <w:rFonts w:ascii="Calibri" w:eastAsia="Times New Roman" w:hAnsi="Calibri" w:cs="Times New Roman"/>
                <w:b/>
                <w:bCs/>
                <w:color w:val="000000"/>
                <w:lang w:eastAsia="en-GB"/>
              </w:rPr>
              <w:t>2015</w:t>
            </w:r>
          </w:p>
        </w:tc>
        <w:tc>
          <w:tcPr>
            <w:tcW w:w="112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A9706E" w:rsidRPr="00FD7A1F" w:rsidRDefault="00A9706E" w:rsidP="00031B92">
            <w:pPr>
              <w:spacing w:after="0" w:line="240" w:lineRule="auto"/>
              <w:jc w:val="center"/>
              <w:rPr>
                <w:rFonts w:ascii="Calibri" w:eastAsia="Times New Roman" w:hAnsi="Calibri" w:cs="Times New Roman"/>
                <w:b/>
                <w:bCs/>
                <w:color w:val="000000"/>
                <w:lang w:eastAsia="en-GB"/>
              </w:rPr>
            </w:pPr>
            <w:r w:rsidRPr="00FD7A1F">
              <w:rPr>
                <w:rFonts w:ascii="Calibri" w:eastAsia="Times New Roman" w:hAnsi="Calibri" w:cs="Times New Roman"/>
                <w:b/>
                <w:bCs/>
                <w:color w:val="000000"/>
                <w:lang w:eastAsia="en-GB"/>
              </w:rPr>
              <w:t>2021</w:t>
            </w:r>
          </w:p>
        </w:tc>
        <w:tc>
          <w:tcPr>
            <w:tcW w:w="112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A9706E" w:rsidRPr="00FD7A1F" w:rsidRDefault="00A9706E" w:rsidP="00031B92">
            <w:pPr>
              <w:spacing w:after="0" w:line="240" w:lineRule="auto"/>
              <w:jc w:val="center"/>
              <w:rPr>
                <w:rFonts w:ascii="Calibri" w:eastAsia="Times New Roman" w:hAnsi="Calibri" w:cs="Times New Roman"/>
                <w:b/>
                <w:bCs/>
                <w:color w:val="000000"/>
                <w:lang w:eastAsia="en-GB"/>
              </w:rPr>
            </w:pPr>
            <w:r w:rsidRPr="00FD7A1F">
              <w:rPr>
                <w:rFonts w:ascii="Calibri" w:eastAsia="Times New Roman" w:hAnsi="Calibri" w:cs="Times New Roman"/>
                <w:b/>
                <w:bCs/>
                <w:color w:val="000000"/>
                <w:lang w:eastAsia="en-GB"/>
              </w:rPr>
              <w:t>2030</w:t>
            </w:r>
          </w:p>
        </w:tc>
        <w:tc>
          <w:tcPr>
            <w:tcW w:w="146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A9706E" w:rsidRPr="00FD7A1F" w:rsidRDefault="00A9706E" w:rsidP="00031B92">
            <w:pPr>
              <w:spacing w:after="0" w:line="240" w:lineRule="auto"/>
              <w:jc w:val="center"/>
              <w:rPr>
                <w:rFonts w:ascii="Calibri" w:eastAsia="Times New Roman" w:hAnsi="Calibri" w:cs="Times New Roman"/>
                <w:b/>
                <w:bCs/>
                <w:color w:val="000000"/>
                <w:lang w:eastAsia="en-GB"/>
              </w:rPr>
            </w:pPr>
            <w:r w:rsidRPr="00FD7A1F">
              <w:rPr>
                <w:rFonts w:ascii="Calibri" w:eastAsia="Times New Roman" w:hAnsi="Calibri" w:cs="Times New Roman"/>
                <w:b/>
                <w:bCs/>
                <w:color w:val="000000"/>
                <w:lang w:eastAsia="en-GB"/>
              </w:rPr>
              <w:t>Ethnic Composition in 2015</w:t>
            </w:r>
          </w:p>
        </w:tc>
        <w:tc>
          <w:tcPr>
            <w:tcW w:w="146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A9706E" w:rsidRPr="00FD7A1F" w:rsidRDefault="00A9706E" w:rsidP="00031B92">
            <w:pPr>
              <w:spacing w:after="0" w:line="240" w:lineRule="auto"/>
              <w:jc w:val="center"/>
              <w:rPr>
                <w:rFonts w:ascii="Calibri" w:eastAsia="Times New Roman" w:hAnsi="Calibri" w:cs="Times New Roman"/>
                <w:b/>
                <w:bCs/>
                <w:color w:val="000000"/>
                <w:lang w:eastAsia="en-GB"/>
              </w:rPr>
            </w:pPr>
            <w:r w:rsidRPr="00FD7A1F">
              <w:rPr>
                <w:rFonts w:ascii="Calibri" w:eastAsia="Times New Roman" w:hAnsi="Calibri" w:cs="Times New Roman"/>
                <w:b/>
                <w:bCs/>
                <w:color w:val="000000"/>
                <w:lang w:eastAsia="en-GB"/>
              </w:rPr>
              <w:t>Ethnic Composition in 2021</w:t>
            </w:r>
          </w:p>
        </w:tc>
        <w:tc>
          <w:tcPr>
            <w:tcW w:w="146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A9706E" w:rsidRPr="00FD7A1F" w:rsidRDefault="00A9706E" w:rsidP="00031B92">
            <w:pPr>
              <w:spacing w:after="0" w:line="240" w:lineRule="auto"/>
              <w:jc w:val="center"/>
              <w:rPr>
                <w:rFonts w:ascii="Calibri" w:eastAsia="Times New Roman" w:hAnsi="Calibri" w:cs="Times New Roman"/>
                <w:b/>
                <w:bCs/>
                <w:color w:val="000000"/>
                <w:lang w:eastAsia="en-GB"/>
              </w:rPr>
            </w:pPr>
            <w:r w:rsidRPr="00FD7A1F">
              <w:rPr>
                <w:rFonts w:ascii="Calibri" w:eastAsia="Times New Roman" w:hAnsi="Calibri" w:cs="Times New Roman"/>
                <w:b/>
                <w:bCs/>
                <w:color w:val="000000"/>
                <w:lang w:eastAsia="en-GB"/>
              </w:rPr>
              <w:t>Ethnic Composition in 2030</w:t>
            </w:r>
          </w:p>
        </w:tc>
      </w:tr>
      <w:tr w:rsidR="00A9706E" w:rsidRPr="00FD7A1F" w:rsidTr="00031B92">
        <w:trPr>
          <w:trHeight w:val="300"/>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White</w:t>
            </w:r>
          </w:p>
        </w:tc>
        <w:tc>
          <w:tcPr>
            <w:tcW w:w="112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225,193</w:t>
            </w:r>
          </w:p>
        </w:tc>
        <w:tc>
          <w:tcPr>
            <w:tcW w:w="112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228,741</w:t>
            </w:r>
          </w:p>
        </w:tc>
        <w:tc>
          <w:tcPr>
            <w:tcW w:w="112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235,457</w:t>
            </w:r>
          </w:p>
        </w:tc>
        <w:tc>
          <w:tcPr>
            <w:tcW w:w="146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61.3%</w:t>
            </w:r>
          </w:p>
        </w:tc>
        <w:tc>
          <w:tcPr>
            <w:tcW w:w="146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58.4%</w:t>
            </w:r>
          </w:p>
        </w:tc>
        <w:tc>
          <w:tcPr>
            <w:tcW w:w="146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56.4%</w:t>
            </w:r>
          </w:p>
        </w:tc>
      </w:tr>
      <w:tr w:rsidR="00A9706E" w:rsidRPr="00FD7A1F" w:rsidTr="00031B92">
        <w:trPr>
          <w:trHeight w:val="300"/>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Black Caribbean</w:t>
            </w:r>
          </w:p>
        </w:tc>
        <w:tc>
          <w:tcPr>
            <w:tcW w:w="112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4,617</w:t>
            </w:r>
          </w:p>
        </w:tc>
        <w:tc>
          <w:tcPr>
            <w:tcW w:w="112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4,781</w:t>
            </w:r>
          </w:p>
        </w:tc>
        <w:tc>
          <w:tcPr>
            <w:tcW w:w="112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5,002</w:t>
            </w:r>
          </w:p>
        </w:tc>
        <w:tc>
          <w:tcPr>
            <w:tcW w:w="146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1.3%</w:t>
            </w:r>
          </w:p>
        </w:tc>
        <w:tc>
          <w:tcPr>
            <w:tcW w:w="146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1.2%</w:t>
            </w:r>
          </w:p>
        </w:tc>
        <w:tc>
          <w:tcPr>
            <w:tcW w:w="146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1.2%</w:t>
            </w:r>
          </w:p>
        </w:tc>
      </w:tr>
      <w:tr w:rsidR="00A9706E" w:rsidRPr="00FD7A1F" w:rsidTr="00031B92">
        <w:trPr>
          <w:trHeight w:val="300"/>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Black African</w:t>
            </w:r>
          </w:p>
        </w:tc>
        <w:tc>
          <w:tcPr>
            <w:tcW w:w="112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21,174</w:t>
            </w:r>
          </w:p>
        </w:tc>
        <w:tc>
          <w:tcPr>
            <w:tcW w:w="112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23,524</w:t>
            </w:r>
          </w:p>
        </w:tc>
        <w:tc>
          <w:tcPr>
            <w:tcW w:w="112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25,472</w:t>
            </w:r>
          </w:p>
        </w:tc>
        <w:tc>
          <w:tcPr>
            <w:tcW w:w="146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5.8%</w:t>
            </w:r>
          </w:p>
        </w:tc>
        <w:tc>
          <w:tcPr>
            <w:tcW w:w="146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6.0%</w:t>
            </w:r>
          </w:p>
        </w:tc>
        <w:tc>
          <w:tcPr>
            <w:tcW w:w="146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6.1%</w:t>
            </w:r>
          </w:p>
        </w:tc>
      </w:tr>
      <w:tr w:rsidR="00A9706E" w:rsidRPr="00FD7A1F" w:rsidTr="00031B92">
        <w:trPr>
          <w:trHeight w:val="300"/>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Black Other</w:t>
            </w:r>
          </w:p>
        </w:tc>
        <w:tc>
          <w:tcPr>
            <w:tcW w:w="112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11,588</w:t>
            </w:r>
          </w:p>
        </w:tc>
        <w:tc>
          <w:tcPr>
            <w:tcW w:w="112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13,978</w:t>
            </w:r>
          </w:p>
        </w:tc>
        <w:tc>
          <w:tcPr>
            <w:tcW w:w="112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16,377</w:t>
            </w:r>
          </w:p>
        </w:tc>
        <w:tc>
          <w:tcPr>
            <w:tcW w:w="146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3.2%</w:t>
            </w:r>
          </w:p>
        </w:tc>
        <w:tc>
          <w:tcPr>
            <w:tcW w:w="146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3.6%</w:t>
            </w:r>
          </w:p>
        </w:tc>
        <w:tc>
          <w:tcPr>
            <w:tcW w:w="146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3.9%</w:t>
            </w:r>
          </w:p>
        </w:tc>
      </w:tr>
      <w:tr w:rsidR="00A9706E" w:rsidRPr="00FD7A1F" w:rsidTr="00031B92">
        <w:trPr>
          <w:trHeight w:val="300"/>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Indian</w:t>
            </w:r>
          </w:p>
        </w:tc>
        <w:tc>
          <w:tcPr>
            <w:tcW w:w="112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27,530</w:t>
            </w:r>
          </w:p>
        </w:tc>
        <w:tc>
          <w:tcPr>
            <w:tcW w:w="112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28,632</w:t>
            </w:r>
          </w:p>
        </w:tc>
        <w:tc>
          <w:tcPr>
            <w:tcW w:w="112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29,512</w:t>
            </w:r>
          </w:p>
        </w:tc>
        <w:tc>
          <w:tcPr>
            <w:tcW w:w="146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7.5%</w:t>
            </w:r>
          </w:p>
        </w:tc>
        <w:tc>
          <w:tcPr>
            <w:tcW w:w="146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7.3%</w:t>
            </w:r>
          </w:p>
        </w:tc>
        <w:tc>
          <w:tcPr>
            <w:tcW w:w="146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7.1%</w:t>
            </w:r>
          </w:p>
        </w:tc>
      </w:tr>
      <w:tr w:rsidR="00A9706E" w:rsidRPr="00FD7A1F" w:rsidTr="00031B92">
        <w:trPr>
          <w:trHeight w:val="300"/>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Pakistani</w:t>
            </w:r>
          </w:p>
        </w:tc>
        <w:tc>
          <w:tcPr>
            <w:tcW w:w="112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5,698</w:t>
            </w:r>
          </w:p>
        </w:tc>
        <w:tc>
          <w:tcPr>
            <w:tcW w:w="112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6,364</w:t>
            </w:r>
          </w:p>
        </w:tc>
        <w:tc>
          <w:tcPr>
            <w:tcW w:w="112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6,941</w:t>
            </w:r>
          </w:p>
        </w:tc>
        <w:tc>
          <w:tcPr>
            <w:tcW w:w="146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1.6%</w:t>
            </w:r>
          </w:p>
        </w:tc>
        <w:tc>
          <w:tcPr>
            <w:tcW w:w="146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1.6%</w:t>
            </w:r>
          </w:p>
        </w:tc>
        <w:tc>
          <w:tcPr>
            <w:tcW w:w="146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1.7%</w:t>
            </w:r>
          </w:p>
        </w:tc>
      </w:tr>
      <w:tr w:rsidR="00A9706E" w:rsidRPr="00FD7A1F" w:rsidTr="00031B92">
        <w:trPr>
          <w:trHeight w:val="300"/>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Bangladeshi</w:t>
            </w:r>
          </w:p>
        </w:tc>
        <w:tc>
          <w:tcPr>
            <w:tcW w:w="112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2,453</w:t>
            </w:r>
          </w:p>
        </w:tc>
        <w:tc>
          <w:tcPr>
            <w:tcW w:w="112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2,814</w:t>
            </w:r>
          </w:p>
        </w:tc>
        <w:tc>
          <w:tcPr>
            <w:tcW w:w="112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3,139</w:t>
            </w:r>
          </w:p>
        </w:tc>
        <w:tc>
          <w:tcPr>
            <w:tcW w:w="146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0.7%</w:t>
            </w:r>
          </w:p>
        </w:tc>
        <w:tc>
          <w:tcPr>
            <w:tcW w:w="146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0.7%</w:t>
            </w:r>
          </w:p>
        </w:tc>
        <w:tc>
          <w:tcPr>
            <w:tcW w:w="146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0.8%</w:t>
            </w:r>
          </w:p>
        </w:tc>
      </w:tr>
      <w:tr w:rsidR="00A9706E" w:rsidRPr="00FD7A1F" w:rsidTr="00031B92">
        <w:trPr>
          <w:trHeight w:val="300"/>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Chinese</w:t>
            </w:r>
          </w:p>
        </w:tc>
        <w:tc>
          <w:tcPr>
            <w:tcW w:w="112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8,805</w:t>
            </w:r>
          </w:p>
        </w:tc>
        <w:tc>
          <w:tcPr>
            <w:tcW w:w="112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9,859</w:t>
            </w:r>
          </w:p>
        </w:tc>
        <w:tc>
          <w:tcPr>
            <w:tcW w:w="112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11,015</w:t>
            </w:r>
          </w:p>
        </w:tc>
        <w:tc>
          <w:tcPr>
            <w:tcW w:w="146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2.4%</w:t>
            </w:r>
          </w:p>
        </w:tc>
        <w:tc>
          <w:tcPr>
            <w:tcW w:w="146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2.5%</w:t>
            </w:r>
          </w:p>
        </w:tc>
        <w:tc>
          <w:tcPr>
            <w:tcW w:w="146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2.6%</w:t>
            </w:r>
          </w:p>
        </w:tc>
      </w:tr>
      <w:tr w:rsidR="00A9706E" w:rsidRPr="00FD7A1F" w:rsidTr="00031B92">
        <w:trPr>
          <w:trHeight w:val="300"/>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Other Asian</w:t>
            </w:r>
          </w:p>
        </w:tc>
        <w:tc>
          <w:tcPr>
            <w:tcW w:w="112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34,296</w:t>
            </w:r>
          </w:p>
        </w:tc>
        <w:tc>
          <w:tcPr>
            <w:tcW w:w="112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41,616</w:t>
            </w:r>
          </w:p>
        </w:tc>
        <w:tc>
          <w:tcPr>
            <w:tcW w:w="112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48,638</w:t>
            </w:r>
          </w:p>
        </w:tc>
        <w:tc>
          <w:tcPr>
            <w:tcW w:w="146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9.3%</w:t>
            </w:r>
          </w:p>
        </w:tc>
        <w:tc>
          <w:tcPr>
            <w:tcW w:w="146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10.6%</w:t>
            </w:r>
          </w:p>
        </w:tc>
        <w:tc>
          <w:tcPr>
            <w:tcW w:w="146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11.6%</w:t>
            </w:r>
          </w:p>
        </w:tc>
      </w:tr>
      <w:tr w:rsidR="00A9706E" w:rsidRPr="00FD7A1F" w:rsidTr="00031B92">
        <w:trPr>
          <w:trHeight w:val="300"/>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Other</w:t>
            </w:r>
          </w:p>
        </w:tc>
        <w:tc>
          <w:tcPr>
            <w:tcW w:w="112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25,917</w:t>
            </w:r>
          </w:p>
        </w:tc>
        <w:tc>
          <w:tcPr>
            <w:tcW w:w="112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31,164</w:t>
            </w:r>
          </w:p>
        </w:tc>
        <w:tc>
          <w:tcPr>
            <w:tcW w:w="112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36,012</w:t>
            </w:r>
          </w:p>
        </w:tc>
        <w:tc>
          <w:tcPr>
            <w:tcW w:w="146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7.1%</w:t>
            </w:r>
          </w:p>
        </w:tc>
        <w:tc>
          <w:tcPr>
            <w:tcW w:w="146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8.0%</w:t>
            </w:r>
          </w:p>
        </w:tc>
        <w:tc>
          <w:tcPr>
            <w:tcW w:w="146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8.6%</w:t>
            </w:r>
          </w:p>
        </w:tc>
      </w:tr>
      <w:tr w:rsidR="00A9706E" w:rsidRPr="00FD7A1F" w:rsidTr="00031B92">
        <w:trPr>
          <w:trHeight w:val="300"/>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E812FB">
              <w:rPr>
                <w:rFonts w:ascii="Calibri" w:hAnsi="Calibri" w:cs="Calibri"/>
              </w:rPr>
              <w:t>B</w:t>
            </w:r>
            <w:r>
              <w:rPr>
                <w:rFonts w:ascii="Calibri" w:hAnsi="Calibri" w:cs="Calibri"/>
              </w:rPr>
              <w:t>lack, Asian and Minority</w:t>
            </w:r>
          </w:p>
        </w:tc>
        <w:tc>
          <w:tcPr>
            <w:tcW w:w="112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142,074</w:t>
            </w:r>
          </w:p>
        </w:tc>
        <w:tc>
          <w:tcPr>
            <w:tcW w:w="112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162,729</w:t>
            </w:r>
          </w:p>
        </w:tc>
        <w:tc>
          <w:tcPr>
            <w:tcW w:w="112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182,114</w:t>
            </w:r>
          </w:p>
        </w:tc>
        <w:tc>
          <w:tcPr>
            <w:tcW w:w="146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38.7%</w:t>
            </w:r>
          </w:p>
        </w:tc>
        <w:tc>
          <w:tcPr>
            <w:tcW w:w="146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41.6%</w:t>
            </w:r>
          </w:p>
        </w:tc>
        <w:tc>
          <w:tcPr>
            <w:tcW w:w="1460" w:type="dxa"/>
            <w:tcBorders>
              <w:top w:val="nil"/>
              <w:left w:val="nil"/>
              <w:bottom w:val="single" w:sz="4" w:space="0" w:color="auto"/>
              <w:right w:val="single" w:sz="4" w:space="0" w:color="auto"/>
            </w:tcBorders>
            <w:shd w:val="clear" w:color="auto" w:fill="auto"/>
            <w:noWrap/>
            <w:vAlign w:val="center"/>
            <w:hideMark/>
          </w:tcPr>
          <w:p w:rsidR="00A9706E" w:rsidRPr="00FD7A1F" w:rsidRDefault="00A9706E" w:rsidP="00031B92">
            <w:pPr>
              <w:spacing w:after="0" w:line="240" w:lineRule="auto"/>
              <w:jc w:val="center"/>
              <w:rPr>
                <w:rFonts w:ascii="Calibri" w:eastAsia="Times New Roman" w:hAnsi="Calibri" w:cs="Times New Roman"/>
                <w:color w:val="000000"/>
                <w:lang w:eastAsia="en-GB"/>
              </w:rPr>
            </w:pPr>
            <w:r w:rsidRPr="00FD7A1F">
              <w:rPr>
                <w:rFonts w:ascii="Calibri" w:eastAsia="Times New Roman" w:hAnsi="Calibri" w:cs="Times New Roman"/>
                <w:color w:val="000000"/>
                <w:lang w:eastAsia="en-GB"/>
              </w:rPr>
              <w:t>43.6%</w:t>
            </w:r>
          </w:p>
        </w:tc>
      </w:tr>
    </w:tbl>
    <w:p w:rsidR="00A9706E" w:rsidRPr="008167F8" w:rsidRDefault="00A9706E" w:rsidP="00A9706E">
      <w:pPr>
        <w:jc w:val="both"/>
        <w:rPr>
          <w:rFonts w:ascii="Calibri" w:hAnsi="Calibri" w:cs="Calibri"/>
        </w:rPr>
      </w:pPr>
      <w:r w:rsidRPr="008167F8">
        <w:rPr>
          <w:rFonts w:ascii="Calibri" w:hAnsi="Calibri" w:cs="Calibri"/>
        </w:rPr>
        <w:t>Source: GLA Projections 2013</w:t>
      </w:r>
      <w:r>
        <w:rPr>
          <w:rFonts w:ascii="Calibri" w:hAnsi="Calibri" w:cs="Calibri"/>
        </w:rPr>
        <w:t xml:space="preserve"> </w:t>
      </w:r>
      <w:r>
        <w:t>(</w:t>
      </w:r>
      <w:r w:rsidRPr="005D3C22">
        <w:t>Preferred Option Projections</w:t>
      </w:r>
      <w:r>
        <w:t>)</w:t>
      </w:r>
    </w:p>
    <w:p w:rsidR="00A9706E" w:rsidRPr="002E169A" w:rsidRDefault="00A9706E" w:rsidP="00A9706E">
      <w:pPr>
        <w:pStyle w:val="Heading2"/>
        <w:jc w:val="both"/>
      </w:pPr>
      <w:bookmarkStart w:id="411" w:name="_Toc426723300"/>
      <w:bookmarkStart w:id="412" w:name="_Toc431225127"/>
      <w:r>
        <w:t>Religion</w:t>
      </w:r>
      <w:bookmarkEnd w:id="411"/>
      <w:bookmarkEnd w:id="412"/>
    </w:p>
    <w:p w:rsidR="00A9706E" w:rsidRDefault="00A9706E" w:rsidP="00A9706E">
      <w:pPr>
        <w:jc w:val="both"/>
        <w:rPr>
          <w:rFonts w:ascii="Calibri" w:hAnsi="Calibri" w:cs="Calibri"/>
        </w:rPr>
      </w:pPr>
      <w:r>
        <w:rPr>
          <w:rFonts w:ascii="Calibri" w:hAnsi="Calibri" w:cs="Calibri"/>
        </w:rPr>
        <w:t>The only reliable data set for religion within the Borough comes from the 2011 Census results. Table 2-10 provides a breakdown of religion in Barnet in the 2001 and the 2011 Census.</w:t>
      </w:r>
    </w:p>
    <w:p w:rsidR="00A9706E" w:rsidRDefault="00A9706E" w:rsidP="00A9706E">
      <w:pPr>
        <w:jc w:val="both"/>
        <w:rPr>
          <w:rFonts w:ascii="Calibri" w:hAnsi="Calibri" w:cs="Calibri"/>
        </w:rPr>
      </w:pPr>
      <w:r>
        <w:rPr>
          <w:rFonts w:ascii="Calibri" w:hAnsi="Calibri" w:cs="Calibri"/>
        </w:rPr>
        <w:t xml:space="preserve">Over the ten years between the 2001 and 2011 Census the religious makeup of Barnet has become increasingly diverse, with proportionate growth in most religions except Christianity and Hinduism. The largest increase was in the number of Muslims within the Borough, which increased by 4.2%, although people with no religion had the second highest rate of growth and now accounts for 16.1% of the population.  </w:t>
      </w:r>
    </w:p>
    <w:p w:rsidR="00A9706E" w:rsidRPr="00551944" w:rsidRDefault="00A9706E" w:rsidP="00A9706E">
      <w:pPr>
        <w:jc w:val="both"/>
        <w:rPr>
          <w:rFonts w:ascii="Calibri" w:hAnsi="Calibri" w:cs="Calibri"/>
        </w:rPr>
      </w:pPr>
      <w:r>
        <w:rPr>
          <w:rFonts w:ascii="Calibri" w:hAnsi="Calibri" w:cs="Calibri"/>
        </w:rPr>
        <w:t xml:space="preserve">After </w:t>
      </w:r>
      <w:r w:rsidRPr="00512A6F">
        <w:rPr>
          <w:rFonts w:ascii="Calibri" w:hAnsi="Calibri" w:cs="Calibri"/>
        </w:rPr>
        <w:t>Christianity</w:t>
      </w:r>
      <w:r>
        <w:rPr>
          <w:rFonts w:ascii="Calibri" w:hAnsi="Calibri" w:cs="Calibri"/>
        </w:rPr>
        <w:t>,</w:t>
      </w:r>
      <w:r w:rsidRPr="00512A6F">
        <w:rPr>
          <w:rFonts w:ascii="Calibri" w:hAnsi="Calibri" w:cs="Calibri"/>
        </w:rPr>
        <w:t xml:space="preserve"> Judaism</w:t>
      </w:r>
      <w:r>
        <w:rPr>
          <w:rFonts w:ascii="Calibri" w:hAnsi="Calibri" w:cs="Calibri"/>
        </w:rPr>
        <w:t xml:space="preserve"> was the second most common religion,</w:t>
      </w:r>
      <w:r w:rsidRPr="00512A6F">
        <w:rPr>
          <w:rFonts w:ascii="Calibri" w:hAnsi="Calibri" w:cs="Calibri"/>
        </w:rPr>
        <w:t xml:space="preserve"> </w:t>
      </w:r>
      <w:r>
        <w:rPr>
          <w:rFonts w:ascii="Calibri" w:hAnsi="Calibri" w:cs="Calibri"/>
        </w:rPr>
        <w:t>with Barnet continuing to</w:t>
      </w:r>
      <w:r w:rsidRPr="00D04E67">
        <w:rPr>
          <w:rFonts w:ascii="Calibri" w:hAnsi="Calibri" w:cs="Calibri"/>
        </w:rPr>
        <w:t xml:space="preserve"> have the largest Je</w:t>
      </w:r>
      <w:r>
        <w:rPr>
          <w:rFonts w:ascii="Calibri" w:hAnsi="Calibri" w:cs="Calibri"/>
        </w:rPr>
        <w:t>wish population in the country.</w:t>
      </w:r>
    </w:p>
    <w:p w:rsidR="000120BC" w:rsidRDefault="000120BC" w:rsidP="00A9706E">
      <w:pPr>
        <w:pStyle w:val="Caption"/>
      </w:pPr>
    </w:p>
    <w:p w:rsidR="000120BC" w:rsidRDefault="000120BC" w:rsidP="00A9706E">
      <w:pPr>
        <w:pStyle w:val="Caption"/>
      </w:pPr>
    </w:p>
    <w:p w:rsidR="000120BC" w:rsidRDefault="000120BC" w:rsidP="00A9706E">
      <w:pPr>
        <w:pStyle w:val="Caption"/>
      </w:pPr>
    </w:p>
    <w:p w:rsidR="000120BC" w:rsidRDefault="000120BC" w:rsidP="00A9706E">
      <w:pPr>
        <w:pStyle w:val="Caption"/>
      </w:pPr>
    </w:p>
    <w:p w:rsidR="000120BC" w:rsidRDefault="000120BC" w:rsidP="00A9706E">
      <w:pPr>
        <w:pStyle w:val="Caption"/>
      </w:pPr>
    </w:p>
    <w:p w:rsidR="000120BC" w:rsidRDefault="000120BC" w:rsidP="00A9706E">
      <w:pPr>
        <w:pStyle w:val="Caption"/>
      </w:pPr>
    </w:p>
    <w:p w:rsidR="000120BC" w:rsidRDefault="000120BC" w:rsidP="00A9706E">
      <w:pPr>
        <w:pStyle w:val="Caption"/>
      </w:pPr>
    </w:p>
    <w:p w:rsidR="00A9706E" w:rsidRPr="004E7E79" w:rsidRDefault="00A9706E" w:rsidP="00A9706E">
      <w:pPr>
        <w:pStyle w:val="Caption"/>
        <w:rPr>
          <w:rFonts w:cs="Calibri"/>
        </w:rPr>
      </w:pPr>
      <w:r>
        <w:lastRenderedPageBreak/>
        <w:t xml:space="preserve">Table </w:t>
      </w:r>
      <w:fldSimple w:instr=" STYLEREF 1 \s ">
        <w:r w:rsidR="001663C2">
          <w:rPr>
            <w:noProof/>
          </w:rPr>
          <w:t>2</w:t>
        </w:r>
      </w:fldSimple>
      <w:r>
        <w:noBreakHyphen/>
      </w:r>
      <w:fldSimple w:instr=" SEQ Table \* ARABIC \s 1 ">
        <w:r w:rsidR="001663C2">
          <w:rPr>
            <w:noProof/>
          </w:rPr>
          <w:t>10</w:t>
        </w:r>
      </w:fldSimple>
      <w:r w:rsidRPr="004E7E79">
        <w:rPr>
          <w:rFonts w:cs="Calibri"/>
        </w:rPr>
        <w:t>: Population by Religion, 2001 &amp; 2011(Barnet, London and England)</w:t>
      </w:r>
    </w:p>
    <w:tbl>
      <w:tblPr>
        <w:tblW w:w="9073" w:type="dxa"/>
        <w:jc w:val="center"/>
        <w:tblInd w:w="-176" w:type="dxa"/>
        <w:tblLook w:val="04A0" w:firstRow="1" w:lastRow="0" w:firstColumn="1" w:lastColumn="0" w:noHBand="0" w:noVBand="1"/>
      </w:tblPr>
      <w:tblGrid>
        <w:gridCol w:w="1869"/>
        <w:gridCol w:w="960"/>
        <w:gridCol w:w="960"/>
        <w:gridCol w:w="960"/>
        <w:gridCol w:w="960"/>
        <w:gridCol w:w="1096"/>
        <w:gridCol w:w="1134"/>
        <w:gridCol w:w="1134"/>
      </w:tblGrid>
      <w:tr w:rsidR="00A9706E" w:rsidRPr="00924C39" w:rsidTr="00031B92">
        <w:trPr>
          <w:trHeight w:val="300"/>
          <w:jc w:val="center"/>
        </w:trPr>
        <w:tc>
          <w:tcPr>
            <w:tcW w:w="1869"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A9706E" w:rsidRPr="00924C39" w:rsidRDefault="00A9706E" w:rsidP="00031B92">
            <w:pPr>
              <w:spacing w:after="0" w:line="240" w:lineRule="auto"/>
              <w:jc w:val="center"/>
              <w:rPr>
                <w:rFonts w:eastAsia="Times New Roman" w:cs="Times New Roman"/>
                <w:b/>
                <w:bCs/>
                <w:color w:val="000000"/>
                <w:lang w:eastAsia="en-GB"/>
              </w:rPr>
            </w:pPr>
            <w:r w:rsidRPr="00924C39">
              <w:rPr>
                <w:rFonts w:eastAsia="Times New Roman" w:cs="Times New Roman"/>
                <w:b/>
                <w:bCs/>
                <w:color w:val="000000"/>
                <w:lang w:eastAsia="en-GB"/>
              </w:rPr>
              <w:t>Religion</w:t>
            </w:r>
          </w:p>
        </w:tc>
        <w:tc>
          <w:tcPr>
            <w:tcW w:w="4936" w:type="dxa"/>
            <w:gridSpan w:val="5"/>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A9706E" w:rsidRPr="00924C39" w:rsidRDefault="00A9706E" w:rsidP="00031B92">
            <w:pPr>
              <w:spacing w:after="0" w:line="240" w:lineRule="auto"/>
              <w:jc w:val="center"/>
              <w:rPr>
                <w:rFonts w:eastAsia="Times New Roman" w:cs="Times New Roman"/>
                <w:b/>
                <w:bCs/>
                <w:color w:val="000000"/>
                <w:lang w:eastAsia="en-GB"/>
              </w:rPr>
            </w:pPr>
            <w:r w:rsidRPr="00924C39">
              <w:rPr>
                <w:rFonts w:eastAsia="Times New Roman" w:cs="Times New Roman"/>
                <w:b/>
                <w:bCs/>
                <w:color w:val="000000"/>
                <w:lang w:eastAsia="en-GB"/>
              </w:rPr>
              <w:t>Barnet</w:t>
            </w:r>
          </w:p>
        </w:tc>
        <w:tc>
          <w:tcPr>
            <w:tcW w:w="1134"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A9706E" w:rsidRPr="00924C39" w:rsidRDefault="00A9706E" w:rsidP="00031B92">
            <w:pPr>
              <w:spacing w:after="0" w:line="240" w:lineRule="auto"/>
              <w:jc w:val="center"/>
              <w:rPr>
                <w:rFonts w:eastAsia="Times New Roman" w:cs="Times New Roman"/>
                <w:b/>
                <w:bCs/>
                <w:color w:val="000000"/>
                <w:lang w:eastAsia="en-GB"/>
              </w:rPr>
            </w:pPr>
            <w:r w:rsidRPr="00924C39">
              <w:rPr>
                <w:rFonts w:eastAsia="Times New Roman" w:cs="Times New Roman"/>
                <w:b/>
                <w:bCs/>
                <w:color w:val="000000"/>
                <w:lang w:eastAsia="en-GB"/>
              </w:rPr>
              <w:t>London</w:t>
            </w:r>
          </w:p>
        </w:tc>
        <w:tc>
          <w:tcPr>
            <w:tcW w:w="1134"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A9706E" w:rsidRPr="00924C39" w:rsidRDefault="00A9706E" w:rsidP="00031B92">
            <w:pPr>
              <w:spacing w:after="0" w:line="240" w:lineRule="auto"/>
              <w:jc w:val="center"/>
              <w:rPr>
                <w:rFonts w:eastAsia="Times New Roman" w:cs="Times New Roman"/>
                <w:b/>
                <w:bCs/>
                <w:color w:val="000000"/>
                <w:lang w:eastAsia="en-GB"/>
              </w:rPr>
            </w:pPr>
            <w:r w:rsidRPr="00924C39">
              <w:rPr>
                <w:rFonts w:eastAsia="Times New Roman" w:cs="Times New Roman"/>
                <w:b/>
                <w:bCs/>
                <w:color w:val="000000"/>
                <w:lang w:eastAsia="en-GB"/>
              </w:rPr>
              <w:t>England</w:t>
            </w:r>
          </w:p>
        </w:tc>
      </w:tr>
      <w:tr w:rsidR="00A9706E" w:rsidRPr="00924C39" w:rsidTr="00031B92">
        <w:trPr>
          <w:trHeight w:val="221"/>
          <w:jc w:val="center"/>
        </w:trPr>
        <w:tc>
          <w:tcPr>
            <w:tcW w:w="1869"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A9706E" w:rsidRPr="00924C39" w:rsidRDefault="00A9706E" w:rsidP="00031B92">
            <w:pPr>
              <w:spacing w:after="0" w:line="240" w:lineRule="auto"/>
              <w:jc w:val="center"/>
              <w:rPr>
                <w:rFonts w:eastAsia="Times New Roman" w:cs="Times New Roman"/>
                <w:b/>
                <w:bCs/>
                <w:color w:val="000000"/>
                <w:lang w:eastAsia="en-GB"/>
              </w:rPr>
            </w:pPr>
          </w:p>
        </w:tc>
        <w:tc>
          <w:tcPr>
            <w:tcW w:w="960" w:type="dxa"/>
            <w:tcBorders>
              <w:top w:val="nil"/>
              <w:left w:val="nil"/>
              <w:bottom w:val="single" w:sz="4" w:space="0" w:color="auto"/>
              <w:right w:val="single" w:sz="4" w:space="0" w:color="auto"/>
            </w:tcBorders>
            <w:shd w:val="clear" w:color="auto" w:fill="BFBFBF" w:themeFill="background1" w:themeFillShade="BF"/>
            <w:vAlign w:val="center"/>
            <w:hideMark/>
          </w:tcPr>
          <w:p w:rsidR="00A9706E" w:rsidRPr="00924C39" w:rsidRDefault="00A9706E" w:rsidP="00031B92">
            <w:pPr>
              <w:spacing w:after="0" w:line="240" w:lineRule="auto"/>
              <w:jc w:val="center"/>
              <w:rPr>
                <w:rFonts w:eastAsia="Times New Roman" w:cs="Times New Roman"/>
                <w:b/>
                <w:bCs/>
                <w:color w:val="000000"/>
                <w:lang w:eastAsia="en-GB"/>
              </w:rPr>
            </w:pPr>
            <w:r w:rsidRPr="00924C39">
              <w:rPr>
                <w:rFonts w:eastAsia="Times New Roman" w:cs="Times New Roman"/>
                <w:b/>
                <w:bCs/>
                <w:color w:val="000000"/>
                <w:lang w:eastAsia="en-GB"/>
              </w:rPr>
              <w:t>2001</w:t>
            </w:r>
          </w:p>
        </w:tc>
        <w:tc>
          <w:tcPr>
            <w:tcW w:w="960" w:type="dxa"/>
            <w:tcBorders>
              <w:top w:val="nil"/>
              <w:left w:val="nil"/>
              <w:bottom w:val="single" w:sz="4" w:space="0" w:color="auto"/>
              <w:right w:val="single" w:sz="4" w:space="0" w:color="auto"/>
            </w:tcBorders>
            <w:shd w:val="clear" w:color="auto" w:fill="BFBFBF" w:themeFill="background1" w:themeFillShade="BF"/>
            <w:vAlign w:val="center"/>
            <w:hideMark/>
          </w:tcPr>
          <w:p w:rsidR="00A9706E" w:rsidRPr="00924C39" w:rsidRDefault="00A9706E" w:rsidP="00031B92">
            <w:pPr>
              <w:spacing w:after="0" w:line="240" w:lineRule="auto"/>
              <w:jc w:val="center"/>
              <w:rPr>
                <w:rFonts w:eastAsia="Times New Roman" w:cs="Times New Roman"/>
                <w:b/>
                <w:bCs/>
                <w:color w:val="000000"/>
                <w:lang w:eastAsia="en-GB"/>
              </w:rPr>
            </w:pPr>
            <w:r w:rsidRPr="00924C39">
              <w:rPr>
                <w:rFonts w:eastAsia="Times New Roman" w:cs="Times New Roman"/>
                <w:b/>
                <w:bCs/>
                <w:color w:val="000000"/>
                <w:lang w:eastAsia="en-GB"/>
              </w:rPr>
              <w:t>%</w:t>
            </w:r>
          </w:p>
        </w:tc>
        <w:tc>
          <w:tcPr>
            <w:tcW w:w="960" w:type="dxa"/>
            <w:tcBorders>
              <w:top w:val="nil"/>
              <w:left w:val="nil"/>
              <w:bottom w:val="single" w:sz="4" w:space="0" w:color="auto"/>
              <w:right w:val="single" w:sz="4" w:space="0" w:color="auto"/>
            </w:tcBorders>
            <w:shd w:val="clear" w:color="auto" w:fill="BFBFBF" w:themeFill="background1" w:themeFillShade="BF"/>
            <w:vAlign w:val="center"/>
            <w:hideMark/>
          </w:tcPr>
          <w:p w:rsidR="00A9706E" w:rsidRPr="00924C39" w:rsidRDefault="00A9706E" w:rsidP="00031B92">
            <w:pPr>
              <w:spacing w:after="0" w:line="240" w:lineRule="auto"/>
              <w:jc w:val="center"/>
              <w:rPr>
                <w:rFonts w:eastAsia="Times New Roman" w:cs="Times New Roman"/>
                <w:b/>
                <w:bCs/>
                <w:color w:val="000000"/>
                <w:lang w:eastAsia="en-GB"/>
              </w:rPr>
            </w:pPr>
            <w:r w:rsidRPr="00924C39">
              <w:rPr>
                <w:rFonts w:eastAsia="Times New Roman" w:cs="Times New Roman"/>
                <w:b/>
                <w:bCs/>
                <w:color w:val="000000"/>
                <w:lang w:eastAsia="en-GB"/>
              </w:rPr>
              <w:t>2011</w:t>
            </w:r>
          </w:p>
        </w:tc>
        <w:tc>
          <w:tcPr>
            <w:tcW w:w="960" w:type="dxa"/>
            <w:tcBorders>
              <w:top w:val="nil"/>
              <w:left w:val="nil"/>
              <w:bottom w:val="single" w:sz="4" w:space="0" w:color="auto"/>
              <w:right w:val="single" w:sz="4" w:space="0" w:color="auto"/>
            </w:tcBorders>
            <w:shd w:val="clear" w:color="auto" w:fill="BFBFBF" w:themeFill="background1" w:themeFillShade="BF"/>
            <w:vAlign w:val="center"/>
            <w:hideMark/>
          </w:tcPr>
          <w:p w:rsidR="00A9706E" w:rsidRPr="00924C39" w:rsidRDefault="00A9706E" w:rsidP="00031B92">
            <w:pPr>
              <w:spacing w:after="0" w:line="240" w:lineRule="auto"/>
              <w:jc w:val="center"/>
              <w:rPr>
                <w:rFonts w:eastAsia="Times New Roman" w:cs="Times New Roman"/>
                <w:b/>
                <w:bCs/>
                <w:color w:val="000000"/>
                <w:lang w:eastAsia="en-GB"/>
              </w:rPr>
            </w:pPr>
            <w:r w:rsidRPr="00924C39">
              <w:rPr>
                <w:rFonts w:eastAsia="Times New Roman" w:cs="Times New Roman"/>
                <w:b/>
                <w:bCs/>
                <w:color w:val="000000"/>
                <w:lang w:eastAsia="en-GB"/>
              </w:rPr>
              <w:t>%</w:t>
            </w:r>
          </w:p>
        </w:tc>
        <w:tc>
          <w:tcPr>
            <w:tcW w:w="1096" w:type="dxa"/>
            <w:tcBorders>
              <w:top w:val="nil"/>
              <w:left w:val="nil"/>
              <w:bottom w:val="single" w:sz="4" w:space="0" w:color="auto"/>
              <w:right w:val="single" w:sz="4" w:space="0" w:color="auto"/>
            </w:tcBorders>
            <w:shd w:val="clear" w:color="auto" w:fill="BFBFBF" w:themeFill="background1" w:themeFillShade="BF"/>
            <w:vAlign w:val="center"/>
            <w:hideMark/>
          </w:tcPr>
          <w:p w:rsidR="00A9706E" w:rsidRPr="00924C39" w:rsidRDefault="00A9706E" w:rsidP="00031B92">
            <w:pPr>
              <w:spacing w:after="0" w:line="240" w:lineRule="auto"/>
              <w:jc w:val="center"/>
              <w:rPr>
                <w:rFonts w:eastAsia="Times New Roman" w:cs="Times New Roman"/>
                <w:b/>
                <w:bCs/>
                <w:color w:val="000000"/>
                <w:lang w:eastAsia="en-GB"/>
              </w:rPr>
            </w:pPr>
            <w:r w:rsidRPr="00924C39">
              <w:rPr>
                <w:rFonts w:eastAsia="Times New Roman" w:cs="Times New Roman"/>
                <w:b/>
                <w:bCs/>
                <w:color w:val="000000"/>
                <w:lang w:eastAsia="en-GB"/>
              </w:rPr>
              <w:t>% Change</w:t>
            </w:r>
          </w:p>
        </w:tc>
        <w:tc>
          <w:tcPr>
            <w:tcW w:w="1134" w:type="dxa"/>
            <w:tcBorders>
              <w:top w:val="nil"/>
              <w:left w:val="nil"/>
              <w:bottom w:val="single" w:sz="4" w:space="0" w:color="auto"/>
              <w:right w:val="single" w:sz="4" w:space="0" w:color="auto"/>
            </w:tcBorders>
            <w:shd w:val="clear" w:color="auto" w:fill="BFBFBF" w:themeFill="background1" w:themeFillShade="BF"/>
            <w:vAlign w:val="center"/>
            <w:hideMark/>
          </w:tcPr>
          <w:p w:rsidR="00A9706E" w:rsidRPr="00924C39" w:rsidRDefault="00A9706E" w:rsidP="00031B92">
            <w:pPr>
              <w:spacing w:after="0" w:line="240" w:lineRule="auto"/>
              <w:jc w:val="center"/>
              <w:rPr>
                <w:rFonts w:eastAsia="Times New Roman" w:cs="Times New Roman"/>
                <w:b/>
                <w:bCs/>
                <w:color w:val="000000"/>
                <w:lang w:eastAsia="en-GB"/>
              </w:rPr>
            </w:pPr>
            <w:r w:rsidRPr="00924C39">
              <w:rPr>
                <w:rFonts w:eastAsia="Times New Roman" w:cs="Times New Roman"/>
                <w:b/>
                <w:bCs/>
                <w:color w:val="000000"/>
                <w:lang w:eastAsia="en-GB"/>
              </w:rPr>
              <w:t>% in 2011</w:t>
            </w:r>
          </w:p>
        </w:tc>
        <w:tc>
          <w:tcPr>
            <w:tcW w:w="1134" w:type="dxa"/>
            <w:tcBorders>
              <w:top w:val="nil"/>
              <w:left w:val="nil"/>
              <w:bottom w:val="single" w:sz="4" w:space="0" w:color="auto"/>
              <w:right w:val="single" w:sz="4" w:space="0" w:color="auto"/>
            </w:tcBorders>
            <w:shd w:val="clear" w:color="auto" w:fill="BFBFBF" w:themeFill="background1" w:themeFillShade="BF"/>
            <w:vAlign w:val="center"/>
            <w:hideMark/>
          </w:tcPr>
          <w:p w:rsidR="00A9706E" w:rsidRPr="00924C39" w:rsidRDefault="00A9706E" w:rsidP="00031B92">
            <w:pPr>
              <w:spacing w:after="0" w:line="240" w:lineRule="auto"/>
              <w:jc w:val="center"/>
              <w:rPr>
                <w:rFonts w:eastAsia="Times New Roman" w:cs="Times New Roman"/>
                <w:b/>
                <w:bCs/>
                <w:color w:val="000000"/>
                <w:lang w:eastAsia="en-GB"/>
              </w:rPr>
            </w:pPr>
            <w:r w:rsidRPr="00924C39">
              <w:rPr>
                <w:rFonts w:eastAsia="Times New Roman" w:cs="Times New Roman"/>
                <w:b/>
                <w:bCs/>
                <w:color w:val="000000"/>
                <w:lang w:eastAsia="en-GB"/>
              </w:rPr>
              <w:t>% in 2011</w:t>
            </w:r>
          </w:p>
        </w:tc>
      </w:tr>
      <w:tr w:rsidR="00A9706E" w:rsidRPr="00924C39" w:rsidTr="00031B92">
        <w:trPr>
          <w:trHeight w:val="315"/>
          <w:jc w:val="center"/>
        </w:trPr>
        <w:tc>
          <w:tcPr>
            <w:tcW w:w="1869" w:type="dxa"/>
            <w:tcBorders>
              <w:top w:val="nil"/>
              <w:left w:val="single" w:sz="4" w:space="0" w:color="auto"/>
              <w:bottom w:val="single" w:sz="4" w:space="0" w:color="auto"/>
              <w:right w:val="single" w:sz="4" w:space="0" w:color="auto"/>
            </w:tcBorders>
            <w:shd w:val="clear" w:color="auto" w:fill="auto"/>
            <w:vAlign w:val="center"/>
            <w:hideMark/>
          </w:tcPr>
          <w:p w:rsidR="00A9706E" w:rsidRPr="00924C39" w:rsidRDefault="00A9706E" w:rsidP="00031B92">
            <w:pPr>
              <w:spacing w:after="0" w:line="240" w:lineRule="auto"/>
              <w:jc w:val="center"/>
              <w:rPr>
                <w:rFonts w:eastAsia="Times New Roman" w:cs="Times New Roman"/>
                <w:b/>
                <w:bCs/>
                <w:color w:val="000000"/>
                <w:lang w:eastAsia="en-GB"/>
              </w:rPr>
            </w:pPr>
            <w:r w:rsidRPr="00924C39">
              <w:rPr>
                <w:rFonts w:eastAsia="Times New Roman" w:cs="Times New Roman"/>
                <w:b/>
                <w:bCs/>
                <w:color w:val="000000"/>
                <w:lang w:eastAsia="en-GB"/>
              </w:rPr>
              <w:t>Christian</w:t>
            </w:r>
          </w:p>
        </w:tc>
        <w:tc>
          <w:tcPr>
            <w:tcW w:w="960" w:type="dxa"/>
            <w:tcBorders>
              <w:top w:val="nil"/>
              <w:left w:val="nil"/>
              <w:bottom w:val="single" w:sz="4" w:space="0" w:color="auto"/>
              <w:right w:val="single" w:sz="4" w:space="0" w:color="auto"/>
            </w:tcBorders>
            <w:shd w:val="clear" w:color="auto" w:fill="auto"/>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148,844</w:t>
            </w:r>
          </w:p>
        </w:tc>
        <w:tc>
          <w:tcPr>
            <w:tcW w:w="960" w:type="dxa"/>
            <w:tcBorders>
              <w:top w:val="nil"/>
              <w:left w:val="nil"/>
              <w:bottom w:val="single" w:sz="4" w:space="0" w:color="auto"/>
              <w:right w:val="single" w:sz="4" w:space="0" w:color="auto"/>
            </w:tcBorders>
            <w:shd w:val="clear" w:color="auto" w:fill="auto"/>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47.3%</w:t>
            </w:r>
          </w:p>
        </w:tc>
        <w:tc>
          <w:tcPr>
            <w:tcW w:w="960" w:type="dxa"/>
            <w:tcBorders>
              <w:top w:val="nil"/>
              <w:left w:val="nil"/>
              <w:bottom w:val="single" w:sz="4" w:space="0" w:color="auto"/>
              <w:right w:val="single" w:sz="4" w:space="0" w:color="auto"/>
            </w:tcBorders>
            <w:shd w:val="clear" w:color="auto" w:fill="auto"/>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146,866</w:t>
            </w:r>
          </w:p>
        </w:tc>
        <w:tc>
          <w:tcPr>
            <w:tcW w:w="960" w:type="dxa"/>
            <w:tcBorders>
              <w:top w:val="nil"/>
              <w:left w:val="nil"/>
              <w:bottom w:val="single" w:sz="4" w:space="0" w:color="auto"/>
              <w:right w:val="single" w:sz="4" w:space="0" w:color="auto"/>
            </w:tcBorders>
            <w:shd w:val="clear" w:color="auto" w:fill="auto"/>
            <w:noWrap/>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41.2%</w:t>
            </w:r>
          </w:p>
        </w:tc>
        <w:tc>
          <w:tcPr>
            <w:tcW w:w="1096" w:type="dxa"/>
            <w:tcBorders>
              <w:top w:val="nil"/>
              <w:left w:val="nil"/>
              <w:bottom w:val="single" w:sz="4" w:space="0" w:color="auto"/>
              <w:right w:val="single" w:sz="4" w:space="0" w:color="auto"/>
            </w:tcBorders>
            <w:shd w:val="clear" w:color="auto" w:fill="auto"/>
            <w:noWrap/>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-6.1%</w:t>
            </w:r>
          </w:p>
        </w:tc>
        <w:tc>
          <w:tcPr>
            <w:tcW w:w="1134" w:type="dxa"/>
            <w:tcBorders>
              <w:top w:val="nil"/>
              <w:left w:val="nil"/>
              <w:bottom w:val="single" w:sz="4" w:space="0" w:color="auto"/>
              <w:right w:val="single" w:sz="4" w:space="0" w:color="auto"/>
            </w:tcBorders>
            <w:shd w:val="clear" w:color="auto" w:fill="auto"/>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48.4%</w:t>
            </w:r>
          </w:p>
        </w:tc>
        <w:tc>
          <w:tcPr>
            <w:tcW w:w="1134" w:type="dxa"/>
            <w:tcBorders>
              <w:top w:val="nil"/>
              <w:left w:val="nil"/>
              <w:bottom w:val="single" w:sz="4" w:space="0" w:color="auto"/>
              <w:right w:val="single" w:sz="4" w:space="0" w:color="auto"/>
            </w:tcBorders>
            <w:shd w:val="clear" w:color="auto" w:fill="auto"/>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59.4%</w:t>
            </w:r>
          </w:p>
        </w:tc>
      </w:tr>
      <w:tr w:rsidR="00A9706E" w:rsidRPr="00924C39" w:rsidTr="00031B92">
        <w:trPr>
          <w:trHeight w:val="300"/>
          <w:jc w:val="center"/>
        </w:trPr>
        <w:tc>
          <w:tcPr>
            <w:tcW w:w="1869" w:type="dxa"/>
            <w:tcBorders>
              <w:top w:val="nil"/>
              <w:left w:val="single" w:sz="4" w:space="0" w:color="auto"/>
              <w:bottom w:val="single" w:sz="4" w:space="0" w:color="auto"/>
              <w:right w:val="single" w:sz="4" w:space="0" w:color="auto"/>
            </w:tcBorders>
            <w:shd w:val="clear" w:color="auto" w:fill="auto"/>
            <w:vAlign w:val="center"/>
            <w:hideMark/>
          </w:tcPr>
          <w:p w:rsidR="00A9706E" w:rsidRPr="00924C39" w:rsidRDefault="00A9706E" w:rsidP="00031B92">
            <w:pPr>
              <w:spacing w:after="0" w:line="240" w:lineRule="auto"/>
              <w:jc w:val="center"/>
              <w:rPr>
                <w:rFonts w:eastAsia="Times New Roman" w:cs="Times New Roman"/>
                <w:b/>
                <w:bCs/>
                <w:color w:val="000000"/>
                <w:lang w:eastAsia="en-GB"/>
              </w:rPr>
            </w:pPr>
            <w:r w:rsidRPr="00924C39">
              <w:rPr>
                <w:rFonts w:eastAsia="Times New Roman" w:cs="Times New Roman"/>
                <w:b/>
                <w:bCs/>
                <w:color w:val="000000"/>
                <w:lang w:eastAsia="en-GB"/>
              </w:rPr>
              <w:t>Buddhist</w:t>
            </w:r>
          </w:p>
        </w:tc>
        <w:tc>
          <w:tcPr>
            <w:tcW w:w="960" w:type="dxa"/>
            <w:tcBorders>
              <w:top w:val="nil"/>
              <w:left w:val="nil"/>
              <w:bottom w:val="single" w:sz="4" w:space="0" w:color="auto"/>
              <w:right w:val="single" w:sz="4" w:space="0" w:color="auto"/>
            </w:tcBorders>
            <w:shd w:val="clear" w:color="auto" w:fill="auto"/>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3,422</w:t>
            </w:r>
          </w:p>
        </w:tc>
        <w:tc>
          <w:tcPr>
            <w:tcW w:w="960" w:type="dxa"/>
            <w:tcBorders>
              <w:top w:val="nil"/>
              <w:left w:val="nil"/>
              <w:bottom w:val="single" w:sz="4" w:space="0" w:color="auto"/>
              <w:right w:val="single" w:sz="4" w:space="0" w:color="auto"/>
            </w:tcBorders>
            <w:shd w:val="clear" w:color="auto" w:fill="auto"/>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1.1%</w:t>
            </w:r>
          </w:p>
        </w:tc>
        <w:tc>
          <w:tcPr>
            <w:tcW w:w="960" w:type="dxa"/>
            <w:tcBorders>
              <w:top w:val="nil"/>
              <w:left w:val="nil"/>
              <w:bottom w:val="single" w:sz="4" w:space="0" w:color="auto"/>
              <w:right w:val="single" w:sz="4" w:space="0" w:color="auto"/>
            </w:tcBorders>
            <w:shd w:val="clear" w:color="auto" w:fill="auto"/>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4,521</w:t>
            </w:r>
          </w:p>
        </w:tc>
        <w:tc>
          <w:tcPr>
            <w:tcW w:w="960" w:type="dxa"/>
            <w:tcBorders>
              <w:top w:val="nil"/>
              <w:left w:val="nil"/>
              <w:bottom w:val="single" w:sz="4" w:space="0" w:color="auto"/>
              <w:right w:val="single" w:sz="4" w:space="0" w:color="auto"/>
            </w:tcBorders>
            <w:shd w:val="clear" w:color="auto" w:fill="auto"/>
            <w:noWrap/>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1.3%</w:t>
            </w:r>
          </w:p>
        </w:tc>
        <w:tc>
          <w:tcPr>
            <w:tcW w:w="1096" w:type="dxa"/>
            <w:tcBorders>
              <w:top w:val="nil"/>
              <w:left w:val="nil"/>
              <w:bottom w:val="single" w:sz="4" w:space="0" w:color="auto"/>
              <w:right w:val="single" w:sz="4" w:space="0" w:color="auto"/>
            </w:tcBorders>
            <w:shd w:val="clear" w:color="auto" w:fill="auto"/>
            <w:noWrap/>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0.2%</w:t>
            </w:r>
          </w:p>
        </w:tc>
        <w:tc>
          <w:tcPr>
            <w:tcW w:w="1134" w:type="dxa"/>
            <w:tcBorders>
              <w:top w:val="nil"/>
              <w:left w:val="nil"/>
              <w:bottom w:val="single" w:sz="4" w:space="0" w:color="auto"/>
              <w:right w:val="single" w:sz="4" w:space="0" w:color="auto"/>
            </w:tcBorders>
            <w:shd w:val="clear" w:color="auto" w:fill="auto"/>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1.0%</w:t>
            </w:r>
          </w:p>
        </w:tc>
        <w:tc>
          <w:tcPr>
            <w:tcW w:w="1134" w:type="dxa"/>
            <w:tcBorders>
              <w:top w:val="nil"/>
              <w:left w:val="nil"/>
              <w:bottom w:val="single" w:sz="4" w:space="0" w:color="auto"/>
              <w:right w:val="single" w:sz="4" w:space="0" w:color="auto"/>
            </w:tcBorders>
            <w:shd w:val="clear" w:color="auto" w:fill="auto"/>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0.5%</w:t>
            </w:r>
          </w:p>
        </w:tc>
      </w:tr>
      <w:tr w:rsidR="00A9706E" w:rsidRPr="00924C39" w:rsidTr="00031B92">
        <w:trPr>
          <w:trHeight w:val="300"/>
          <w:jc w:val="center"/>
        </w:trPr>
        <w:tc>
          <w:tcPr>
            <w:tcW w:w="1869" w:type="dxa"/>
            <w:tcBorders>
              <w:top w:val="nil"/>
              <w:left w:val="single" w:sz="4" w:space="0" w:color="auto"/>
              <w:bottom w:val="single" w:sz="4" w:space="0" w:color="auto"/>
              <w:right w:val="single" w:sz="4" w:space="0" w:color="auto"/>
            </w:tcBorders>
            <w:shd w:val="clear" w:color="auto" w:fill="auto"/>
            <w:vAlign w:val="center"/>
            <w:hideMark/>
          </w:tcPr>
          <w:p w:rsidR="00A9706E" w:rsidRPr="00924C39" w:rsidRDefault="00A9706E" w:rsidP="00031B92">
            <w:pPr>
              <w:spacing w:after="0" w:line="240" w:lineRule="auto"/>
              <w:jc w:val="center"/>
              <w:rPr>
                <w:rFonts w:eastAsia="Times New Roman" w:cs="Times New Roman"/>
                <w:b/>
                <w:bCs/>
                <w:color w:val="000000"/>
                <w:lang w:eastAsia="en-GB"/>
              </w:rPr>
            </w:pPr>
            <w:r w:rsidRPr="00924C39">
              <w:rPr>
                <w:rFonts w:eastAsia="Times New Roman" w:cs="Times New Roman"/>
                <w:b/>
                <w:bCs/>
                <w:color w:val="000000"/>
                <w:lang w:eastAsia="en-GB"/>
              </w:rPr>
              <w:t>Hindu</w:t>
            </w:r>
          </w:p>
        </w:tc>
        <w:tc>
          <w:tcPr>
            <w:tcW w:w="960" w:type="dxa"/>
            <w:tcBorders>
              <w:top w:val="nil"/>
              <w:left w:val="nil"/>
              <w:bottom w:val="single" w:sz="4" w:space="0" w:color="auto"/>
              <w:right w:val="single" w:sz="4" w:space="0" w:color="auto"/>
            </w:tcBorders>
            <w:shd w:val="clear" w:color="auto" w:fill="auto"/>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21,011</w:t>
            </w:r>
          </w:p>
        </w:tc>
        <w:tc>
          <w:tcPr>
            <w:tcW w:w="960" w:type="dxa"/>
            <w:tcBorders>
              <w:top w:val="nil"/>
              <w:left w:val="nil"/>
              <w:bottom w:val="single" w:sz="4" w:space="0" w:color="auto"/>
              <w:right w:val="single" w:sz="4" w:space="0" w:color="auto"/>
            </w:tcBorders>
            <w:shd w:val="clear" w:color="auto" w:fill="auto"/>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6.7%</w:t>
            </w:r>
          </w:p>
        </w:tc>
        <w:tc>
          <w:tcPr>
            <w:tcW w:w="960" w:type="dxa"/>
            <w:tcBorders>
              <w:top w:val="nil"/>
              <w:left w:val="nil"/>
              <w:bottom w:val="single" w:sz="4" w:space="0" w:color="auto"/>
              <w:right w:val="single" w:sz="4" w:space="0" w:color="auto"/>
            </w:tcBorders>
            <w:shd w:val="clear" w:color="auto" w:fill="auto"/>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21,924</w:t>
            </w:r>
          </w:p>
        </w:tc>
        <w:tc>
          <w:tcPr>
            <w:tcW w:w="960" w:type="dxa"/>
            <w:tcBorders>
              <w:top w:val="nil"/>
              <w:left w:val="nil"/>
              <w:bottom w:val="single" w:sz="4" w:space="0" w:color="auto"/>
              <w:right w:val="single" w:sz="4" w:space="0" w:color="auto"/>
            </w:tcBorders>
            <w:shd w:val="clear" w:color="auto" w:fill="auto"/>
            <w:noWrap/>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6.2%</w:t>
            </w:r>
          </w:p>
        </w:tc>
        <w:tc>
          <w:tcPr>
            <w:tcW w:w="1096" w:type="dxa"/>
            <w:tcBorders>
              <w:top w:val="nil"/>
              <w:left w:val="nil"/>
              <w:bottom w:val="single" w:sz="4" w:space="0" w:color="auto"/>
              <w:right w:val="single" w:sz="4" w:space="0" w:color="auto"/>
            </w:tcBorders>
            <w:shd w:val="clear" w:color="auto" w:fill="auto"/>
            <w:noWrap/>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-0.5%</w:t>
            </w:r>
          </w:p>
        </w:tc>
        <w:tc>
          <w:tcPr>
            <w:tcW w:w="1134" w:type="dxa"/>
            <w:tcBorders>
              <w:top w:val="nil"/>
              <w:left w:val="nil"/>
              <w:bottom w:val="single" w:sz="4" w:space="0" w:color="auto"/>
              <w:right w:val="single" w:sz="4" w:space="0" w:color="auto"/>
            </w:tcBorders>
            <w:shd w:val="clear" w:color="auto" w:fill="auto"/>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5.0%</w:t>
            </w:r>
          </w:p>
        </w:tc>
        <w:tc>
          <w:tcPr>
            <w:tcW w:w="1134" w:type="dxa"/>
            <w:tcBorders>
              <w:top w:val="nil"/>
              <w:left w:val="nil"/>
              <w:bottom w:val="single" w:sz="4" w:space="0" w:color="auto"/>
              <w:right w:val="single" w:sz="4" w:space="0" w:color="auto"/>
            </w:tcBorders>
            <w:shd w:val="clear" w:color="auto" w:fill="auto"/>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1.5%</w:t>
            </w:r>
          </w:p>
        </w:tc>
      </w:tr>
      <w:tr w:rsidR="00A9706E" w:rsidRPr="00924C39" w:rsidTr="00031B92">
        <w:trPr>
          <w:trHeight w:val="300"/>
          <w:jc w:val="center"/>
        </w:trPr>
        <w:tc>
          <w:tcPr>
            <w:tcW w:w="1869" w:type="dxa"/>
            <w:tcBorders>
              <w:top w:val="nil"/>
              <w:left w:val="single" w:sz="4" w:space="0" w:color="auto"/>
              <w:bottom w:val="single" w:sz="4" w:space="0" w:color="auto"/>
              <w:right w:val="single" w:sz="4" w:space="0" w:color="auto"/>
            </w:tcBorders>
            <w:shd w:val="clear" w:color="auto" w:fill="auto"/>
            <w:vAlign w:val="center"/>
            <w:hideMark/>
          </w:tcPr>
          <w:p w:rsidR="00A9706E" w:rsidRPr="00924C39" w:rsidRDefault="00A9706E" w:rsidP="00031B92">
            <w:pPr>
              <w:spacing w:after="0" w:line="240" w:lineRule="auto"/>
              <w:jc w:val="center"/>
              <w:rPr>
                <w:rFonts w:eastAsia="Times New Roman" w:cs="Times New Roman"/>
                <w:b/>
                <w:bCs/>
                <w:color w:val="000000"/>
                <w:lang w:eastAsia="en-GB"/>
              </w:rPr>
            </w:pPr>
            <w:r w:rsidRPr="00924C39">
              <w:rPr>
                <w:rFonts w:eastAsia="Times New Roman" w:cs="Times New Roman"/>
                <w:b/>
                <w:bCs/>
                <w:color w:val="000000"/>
                <w:lang w:eastAsia="en-GB"/>
              </w:rPr>
              <w:t>Jewish</w:t>
            </w:r>
          </w:p>
        </w:tc>
        <w:tc>
          <w:tcPr>
            <w:tcW w:w="960" w:type="dxa"/>
            <w:tcBorders>
              <w:top w:val="nil"/>
              <w:left w:val="nil"/>
              <w:bottom w:val="single" w:sz="4" w:space="0" w:color="auto"/>
              <w:right w:val="single" w:sz="4" w:space="0" w:color="auto"/>
            </w:tcBorders>
            <w:shd w:val="clear" w:color="auto" w:fill="auto"/>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46,686</w:t>
            </w:r>
          </w:p>
        </w:tc>
        <w:tc>
          <w:tcPr>
            <w:tcW w:w="960" w:type="dxa"/>
            <w:tcBorders>
              <w:top w:val="nil"/>
              <w:left w:val="nil"/>
              <w:bottom w:val="single" w:sz="4" w:space="0" w:color="auto"/>
              <w:right w:val="single" w:sz="4" w:space="0" w:color="auto"/>
            </w:tcBorders>
            <w:shd w:val="clear" w:color="auto" w:fill="auto"/>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14.8%</w:t>
            </w:r>
          </w:p>
        </w:tc>
        <w:tc>
          <w:tcPr>
            <w:tcW w:w="960" w:type="dxa"/>
            <w:tcBorders>
              <w:top w:val="nil"/>
              <w:left w:val="nil"/>
              <w:bottom w:val="single" w:sz="4" w:space="0" w:color="auto"/>
              <w:right w:val="single" w:sz="4" w:space="0" w:color="auto"/>
            </w:tcBorders>
            <w:shd w:val="clear" w:color="auto" w:fill="auto"/>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54,084</w:t>
            </w:r>
          </w:p>
        </w:tc>
        <w:tc>
          <w:tcPr>
            <w:tcW w:w="960" w:type="dxa"/>
            <w:tcBorders>
              <w:top w:val="nil"/>
              <w:left w:val="nil"/>
              <w:bottom w:val="single" w:sz="4" w:space="0" w:color="auto"/>
              <w:right w:val="single" w:sz="4" w:space="0" w:color="auto"/>
            </w:tcBorders>
            <w:shd w:val="clear" w:color="auto" w:fill="auto"/>
            <w:noWrap/>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15.2%</w:t>
            </w:r>
          </w:p>
        </w:tc>
        <w:tc>
          <w:tcPr>
            <w:tcW w:w="1096" w:type="dxa"/>
            <w:tcBorders>
              <w:top w:val="nil"/>
              <w:left w:val="nil"/>
              <w:bottom w:val="single" w:sz="4" w:space="0" w:color="auto"/>
              <w:right w:val="single" w:sz="4" w:space="0" w:color="auto"/>
            </w:tcBorders>
            <w:shd w:val="clear" w:color="auto" w:fill="auto"/>
            <w:noWrap/>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0.3%</w:t>
            </w:r>
          </w:p>
        </w:tc>
        <w:tc>
          <w:tcPr>
            <w:tcW w:w="1134" w:type="dxa"/>
            <w:tcBorders>
              <w:top w:val="nil"/>
              <w:left w:val="nil"/>
              <w:bottom w:val="single" w:sz="4" w:space="0" w:color="auto"/>
              <w:right w:val="single" w:sz="4" w:space="0" w:color="auto"/>
            </w:tcBorders>
            <w:shd w:val="clear" w:color="auto" w:fill="auto"/>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1.8%</w:t>
            </w:r>
          </w:p>
        </w:tc>
        <w:tc>
          <w:tcPr>
            <w:tcW w:w="1134" w:type="dxa"/>
            <w:tcBorders>
              <w:top w:val="nil"/>
              <w:left w:val="nil"/>
              <w:bottom w:val="single" w:sz="4" w:space="0" w:color="auto"/>
              <w:right w:val="single" w:sz="4" w:space="0" w:color="auto"/>
            </w:tcBorders>
            <w:shd w:val="clear" w:color="auto" w:fill="auto"/>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0.5%</w:t>
            </w:r>
          </w:p>
        </w:tc>
      </w:tr>
      <w:tr w:rsidR="00A9706E" w:rsidRPr="00924C39" w:rsidTr="00031B92">
        <w:trPr>
          <w:trHeight w:val="300"/>
          <w:jc w:val="center"/>
        </w:trPr>
        <w:tc>
          <w:tcPr>
            <w:tcW w:w="1869" w:type="dxa"/>
            <w:tcBorders>
              <w:top w:val="nil"/>
              <w:left w:val="single" w:sz="4" w:space="0" w:color="auto"/>
              <w:bottom w:val="single" w:sz="4" w:space="0" w:color="auto"/>
              <w:right w:val="single" w:sz="4" w:space="0" w:color="auto"/>
            </w:tcBorders>
            <w:shd w:val="clear" w:color="auto" w:fill="auto"/>
            <w:vAlign w:val="center"/>
            <w:hideMark/>
          </w:tcPr>
          <w:p w:rsidR="00A9706E" w:rsidRPr="00924C39" w:rsidRDefault="00A9706E" w:rsidP="00031B92">
            <w:pPr>
              <w:spacing w:after="0" w:line="240" w:lineRule="auto"/>
              <w:jc w:val="center"/>
              <w:rPr>
                <w:rFonts w:eastAsia="Times New Roman" w:cs="Times New Roman"/>
                <w:b/>
                <w:bCs/>
                <w:color w:val="000000"/>
                <w:lang w:eastAsia="en-GB"/>
              </w:rPr>
            </w:pPr>
            <w:r w:rsidRPr="00924C39">
              <w:rPr>
                <w:rFonts w:eastAsia="Times New Roman" w:cs="Times New Roman"/>
                <w:b/>
                <w:bCs/>
                <w:color w:val="000000"/>
                <w:lang w:eastAsia="en-GB"/>
              </w:rPr>
              <w:t>Muslim</w:t>
            </w:r>
          </w:p>
        </w:tc>
        <w:tc>
          <w:tcPr>
            <w:tcW w:w="960" w:type="dxa"/>
            <w:tcBorders>
              <w:top w:val="nil"/>
              <w:left w:val="nil"/>
              <w:bottom w:val="single" w:sz="4" w:space="0" w:color="auto"/>
              <w:right w:val="single" w:sz="4" w:space="0" w:color="auto"/>
            </w:tcBorders>
            <w:shd w:val="clear" w:color="auto" w:fill="auto"/>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19,373</w:t>
            </w:r>
          </w:p>
        </w:tc>
        <w:tc>
          <w:tcPr>
            <w:tcW w:w="960" w:type="dxa"/>
            <w:tcBorders>
              <w:top w:val="nil"/>
              <w:left w:val="nil"/>
              <w:bottom w:val="single" w:sz="4" w:space="0" w:color="auto"/>
              <w:right w:val="single" w:sz="4" w:space="0" w:color="auto"/>
            </w:tcBorders>
            <w:shd w:val="clear" w:color="auto" w:fill="auto"/>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6.2%</w:t>
            </w:r>
          </w:p>
        </w:tc>
        <w:tc>
          <w:tcPr>
            <w:tcW w:w="960" w:type="dxa"/>
            <w:tcBorders>
              <w:top w:val="nil"/>
              <w:left w:val="nil"/>
              <w:bottom w:val="single" w:sz="4" w:space="0" w:color="auto"/>
              <w:right w:val="single" w:sz="4" w:space="0" w:color="auto"/>
            </w:tcBorders>
            <w:shd w:val="clear" w:color="auto" w:fill="auto"/>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36,744</w:t>
            </w:r>
          </w:p>
        </w:tc>
        <w:tc>
          <w:tcPr>
            <w:tcW w:w="960" w:type="dxa"/>
            <w:tcBorders>
              <w:top w:val="nil"/>
              <w:left w:val="nil"/>
              <w:bottom w:val="single" w:sz="4" w:space="0" w:color="auto"/>
              <w:right w:val="single" w:sz="4" w:space="0" w:color="auto"/>
            </w:tcBorders>
            <w:shd w:val="clear" w:color="auto" w:fill="auto"/>
            <w:noWrap/>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10.3%</w:t>
            </w:r>
          </w:p>
        </w:tc>
        <w:tc>
          <w:tcPr>
            <w:tcW w:w="1096" w:type="dxa"/>
            <w:tcBorders>
              <w:top w:val="nil"/>
              <w:left w:val="nil"/>
              <w:bottom w:val="single" w:sz="4" w:space="0" w:color="auto"/>
              <w:right w:val="single" w:sz="4" w:space="0" w:color="auto"/>
            </w:tcBorders>
            <w:shd w:val="clear" w:color="auto" w:fill="auto"/>
            <w:noWrap/>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4.2%</w:t>
            </w:r>
          </w:p>
        </w:tc>
        <w:tc>
          <w:tcPr>
            <w:tcW w:w="1134" w:type="dxa"/>
            <w:tcBorders>
              <w:top w:val="nil"/>
              <w:left w:val="nil"/>
              <w:bottom w:val="single" w:sz="4" w:space="0" w:color="auto"/>
              <w:right w:val="single" w:sz="4" w:space="0" w:color="auto"/>
            </w:tcBorders>
            <w:shd w:val="clear" w:color="auto" w:fill="auto"/>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12.4%</w:t>
            </w:r>
          </w:p>
        </w:tc>
        <w:tc>
          <w:tcPr>
            <w:tcW w:w="1134" w:type="dxa"/>
            <w:tcBorders>
              <w:top w:val="nil"/>
              <w:left w:val="nil"/>
              <w:bottom w:val="single" w:sz="4" w:space="0" w:color="auto"/>
              <w:right w:val="single" w:sz="4" w:space="0" w:color="auto"/>
            </w:tcBorders>
            <w:shd w:val="clear" w:color="auto" w:fill="auto"/>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5.0%</w:t>
            </w:r>
          </w:p>
        </w:tc>
      </w:tr>
      <w:tr w:rsidR="00A9706E" w:rsidRPr="00924C39" w:rsidTr="00031B92">
        <w:trPr>
          <w:trHeight w:val="300"/>
          <w:jc w:val="center"/>
        </w:trPr>
        <w:tc>
          <w:tcPr>
            <w:tcW w:w="1869" w:type="dxa"/>
            <w:tcBorders>
              <w:top w:val="nil"/>
              <w:left w:val="single" w:sz="4" w:space="0" w:color="auto"/>
              <w:bottom w:val="single" w:sz="4" w:space="0" w:color="auto"/>
              <w:right w:val="single" w:sz="4" w:space="0" w:color="auto"/>
            </w:tcBorders>
            <w:shd w:val="clear" w:color="auto" w:fill="auto"/>
            <w:vAlign w:val="center"/>
            <w:hideMark/>
          </w:tcPr>
          <w:p w:rsidR="00A9706E" w:rsidRPr="00924C39" w:rsidRDefault="00A9706E" w:rsidP="00031B92">
            <w:pPr>
              <w:spacing w:after="0" w:line="240" w:lineRule="auto"/>
              <w:jc w:val="center"/>
              <w:rPr>
                <w:rFonts w:eastAsia="Times New Roman" w:cs="Times New Roman"/>
                <w:b/>
                <w:bCs/>
                <w:color w:val="000000"/>
                <w:lang w:eastAsia="en-GB"/>
              </w:rPr>
            </w:pPr>
            <w:r w:rsidRPr="00924C39">
              <w:rPr>
                <w:rFonts w:eastAsia="Times New Roman" w:cs="Times New Roman"/>
                <w:b/>
                <w:bCs/>
                <w:color w:val="000000"/>
                <w:lang w:eastAsia="en-GB"/>
              </w:rPr>
              <w:t>Sikh</w:t>
            </w:r>
          </w:p>
        </w:tc>
        <w:tc>
          <w:tcPr>
            <w:tcW w:w="960" w:type="dxa"/>
            <w:tcBorders>
              <w:top w:val="nil"/>
              <w:left w:val="nil"/>
              <w:bottom w:val="single" w:sz="4" w:space="0" w:color="auto"/>
              <w:right w:val="single" w:sz="4" w:space="0" w:color="auto"/>
            </w:tcBorders>
            <w:shd w:val="clear" w:color="auto" w:fill="auto"/>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1,113</w:t>
            </w:r>
          </w:p>
        </w:tc>
        <w:tc>
          <w:tcPr>
            <w:tcW w:w="960" w:type="dxa"/>
            <w:tcBorders>
              <w:top w:val="nil"/>
              <w:left w:val="nil"/>
              <w:bottom w:val="single" w:sz="4" w:space="0" w:color="auto"/>
              <w:right w:val="single" w:sz="4" w:space="0" w:color="auto"/>
            </w:tcBorders>
            <w:shd w:val="clear" w:color="auto" w:fill="auto"/>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0.4%</w:t>
            </w:r>
          </w:p>
        </w:tc>
        <w:tc>
          <w:tcPr>
            <w:tcW w:w="960" w:type="dxa"/>
            <w:tcBorders>
              <w:top w:val="nil"/>
              <w:left w:val="nil"/>
              <w:bottom w:val="single" w:sz="4" w:space="0" w:color="auto"/>
              <w:right w:val="single" w:sz="4" w:space="0" w:color="auto"/>
            </w:tcBorders>
            <w:shd w:val="clear" w:color="auto" w:fill="auto"/>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1,269</w:t>
            </w:r>
          </w:p>
        </w:tc>
        <w:tc>
          <w:tcPr>
            <w:tcW w:w="960" w:type="dxa"/>
            <w:tcBorders>
              <w:top w:val="nil"/>
              <w:left w:val="nil"/>
              <w:bottom w:val="single" w:sz="4" w:space="0" w:color="auto"/>
              <w:right w:val="single" w:sz="4" w:space="0" w:color="auto"/>
            </w:tcBorders>
            <w:shd w:val="clear" w:color="auto" w:fill="auto"/>
            <w:noWrap/>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0.4%</w:t>
            </w:r>
          </w:p>
        </w:tc>
        <w:tc>
          <w:tcPr>
            <w:tcW w:w="1096" w:type="dxa"/>
            <w:tcBorders>
              <w:top w:val="nil"/>
              <w:left w:val="nil"/>
              <w:bottom w:val="single" w:sz="4" w:space="0" w:color="auto"/>
              <w:right w:val="single" w:sz="4" w:space="0" w:color="auto"/>
            </w:tcBorders>
            <w:shd w:val="clear" w:color="auto" w:fill="auto"/>
            <w:noWrap/>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0.0%</w:t>
            </w:r>
          </w:p>
        </w:tc>
        <w:tc>
          <w:tcPr>
            <w:tcW w:w="1134" w:type="dxa"/>
            <w:tcBorders>
              <w:top w:val="nil"/>
              <w:left w:val="nil"/>
              <w:bottom w:val="single" w:sz="4" w:space="0" w:color="auto"/>
              <w:right w:val="single" w:sz="4" w:space="0" w:color="auto"/>
            </w:tcBorders>
            <w:shd w:val="clear" w:color="auto" w:fill="auto"/>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1.5%</w:t>
            </w:r>
          </w:p>
        </w:tc>
        <w:tc>
          <w:tcPr>
            <w:tcW w:w="1134" w:type="dxa"/>
            <w:tcBorders>
              <w:top w:val="nil"/>
              <w:left w:val="nil"/>
              <w:bottom w:val="single" w:sz="4" w:space="0" w:color="auto"/>
              <w:right w:val="single" w:sz="4" w:space="0" w:color="auto"/>
            </w:tcBorders>
            <w:shd w:val="clear" w:color="auto" w:fill="auto"/>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0.8%</w:t>
            </w:r>
          </w:p>
        </w:tc>
      </w:tr>
      <w:tr w:rsidR="00A9706E" w:rsidRPr="00924C39" w:rsidTr="00031B92">
        <w:trPr>
          <w:trHeight w:val="390"/>
          <w:jc w:val="center"/>
        </w:trPr>
        <w:tc>
          <w:tcPr>
            <w:tcW w:w="1869" w:type="dxa"/>
            <w:tcBorders>
              <w:top w:val="nil"/>
              <w:left w:val="single" w:sz="4" w:space="0" w:color="auto"/>
              <w:bottom w:val="single" w:sz="4" w:space="0" w:color="auto"/>
              <w:right w:val="single" w:sz="4" w:space="0" w:color="auto"/>
            </w:tcBorders>
            <w:shd w:val="clear" w:color="auto" w:fill="auto"/>
            <w:vAlign w:val="center"/>
            <w:hideMark/>
          </w:tcPr>
          <w:p w:rsidR="00A9706E" w:rsidRPr="00924C39" w:rsidRDefault="00A9706E" w:rsidP="00031B92">
            <w:pPr>
              <w:spacing w:after="0" w:line="240" w:lineRule="auto"/>
              <w:jc w:val="center"/>
              <w:rPr>
                <w:rFonts w:eastAsia="Times New Roman" w:cs="Times New Roman"/>
                <w:b/>
                <w:bCs/>
                <w:color w:val="000000"/>
                <w:lang w:eastAsia="en-GB"/>
              </w:rPr>
            </w:pPr>
            <w:r w:rsidRPr="00924C39">
              <w:rPr>
                <w:rFonts w:eastAsia="Times New Roman" w:cs="Times New Roman"/>
                <w:b/>
                <w:bCs/>
                <w:color w:val="000000"/>
                <w:lang w:eastAsia="en-GB"/>
              </w:rPr>
              <w:t>Any other religion</w:t>
            </w:r>
          </w:p>
        </w:tc>
        <w:tc>
          <w:tcPr>
            <w:tcW w:w="960" w:type="dxa"/>
            <w:tcBorders>
              <w:top w:val="nil"/>
              <w:left w:val="nil"/>
              <w:bottom w:val="single" w:sz="4" w:space="0" w:color="auto"/>
              <w:right w:val="single" w:sz="4" w:space="0" w:color="auto"/>
            </w:tcBorders>
            <w:shd w:val="clear" w:color="auto" w:fill="auto"/>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3,215</w:t>
            </w:r>
          </w:p>
        </w:tc>
        <w:tc>
          <w:tcPr>
            <w:tcW w:w="960" w:type="dxa"/>
            <w:tcBorders>
              <w:top w:val="nil"/>
              <w:left w:val="nil"/>
              <w:bottom w:val="single" w:sz="4" w:space="0" w:color="auto"/>
              <w:right w:val="single" w:sz="4" w:space="0" w:color="auto"/>
            </w:tcBorders>
            <w:shd w:val="clear" w:color="auto" w:fill="auto"/>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1.0%</w:t>
            </w:r>
          </w:p>
        </w:tc>
        <w:tc>
          <w:tcPr>
            <w:tcW w:w="960" w:type="dxa"/>
            <w:tcBorders>
              <w:top w:val="nil"/>
              <w:left w:val="nil"/>
              <w:bottom w:val="single" w:sz="4" w:space="0" w:color="auto"/>
              <w:right w:val="single" w:sz="4" w:space="0" w:color="auto"/>
            </w:tcBorders>
            <w:shd w:val="clear" w:color="auto" w:fill="auto"/>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3,764</w:t>
            </w:r>
          </w:p>
        </w:tc>
        <w:tc>
          <w:tcPr>
            <w:tcW w:w="960" w:type="dxa"/>
            <w:tcBorders>
              <w:top w:val="nil"/>
              <w:left w:val="nil"/>
              <w:bottom w:val="single" w:sz="4" w:space="0" w:color="auto"/>
              <w:right w:val="single" w:sz="4" w:space="0" w:color="auto"/>
            </w:tcBorders>
            <w:shd w:val="clear" w:color="auto" w:fill="auto"/>
            <w:noWrap/>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1.1%</w:t>
            </w:r>
          </w:p>
        </w:tc>
        <w:tc>
          <w:tcPr>
            <w:tcW w:w="1096" w:type="dxa"/>
            <w:tcBorders>
              <w:top w:val="nil"/>
              <w:left w:val="nil"/>
              <w:bottom w:val="single" w:sz="4" w:space="0" w:color="auto"/>
              <w:right w:val="single" w:sz="4" w:space="0" w:color="auto"/>
            </w:tcBorders>
            <w:shd w:val="clear" w:color="auto" w:fill="auto"/>
            <w:noWrap/>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0.0%</w:t>
            </w:r>
          </w:p>
        </w:tc>
        <w:tc>
          <w:tcPr>
            <w:tcW w:w="1134" w:type="dxa"/>
            <w:tcBorders>
              <w:top w:val="nil"/>
              <w:left w:val="nil"/>
              <w:bottom w:val="single" w:sz="4" w:space="0" w:color="auto"/>
              <w:right w:val="single" w:sz="4" w:space="0" w:color="auto"/>
            </w:tcBorders>
            <w:shd w:val="clear" w:color="auto" w:fill="auto"/>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0.6%</w:t>
            </w:r>
          </w:p>
        </w:tc>
        <w:tc>
          <w:tcPr>
            <w:tcW w:w="1134" w:type="dxa"/>
            <w:tcBorders>
              <w:top w:val="nil"/>
              <w:left w:val="nil"/>
              <w:bottom w:val="single" w:sz="4" w:space="0" w:color="auto"/>
              <w:right w:val="single" w:sz="4" w:space="0" w:color="auto"/>
            </w:tcBorders>
            <w:shd w:val="clear" w:color="auto" w:fill="auto"/>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0.4%</w:t>
            </w:r>
          </w:p>
        </w:tc>
      </w:tr>
      <w:tr w:rsidR="00A9706E" w:rsidRPr="00924C39" w:rsidTr="00031B92">
        <w:trPr>
          <w:trHeight w:val="390"/>
          <w:jc w:val="center"/>
        </w:trPr>
        <w:tc>
          <w:tcPr>
            <w:tcW w:w="1869" w:type="dxa"/>
            <w:tcBorders>
              <w:top w:val="nil"/>
              <w:left w:val="single" w:sz="4" w:space="0" w:color="auto"/>
              <w:bottom w:val="single" w:sz="4" w:space="0" w:color="auto"/>
              <w:right w:val="single" w:sz="4" w:space="0" w:color="auto"/>
            </w:tcBorders>
            <w:shd w:val="clear" w:color="auto" w:fill="auto"/>
            <w:vAlign w:val="center"/>
            <w:hideMark/>
          </w:tcPr>
          <w:p w:rsidR="00A9706E" w:rsidRPr="00924C39" w:rsidRDefault="00A9706E" w:rsidP="00031B92">
            <w:pPr>
              <w:spacing w:after="0" w:line="240" w:lineRule="auto"/>
              <w:jc w:val="center"/>
              <w:rPr>
                <w:rFonts w:eastAsia="Times New Roman" w:cs="Times New Roman"/>
                <w:b/>
                <w:bCs/>
                <w:color w:val="000000"/>
                <w:lang w:eastAsia="en-GB"/>
              </w:rPr>
            </w:pPr>
            <w:r w:rsidRPr="00924C39">
              <w:rPr>
                <w:rFonts w:eastAsia="Times New Roman" w:cs="Times New Roman"/>
                <w:b/>
                <w:bCs/>
                <w:color w:val="000000"/>
                <w:lang w:eastAsia="en-GB"/>
              </w:rPr>
              <w:t>No religion</w:t>
            </w:r>
          </w:p>
        </w:tc>
        <w:tc>
          <w:tcPr>
            <w:tcW w:w="960" w:type="dxa"/>
            <w:tcBorders>
              <w:top w:val="nil"/>
              <w:left w:val="nil"/>
              <w:bottom w:val="single" w:sz="4" w:space="0" w:color="auto"/>
              <w:right w:val="single" w:sz="4" w:space="0" w:color="auto"/>
            </w:tcBorders>
            <w:shd w:val="clear" w:color="auto" w:fill="auto"/>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40,320</w:t>
            </w:r>
          </w:p>
        </w:tc>
        <w:tc>
          <w:tcPr>
            <w:tcW w:w="960" w:type="dxa"/>
            <w:tcBorders>
              <w:top w:val="nil"/>
              <w:left w:val="nil"/>
              <w:bottom w:val="single" w:sz="4" w:space="0" w:color="auto"/>
              <w:right w:val="single" w:sz="4" w:space="0" w:color="auto"/>
            </w:tcBorders>
            <w:shd w:val="clear" w:color="auto" w:fill="auto"/>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12.8%</w:t>
            </w:r>
          </w:p>
        </w:tc>
        <w:tc>
          <w:tcPr>
            <w:tcW w:w="960" w:type="dxa"/>
            <w:tcBorders>
              <w:top w:val="nil"/>
              <w:left w:val="nil"/>
              <w:bottom w:val="single" w:sz="4" w:space="0" w:color="auto"/>
              <w:right w:val="single" w:sz="4" w:space="0" w:color="auto"/>
            </w:tcBorders>
            <w:shd w:val="clear" w:color="auto" w:fill="auto"/>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57,297</w:t>
            </w:r>
          </w:p>
        </w:tc>
        <w:tc>
          <w:tcPr>
            <w:tcW w:w="960" w:type="dxa"/>
            <w:tcBorders>
              <w:top w:val="nil"/>
              <w:left w:val="nil"/>
              <w:bottom w:val="single" w:sz="4" w:space="0" w:color="auto"/>
              <w:right w:val="single" w:sz="4" w:space="0" w:color="auto"/>
            </w:tcBorders>
            <w:shd w:val="clear" w:color="auto" w:fill="auto"/>
            <w:noWrap/>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16.1%</w:t>
            </w:r>
          </w:p>
        </w:tc>
        <w:tc>
          <w:tcPr>
            <w:tcW w:w="1096" w:type="dxa"/>
            <w:tcBorders>
              <w:top w:val="nil"/>
              <w:left w:val="nil"/>
              <w:bottom w:val="single" w:sz="4" w:space="0" w:color="auto"/>
              <w:right w:val="single" w:sz="4" w:space="0" w:color="auto"/>
            </w:tcBorders>
            <w:shd w:val="clear" w:color="auto" w:fill="auto"/>
            <w:noWrap/>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3.3%</w:t>
            </w:r>
          </w:p>
        </w:tc>
        <w:tc>
          <w:tcPr>
            <w:tcW w:w="1134" w:type="dxa"/>
            <w:tcBorders>
              <w:top w:val="nil"/>
              <w:left w:val="nil"/>
              <w:bottom w:val="single" w:sz="4" w:space="0" w:color="auto"/>
              <w:right w:val="single" w:sz="4" w:space="0" w:color="auto"/>
            </w:tcBorders>
            <w:shd w:val="clear" w:color="auto" w:fill="auto"/>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20.7%</w:t>
            </w:r>
          </w:p>
        </w:tc>
        <w:tc>
          <w:tcPr>
            <w:tcW w:w="1134" w:type="dxa"/>
            <w:tcBorders>
              <w:top w:val="nil"/>
              <w:left w:val="nil"/>
              <w:bottom w:val="single" w:sz="4" w:space="0" w:color="auto"/>
              <w:right w:val="single" w:sz="4" w:space="0" w:color="auto"/>
            </w:tcBorders>
            <w:shd w:val="clear" w:color="auto" w:fill="auto"/>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24.7%</w:t>
            </w:r>
          </w:p>
        </w:tc>
      </w:tr>
      <w:tr w:rsidR="00A9706E" w:rsidRPr="00924C39" w:rsidTr="00031B92">
        <w:trPr>
          <w:trHeight w:val="390"/>
          <w:jc w:val="center"/>
        </w:trPr>
        <w:tc>
          <w:tcPr>
            <w:tcW w:w="1869" w:type="dxa"/>
            <w:tcBorders>
              <w:top w:val="nil"/>
              <w:left w:val="single" w:sz="4" w:space="0" w:color="auto"/>
              <w:bottom w:val="single" w:sz="4" w:space="0" w:color="auto"/>
              <w:right w:val="single" w:sz="4" w:space="0" w:color="auto"/>
            </w:tcBorders>
            <w:shd w:val="clear" w:color="auto" w:fill="auto"/>
            <w:vAlign w:val="center"/>
            <w:hideMark/>
          </w:tcPr>
          <w:p w:rsidR="00A9706E" w:rsidRPr="00924C39" w:rsidRDefault="00A9706E" w:rsidP="00031B92">
            <w:pPr>
              <w:spacing w:after="0" w:line="240" w:lineRule="auto"/>
              <w:jc w:val="center"/>
              <w:rPr>
                <w:rFonts w:eastAsia="Times New Roman" w:cs="Times New Roman"/>
                <w:b/>
                <w:bCs/>
                <w:color w:val="000000"/>
                <w:lang w:eastAsia="en-GB"/>
              </w:rPr>
            </w:pPr>
            <w:r w:rsidRPr="00924C39">
              <w:rPr>
                <w:rFonts w:eastAsia="Times New Roman" w:cs="Times New Roman"/>
                <w:b/>
                <w:bCs/>
                <w:color w:val="000000"/>
                <w:lang w:eastAsia="en-GB"/>
              </w:rPr>
              <w:t>Religion not stated</w:t>
            </w:r>
          </w:p>
        </w:tc>
        <w:tc>
          <w:tcPr>
            <w:tcW w:w="960" w:type="dxa"/>
            <w:tcBorders>
              <w:top w:val="nil"/>
              <w:left w:val="nil"/>
              <w:bottom w:val="single" w:sz="4" w:space="0" w:color="auto"/>
              <w:right w:val="single" w:sz="4" w:space="0" w:color="auto"/>
            </w:tcBorders>
            <w:shd w:val="clear" w:color="auto" w:fill="auto"/>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30,580</w:t>
            </w:r>
          </w:p>
        </w:tc>
        <w:tc>
          <w:tcPr>
            <w:tcW w:w="960" w:type="dxa"/>
            <w:tcBorders>
              <w:top w:val="nil"/>
              <w:left w:val="nil"/>
              <w:bottom w:val="single" w:sz="4" w:space="0" w:color="auto"/>
              <w:right w:val="single" w:sz="4" w:space="0" w:color="auto"/>
            </w:tcBorders>
            <w:shd w:val="clear" w:color="auto" w:fill="auto"/>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9.7%</w:t>
            </w:r>
          </w:p>
        </w:tc>
        <w:tc>
          <w:tcPr>
            <w:tcW w:w="960" w:type="dxa"/>
            <w:tcBorders>
              <w:top w:val="nil"/>
              <w:left w:val="nil"/>
              <w:bottom w:val="single" w:sz="4" w:space="0" w:color="auto"/>
              <w:right w:val="single" w:sz="4" w:space="0" w:color="auto"/>
            </w:tcBorders>
            <w:shd w:val="clear" w:color="auto" w:fill="auto"/>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29,917</w:t>
            </w:r>
          </w:p>
        </w:tc>
        <w:tc>
          <w:tcPr>
            <w:tcW w:w="960" w:type="dxa"/>
            <w:tcBorders>
              <w:top w:val="nil"/>
              <w:left w:val="nil"/>
              <w:bottom w:val="single" w:sz="4" w:space="0" w:color="auto"/>
              <w:right w:val="single" w:sz="4" w:space="0" w:color="auto"/>
            </w:tcBorders>
            <w:shd w:val="clear" w:color="auto" w:fill="auto"/>
            <w:noWrap/>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8.4%</w:t>
            </w:r>
          </w:p>
        </w:tc>
        <w:tc>
          <w:tcPr>
            <w:tcW w:w="1096" w:type="dxa"/>
            <w:tcBorders>
              <w:top w:val="nil"/>
              <w:left w:val="nil"/>
              <w:bottom w:val="single" w:sz="4" w:space="0" w:color="auto"/>
              <w:right w:val="single" w:sz="4" w:space="0" w:color="auto"/>
            </w:tcBorders>
            <w:shd w:val="clear" w:color="auto" w:fill="auto"/>
            <w:noWrap/>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-1.3%</w:t>
            </w:r>
          </w:p>
        </w:tc>
        <w:tc>
          <w:tcPr>
            <w:tcW w:w="1134" w:type="dxa"/>
            <w:tcBorders>
              <w:top w:val="nil"/>
              <w:left w:val="nil"/>
              <w:bottom w:val="single" w:sz="4" w:space="0" w:color="auto"/>
              <w:right w:val="single" w:sz="4" w:space="0" w:color="auto"/>
            </w:tcBorders>
            <w:shd w:val="clear" w:color="auto" w:fill="auto"/>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8.5%</w:t>
            </w:r>
          </w:p>
        </w:tc>
        <w:tc>
          <w:tcPr>
            <w:tcW w:w="1134" w:type="dxa"/>
            <w:tcBorders>
              <w:top w:val="nil"/>
              <w:left w:val="nil"/>
              <w:bottom w:val="single" w:sz="4" w:space="0" w:color="auto"/>
              <w:right w:val="single" w:sz="4" w:space="0" w:color="auto"/>
            </w:tcBorders>
            <w:shd w:val="clear" w:color="auto" w:fill="auto"/>
            <w:vAlign w:val="center"/>
            <w:hideMark/>
          </w:tcPr>
          <w:p w:rsidR="00A9706E" w:rsidRPr="00924C39" w:rsidRDefault="00A9706E" w:rsidP="00031B92">
            <w:pPr>
              <w:spacing w:after="0" w:line="240" w:lineRule="auto"/>
              <w:jc w:val="center"/>
              <w:rPr>
                <w:rFonts w:eastAsia="Times New Roman" w:cs="Times New Roman"/>
                <w:color w:val="000000"/>
                <w:lang w:eastAsia="en-GB"/>
              </w:rPr>
            </w:pPr>
            <w:r w:rsidRPr="00924C39">
              <w:rPr>
                <w:rFonts w:eastAsia="Times New Roman" w:cs="Times New Roman"/>
                <w:color w:val="000000"/>
                <w:lang w:eastAsia="en-GB"/>
              </w:rPr>
              <w:t>7.2%</w:t>
            </w:r>
          </w:p>
        </w:tc>
      </w:tr>
    </w:tbl>
    <w:p w:rsidR="00A9706E" w:rsidRDefault="00A9706E" w:rsidP="00A9706E">
      <w:pPr>
        <w:jc w:val="both"/>
        <w:rPr>
          <w:rFonts w:ascii="Calibri" w:hAnsi="Calibri" w:cs="Calibri"/>
        </w:rPr>
      </w:pPr>
      <w:r>
        <w:rPr>
          <w:rFonts w:ascii="Calibri" w:hAnsi="Calibri" w:cs="Calibri"/>
        </w:rPr>
        <w:t>Source: 2001 and 2011 Census</w:t>
      </w:r>
    </w:p>
    <w:p w:rsidR="00A9706E" w:rsidRDefault="000120BC" w:rsidP="00A9706E">
      <w:pPr>
        <w:jc w:val="both"/>
        <w:rPr>
          <w:rFonts w:ascii="Calibri" w:hAnsi="Calibri" w:cs="Calibri"/>
        </w:rPr>
      </w:pPr>
      <w:r>
        <w:rPr>
          <w:rFonts w:ascii="Calibri" w:hAnsi="Calibri" w:cs="Calibri"/>
        </w:rPr>
        <w:t>T</w:t>
      </w:r>
      <w:r w:rsidR="00A9706E">
        <w:rPr>
          <w:rFonts w:ascii="Calibri" w:hAnsi="Calibri" w:cs="Calibri"/>
        </w:rPr>
        <w:t>he Jewish and Muslim population make up over a quarter of the total population of Barnet. Figure 2-1</w:t>
      </w:r>
      <w:r w:rsidR="00C52CEE">
        <w:rPr>
          <w:rFonts w:ascii="Calibri" w:hAnsi="Calibri" w:cs="Calibri"/>
        </w:rPr>
        <w:t>2</w:t>
      </w:r>
      <w:r w:rsidR="00A9706E">
        <w:rPr>
          <w:rFonts w:ascii="Calibri" w:hAnsi="Calibri" w:cs="Calibri"/>
        </w:rPr>
        <w:t xml:space="preserve"> and 2-1</w:t>
      </w:r>
      <w:r w:rsidR="00C52CEE">
        <w:rPr>
          <w:rFonts w:ascii="Calibri" w:hAnsi="Calibri" w:cs="Calibri"/>
        </w:rPr>
        <w:t>3</w:t>
      </w:r>
      <w:r w:rsidR="00A9706E">
        <w:rPr>
          <w:rFonts w:ascii="Calibri" w:hAnsi="Calibri" w:cs="Calibri"/>
        </w:rPr>
        <w:t xml:space="preserve"> show the population of the Borough by Ward, by Jewish and Muslim</w:t>
      </w:r>
      <w:r w:rsidR="00A9706E" w:rsidRPr="006A3AF4">
        <w:rPr>
          <w:rFonts w:ascii="Calibri" w:hAnsi="Calibri" w:cs="Calibri"/>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A9706E" w:rsidRPr="000700A6" w:rsidTr="00031B92">
        <w:tc>
          <w:tcPr>
            <w:tcW w:w="4621" w:type="dxa"/>
          </w:tcPr>
          <w:p w:rsidR="00A9706E" w:rsidRPr="000700A6" w:rsidRDefault="00A9706E" w:rsidP="00031B92">
            <w:pPr>
              <w:pStyle w:val="Caption"/>
              <w:keepNext/>
              <w:rPr>
                <w:rFonts w:ascii="Calibri" w:hAnsi="Calibri" w:cs="Calibri"/>
                <w:b w:val="0"/>
                <w:i/>
              </w:rPr>
            </w:pPr>
            <w:r>
              <w:t xml:space="preserve">Figure </w:t>
            </w:r>
            <w:fldSimple w:instr=" STYLEREF 1 \s ">
              <w:r w:rsidR="001663C2">
                <w:rPr>
                  <w:noProof/>
                </w:rPr>
                <w:t>2</w:t>
              </w:r>
            </w:fldSimple>
            <w:r w:rsidR="00943DC2">
              <w:noBreakHyphen/>
            </w:r>
            <w:fldSimple w:instr=" SEQ Figure \* ARABIC \s 1 ">
              <w:r w:rsidR="001663C2">
                <w:rPr>
                  <w:noProof/>
                </w:rPr>
                <w:t>12</w:t>
              </w:r>
            </w:fldSimple>
            <w:r w:rsidRPr="004E7E79">
              <w:rPr>
                <w:rFonts w:cs="Calibri"/>
              </w:rPr>
              <w:t>: Barnet Jewish Population by Ward</w:t>
            </w:r>
          </w:p>
        </w:tc>
        <w:tc>
          <w:tcPr>
            <w:tcW w:w="4621" w:type="dxa"/>
          </w:tcPr>
          <w:p w:rsidR="00A9706E" w:rsidRPr="000700A6" w:rsidRDefault="00A9706E" w:rsidP="00031B92">
            <w:pPr>
              <w:pStyle w:val="Caption"/>
              <w:keepNext/>
              <w:rPr>
                <w:rFonts w:ascii="Calibri" w:hAnsi="Calibri" w:cs="Calibri"/>
                <w:b w:val="0"/>
                <w:i/>
              </w:rPr>
            </w:pPr>
            <w:r>
              <w:t xml:space="preserve">Figure </w:t>
            </w:r>
            <w:fldSimple w:instr=" STYLEREF 1 \s ">
              <w:r w:rsidR="001663C2">
                <w:rPr>
                  <w:noProof/>
                </w:rPr>
                <w:t>2</w:t>
              </w:r>
            </w:fldSimple>
            <w:r w:rsidR="00943DC2">
              <w:noBreakHyphen/>
            </w:r>
            <w:fldSimple w:instr=" SEQ Figure \* ARABIC \s 1 ">
              <w:r w:rsidR="001663C2">
                <w:rPr>
                  <w:noProof/>
                </w:rPr>
                <w:t>13</w:t>
              </w:r>
            </w:fldSimple>
            <w:r w:rsidRPr="004E7E79">
              <w:rPr>
                <w:rFonts w:cs="Calibri"/>
              </w:rPr>
              <w:t>: Barnet Muslim Population by Ward</w:t>
            </w:r>
          </w:p>
        </w:tc>
      </w:tr>
    </w:tbl>
    <w:p w:rsidR="00A9706E" w:rsidRPr="0055685F" w:rsidRDefault="00A9706E" w:rsidP="00A9706E">
      <w:pPr>
        <w:spacing w:after="0" w:line="240" w:lineRule="auto"/>
        <w:jc w:val="center"/>
      </w:pPr>
      <w:r>
        <w:rPr>
          <w:noProof/>
          <w:lang w:eastAsia="en-GB"/>
        </w:rPr>
        <w:drawing>
          <wp:inline distT="0" distB="0" distL="0" distR="0" wp14:anchorId="1584DF9F" wp14:editId="25839481">
            <wp:extent cx="5790806" cy="2671948"/>
            <wp:effectExtent l="0" t="0" r="635" b="0"/>
            <wp:docPr id="43027" name="Picture 43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20214" cy="2685517"/>
                    </a:xfrm>
                    <a:prstGeom prst="rect">
                      <a:avLst/>
                    </a:prstGeom>
                    <a:noFill/>
                  </pic:spPr>
                </pic:pic>
              </a:graphicData>
            </a:graphic>
          </wp:inline>
        </w:drawing>
      </w:r>
    </w:p>
    <w:p w:rsidR="00A9706E" w:rsidRDefault="00A9706E" w:rsidP="00A9706E">
      <w:pPr>
        <w:spacing w:after="0" w:line="240" w:lineRule="auto"/>
        <w:jc w:val="both"/>
        <w:rPr>
          <w:rFonts w:ascii="Calibri" w:hAnsi="Calibri" w:cs="Calibri"/>
        </w:rPr>
      </w:pPr>
      <w:r>
        <w:rPr>
          <w:rFonts w:ascii="Calibri" w:hAnsi="Calibri" w:cs="Calibri"/>
        </w:rPr>
        <w:t>Source: 2011 Census</w:t>
      </w:r>
    </w:p>
    <w:p w:rsidR="00A9706E" w:rsidRDefault="00A9706E" w:rsidP="00A9706E">
      <w:pPr>
        <w:pStyle w:val="ListParagraph"/>
        <w:jc w:val="both"/>
        <w:rPr>
          <w:rFonts w:ascii="Calibri" w:hAnsi="Calibri" w:cs="Calibri"/>
        </w:rPr>
      </w:pPr>
    </w:p>
    <w:p w:rsidR="00A9706E" w:rsidRPr="00DB13FC" w:rsidRDefault="00A9706E" w:rsidP="00A9706E">
      <w:pPr>
        <w:pStyle w:val="ListParagraph"/>
        <w:numPr>
          <w:ilvl w:val="0"/>
          <w:numId w:val="10"/>
        </w:numPr>
        <w:jc w:val="both"/>
        <w:rPr>
          <w:rFonts w:ascii="Calibri" w:hAnsi="Calibri" w:cs="Calibri"/>
        </w:rPr>
      </w:pPr>
      <w:r w:rsidRPr="00DB13FC">
        <w:rPr>
          <w:rFonts w:ascii="Calibri" w:hAnsi="Calibri" w:cs="Calibri"/>
        </w:rPr>
        <w:t xml:space="preserve">Wards situated in the North / Eastern areas of Barnet tend to have the highest proportions of Christians compared to other areas of the </w:t>
      </w:r>
      <w:r>
        <w:rPr>
          <w:rFonts w:ascii="Calibri" w:hAnsi="Calibri" w:cs="Calibri"/>
        </w:rPr>
        <w:t>Borough</w:t>
      </w:r>
      <w:r w:rsidRPr="00DB13FC">
        <w:rPr>
          <w:rFonts w:ascii="Calibri" w:hAnsi="Calibri" w:cs="Calibri"/>
        </w:rPr>
        <w:t xml:space="preserve">. </w:t>
      </w:r>
    </w:p>
    <w:p w:rsidR="00A9706E" w:rsidRPr="00551944" w:rsidRDefault="00A9706E" w:rsidP="00A9706E">
      <w:pPr>
        <w:pStyle w:val="ListParagraph"/>
        <w:numPr>
          <w:ilvl w:val="0"/>
          <w:numId w:val="10"/>
        </w:numPr>
        <w:jc w:val="both"/>
        <w:rPr>
          <w:rFonts w:ascii="Calibri" w:hAnsi="Calibri" w:cs="Calibri"/>
        </w:rPr>
      </w:pPr>
      <w:r w:rsidRPr="00551944">
        <w:rPr>
          <w:rFonts w:ascii="Calibri" w:hAnsi="Calibri" w:cs="Calibri"/>
        </w:rPr>
        <w:t xml:space="preserve">A large portion of the Jewish community is centred in the south of the </w:t>
      </w:r>
      <w:r>
        <w:rPr>
          <w:rFonts w:ascii="Calibri" w:hAnsi="Calibri" w:cs="Calibri"/>
        </w:rPr>
        <w:t>Borough</w:t>
      </w:r>
      <w:r w:rsidRPr="00551944">
        <w:rPr>
          <w:rFonts w:ascii="Calibri" w:hAnsi="Calibri" w:cs="Calibri"/>
        </w:rPr>
        <w:t>, with the largest population in Garden Suburb (38.2%</w:t>
      </w:r>
      <w:r>
        <w:rPr>
          <w:rFonts w:ascii="Calibri" w:hAnsi="Calibri" w:cs="Calibri"/>
        </w:rPr>
        <w:t xml:space="preserve"> (6,090)</w:t>
      </w:r>
      <w:r w:rsidRPr="00551944">
        <w:rPr>
          <w:rFonts w:ascii="Calibri" w:hAnsi="Calibri" w:cs="Calibri"/>
        </w:rPr>
        <w:t>), followed by Golders Green (37.1%</w:t>
      </w:r>
      <w:r>
        <w:rPr>
          <w:rFonts w:ascii="Calibri" w:hAnsi="Calibri" w:cs="Calibri"/>
        </w:rPr>
        <w:t xml:space="preserve"> (6,975)</w:t>
      </w:r>
      <w:r w:rsidRPr="00551944">
        <w:rPr>
          <w:rFonts w:ascii="Calibri" w:hAnsi="Calibri" w:cs="Calibri"/>
        </w:rPr>
        <w:t>). Although, Edgware has the third largest Jewish community (32.6%</w:t>
      </w:r>
      <w:r>
        <w:rPr>
          <w:rFonts w:ascii="Calibri" w:hAnsi="Calibri" w:cs="Calibri"/>
        </w:rPr>
        <w:t xml:space="preserve"> (5,447)</w:t>
      </w:r>
      <w:r w:rsidRPr="00551944">
        <w:rPr>
          <w:rFonts w:ascii="Calibri" w:hAnsi="Calibri" w:cs="Calibri"/>
        </w:rPr>
        <w:t>).</w:t>
      </w:r>
    </w:p>
    <w:p w:rsidR="00A9706E" w:rsidRDefault="00A9706E" w:rsidP="00A9706E">
      <w:pPr>
        <w:pStyle w:val="ListParagraph"/>
        <w:numPr>
          <w:ilvl w:val="0"/>
          <w:numId w:val="10"/>
        </w:numPr>
        <w:jc w:val="both"/>
        <w:rPr>
          <w:rFonts w:ascii="Calibri" w:hAnsi="Calibri" w:cs="Calibri"/>
        </w:rPr>
      </w:pPr>
      <w:r w:rsidRPr="00551944">
        <w:rPr>
          <w:rFonts w:ascii="Calibri" w:hAnsi="Calibri" w:cs="Calibri"/>
        </w:rPr>
        <w:t>The largest proportion of the Muslim community is located towards the So</w:t>
      </w:r>
      <w:r>
        <w:rPr>
          <w:rFonts w:ascii="Calibri" w:hAnsi="Calibri" w:cs="Calibri"/>
        </w:rPr>
        <w:t xml:space="preserve">uth West / South of the Borough, with the largest population in Burnt Oak (18.4% (3,356)) followed by  Colindale (19.3% (3,301) and West Hendon (17.1% (2,971)). </w:t>
      </w:r>
    </w:p>
    <w:p w:rsidR="00A9706E" w:rsidRDefault="00A9706E" w:rsidP="00A9706E">
      <w:pPr>
        <w:pStyle w:val="Heading2"/>
      </w:pPr>
      <w:bookmarkStart w:id="413" w:name="_Toc426723301"/>
      <w:bookmarkStart w:id="414" w:name="_Toc431225128"/>
      <w:r>
        <w:lastRenderedPageBreak/>
        <w:t>Drivers of Population Growth</w:t>
      </w:r>
      <w:bookmarkEnd w:id="413"/>
      <w:bookmarkEnd w:id="414"/>
    </w:p>
    <w:p w:rsidR="00A9706E" w:rsidRDefault="00A9706E" w:rsidP="00A9706E">
      <w:pPr>
        <w:jc w:val="both"/>
        <w:rPr>
          <w:rFonts w:ascii="Calibri" w:hAnsi="Calibri" w:cs="Calibri"/>
        </w:rPr>
      </w:pPr>
      <w:r w:rsidRPr="00276500">
        <w:rPr>
          <w:rFonts w:ascii="Calibri" w:hAnsi="Calibri" w:cs="Calibri"/>
        </w:rPr>
        <w:t>Population change</w:t>
      </w:r>
      <w:r>
        <w:rPr>
          <w:rFonts w:ascii="Calibri" w:hAnsi="Calibri" w:cs="Calibri"/>
        </w:rPr>
        <w:t xml:space="preserve"> is </w:t>
      </w:r>
      <w:r w:rsidRPr="00276500">
        <w:rPr>
          <w:rFonts w:ascii="Calibri" w:hAnsi="Calibri" w:cs="Calibri"/>
        </w:rPr>
        <w:t>determined by the number of b</w:t>
      </w:r>
      <w:r>
        <w:rPr>
          <w:rFonts w:ascii="Calibri" w:hAnsi="Calibri" w:cs="Calibri"/>
        </w:rPr>
        <w:t xml:space="preserve">irths, deaths and migration in and out of the Borough. </w:t>
      </w:r>
    </w:p>
    <w:p w:rsidR="00A9706E" w:rsidRDefault="00A9706E" w:rsidP="00A9706E">
      <w:pPr>
        <w:pStyle w:val="Heading3"/>
      </w:pPr>
      <w:r>
        <w:t>Natural Change</w:t>
      </w:r>
    </w:p>
    <w:p w:rsidR="00A9706E" w:rsidRPr="004549FF" w:rsidRDefault="00A9706E" w:rsidP="00A9706E">
      <w:pPr>
        <w:jc w:val="both"/>
        <w:rPr>
          <w:rFonts w:ascii="Calibri" w:hAnsi="Calibri" w:cs="Calibri"/>
        </w:rPr>
      </w:pPr>
      <w:r w:rsidRPr="004549FF">
        <w:rPr>
          <w:rFonts w:ascii="Calibri" w:hAnsi="Calibri" w:cs="Calibri"/>
        </w:rPr>
        <w:t>Births and deaths are natural causes of population change. The difference between the birth rate and the death rate is called the natural increase</w:t>
      </w:r>
      <w:r>
        <w:rPr>
          <w:rFonts w:ascii="Calibri" w:hAnsi="Calibri" w:cs="Calibri"/>
        </w:rPr>
        <w:t>,</w:t>
      </w:r>
      <w:r w:rsidRPr="004549FF">
        <w:rPr>
          <w:rFonts w:ascii="Calibri" w:hAnsi="Calibri" w:cs="Calibri"/>
        </w:rPr>
        <w:t xml:space="preserve"> calculated by subtracting the death rate from the birth rate. </w:t>
      </w:r>
      <w:r>
        <w:rPr>
          <w:rFonts w:ascii="Calibri" w:hAnsi="Calibri" w:cs="Calibri"/>
        </w:rPr>
        <w:t>The 2013 GLA projections provide trend based assumptions around the level of births and deaths within Barnet in the future.</w:t>
      </w:r>
    </w:p>
    <w:p w:rsidR="00A9706E" w:rsidRPr="002C28E2" w:rsidRDefault="00A9706E" w:rsidP="00A9706E">
      <w:pPr>
        <w:pStyle w:val="ListParagraph"/>
        <w:numPr>
          <w:ilvl w:val="0"/>
          <w:numId w:val="5"/>
        </w:numPr>
        <w:jc w:val="both"/>
        <w:rPr>
          <w:rFonts w:ascii="Calibri" w:hAnsi="Calibri" w:cs="Calibri"/>
        </w:rPr>
      </w:pPr>
      <w:r w:rsidRPr="002C28E2">
        <w:rPr>
          <w:rFonts w:ascii="Calibri" w:hAnsi="Calibri" w:cs="Calibri"/>
        </w:rPr>
        <w:t>There are 90,827 live births projected to occur within Barnet during the period 2015-2030.</w:t>
      </w:r>
    </w:p>
    <w:p w:rsidR="00A9706E" w:rsidRPr="002C28E2" w:rsidRDefault="00A9706E" w:rsidP="00A9706E">
      <w:pPr>
        <w:pStyle w:val="ListParagraph"/>
        <w:numPr>
          <w:ilvl w:val="0"/>
          <w:numId w:val="5"/>
        </w:numPr>
        <w:jc w:val="both"/>
        <w:rPr>
          <w:rFonts w:ascii="Calibri" w:hAnsi="Calibri" w:cs="Calibri"/>
        </w:rPr>
      </w:pPr>
      <w:r w:rsidRPr="002C28E2">
        <w:rPr>
          <w:rFonts w:ascii="Calibri" w:hAnsi="Calibri" w:cs="Calibri"/>
        </w:rPr>
        <w:t>Between 2015 and 2021, birth rates are projected to remain relatively stationary, with the number of rates increasing by an average annual rate of only 0.1% (</w:t>
      </w:r>
      <w:r>
        <w:rPr>
          <w:rFonts w:ascii="Calibri" w:hAnsi="Calibri" w:cs="Calibri"/>
        </w:rPr>
        <w:t>an additional eight</w:t>
      </w:r>
      <w:r w:rsidRPr="002C28E2">
        <w:rPr>
          <w:rFonts w:ascii="Calibri" w:hAnsi="Calibri" w:cs="Calibri"/>
        </w:rPr>
        <w:t xml:space="preserve"> births per year).</w:t>
      </w:r>
    </w:p>
    <w:p w:rsidR="00A9706E" w:rsidRPr="002C28E2" w:rsidRDefault="00A9706E" w:rsidP="00A9706E">
      <w:pPr>
        <w:pStyle w:val="ListParagraph"/>
        <w:numPr>
          <w:ilvl w:val="0"/>
          <w:numId w:val="5"/>
        </w:numPr>
        <w:jc w:val="both"/>
        <w:rPr>
          <w:rFonts w:ascii="Calibri" w:hAnsi="Calibri" w:cs="Calibri"/>
        </w:rPr>
      </w:pPr>
      <w:r w:rsidRPr="002C28E2">
        <w:rPr>
          <w:rFonts w:ascii="Calibri" w:hAnsi="Calibri" w:cs="Calibri"/>
        </w:rPr>
        <w:t>After 2021, the number of births is projected to start marginally decreasing by an average 0.1% each year (</w:t>
      </w:r>
      <w:r>
        <w:rPr>
          <w:rFonts w:ascii="Calibri" w:hAnsi="Calibri" w:cs="Calibri"/>
        </w:rPr>
        <w:t xml:space="preserve">a decrease of </w:t>
      </w:r>
      <w:r w:rsidRPr="002C28E2">
        <w:rPr>
          <w:rFonts w:ascii="Calibri" w:hAnsi="Calibri" w:cs="Calibri"/>
        </w:rPr>
        <w:t>8 births per year). Therefore, in 2030 there is projected to be 5,635 births in Barnet, 24 less than in 2015.</w:t>
      </w:r>
    </w:p>
    <w:p w:rsidR="00A9706E" w:rsidRPr="002C28E2" w:rsidRDefault="00A9706E" w:rsidP="00A9706E">
      <w:pPr>
        <w:pStyle w:val="ListParagraph"/>
        <w:numPr>
          <w:ilvl w:val="0"/>
          <w:numId w:val="5"/>
        </w:numPr>
        <w:jc w:val="both"/>
        <w:rPr>
          <w:rFonts w:ascii="Calibri" w:hAnsi="Calibri" w:cs="Calibri"/>
        </w:rPr>
      </w:pPr>
      <w:r w:rsidRPr="002C28E2">
        <w:rPr>
          <w:rFonts w:ascii="Calibri" w:hAnsi="Calibri" w:cs="Calibri"/>
        </w:rPr>
        <w:t xml:space="preserve">There are projected to be 39,354 deaths within Barnet between 2015 and 2030. </w:t>
      </w:r>
    </w:p>
    <w:p w:rsidR="00A9706E" w:rsidRPr="002C28E2" w:rsidRDefault="00A9706E" w:rsidP="00A9706E">
      <w:pPr>
        <w:pStyle w:val="ListParagraph"/>
        <w:numPr>
          <w:ilvl w:val="0"/>
          <w:numId w:val="5"/>
        </w:numPr>
        <w:jc w:val="both"/>
        <w:rPr>
          <w:rFonts w:ascii="Calibri" w:hAnsi="Calibri" w:cs="Calibri"/>
        </w:rPr>
      </w:pPr>
      <w:r w:rsidRPr="002C28E2">
        <w:rPr>
          <w:rFonts w:ascii="Calibri" w:hAnsi="Calibri" w:cs="Calibri"/>
        </w:rPr>
        <w:t>Up until 2020, the downward trend in mortality rates is projected to continue, with the number of deaths projected to reduce by an average -0.5% (12</w:t>
      </w:r>
      <w:r>
        <w:rPr>
          <w:rFonts w:ascii="Calibri" w:hAnsi="Calibri" w:cs="Calibri"/>
        </w:rPr>
        <w:t xml:space="preserve"> less</w:t>
      </w:r>
      <w:r w:rsidRPr="002C28E2">
        <w:rPr>
          <w:rFonts w:ascii="Calibri" w:hAnsi="Calibri" w:cs="Calibri"/>
        </w:rPr>
        <w:t xml:space="preserve">) each year. </w:t>
      </w:r>
    </w:p>
    <w:p w:rsidR="00A9706E" w:rsidRPr="002C28E2" w:rsidRDefault="00A9706E" w:rsidP="00A9706E">
      <w:pPr>
        <w:pStyle w:val="ListParagraph"/>
        <w:numPr>
          <w:ilvl w:val="0"/>
          <w:numId w:val="5"/>
        </w:numPr>
        <w:jc w:val="both"/>
        <w:rPr>
          <w:rFonts w:ascii="Calibri" w:hAnsi="Calibri" w:cs="Calibri"/>
        </w:rPr>
      </w:pPr>
      <w:r w:rsidRPr="002C28E2">
        <w:rPr>
          <w:rFonts w:ascii="Calibri" w:hAnsi="Calibri" w:cs="Calibri"/>
        </w:rPr>
        <w:t xml:space="preserve">In 2021 the number of deaths within the </w:t>
      </w:r>
      <w:r>
        <w:rPr>
          <w:rFonts w:ascii="Calibri" w:hAnsi="Calibri" w:cs="Calibri"/>
        </w:rPr>
        <w:t>Borough</w:t>
      </w:r>
      <w:r w:rsidRPr="002C28E2">
        <w:rPr>
          <w:rFonts w:ascii="Calibri" w:hAnsi="Calibri" w:cs="Calibri"/>
        </w:rPr>
        <w:t xml:space="preserve"> is projected to begin rising by an average 0.9% (</w:t>
      </w:r>
      <w:r>
        <w:rPr>
          <w:rFonts w:ascii="Calibri" w:hAnsi="Calibri" w:cs="Calibri"/>
        </w:rPr>
        <w:t>an additional nine</w:t>
      </w:r>
      <w:r w:rsidRPr="002C28E2">
        <w:rPr>
          <w:rFonts w:ascii="Calibri" w:hAnsi="Calibri" w:cs="Calibri"/>
        </w:rPr>
        <w:t>) each year, all the way up until 2030. This means that in 2030 there is projected to be 2,607 deaths within Barnet, 144 more deaths than in 2015.</w:t>
      </w:r>
    </w:p>
    <w:p w:rsidR="00A9706E" w:rsidRPr="002C28E2" w:rsidRDefault="00A9706E" w:rsidP="00A9706E">
      <w:pPr>
        <w:pStyle w:val="ListParagraph"/>
        <w:numPr>
          <w:ilvl w:val="0"/>
          <w:numId w:val="5"/>
        </w:numPr>
        <w:jc w:val="both"/>
        <w:rPr>
          <w:rFonts w:ascii="Calibri" w:hAnsi="Calibri" w:cs="Calibri"/>
        </w:rPr>
      </w:pPr>
      <w:r w:rsidRPr="002C28E2">
        <w:rPr>
          <w:rFonts w:ascii="Calibri" w:hAnsi="Calibri" w:cs="Calibri"/>
        </w:rPr>
        <w:t>This reduction in births and increased deaths means that there is a projected</w:t>
      </w:r>
      <w:r>
        <w:rPr>
          <w:rFonts w:ascii="Calibri" w:hAnsi="Calibri" w:cs="Calibri"/>
        </w:rPr>
        <w:t xml:space="preserve"> annual</w:t>
      </w:r>
      <w:r w:rsidRPr="002C28E2">
        <w:rPr>
          <w:rFonts w:ascii="Calibri" w:hAnsi="Calibri" w:cs="Calibri"/>
        </w:rPr>
        <w:t xml:space="preserve"> decline of -4.9% (156) in natural change over the period 201</w:t>
      </w:r>
      <w:r>
        <w:rPr>
          <w:rFonts w:ascii="Calibri" w:hAnsi="Calibri" w:cs="Calibri"/>
        </w:rPr>
        <w:t>5</w:t>
      </w:r>
      <w:r w:rsidRPr="002C28E2">
        <w:rPr>
          <w:rFonts w:ascii="Calibri" w:hAnsi="Calibri" w:cs="Calibri"/>
        </w:rPr>
        <w:t xml:space="preserve">-2030. </w:t>
      </w:r>
    </w:p>
    <w:p w:rsidR="00A9706E" w:rsidRDefault="00A9706E" w:rsidP="00A9706E">
      <w:pPr>
        <w:pStyle w:val="Heading3"/>
      </w:pPr>
      <w:r>
        <w:t>Migration</w:t>
      </w:r>
    </w:p>
    <w:p w:rsidR="00A9706E" w:rsidRPr="00553CB8" w:rsidRDefault="00A9706E" w:rsidP="00A9706E">
      <w:pPr>
        <w:jc w:val="both"/>
        <w:rPr>
          <w:bCs/>
        </w:rPr>
      </w:pPr>
      <w:r w:rsidRPr="00553CB8">
        <w:t xml:space="preserve">Migration </w:t>
      </w:r>
      <w:r w:rsidRPr="00553CB8">
        <w:rPr>
          <w:bCs/>
        </w:rPr>
        <w:t xml:space="preserve">consists of two elements ‘internal migration’ and ‘international migration’.  </w:t>
      </w:r>
      <w:r>
        <w:rPr>
          <w:bCs/>
        </w:rPr>
        <w:t>In</w:t>
      </w:r>
      <w:r w:rsidRPr="00553CB8">
        <w:rPr>
          <w:bCs/>
        </w:rPr>
        <w:t>ternal migration refers to people within a country moving to another location within its borders, whereas international migration</w:t>
      </w:r>
      <w:r>
        <w:rPr>
          <w:bCs/>
        </w:rPr>
        <w:t xml:space="preserve"> refers to the act of moving</w:t>
      </w:r>
      <w:r w:rsidRPr="00553CB8">
        <w:rPr>
          <w:bCs/>
        </w:rPr>
        <w:t xml:space="preserve"> across borders from one country to another. </w:t>
      </w:r>
    </w:p>
    <w:p w:rsidR="00A9706E" w:rsidRDefault="00A9706E" w:rsidP="00A9706E">
      <w:pPr>
        <w:jc w:val="both"/>
        <w:rPr>
          <w:bCs/>
        </w:rPr>
      </w:pPr>
      <w:r w:rsidRPr="00553CB8">
        <w:rPr>
          <w:bCs/>
        </w:rPr>
        <w:t xml:space="preserve">The GLA publishes </w:t>
      </w:r>
      <w:r>
        <w:rPr>
          <w:bCs/>
        </w:rPr>
        <w:t xml:space="preserve">historical </w:t>
      </w:r>
      <w:r w:rsidRPr="00553CB8">
        <w:rPr>
          <w:bCs/>
        </w:rPr>
        <w:t>data</w:t>
      </w:r>
      <w:r>
        <w:rPr>
          <w:bCs/>
        </w:rPr>
        <w:t xml:space="preserve"> for</w:t>
      </w:r>
      <w:r w:rsidRPr="00553CB8">
        <w:rPr>
          <w:bCs/>
        </w:rPr>
        <w:t xml:space="preserve"> in</w:t>
      </w:r>
      <w:r>
        <w:rPr>
          <w:bCs/>
        </w:rPr>
        <w:t>ternal and international migration by</w:t>
      </w:r>
      <w:r w:rsidRPr="00553CB8">
        <w:rPr>
          <w:bCs/>
        </w:rPr>
        <w:t xml:space="preserve"> local authority. Internal </w:t>
      </w:r>
      <w:r>
        <w:rPr>
          <w:bCs/>
        </w:rPr>
        <w:t>m</w:t>
      </w:r>
      <w:r w:rsidRPr="00553CB8">
        <w:rPr>
          <w:bCs/>
        </w:rPr>
        <w:t xml:space="preserve">igration </w:t>
      </w:r>
      <w:r>
        <w:rPr>
          <w:bCs/>
        </w:rPr>
        <w:t>f</w:t>
      </w:r>
      <w:r w:rsidRPr="00553CB8">
        <w:rPr>
          <w:bCs/>
        </w:rPr>
        <w:t>igures are derived from re-registrations recorded at the National Health Service Central Regi</w:t>
      </w:r>
      <w:r>
        <w:rPr>
          <w:bCs/>
        </w:rPr>
        <w:t>ster. International m</w:t>
      </w:r>
      <w:r w:rsidRPr="00553CB8">
        <w:rPr>
          <w:bCs/>
        </w:rPr>
        <w:t>igration figures are from International Passenger Survey results.</w:t>
      </w:r>
      <w:r>
        <w:rPr>
          <w:bCs/>
        </w:rPr>
        <w:t xml:space="preserve"> This data is not perfect and does not capture all movement in and out of the Borough; however it does provide an indication of the major trends within Barnet. </w:t>
      </w:r>
    </w:p>
    <w:p w:rsidR="00A9706E" w:rsidRDefault="00A9706E" w:rsidP="00A9706E">
      <w:pPr>
        <w:jc w:val="both"/>
        <w:rPr>
          <w:bCs/>
        </w:rPr>
      </w:pPr>
      <w:r>
        <w:rPr>
          <w:bCs/>
        </w:rPr>
        <w:t xml:space="preserve">Table </w:t>
      </w:r>
      <w:r>
        <w:rPr>
          <w:rFonts w:ascii="Calibri" w:hAnsi="Calibri" w:cs="Calibri"/>
        </w:rPr>
        <w:t>2-</w:t>
      </w:r>
      <w:r>
        <w:rPr>
          <w:bCs/>
        </w:rPr>
        <w:t xml:space="preserve">11 shows the internal, international and net migration within Barnet for the period 2002 – 2013. </w:t>
      </w:r>
    </w:p>
    <w:p w:rsidR="000120BC" w:rsidRDefault="000120BC" w:rsidP="00A9706E">
      <w:pPr>
        <w:jc w:val="both"/>
        <w:rPr>
          <w:bCs/>
        </w:rPr>
      </w:pPr>
    </w:p>
    <w:p w:rsidR="000120BC" w:rsidRDefault="000120BC" w:rsidP="00A9706E">
      <w:pPr>
        <w:jc w:val="both"/>
        <w:rPr>
          <w:bCs/>
        </w:rPr>
      </w:pPr>
    </w:p>
    <w:p w:rsidR="000120BC" w:rsidRDefault="000120BC" w:rsidP="00A9706E">
      <w:pPr>
        <w:jc w:val="both"/>
      </w:pPr>
    </w:p>
    <w:p w:rsidR="00A9706E" w:rsidRPr="00B217DD" w:rsidRDefault="00A9706E" w:rsidP="00A9706E">
      <w:pPr>
        <w:pStyle w:val="Caption"/>
        <w:keepNext/>
        <w:rPr>
          <w:rFonts w:cs="Calibri"/>
        </w:rPr>
      </w:pPr>
      <w:r>
        <w:lastRenderedPageBreak/>
        <w:t xml:space="preserve">Table </w:t>
      </w:r>
      <w:fldSimple w:instr=" STYLEREF 1 \s ">
        <w:r w:rsidR="001663C2">
          <w:rPr>
            <w:noProof/>
          </w:rPr>
          <w:t>2</w:t>
        </w:r>
      </w:fldSimple>
      <w:r>
        <w:noBreakHyphen/>
      </w:r>
      <w:fldSimple w:instr=" SEQ Table \* ARABIC \s 1 ">
        <w:r w:rsidR="001663C2">
          <w:rPr>
            <w:noProof/>
          </w:rPr>
          <w:t>11</w:t>
        </w:r>
      </w:fldSimple>
      <w:r w:rsidRPr="00B217DD">
        <w:rPr>
          <w:rFonts w:cs="Calibri"/>
        </w:rPr>
        <w:t>:  International and Internal Migration in Barnet, 2002-2013</w:t>
      </w:r>
    </w:p>
    <w:tbl>
      <w:tblPr>
        <w:tblStyle w:val="TableGrid"/>
        <w:tblW w:w="6160" w:type="dxa"/>
        <w:jc w:val="center"/>
        <w:tblLook w:val="04A0" w:firstRow="1" w:lastRow="0" w:firstColumn="1" w:lastColumn="0" w:noHBand="0" w:noVBand="1"/>
      </w:tblPr>
      <w:tblGrid>
        <w:gridCol w:w="940"/>
        <w:gridCol w:w="1880"/>
        <w:gridCol w:w="1880"/>
        <w:gridCol w:w="1460"/>
      </w:tblGrid>
      <w:tr w:rsidR="00A9706E" w:rsidRPr="00953A31" w:rsidTr="00031B92">
        <w:trPr>
          <w:trHeight w:val="300"/>
          <w:jc w:val="center"/>
        </w:trPr>
        <w:tc>
          <w:tcPr>
            <w:tcW w:w="940" w:type="dxa"/>
            <w:shd w:val="clear" w:color="auto" w:fill="BFBFBF" w:themeFill="background1" w:themeFillShade="BF"/>
            <w:noWrap/>
            <w:vAlign w:val="center"/>
            <w:hideMark/>
          </w:tcPr>
          <w:p w:rsidR="00A9706E" w:rsidRPr="00953A31" w:rsidRDefault="00A9706E" w:rsidP="00031B92">
            <w:pPr>
              <w:jc w:val="center"/>
              <w:rPr>
                <w:rFonts w:ascii="Calibri" w:eastAsia="Times New Roman" w:hAnsi="Calibri" w:cs="Times New Roman"/>
                <w:b/>
                <w:color w:val="000000"/>
                <w:lang w:eastAsia="en-GB"/>
              </w:rPr>
            </w:pPr>
            <w:r>
              <w:rPr>
                <w:rFonts w:ascii="Calibri" w:eastAsia="Times New Roman" w:hAnsi="Calibri" w:cs="Times New Roman"/>
                <w:b/>
                <w:color w:val="000000"/>
                <w:lang w:eastAsia="en-GB"/>
              </w:rPr>
              <w:t>Year</w:t>
            </w:r>
          </w:p>
        </w:tc>
        <w:tc>
          <w:tcPr>
            <w:tcW w:w="1880" w:type="dxa"/>
            <w:shd w:val="clear" w:color="auto" w:fill="BFBFBF" w:themeFill="background1" w:themeFillShade="BF"/>
            <w:noWrap/>
            <w:vAlign w:val="center"/>
            <w:hideMark/>
          </w:tcPr>
          <w:p w:rsidR="00A9706E" w:rsidRPr="00953A31" w:rsidRDefault="00A9706E" w:rsidP="00031B92">
            <w:pPr>
              <w:jc w:val="center"/>
              <w:rPr>
                <w:rFonts w:ascii="Calibri" w:eastAsia="Times New Roman" w:hAnsi="Calibri" w:cs="Times New Roman"/>
                <w:b/>
                <w:color w:val="000000"/>
                <w:lang w:eastAsia="en-GB"/>
              </w:rPr>
            </w:pPr>
            <w:r w:rsidRPr="00953A31">
              <w:rPr>
                <w:rFonts w:ascii="Calibri" w:eastAsia="Times New Roman" w:hAnsi="Calibri" w:cs="Times New Roman"/>
                <w:b/>
                <w:color w:val="000000"/>
                <w:lang w:eastAsia="en-GB"/>
              </w:rPr>
              <w:t>Internal Net Migration</w:t>
            </w:r>
          </w:p>
        </w:tc>
        <w:tc>
          <w:tcPr>
            <w:tcW w:w="1880" w:type="dxa"/>
            <w:shd w:val="clear" w:color="auto" w:fill="BFBFBF" w:themeFill="background1" w:themeFillShade="BF"/>
            <w:noWrap/>
            <w:vAlign w:val="center"/>
            <w:hideMark/>
          </w:tcPr>
          <w:p w:rsidR="00A9706E" w:rsidRPr="00953A31" w:rsidRDefault="00A9706E" w:rsidP="00031B92">
            <w:pPr>
              <w:jc w:val="center"/>
              <w:rPr>
                <w:rFonts w:ascii="Calibri" w:eastAsia="Times New Roman" w:hAnsi="Calibri" w:cs="Times New Roman"/>
                <w:b/>
                <w:color w:val="000000"/>
                <w:lang w:eastAsia="en-GB"/>
              </w:rPr>
            </w:pPr>
            <w:r w:rsidRPr="00953A31">
              <w:rPr>
                <w:rFonts w:ascii="Calibri" w:eastAsia="Times New Roman" w:hAnsi="Calibri" w:cs="Times New Roman"/>
                <w:b/>
                <w:color w:val="000000"/>
                <w:lang w:eastAsia="en-GB"/>
              </w:rPr>
              <w:t>International Net Migration</w:t>
            </w:r>
          </w:p>
        </w:tc>
        <w:tc>
          <w:tcPr>
            <w:tcW w:w="1460" w:type="dxa"/>
            <w:shd w:val="clear" w:color="auto" w:fill="BFBFBF" w:themeFill="background1" w:themeFillShade="BF"/>
            <w:noWrap/>
            <w:vAlign w:val="center"/>
            <w:hideMark/>
          </w:tcPr>
          <w:p w:rsidR="00A9706E" w:rsidRPr="00953A31" w:rsidRDefault="00A9706E" w:rsidP="00031B92">
            <w:pPr>
              <w:jc w:val="center"/>
              <w:rPr>
                <w:rFonts w:ascii="Calibri" w:eastAsia="Times New Roman" w:hAnsi="Calibri" w:cs="Times New Roman"/>
                <w:b/>
                <w:color w:val="000000"/>
                <w:lang w:eastAsia="en-GB"/>
              </w:rPr>
            </w:pPr>
            <w:r w:rsidRPr="00953A31">
              <w:rPr>
                <w:rFonts w:ascii="Calibri" w:eastAsia="Times New Roman" w:hAnsi="Calibri" w:cs="Times New Roman"/>
                <w:b/>
                <w:color w:val="000000"/>
                <w:lang w:eastAsia="en-GB"/>
              </w:rPr>
              <w:t>Net Migration</w:t>
            </w:r>
          </w:p>
        </w:tc>
      </w:tr>
      <w:tr w:rsidR="00A9706E" w:rsidRPr="00953A31" w:rsidTr="00031B92">
        <w:trPr>
          <w:trHeight w:val="300"/>
          <w:jc w:val="center"/>
        </w:trPr>
        <w:tc>
          <w:tcPr>
            <w:tcW w:w="940" w:type="dxa"/>
            <w:noWrap/>
            <w:vAlign w:val="center"/>
            <w:hideMark/>
          </w:tcPr>
          <w:p w:rsidR="00A9706E" w:rsidRPr="00953A31" w:rsidRDefault="00A9706E" w:rsidP="00031B92">
            <w:pPr>
              <w:jc w:val="center"/>
              <w:rPr>
                <w:rFonts w:ascii="Calibri" w:eastAsia="Times New Roman" w:hAnsi="Calibri" w:cs="Times New Roman"/>
                <w:color w:val="000000"/>
                <w:lang w:eastAsia="en-GB"/>
              </w:rPr>
            </w:pPr>
            <w:r w:rsidRPr="00953A31">
              <w:rPr>
                <w:rFonts w:ascii="Calibri" w:eastAsia="Times New Roman" w:hAnsi="Calibri" w:cs="Times New Roman"/>
                <w:color w:val="000000"/>
                <w:lang w:eastAsia="en-GB"/>
              </w:rPr>
              <w:t>2002</w:t>
            </w:r>
          </w:p>
        </w:tc>
        <w:tc>
          <w:tcPr>
            <w:tcW w:w="1880" w:type="dxa"/>
            <w:noWrap/>
            <w:vAlign w:val="center"/>
            <w:hideMark/>
          </w:tcPr>
          <w:p w:rsidR="00A9706E" w:rsidRPr="00953A31" w:rsidRDefault="00A9706E" w:rsidP="00031B92">
            <w:pPr>
              <w:jc w:val="center"/>
              <w:rPr>
                <w:rFonts w:ascii="Calibri" w:eastAsia="Times New Roman" w:hAnsi="Calibri" w:cs="Times New Roman"/>
                <w:color w:val="000000"/>
                <w:lang w:eastAsia="en-GB"/>
              </w:rPr>
            </w:pPr>
            <w:r w:rsidRPr="00953A31">
              <w:rPr>
                <w:rFonts w:ascii="Calibri" w:eastAsia="Times New Roman" w:hAnsi="Calibri" w:cs="Times New Roman"/>
                <w:color w:val="000000"/>
                <w:lang w:eastAsia="en-GB"/>
              </w:rPr>
              <w:t>-3,727</w:t>
            </w:r>
          </w:p>
        </w:tc>
        <w:tc>
          <w:tcPr>
            <w:tcW w:w="1880" w:type="dxa"/>
            <w:noWrap/>
            <w:vAlign w:val="center"/>
            <w:hideMark/>
          </w:tcPr>
          <w:p w:rsidR="00A9706E" w:rsidRPr="00953A31" w:rsidRDefault="00A9706E" w:rsidP="00031B92">
            <w:pPr>
              <w:jc w:val="center"/>
              <w:rPr>
                <w:rFonts w:ascii="Calibri" w:eastAsia="Times New Roman" w:hAnsi="Calibri" w:cs="Times New Roman"/>
                <w:color w:val="000000"/>
                <w:lang w:eastAsia="en-GB"/>
              </w:rPr>
            </w:pPr>
            <w:r w:rsidRPr="00953A31">
              <w:rPr>
                <w:rFonts w:ascii="Calibri" w:eastAsia="Times New Roman" w:hAnsi="Calibri" w:cs="Times New Roman"/>
                <w:color w:val="000000"/>
                <w:lang w:eastAsia="en-GB"/>
              </w:rPr>
              <w:t>4,151</w:t>
            </w:r>
          </w:p>
        </w:tc>
        <w:tc>
          <w:tcPr>
            <w:tcW w:w="1460" w:type="dxa"/>
            <w:noWrap/>
            <w:vAlign w:val="center"/>
            <w:hideMark/>
          </w:tcPr>
          <w:p w:rsidR="00A9706E" w:rsidRPr="00953A31" w:rsidRDefault="00A9706E" w:rsidP="00031B92">
            <w:pPr>
              <w:jc w:val="center"/>
              <w:rPr>
                <w:rFonts w:ascii="Calibri" w:eastAsia="Times New Roman" w:hAnsi="Calibri" w:cs="Times New Roman"/>
                <w:color w:val="000000"/>
                <w:lang w:eastAsia="en-GB"/>
              </w:rPr>
            </w:pPr>
            <w:r w:rsidRPr="00953A31">
              <w:rPr>
                <w:rFonts w:ascii="Calibri" w:eastAsia="Times New Roman" w:hAnsi="Calibri" w:cs="Times New Roman"/>
                <w:color w:val="000000"/>
                <w:lang w:eastAsia="en-GB"/>
              </w:rPr>
              <w:t>424</w:t>
            </w:r>
          </w:p>
        </w:tc>
      </w:tr>
      <w:tr w:rsidR="00A9706E" w:rsidRPr="00953A31" w:rsidTr="00031B92">
        <w:trPr>
          <w:trHeight w:val="300"/>
          <w:jc w:val="center"/>
        </w:trPr>
        <w:tc>
          <w:tcPr>
            <w:tcW w:w="940" w:type="dxa"/>
            <w:noWrap/>
            <w:vAlign w:val="center"/>
            <w:hideMark/>
          </w:tcPr>
          <w:p w:rsidR="00A9706E" w:rsidRPr="00953A31" w:rsidRDefault="00A9706E" w:rsidP="00031B92">
            <w:pPr>
              <w:jc w:val="center"/>
              <w:rPr>
                <w:rFonts w:ascii="Calibri" w:eastAsia="Times New Roman" w:hAnsi="Calibri" w:cs="Times New Roman"/>
                <w:color w:val="000000"/>
                <w:lang w:eastAsia="en-GB"/>
              </w:rPr>
            </w:pPr>
            <w:r w:rsidRPr="00953A31">
              <w:rPr>
                <w:rFonts w:ascii="Calibri" w:eastAsia="Times New Roman" w:hAnsi="Calibri" w:cs="Times New Roman"/>
                <w:color w:val="000000"/>
                <w:lang w:eastAsia="en-GB"/>
              </w:rPr>
              <w:t>2003</w:t>
            </w:r>
          </w:p>
        </w:tc>
        <w:tc>
          <w:tcPr>
            <w:tcW w:w="1880" w:type="dxa"/>
            <w:noWrap/>
            <w:vAlign w:val="center"/>
            <w:hideMark/>
          </w:tcPr>
          <w:p w:rsidR="00A9706E" w:rsidRPr="00953A31" w:rsidRDefault="00A9706E" w:rsidP="00031B92">
            <w:pPr>
              <w:jc w:val="center"/>
              <w:rPr>
                <w:rFonts w:ascii="Calibri" w:eastAsia="Times New Roman" w:hAnsi="Calibri" w:cs="Times New Roman"/>
                <w:color w:val="000000"/>
                <w:lang w:eastAsia="en-GB"/>
              </w:rPr>
            </w:pPr>
            <w:r w:rsidRPr="00953A31">
              <w:rPr>
                <w:rFonts w:ascii="Calibri" w:eastAsia="Times New Roman" w:hAnsi="Calibri" w:cs="Times New Roman"/>
                <w:color w:val="000000"/>
                <w:lang w:eastAsia="en-GB"/>
              </w:rPr>
              <w:t>-3,527</w:t>
            </w:r>
          </w:p>
        </w:tc>
        <w:tc>
          <w:tcPr>
            <w:tcW w:w="1880" w:type="dxa"/>
            <w:noWrap/>
            <w:vAlign w:val="center"/>
            <w:hideMark/>
          </w:tcPr>
          <w:p w:rsidR="00A9706E" w:rsidRPr="00953A31" w:rsidRDefault="00A9706E" w:rsidP="00031B92">
            <w:pPr>
              <w:jc w:val="center"/>
              <w:rPr>
                <w:rFonts w:ascii="Calibri" w:eastAsia="Times New Roman" w:hAnsi="Calibri" w:cs="Times New Roman"/>
                <w:color w:val="000000"/>
                <w:lang w:eastAsia="en-GB"/>
              </w:rPr>
            </w:pPr>
            <w:r w:rsidRPr="00953A31">
              <w:rPr>
                <w:rFonts w:ascii="Calibri" w:eastAsia="Times New Roman" w:hAnsi="Calibri" w:cs="Times New Roman"/>
                <w:color w:val="000000"/>
                <w:lang w:eastAsia="en-GB"/>
              </w:rPr>
              <w:t>3,822</w:t>
            </w:r>
          </w:p>
        </w:tc>
        <w:tc>
          <w:tcPr>
            <w:tcW w:w="1460" w:type="dxa"/>
            <w:noWrap/>
            <w:vAlign w:val="center"/>
            <w:hideMark/>
          </w:tcPr>
          <w:p w:rsidR="00A9706E" w:rsidRPr="00953A31" w:rsidRDefault="00A9706E" w:rsidP="00031B92">
            <w:pPr>
              <w:jc w:val="center"/>
              <w:rPr>
                <w:rFonts w:ascii="Calibri" w:eastAsia="Times New Roman" w:hAnsi="Calibri" w:cs="Times New Roman"/>
                <w:color w:val="000000"/>
                <w:lang w:eastAsia="en-GB"/>
              </w:rPr>
            </w:pPr>
            <w:r w:rsidRPr="00953A31">
              <w:rPr>
                <w:rFonts w:ascii="Calibri" w:eastAsia="Times New Roman" w:hAnsi="Calibri" w:cs="Times New Roman"/>
                <w:color w:val="000000"/>
                <w:lang w:eastAsia="en-GB"/>
              </w:rPr>
              <w:t>295</w:t>
            </w:r>
          </w:p>
        </w:tc>
      </w:tr>
      <w:tr w:rsidR="00A9706E" w:rsidRPr="00953A31" w:rsidTr="00031B92">
        <w:trPr>
          <w:trHeight w:val="300"/>
          <w:jc w:val="center"/>
        </w:trPr>
        <w:tc>
          <w:tcPr>
            <w:tcW w:w="940" w:type="dxa"/>
            <w:noWrap/>
            <w:vAlign w:val="center"/>
            <w:hideMark/>
          </w:tcPr>
          <w:p w:rsidR="00A9706E" w:rsidRPr="00953A31" w:rsidRDefault="00A9706E" w:rsidP="00031B92">
            <w:pPr>
              <w:jc w:val="center"/>
              <w:rPr>
                <w:rFonts w:ascii="Calibri" w:eastAsia="Times New Roman" w:hAnsi="Calibri" w:cs="Times New Roman"/>
                <w:color w:val="000000"/>
                <w:lang w:eastAsia="en-GB"/>
              </w:rPr>
            </w:pPr>
            <w:r w:rsidRPr="00953A31">
              <w:rPr>
                <w:rFonts w:ascii="Calibri" w:eastAsia="Times New Roman" w:hAnsi="Calibri" w:cs="Times New Roman"/>
                <w:color w:val="000000"/>
                <w:lang w:eastAsia="en-GB"/>
              </w:rPr>
              <w:t>2004</w:t>
            </w:r>
          </w:p>
        </w:tc>
        <w:tc>
          <w:tcPr>
            <w:tcW w:w="1880" w:type="dxa"/>
            <w:noWrap/>
            <w:vAlign w:val="center"/>
            <w:hideMark/>
          </w:tcPr>
          <w:p w:rsidR="00A9706E" w:rsidRPr="00953A31" w:rsidRDefault="00A9706E" w:rsidP="00031B92">
            <w:pPr>
              <w:jc w:val="center"/>
              <w:rPr>
                <w:rFonts w:ascii="Calibri" w:eastAsia="Times New Roman" w:hAnsi="Calibri" w:cs="Times New Roman"/>
                <w:color w:val="000000"/>
                <w:lang w:eastAsia="en-GB"/>
              </w:rPr>
            </w:pPr>
            <w:r w:rsidRPr="00953A31">
              <w:rPr>
                <w:rFonts w:ascii="Calibri" w:eastAsia="Times New Roman" w:hAnsi="Calibri" w:cs="Times New Roman"/>
                <w:color w:val="000000"/>
                <w:lang w:eastAsia="en-GB"/>
              </w:rPr>
              <w:t>-2,979</w:t>
            </w:r>
          </w:p>
        </w:tc>
        <w:tc>
          <w:tcPr>
            <w:tcW w:w="1880" w:type="dxa"/>
            <w:noWrap/>
            <w:vAlign w:val="center"/>
            <w:hideMark/>
          </w:tcPr>
          <w:p w:rsidR="00A9706E" w:rsidRPr="00953A31" w:rsidRDefault="00A9706E" w:rsidP="00031B92">
            <w:pPr>
              <w:jc w:val="center"/>
              <w:rPr>
                <w:rFonts w:ascii="Calibri" w:eastAsia="Times New Roman" w:hAnsi="Calibri" w:cs="Times New Roman"/>
                <w:color w:val="000000"/>
                <w:lang w:eastAsia="en-GB"/>
              </w:rPr>
            </w:pPr>
            <w:r w:rsidRPr="00953A31">
              <w:rPr>
                <w:rFonts w:ascii="Calibri" w:eastAsia="Times New Roman" w:hAnsi="Calibri" w:cs="Times New Roman"/>
                <w:color w:val="000000"/>
                <w:lang w:eastAsia="en-GB"/>
              </w:rPr>
              <w:t>3,917</w:t>
            </w:r>
          </w:p>
        </w:tc>
        <w:tc>
          <w:tcPr>
            <w:tcW w:w="1460" w:type="dxa"/>
            <w:noWrap/>
            <w:vAlign w:val="center"/>
            <w:hideMark/>
          </w:tcPr>
          <w:p w:rsidR="00A9706E" w:rsidRPr="00953A31" w:rsidRDefault="00A9706E" w:rsidP="00031B92">
            <w:pPr>
              <w:jc w:val="center"/>
              <w:rPr>
                <w:rFonts w:ascii="Calibri" w:eastAsia="Times New Roman" w:hAnsi="Calibri" w:cs="Times New Roman"/>
                <w:color w:val="000000"/>
                <w:lang w:eastAsia="en-GB"/>
              </w:rPr>
            </w:pPr>
            <w:r w:rsidRPr="00953A31">
              <w:rPr>
                <w:rFonts w:ascii="Calibri" w:eastAsia="Times New Roman" w:hAnsi="Calibri" w:cs="Times New Roman"/>
                <w:color w:val="000000"/>
                <w:lang w:eastAsia="en-GB"/>
              </w:rPr>
              <w:t>938</w:t>
            </w:r>
          </w:p>
        </w:tc>
      </w:tr>
      <w:tr w:rsidR="00A9706E" w:rsidRPr="00953A31" w:rsidTr="00031B92">
        <w:trPr>
          <w:trHeight w:val="300"/>
          <w:jc w:val="center"/>
        </w:trPr>
        <w:tc>
          <w:tcPr>
            <w:tcW w:w="940" w:type="dxa"/>
            <w:noWrap/>
            <w:vAlign w:val="center"/>
            <w:hideMark/>
          </w:tcPr>
          <w:p w:rsidR="00A9706E" w:rsidRPr="00953A31" w:rsidRDefault="00A9706E" w:rsidP="00031B92">
            <w:pPr>
              <w:jc w:val="center"/>
              <w:rPr>
                <w:rFonts w:ascii="Calibri" w:eastAsia="Times New Roman" w:hAnsi="Calibri" w:cs="Times New Roman"/>
                <w:color w:val="000000"/>
                <w:lang w:eastAsia="en-GB"/>
              </w:rPr>
            </w:pPr>
            <w:r w:rsidRPr="00953A31">
              <w:rPr>
                <w:rFonts w:ascii="Calibri" w:eastAsia="Times New Roman" w:hAnsi="Calibri" w:cs="Times New Roman"/>
                <w:color w:val="000000"/>
                <w:lang w:eastAsia="en-GB"/>
              </w:rPr>
              <w:t>2005</w:t>
            </w:r>
          </w:p>
        </w:tc>
        <w:tc>
          <w:tcPr>
            <w:tcW w:w="1880" w:type="dxa"/>
            <w:noWrap/>
            <w:vAlign w:val="center"/>
            <w:hideMark/>
          </w:tcPr>
          <w:p w:rsidR="00A9706E" w:rsidRPr="00953A31" w:rsidRDefault="00A9706E" w:rsidP="00031B92">
            <w:pPr>
              <w:jc w:val="center"/>
              <w:rPr>
                <w:rFonts w:ascii="Calibri" w:eastAsia="Times New Roman" w:hAnsi="Calibri" w:cs="Times New Roman"/>
                <w:color w:val="000000"/>
                <w:lang w:eastAsia="en-GB"/>
              </w:rPr>
            </w:pPr>
            <w:r w:rsidRPr="00953A31">
              <w:rPr>
                <w:rFonts w:ascii="Calibri" w:eastAsia="Times New Roman" w:hAnsi="Calibri" w:cs="Times New Roman"/>
                <w:color w:val="000000"/>
                <w:lang w:eastAsia="en-GB"/>
              </w:rPr>
              <w:t>-2,388</w:t>
            </w:r>
          </w:p>
        </w:tc>
        <w:tc>
          <w:tcPr>
            <w:tcW w:w="1880" w:type="dxa"/>
            <w:noWrap/>
            <w:vAlign w:val="center"/>
            <w:hideMark/>
          </w:tcPr>
          <w:p w:rsidR="00A9706E" w:rsidRPr="00953A31" w:rsidRDefault="00A9706E" w:rsidP="00031B92">
            <w:pPr>
              <w:jc w:val="center"/>
              <w:rPr>
                <w:rFonts w:ascii="Calibri" w:eastAsia="Times New Roman" w:hAnsi="Calibri" w:cs="Times New Roman"/>
                <w:color w:val="000000"/>
                <w:lang w:eastAsia="en-GB"/>
              </w:rPr>
            </w:pPr>
            <w:r w:rsidRPr="00953A31">
              <w:rPr>
                <w:rFonts w:ascii="Calibri" w:eastAsia="Times New Roman" w:hAnsi="Calibri" w:cs="Times New Roman"/>
                <w:color w:val="000000"/>
                <w:lang w:eastAsia="en-GB"/>
              </w:rPr>
              <w:t>4,945</w:t>
            </w:r>
          </w:p>
        </w:tc>
        <w:tc>
          <w:tcPr>
            <w:tcW w:w="1460" w:type="dxa"/>
            <w:noWrap/>
            <w:vAlign w:val="center"/>
            <w:hideMark/>
          </w:tcPr>
          <w:p w:rsidR="00A9706E" w:rsidRPr="00953A31" w:rsidRDefault="00A9706E" w:rsidP="00031B92">
            <w:pPr>
              <w:jc w:val="center"/>
              <w:rPr>
                <w:rFonts w:ascii="Calibri" w:eastAsia="Times New Roman" w:hAnsi="Calibri" w:cs="Times New Roman"/>
                <w:color w:val="000000"/>
                <w:lang w:eastAsia="en-GB"/>
              </w:rPr>
            </w:pPr>
            <w:r w:rsidRPr="00953A31">
              <w:rPr>
                <w:rFonts w:ascii="Calibri" w:eastAsia="Times New Roman" w:hAnsi="Calibri" w:cs="Times New Roman"/>
                <w:color w:val="000000"/>
                <w:lang w:eastAsia="en-GB"/>
              </w:rPr>
              <w:t>2,557</w:t>
            </w:r>
          </w:p>
        </w:tc>
      </w:tr>
      <w:tr w:rsidR="00A9706E" w:rsidRPr="00953A31" w:rsidTr="00031B92">
        <w:trPr>
          <w:trHeight w:val="300"/>
          <w:jc w:val="center"/>
        </w:trPr>
        <w:tc>
          <w:tcPr>
            <w:tcW w:w="940" w:type="dxa"/>
            <w:noWrap/>
            <w:vAlign w:val="center"/>
            <w:hideMark/>
          </w:tcPr>
          <w:p w:rsidR="00A9706E" w:rsidRPr="00953A31" w:rsidRDefault="00A9706E" w:rsidP="00031B92">
            <w:pPr>
              <w:jc w:val="center"/>
              <w:rPr>
                <w:rFonts w:ascii="Calibri" w:eastAsia="Times New Roman" w:hAnsi="Calibri" w:cs="Times New Roman"/>
                <w:color w:val="000000"/>
                <w:lang w:eastAsia="en-GB"/>
              </w:rPr>
            </w:pPr>
            <w:r w:rsidRPr="00953A31">
              <w:rPr>
                <w:rFonts w:ascii="Calibri" w:eastAsia="Times New Roman" w:hAnsi="Calibri" w:cs="Times New Roman"/>
                <w:color w:val="000000"/>
                <w:lang w:eastAsia="en-GB"/>
              </w:rPr>
              <w:t>2006</w:t>
            </w:r>
          </w:p>
        </w:tc>
        <w:tc>
          <w:tcPr>
            <w:tcW w:w="1880" w:type="dxa"/>
            <w:noWrap/>
            <w:vAlign w:val="center"/>
            <w:hideMark/>
          </w:tcPr>
          <w:p w:rsidR="00A9706E" w:rsidRPr="00953A31" w:rsidRDefault="00A9706E" w:rsidP="00031B92">
            <w:pPr>
              <w:jc w:val="center"/>
              <w:rPr>
                <w:rFonts w:ascii="Calibri" w:eastAsia="Times New Roman" w:hAnsi="Calibri" w:cs="Times New Roman"/>
                <w:color w:val="000000"/>
                <w:lang w:eastAsia="en-GB"/>
              </w:rPr>
            </w:pPr>
            <w:r w:rsidRPr="00953A31">
              <w:rPr>
                <w:rFonts w:ascii="Calibri" w:eastAsia="Times New Roman" w:hAnsi="Calibri" w:cs="Times New Roman"/>
                <w:color w:val="000000"/>
                <w:lang w:eastAsia="en-GB"/>
              </w:rPr>
              <w:t>-1,538</w:t>
            </w:r>
          </w:p>
        </w:tc>
        <w:tc>
          <w:tcPr>
            <w:tcW w:w="1880" w:type="dxa"/>
            <w:noWrap/>
            <w:vAlign w:val="center"/>
            <w:hideMark/>
          </w:tcPr>
          <w:p w:rsidR="00A9706E" w:rsidRPr="00953A31" w:rsidRDefault="00A9706E" w:rsidP="00031B92">
            <w:pPr>
              <w:jc w:val="center"/>
              <w:rPr>
                <w:rFonts w:ascii="Calibri" w:eastAsia="Times New Roman" w:hAnsi="Calibri" w:cs="Times New Roman"/>
                <w:color w:val="000000"/>
                <w:lang w:eastAsia="en-GB"/>
              </w:rPr>
            </w:pPr>
            <w:r w:rsidRPr="00953A31">
              <w:rPr>
                <w:rFonts w:ascii="Calibri" w:eastAsia="Times New Roman" w:hAnsi="Calibri" w:cs="Times New Roman"/>
                <w:color w:val="000000"/>
                <w:lang w:eastAsia="en-GB"/>
              </w:rPr>
              <w:t>3,183</w:t>
            </w:r>
          </w:p>
        </w:tc>
        <w:tc>
          <w:tcPr>
            <w:tcW w:w="1460" w:type="dxa"/>
            <w:noWrap/>
            <w:vAlign w:val="center"/>
            <w:hideMark/>
          </w:tcPr>
          <w:p w:rsidR="00A9706E" w:rsidRPr="00953A31" w:rsidRDefault="00A9706E" w:rsidP="00031B92">
            <w:pPr>
              <w:jc w:val="center"/>
              <w:rPr>
                <w:rFonts w:ascii="Calibri" w:eastAsia="Times New Roman" w:hAnsi="Calibri" w:cs="Times New Roman"/>
                <w:color w:val="000000"/>
                <w:lang w:eastAsia="en-GB"/>
              </w:rPr>
            </w:pPr>
            <w:r w:rsidRPr="00953A31">
              <w:rPr>
                <w:rFonts w:ascii="Calibri" w:eastAsia="Times New Roman" w:hAnsi="Calibri" w:cs="Times New Roman"/>
                <w:color w:val="000000"/>
                <w:lang w:eastAsia="en-GB"/>
              </w:rPr>
              <w:t>1,645</w:t>
            </w:r>
          </w:p>
        </w:tc>
      </w:tr>
      <w:tr w:rsidR="00A9706E" w:rsidRPr="00953A31" w:rsidTr="00031B92">
        <w:trPr>
          <w:trHeight w:val="300"/>
          <w:jc w:val="center"/>
        </w:trPr>
        <w:tc>
          <w:tcPr>
            <w:tcW w:w="940" w:type="dxa"/>
            <w:noWrap/>
            <w:vAlign w:val="center"/>
            <w:hideMark/>
          </w:tcPr>
          <w:p w:rsidR="00A9706E" w:rsidRPr="00953A31" w:rsidRDefault="00A9706E" w:rsidP="00031B92">
            <w:pPr>
              <w:jc w:val="center"/>
              <w:rPr>
                <w:rFonts w:ascii="Calibri" w:eastAsia="Times New Roman" w:hAnsi="Calibri" w:cs="Times New Roman"/>
                <w:color w:val="000000"/>
                <w:lang w:eastAsia="en-GB"/>
              </w:rPr>
            </w:pPr>
            <w:r w:rsidRPr="00953A31">
              <w:rPr>
                <w:rFonts w:ascii="Calibri" w:eastAsia="Times New Roman" w:hAnsi="Calibri" w:cs="Times New Roman"/>
                <w:color w:val="000000"/>
                <w:lang w:eastAsia="en-GB"/>
              </w:rPr>
              <w:t>2007</w:t>
            </w:r>
          </w:p>
        </w:tc>
        <w:tc>
          <w:tcPr>
            <w:tcW w:w="1880" w:type="dxa"/>
            <w:noWrap/>
            <w:vAlign w:val="center"/>
            <w:hideMark/>
          </w:tcPr>
          <w:p w:rsidR="00A9706E" w:rsidRPr="00953A31" w:rsidRDefault="00A9706E" w:rsidP="00031B92">
            <w:pPr>
              <w:jc w:val="center"/>
              <w:rPr>
                <w:rFonts w:ascii="Calibri" w:eastAsia="Times New Roman" w:hAnsi="Calibri" w:cs="Times New Roman"/>
                <w:color w:val="000000"/>
                <w:lang w:eastAsia="en-GB"/>
              </w:rPr>
            </w:pPr>
            <w:r w:rsidRPr="00953A31">
              <w:rPr>
                <w:rFonts w:ascii="Calibri" w:eastAsia="Times New Roman" w:hAnsi="Calibri" w:cs="Times New Roman"/>
                <w:color w:val="000000"/>
                <w:lang w:eastAsia="en-GB"/>
              </w:rPr>
              <w:t>-2,096</w:t>
            </w:r>
          </w:p>
        </w:tc>
        <w:tc>
          <w:tcPr>
            <w:tcW w:w="1880" w:type="dxa"/>
            <w:noWrap/>
            <w:vAlign w:val="center"/>
            <w:hideMark/>
          </w:tcPr>
          <w:p w:rsidR="00A9706E" w:rsidRPr="00953A31" w:rsidRDefault="00A9706E" w:rsidP="00031B92">
            <w:pPr>
              <w:jc w:val="center"/>
              <w:rPr>
                <w:rFonts w:ascii="Calibri" w:eastAsia="Times New Roman" w:hAnsi="Calibri" w:cs="Times New Roman"/>
                <w:color w:val="000000"/>
                <w:lang w:eastAsia="en-GB"/>
              </w:rPr>
            </w:pPr>
            <w:r w:rsidRPr="00953A31">
              <w:rPr>
                <w:rFonts w:ascii="Calibri" w:eastAsia="Times New Roman" w:hAnsi="Calibri" w:cs="Times New Roman"/>
                <w:color w:val="000000"/>
                <w:lang w:eastAsia="en-GB"/>
              </w:rPr>
              <w:t>4,274</w:t>
            </w:r>
          </w:p>
        </w:tc>
        <w:tc>
          <w:tcPr>
            <w:tcW w:w="1460" w:type="dxa"/>
            <w:noWrap/>
            <w:vAlign w:val="center"/>
            <w:hideMark/>
          </w:tcPr>
          <w:p w:rsidR="00A9706E" w:rsidRPr="00953A31" w:rsidRDefault="00A9706E" w:rsidP="00031B92">
            <w:pPr>
              <w:jc w:val="center"/>
              <w:rPr>
                <w:rFonts w:ascii="Calibri" w:eastAsia="Times New Roman" w:hAnsi="Calibri" w:cs="Times New Roman"/>
                <w:color w:val="000000"/>
                <w:lang w:eastAsia="en-GB"/>
              </w:rPr>
            </w:pPr>
            <w:r w:rsidRPr="00953A31">
              <w:rPr>
                <w:rFonts w:ascii="Calibri" w:eastAsia="Times New Roman" w:hAnsi="Calibri" w:cs="Times New Roman"/>
                <w:color w:val="000000"/>
                <w:lang w:eastAsia="en-GB"/>
              </w:rPr>
              <w:t>2,178</w:t>
            </w:r>
          </w:p>
        </w:tc>
      </w:tr>
      <w:tr w:rsidR="00A9706E" w:rsidRPr="00953A31" w:rsidTr="00031B92">
        <w:trPr>
          <w:trHeight w:val="300"/>
          <w:jc w:val="center"/>
        </w:trPr>
        <w:tc>
          <w:tcPr>
            <w:tcW w:w="940" w:type="dxa"/>
            <w:noWrap/>
            <w:vAlign w:val="center"/>
            <w:hideMark/>
          </w:tcPr>
          <w:p w:rsidR="00A9706E" w:rsidRPr="00953A31" w:rsidRDefault="00A9706E" w:rsidP="00031B92">
            <w:pPr>
              <w:jc w:val="center"/>
              <w:rPr>
                <w:rFonts w:ascii="Calibri" w:eastAsia="Times New Roman" w:hAnsi="Calibri" w:cs="Times New Roman"/>
                <w:color w:val="000000"/>
                <w:lang w:eastAsia="en-GB"/>
              </w:rPr>
            </w:pPr>
            <w:r w:rsidRPr="00953A31">
              <w:rPr>
                <w:rFonts w:ascii="Calibri" w:eastAsia="Times New Roman" w:hAnsi="Calibri" w:cs="Times New Roman"/>
                <w:color w:val="000000"/>
                <w:lang w:eastAsia="en-GB"/>
              </w:rPr>
              <w:t>2008</w:t>
            </w:r>
          </w:p>
        </w:tc>
        <w:tc>
          <w:tcPr>
            <w:tcW w:w="1880" w:type="dxa"/>
            <w:noWrap/>
            <w:vAlign w:val="center"/>
            <w:hideMark/>
          </w:tcPr>
          <w:p w:rsidR="00A9706E" w:rsidRPr="00953A31" w:rsidRDefault="00A9706E" w:rsidP="00031B92">
            <w:pPr>
              <w:jc w:val="center"/>
              <w:rPr>
                <w:rFonts w:ascii="Calibri" w:eastAsia="Times New Roman" w:hAnsi="Calibri" w:cs="Times New Roman"/>
                <w:color w:val="000000"/>
                <w:lang w:eastAsia="en-GB"/>
              </w:rPr>
            </w:pPr>
            <w:r w:rsidRPr="00953A31">
              <w:rPr>
                <w:rFonts w:ascii="Calibri" w:eastAsia="Times New Roman" w:hAnsi="Calibri" w:cs="Times New Roman"/>
                <w:color w:val="000000"/>
                <w:lang w:eastAsia="en-GB"/>
              </w:rPr>
              <w:t>-2,537</w:t>
            </w:r>
          </w:p>
        </w:tc>
        <w:tc>
          <w:tcPr>
            <w:tcW w:w="1880" w:type="dxa"/>
            <w:noWrap/>
            <w:vAlign w:val="center"/>
            <w:hideMark/>
          </w:tcPr>
          <w:p w:rsidR="00A9706E" w:rsidRPr="00953A31" w:rsidRDefault="00A9706E" w:rsidP="00031B92">
            <w:pPr>
              <w:jc w:val="center"/>
              <w:rPr>
                <w:rFonts w:ascii="Calibri" w:eastAsia="Times New Roman" w:hAnsi="Calibri" w:cs="Times New Roman"/>
                <w:color w:val="000000"/>
                <w:lang w:eastAsia="en-GB"/>
              </w:rPr>
            </w:pPr>
            <w:r w:rsidRPr="00953A31">
              <w:rPr>
                <w:rFonts w:ascii="Calibri" w:eastAsia="Times New Roman" w:hAnsi="Calibri" w:cs="Times New Roman"/>
                <w:color w:val="000000"/>
                <w:lang w:eastAsia="en-GB"/>
              </w:rPr>
              <w:t>4,730</w:t>
            </w:r>
          </w:p>
        </w:tc>
        <w:tc>
          <w:tcPr>
            <w:tcW w:w="1460" w:type="dxa"/>
            <w:noWrap/>
            <w:vAlign w:val="center"/>
            <w:hideMark/>
          </w:tcPr>
          <w:p w:rsidR="00A9706E" w:rsidRPr="00953A31" w:rsidRDefault="00A9706E" w:rsidP="00031B92">
            <w:pPr>
              <w:jc w:val="center"/>
              <w:rPr>
                <w:rFonts w:ascii="Calibri" w:eastAsia="Times New Roman" w:hAnsi="Calibri" w:cs="Times New Roman"/>
                <w:color w:val="000000"/>
                <w:lang w:eastAsia="en-GB"/>
              </w:rPr>
            </w:pPr>
            <w:r w:rsidRPr="00953A31">
              <w:rPr>
                <w:rFonts w:ascii="Calibri" w:eastAsia="Times New Roman" w:hAnsi="Calibri" w:cs="Times New Roman"/>
                <w:color w:val="000000"/>
                <w:lang w:eastAsia="en-GB"/>
              </w:rPr>
              <w:t>2,193</w:t>
            </w:r>
          </w:p>
        </w:tc>
      </w:tr>
      <w:tr w:rsidR="00A9706E" w:rsidRPr="00953A31" w:rsidTr="00031B92">
        <w:trPr>
          <w:trHeight w:val="300"/>
          <w:jc w:val="center"/>
        </w:trPr>
        <w:tc>
          <w:tcPr>
            <w:tcW w:w="940" w:type="dxa"/>
            <w:noWrap/>
            <w:vAlign w:val="center"/>
            <w:hideMark/>
          </w:tcPr>
          <w:p w:rsidR="00A9706E" w:rsidRPr="00953A31" w:rsidRDefault="00A9706E" w:rsidP="00031B92">
            <w:pPr>
              <w:jc w:val="center"/>
              <w:rPr>
                <w:rFonts w:ascii="Calibri" w:eastAsia="Times New Roman" w:hAnsi="Calibri" w:cs="Times New Roman"/>
                <w:color w:val="000000"/>
                <w:lang w:eastAsia="en-GB"/>
              </w:rPr>
            </w:pPr>
            <w:r w:rsidRPr="00953A31">
              <w:rPr>
                <w:rFonts w:ascii="Calibri" w:eastAsia="Times New Roman" w:hAnsi="Calibri" w:cs="Times New Roman"/>
                <w:color w:val="000000"/>
                <w:lang w:eastAsia="en-GB"/>
              </w:rPr>
              <w:t>2009</w:t>
            </w:r>
          </w:p>
        </w:tc>
        <w:tc>
          <w:tcPr>
            <w:tcW w:w="1880" w:type="dxa"/>
            <w:noWrap/>
            <w:vAlign w:val="center"/>
            <w:hideMark/>
          </w:tcPr>
          <w:p w:rsidR="00A9706E" w:rsidRPr="00953A31" w:rsidRDefault="00A9706E" w:rsidP="00031B92">
            <w:pPr>
              <w:jc w:val="center"/>
              <w:rPr>
                <w:rFonts w:ascii="Calibri" w:eastAsia="Times New Roman" w:hAnsi="Calibri" w:cs="Times New Roman"/>
                <w:color w:val="000000"/>
                <w:lang w:eastAsia="en-GB"/>
              </w:rPr>
            </w:pPr>
            <w:r w:rsidRPr="00953A31">
              <w:rPr>
                <w:rFonts w:ascii="Calibri" w:eastAsia="Times New Roman" w:hAnsi="Calibri" w:cs="Times New Roman"/>
                <w:color w:val="000000"/>
                <w:lang w:eastAsia="en-GB"/>
              </w:rPr>
              <w:t>598</w:t>
            </w:r>
          </w:p>
        </w:tc>
        <w:tc>
          <w:tcPr>
            <w:tcW w:w="1880" w:type="dxa"/>
            <w:noWrap/>
            <w:vAlign w:val="center"/>
            <w:hideMark/>
          </w:tcPr>
          <w:p w:rsidR="00A9706E" w:rsidRPr="00953A31" w:rsidRDefault="00A9706E" w:rsidP="00031B92">
            <w:pPr>
              <w:jc w:val="center"/>
              <w:rPr>
                <w:rFonts w:ascii="Calibri" w:eastAsia="Times New Roman" w:hAnsi="Calibri" w:cs="Times New Roman"/>
                <w:color w:val="000000"/>
                <w:lang w:eastAsia="en-GB"/>
              </w:rPr>
            </w:pPr>
            <w:r w:rsidRPr="00953A31">
              <w:rPr>
                <w:rFonts w:ascii="Calibri" w:eastAsia="Times New Roman" w:hAnsi="Calibri" w:cs="Times New Roman"/>
                <w:color w:val="000000"/>
                <w:lang w:eastAsia="en-GB"/>
              </w:rPr>
              <w:t>3,886</w:t>
            </w:r>
          </w:p>
        </w:tc>
        <w:tc>
          <w:tcPr>
            <w:tcW w:w="1460" w:type="dxa"/>
            <w:noWrap/>
            <w:vAlign w:val="center"/>
            <w:hideMark/>
          </w:tcPr>
          <w:p w:rsidR="00A9706E" w:rsidRPr="00953A31" w:rsidRDefault="00A9706E" w:rsidP="00031B92">
            <w:pPr>
              <w:jc w:val="center"/>
              <w:rPr>
                <w:rFonts w:ascii="Calibri" w:eastAsia="Times New Roman" w:hAnsi="Calibri" w:cs="Times New Roman"/>
                <w:color w:val="000000"/>
                <w:lang w:eastAsia="en-GB"/>
              </w:rPr>
            </w:pPr>
            <w:r w:rsidRPr="00953A31">
              <w:rPr>
                <w:rFonts w:ascii="Calibri" w:eastAsia="Times New Roman" w:hAnsi="Calibri" w:cs="Times New Roman"/>
                <w:color w:val="000000"/>
                <w:lang w:eastAsia="en-GB"/>
              </w:rPr>
              <w:t>4,484</w:t>
            </w:r>
          </w:p>
        </w:tc>
      </w:tr>
      <w:tr w:rsidR="00A9706E" w:rsidRPr="00953A31" w:rsidTr="00031B92">
        <w:trPr>
          <w:trHeight w:val="300"/>
          <w:jc w:val="center"/>
        </w:trPr>
        <w:tc>
          <w:tcPr>
            <w:tcW w:w="940" w:type="dxa"/>
            <w:noWrap/>
            <w:vAlign w:val="center"/>
            <w:hideMark/>
          </w:tcPr>
          <w:p w:rsidR="00A9706E" w:rsidRPr="00953A31" w:rsidRDefault="00A9706E" w:rsidP="00031B92">
            <w:pPr>
              <w:jc w:val="center"/>
              <w:rPr>
                <w:rFonts w:ascii="Calibri" w:eastAsia="Times New Roman" w:hAnsi="Calibri" w:cs="Times New Roman"/>
                <w:color w:val="000000"/>
                <w:lang w:eastAsia="en-GB"/>
              </w:rPr>
            </w:pPr>
            <w:r w:rsidRPr="00953A31">
              <w:rPr>
                <w:rFonts w:ascii="Calibri" w:eastAsia="Times New Roman" w:hAnsi="Calibri" w:cs="Times New Roman"/>
                <w:color w:val="000000"/>
                <w:lang w:eastAsia="en-GB"/>
              </w:rPr>
              <w:t>2010</w:t>
            </w:r>
          </w:p>
        </w:tc>
        <w:tc>
          <w:tcPr>
            <w:tcW w:w="1880" w:type="dxa"/>
            <w:noWrap/>
            <w:vAlign w:val="center"/>
            <w:hideMark/>
          </w:tcPr>
          <w:p w:rsidR="00A9706E" w:rsidRPr="00953A31" w:rsidRDefault="00A9706E" w:rsidP="00031B92">
            <w:pPr>
              <w:jc w:val="center"/>
              <w:rPr>
                <w:rFonts w:ascii="Calibri" w:eastAsia="Times New Roman" w:hAnsi="Calibri" w:cs="Times New Roman"/>
                <w:color w:val="000000"/>
                <w:lang w:eastAsia="en-GB"/>
              </w:rPr>
            </w:pPr>
            <w:r w:rsidRPr="00953A31">
              <w:rPr>
                <w:rFonts w:ascii="Calibri" w:eastAsia="Times New Roman" w:hAnsi="Calibri" w:cs="Times New Roman"/>
                <w:color w:val="000000"/>
                <w:lang w:eastAsia="en-GB"/>
              </w:rPr>
              <w:t>-48</w:t>
            </w:r>
          </w:p>
        </w:tc>
        <w:tc>
          <w:tcPr>
            <w:tcW w:w="1880" w:type="dxa"/>
            <w:noWrap/>
            <w:vAlign w:val="center"/>
            <w:hideMark/>
          </w:tcPr>
          <w:p w:rsidR="00A9706E" w:rsidRPr="00953A31" w:rsidRDefault="00A9706E" w:rsidP="00031B92">
            <w:pPr>
              <w:jc w:val="center"/>
              <w:rPr>
                <w:rFonts w:ascii="Calibri" w:eastAsia="Times New Roman" w:hAnsi="Calibri" w:cs="Times New Roman"/>
                <w:color w:val="000000"/>
                <w:lang w:eastAsia="en-GB"/>
              </w:rPr>
            </w:pPr>
            <w:r w:rsidRPr="00953A31">
              <w:rPr>
                <w:rFonts w:ascii="Calibri" w:eastAsia="Times New Roman" w:hAnsi="Calibri" w:cs="Times New Roman"/>
                <w:color w:val="000000"/>
                <w:lang w:eastAsia="en-GB"/>
              </w:rPr>
              <w:t>3,392</w:t>
            </w:r>
          </w:p>
        </w:tc>
        <w:tc>
          <w:tcPr>
            <w:tcW w:w="1460" w:type="dxa"/>
            <w:noWrap/>
            <w:vAlign w:val="center"/>
            <w:hideMark/>
          </w:tcPr>
          <w:p w:rsidR="00A9706E" w:rsidRPr="00953A31" w:rsidRDefault="00A9706E" w:rsidP="00031B92">
            <w:pPr>
              <w:jc w:val="center"/>
              <w:rPr>
                <w:rFonts w:ascii="Calibri" w:eastAsia="Times New Roman" w:hAnsi="Calibri" w:cs="Times New Roman"/>
                <w:color w:val="000000"/>
                <w:lang w:eastAsia="en-GB"/>
              </w:rPr>
            </w:pPr>
            <w:r w:rsidRPr="00953A31">
              <w:rPr>
                <w:rFonts w:ascii="Calibri" w:eastAsia="Times New Roman" w:hAnsi="Calibri" w:cs="Times New Roman"/>
                <w:color w:val="000000"/>
                <w:lang w:eastAsia="en-GB"/>
              </w:rPr>
              <w:t>3,344</w:t>
            </w:r>
          </w:p>
        </w:tc>
      </w:tr>
      <w:tr w:rsidR="00A9706E" w:rsidRPr="00953A31" w:rsidTr="00031B92">
        <w:trPr>
          <w:trHeight w:val="300"/>
          <w:jc w:val="center"/>
        </w:trPr>
        <w:tc>
          <w:tcPr>
            <w:tcW w:w="940" w:type="dxa"/>
            <w:noWrap/>
            <w:vAlign w:val="center"/>
            <w:hideMark/>
          </w:tcPr>
          <w:p w:rsidR="00A9706E" w:rsidRPr="00953A31" w:rsidRDefault="00A9706E" w:rsidP="00031B92">
            <w:pPr>
              <w:jc w:val="center"/>
              <w:rPr>
                <w:rFonts w:ascii="Calibri" w:eastAsia="Times New Roman" w:hAnsi="Calibri" w:cs="Times New Roman"/>
                <w:color w:val="000000"/>
                <w:lang w:eastAsia="en-GB"/>
              </w:rPr>
            </w:pPr>
            <w:r w:rsidRPr="00953A31">
              <w:rPr>
                <w:rFonts w:ascii="Calibri" w:eastAsia="Times New Roman" w:hAnsi="Calibri" w:cs="Times New Roman"/>
                <w:color w:val="000000"/>
                <w:lang w:eastAsia="en-GB"/>
              </w:rPr>
              <w:t>2011</w:t>
            </w:r>
          </w:p>
        </w:tc>
        <w:tc>
          <w:tcPr>
            <w:tcW w:w="1880" w:type="dxa"/>
            <w:noWrap/>
            <w:vAlign w:val="center"/>
            <w:hideMark/>
          </w:tcPr>
          <w:p w:rsidR="00A9706E" w:rsidRPr="00953A31" w:rsidRDefault="00A9706E" w:rsidP="00031B92">
            <w:pPr>
              <w:jc w:val="center"/>
              <w:rPr>
                <w:rFonts w:ascii="Calibri" w:eastAsia="Times New Roman" w:hAnsi="Calibri" w:cs="Times New Roman"/>
                <w:color w:val="000000"/>
                <w:lang w:eastAsia="en-GB"/>
              </w:rPr>
            </w:pPr>
            <w:r w:rsidRPr="00953A31">
              <w:rPr>
                <w:rFonts w:ascii="Calibri" w:eastAsia="Times New Roman" w:hAnsi="Calibri" w:cs="Times New Roman"/>
                <w:color w:val="000000"/>
                <w:lang w:eastAsia="en-GB"/>
              </w:rPr>
              <w:t>-1,348</w:t>
            </w:r>
          </w:p>
        </w:tc>
        <w:tc>
          <w:tcPr>
            <w:tcW w:w="1880" w:type="dxa"/>
            <w:noWrap/>
            <w:vAlign w:val="center"/>
            <w:hideMark/>
          </w:tcPr>
          <w:p w:rsidR="00A9706E" w:rsidRPr="00953A31" w:rsidRDefault="00A9706E" w:rsidP="00031B92">
            <w:pPr>
              <w:jc w:val="center"/>
              <w:rPr>
                <w:rFonts w:ascii="Calibri" w:eastAsia="Times New Roman" w:hAnsi="Calibri" w:cs="Times New Roman"/>
                <w:color w:val="000000"/>
                <w:lang w:eastAsia="en-GB"/>
              </w:rPr>
            </w:pPr>
            <w:r w:rsidRPr="00953A31">
              <w:rPr>
                <w:rFonts w:ascii="Calibri" w:eastAsia="Times New Roman" w:hAnsi="Calibri" w:cs="Times New Roman"/>
                <w:color w:val="000000"/>
                <w:lang w:eastAsia="en-GB"/>
              </w:rPr>
              <w:t>4,982</w:t>
            </w:r>
          </w:p>
        </w:tc>
        <w:tc>
          <w:tcPr>
            <w:tcW w:w="1460" w:type="dxa"/>
            <w:noWrap/>
            <w:vAlign w:val="center"/>
            <w:hideMark/>
          </w:tcPr>
          <w:p w:rsidR="00A9706E" w:rsidRPr="00953A31" w:rsidRDefault="00A9706E" w:rsidP="00031B92">
            <w:pPr>
              <w:jc w:val="center"/>
              <w:rPr>
                <w:rFonts w:ascii="Calibri" w:eastAsia="Times New Roman" w:hAnsi="Calibri" w:cs="Times New Roman"/>
                <w:color w:val="000000"/>
                <w:lang w:eastAsia="en-GB"/>
              </w:rPr>
            </w:pPr>
            <w:r w:rsidRPr="00953A31">
              <w:rPr>
                <w:rFonts w:ascii="Calibri" w:eastAsia="Times New Roman" w:hAnsi="Calibri" w:cs="Times New Roman"/>
                <w:color w:val="000000"/>
                <w:lang w:eastAsia="en-GB"/>
              </w:rPr>
              <w:t>3,634</w:t>
            </w:r>
          </w:p>
        </w:tc>
      </w:tr>
      <w:tr w:rsidR="00A9706E" w:rsidRPr="00953A31" w:rsidTr="00031B92">
        <w:trPr>
          <w:trHeight w:val="300"/>
          <w:jc w:val="center"/>
        </w:trPr>
        <w:tc>
          <w:tcPr>
            <w:tcW w:w="940" w:type="dxa"/>
            <w:noWrap/>
            <w:vAlign w:val="center"/>
            <w:hideMark/>
          </w:tcPr>
          <w:p w:rsidR="00A9706E" w:rsidRPr="00953A31" w:rsidRDefault="00A9706E" w:rsidP="00046B75">
            <w:pPr>
              <w:jc w:val="center"/>
              <w:rPr>
                <w:lang w:eastAsia="en-GB"/>
              </w:rPr>
            </w:pPr>
            <w:r w:rsidRPr="00953A31">
              <w:rPr>
                <w:lang w:eastAsia="en-GB"/>
              </w:rPr>
              <w:t>2012</w:t>
            </w:r>
          </w:p>
        </w:tc>
        <w:tc>
          <w:tcPr>
            <w:tcW w:w="1880" w:type="dxa"/>
            <w:noWrap/>
            <w:vAlign w:val="center"/>
            <w:hideMark/>
          </w:tcPr>
          <w:p w:rsidR="00A9706E" w:rsidRPr="00953A31" w:rsidRDefault="00A9706E" w:rsidP="00031B92">
            <w:pPr>
              <w:jc w:val="center"/>
              <w:rPr>
                <w:lang w:eastAsia="en-GB"/>
              </w:rPr>
            </w:pPr>
            <w:r w:rsidRPr="00953A31">
              <w:rPr>
                <w:lang w:eastAsia="en-GB"/>
              </w:rPr>
              <w:t>-834</w:t>
            </w:r>
          </w:p>
        </w:tc>
        <w:tc>
          <w:tcPr>
            <w:tcW w:w="1880" w:type="dxa"/>
            <w:noWrap/>
            <w:vAlign w:val="center"/>
            <w:hideMark/>
          </w:tcPr>
          <w:p w:rsidR="00A9706E" w:rsidRPr="00953A31" w:rsidRDefault="00A9706E" w:rsidP="00031B92">
            <w:pPr>
              <w:jc w:val="center"/>
              <w:rPr>
                <w:lang w:eastAsia="en-GB"/>
              </w:rPr>
            </w:pPr>
            <w:r w:rsidRPr="00953A31">
              <w:rPr>
                <w:lang w:eastAsia="en-GB"/>
              </w:rPr>
              <w:t>3,905</w:t>
            </w:r>
          </w:p>
        </w:tc>
        <w:tc>
          <w:tcPr>
            <w:tcW w:w="1460" w:type="dxa"/>
            <w:noWrap/>
            <w:vAlign w:val="center"/>
            <w:hideMark/>
          </w:tcPr>
          <w:p w:rsidR="00A9706E" w:rsidRPr="00953A31" w:rsidRDefault="00A9706E" w:rsidP="00031B92">
            <w:pPr>
              <w:jc w:val="center"/>
              <w:rPr>
                <w:lang w:eastAsia="en-GB"/>
              </w:rPr>
            </w:pPr>
            <w:r w:rsidRPr="00953A31">
              <w:rPr>
                <w:lang w:eastAsia="en-GB"/>
              </w:rPr>
              <w:t>3,071</w:t>
            </w:r>
          </w:p>
        </w:tc>
      </w:tr>
      <w:tr w:rsidR="00A9706E" w:rsidRPr="00953A31" w:rsidTr="00031B92">
        <w:trPr>
          <w:trHeight w:val="300"/>
          <w:jc w:val="center"/>
        </w:trPr>
        <w:tc>
          <w:tcPr>
            <w:tcW w:w="940" w:type="dxa"/>
            <w:noWrap/>
            <w:vAlign w:val="center"/>
            <w:hideMark/>
          </w:tcPr>
          <w:p w:rsidR="00A9706E" w:rsidRPr="00953A31" w:rsidRDefault="00A9706E" w:rsidP="00046B75">
            <w:pPr>
              <w:jc w:val="center"/>
              <w:rPr>
                <w:lang w:eastAsia="en-GB"/>
              </w:rPr>
            </w:pPr>
            <w:r w:rsidRPr="00953A31">
              <w:rPr>
                <w:lang w:eastAsia="en-GB"/>
              </w:rPr>
              <w:t>2013</w:t>
            </w:r>
          </w:p>
        </w:tc>
        <w:tc>
          <w:tcPr>
            <w:tcW w:w="1880" w:type="dxa"/>
            <w:noWrap/>
            <w:vAlign w:val="center"/>
            <w:hideMark/>
          </w:tcPr>
          <w:p w:rsidR="00A9706E" w:rsidRPr="00953A31" w:rsidRDefault="00A9706E" w:rsidP="00031B92">
            <w:pPr>
              <w:jc w:val="center"/>
              <w:rPr>
                <w:lang w:eastAsia="en-GB"/>
              </w:rPr>
            </w:pPr>
            <w:r w:rsidRPr="00953A31">
              <w:rPr>
                <w:lang w:eastAsia="en-GB"/>
              </w:rPr>
              <w:t>-1,732</w:t>
            </w:r>
          </w:p>
        </w:tc>
        <w:tc>
          <w:tcPr>
            <w:tcW w:w="1880" w:type="dxa"/>
            <w:noWrap/>
            <w:vAlign w:val="center"/>
            <w:hideMark/>
          </w:tcPr>
          <w:p w:rsidR="00A9706E" w:rsidRPr="00953A31" w:rsidRDefault="00A9706E" w:rsidP="00031B92">
            <w:pPr>
              <w:jc w:val="center"/>
              <w:rPr>
                <w:lang w:eastAsia="en-GB"/>
              </w:rPr>
            </w:pPr>
            <w:r w:rsidRPr="00953A31">
              <w:rPr>
                <w:lang w:eastAsia="en-GB"/>
              </w:rPr>
              <w:t>3,912</w:t>
            </w:r>
          </w:p>
        </w:tc>
        <w:tc>
          <w:tcPr>
            <w:tcW w:w="1460" w:type="dxa"/>
            <w:noWrap/>
            <w:vAlign w:val="center"/>
            <w:hideMark/>
          </w:tcPr>
          <w:p w:rsidR="00A9706E" w:rsidRPr="00953A31" w:rsidRDefault="00A9706E" w:rsidP="00031B92">
            <w:pPr>
              <w:jc w:val="center"/>
              <w:rPr>
                <w:lang w:eastAsia="en-GB"/>
              </w:rPr>
            </w:pPr>
            <w:r w:rsidRPr="00953A31">
              <w:rPr>
                <w:lang w:eastAsia="en-GB"/>
              </w:rPr>
              <w:t>2,180</w:t>
            </w:r>
          </w:p>
        </w:tc>
      </w:tr>
    </w:tbl>
    <w:p w:rsidR="00A9706E" w:rsidRPr="004A7EA5" w:rsidRDefault="00A9706E" w:rsidP="00A9706E">
      <w:pPr>
        <w:spacing w:after="0" w:line="240" w:lineRule="auto"/>
        <w:jc w:val="both"/>
        <w:rPr>
          <w:rFonts w:ascii="Calibri" w:hAnsi="Calibri" w:cs="Calibri"/>
        </w:rPr>
      </w:pPr>
      <w:r w:rsidRPr="004A7EA5">
        <w:rPr>
          <w:rFonts w:ascii="Calibri" w:hAnsi="Calibri" w:cs="Calibri"/>
        </w:rPr>
        <w:t xml:space="preserve">Source: GLA, Net Migration and Natural Change, Region and </w:t>
      </w:r>
      <w:r>
        <w:rPr>
          <w:rFonts w:ascii="Calibri" w:hAnsi="Calibri" w:cs="Calibri"/>
        </w:rPr>
        <w:t>Borough</w:t>
      </w:r>
    </w:p>
    <w:p w:rsidR="00A9706E" w:rsidRDefault="00A9706E" w:rsidP="00A9706E">
      <w:pPr>
        <w:pStyle w:val="ListParagraph"/>
        <w:jc w:val="both"/>
      </w:pPr>
    </w:p>
    <w:p w:rsidR="00A9706E" w:rsidRDefault="00A9706E" w:rsidP="00A9706E">
      <w:pPr>
        <w:pStyle w:val="ListParagraph"/>
        <w:numPr>
          <w:ilvl w:val="0"/>
          <w:numId w:val="8"/>
        </w:numPr>
        <w:jc w:val="both"/>
      </w:pPr>
      <w:r>
        <w:t>Apart from 2009, net internal migration has been negative for every year since 2002. This means that more UK residents have been moving out of the Borough, than into it.</w:t>
      </w:r>
    </w:p>
    <w:p w:rsidR="00A9706E" w:rsidRDefault="00A9706E" w:rsidP="00A9706E">
      <w:pPr>
        <w:pStyle w:val="ListParagraph"/>
        <w:numPr>
          <w:ilvl w:val="0"/>
          <w:numId w:val="8"/>
        </w:numPr>
        <w:jc w:val="both"/>
      </w:pPr>
      <w:r>
        <w:t xml:space="preserve">International migration has been positive throughout this period. With an average annual net migration of 4,092 people into the Borough.  </w:t>
      </w:r>
    </w:p>
    <w:p w:rsidR="00A9706E" w:rsidRDefault="00A9706E" w:rsidP="00A9706E">
      <w:pPr>
        <w:pStyle w:val="ListParagraph"/>
        <w:numPr>
          <w:ilvl w:val="0"/>
          <w:numId w:val="8"/>
        </w:numPr>
        <w:jc w:val="both"/>
      </w:pPr>
      <w:r>
        <w:t>Throughout the period 2002-2013 net migration has been positive, meaning that migration has been a major driving force of population growth within the Borough.</w:t>
      </w:r>
    </w:p>
    <w:p w:rsidR="00A9706E" w:rsidRDefault="00A9706E" w:rsidP="00A9706E">
      <w:pPr>
        <w:pStyle w:val="ListParagraph"/>
        <w:numPr>
          <w:ilvl w:val="0"/>
          <w:numId w:val="8"/>
        </w:numPr>
        <w:jc w:val="both"/>
      </w:pPr>
      <w:r>
        <w:t xml:space="preserve">Although, since 2009 the total net migration figure has begun to reduce from 4,484 to 2,180 in 2013. </w:t>
      </w:r>
    </w:p>
    <w:p w:rsidR="00A9706E" w:rsidRDefault="00A9706E" w:rsidP="00A9706E">
      <w:pPr>
        <w:jc w:val="both"/>
      </w:pPr>
      <w:r>
        <w:t>The latest GLA projections provide an indication of the future net migration levels in Barnet</w:t>
      </w:r>
      <w:r>
        <w:rPr>
          <w:rStyle w:val="FootnoteReference"/>
        </w:rPr>
        <w:footnoteReference w:id="3"/>
      </w:r>
      <w:r>
        <w:t>.</w:t>
      </w:r>
    </w:p>
    <w:p w:rsidR="00A9706E" w:rsidRDefault="00A9706E" w:rsidP="00A9706E">
      <w:pPr>
        <w:pStyle w:val="ListParagraph"/>
        <w:numPr>
          <w:ilvl w:val="0"/>
          <w:numId w:val="11"/>
        </w:numPr>
        <w:jc w:val="both"/>
        <w:rPr>
          <w:rFonts w:ascii="Calibri" w:hAnsi="Calibri" w:cs="Calibri"/>
        </w:rPr>
      </w:pPr>
      <w:r w:rsidRPr="00E32763">
        <w:rPr>
          <w:rFonts w:ascii="Calibri" w:hAnsi="Calibri" w:cs="Calibri"/>
        </w:rPr>
        <w:t xml:space="preserve">During 2014-2023, there is a projected net migration of 5,626 people coming into the </w:t>
      </w:r>
      <w:r>
        <w:rPr>
          <w:rFonts w:ascii="Calibri" w:hAnsi="Calibri" w:cs="Calibri"/>
        </w:rPr>
        <w:t>Borough</w:t>
      </w:r>
      <w:r w:rsidRPr="00E32763">
        <w:rPr>
          <w:rFonts w:ascii="Calibri" w:hAnsi="Calibri" w:cs="Calibri"/>
        </w:rPr>
        <w:t xml:space="preserve">; this accounts 16.0% of total population growth over </w:t>
      </w:r>
      <w:r>
        <w:rPr>
          <w:rFonts w:ascii="Calibri" w:hAnsi="Calibri" w:cs="Calibri"/>
        </w:rPr>
        <w:t>this period.</w:t>
      </w:r>
    </w:p>
    <w:p w:rsidR="00A9706E" w:rsidRDefault="00A9706E" w:rsidP="00A9706E">
      <w:pPr>
        <w:pStyle w:val="ListParagraph"/>
        <w:numPr>
          <w:ilvl w:val="0"/>
          <w:numId w:val="11"/>
        </w:numPr>
        <w:jc w:val="both"/>
        <w:rPr>
          <w:rFonts w:ascii="Calibri" w:hAnsi="Calibri" w:cs="Calibri"/>
        </w:rPr>
      </w:pPr>
      <w:r w:rsidRPr="00E32763">
        <w:rPr>
          <w:rFonts w:ascii="Calibri" w:hAnsi="Calibri" w:cs="Calibri"/>
        </w:rPr>
        <w:t>After 2020, net migration is projected to begin decreasing, with an ag</w:t>
      </w:r>
      <w:r>
        <w:rPr>
          <w:rFonts w:ascii="Calibri" w:hAnsi="Calibri" w:cs="Calibri"/>
        </w:rPr>
        <w:t>gregated net migration of a loss of 4,216 people during 2024</w:t>
      </w:r>
      <w:r w:rsidRPr="00E32763">
        <w:rPr>
          <w:rFonts w:ascii="Calibri" w:hAnsi="Calibri" w:cs="Calibri"/>
        </w:rPr>
        <w:t>-2030.</w:t>
      </w:r>
      <w:r>
        <w:rPr>
          <w:rFonts w:ascii="Calibri" w:hAnsi="Calibri" w:cs="Calibri"/>
        </w:rPr>
        <w:t xml:space="preserve"> </w:t>
      </w:r>
    </w:p>
    <w:p w:rsidR="00A9706E" w:rsidRDefault="00A9706E" w:rsidP="00A9706E">
      <w:pPr>
        <w:pStyle w:val="ListParagraph"/>
        <w:numPr>
          <w:ilvl w:val="0"/>
          <w:numId w:val="11"/>
        </w:numPr>
        <w:jc w:val="both"/>
        <w:rPr>
          <w:rFonts w:ascii="Calibri" w:hAnsi="Calibri" w:cs="Calibri"/>
        </w:rPr>
      </w:pPr>
      <w:r>
        <w:rPr>
          <w:rFonts w:ascii="Calibri" w:hAnsi="Calibri" w:cs="Calibri"/>
        </w:rPr>
        <w:t xml:space="preserve">Research by the Office for National Statistics (ONS) suggests that during this time, international migration will remain positive; however there will be a higher number of people leaving the Borough through internal migration, making overall net migration negative. </w:t>
      </w:r>
    </w:p>
    <w:p w:rsidR="00A9706E" w:rsidRDefault="00A9706E" w:rsidP="00A9706E">
      <w:pPr>
        <w:pStyle w:val="ListParagraph"/>
        <w:numPr>
          <w:ilvl w:val="0"/>
          <w:numId w:val="11"/>
        </w:numPr>
        <w:jc w:val="both"/>
        <w:rPr>
          <w:rFonts w:ascii="Calibri" w:hAnsi="Calibri" w:cs="Calibri"/>
        </w:rPr>
      </w:pPr>
      <w:r>
        <w:rPr>
          <w:rFonts w:ascii="Calibri" w:hAnsi="Calibri" w:cs="Calibri"/>
        </w:rPr>
        <w:t xml:space="preserve">A 2014 report by the ONS </w:t>
      </w:r>
      <w:r w:rsidRPr="00BF2094">
        <w:rPr>
          <w:rFonts w:ascii="Calibri" w:hAnsi="Calibri" w:cs="Calibri"/>
          <w:i/>
        </w:rPr>
        <w:t>Internal Migration, England and Wales, Year Ending June 2013</w:t>
      </w:r>
      <w:r>
        <w:rPr>
          <w:rFonts w:ascii="Calibri" w:hAnsi="Calibri" w:cs="Calibri"/>
        </w:rPr>
        <w:t xml:space="preserve"> found that as people reach 30 and above, more people move out of London than into it. The report suggests that the drivers of this could be:</w:t>
      </w:r>
    </w:p>
    <w:p w:rsidR="00A9706E" w:rsidRDefault="00A9706E" w:rsidP="00A9706E">
      <w:pPr>
        <w:pStyle w:val="ListParagraph"/>
        <w:numPr>
          <w:ilvl w:val="1"/>
          <w:numId w:val="11"/>
        </w:numPr>
        <w:jc w:val="both"/>
        <w:rPr>
          <w:rFonts w:ascii="Calibri" w:hAnsi="Calibri" w:cs="Calibri"/>
        </w:rPr>
      </w:pPr>
      <w:r w:rsidRPr="00CD1FEB">
        <w:rPr>
          <w:rFonts w:ascii="Calibri" w:hAnsi="Calibri" w:cs="Calibri"/>
        </w:rPr>
        <w:lastRenderedPageBreak/>
        <w:t xml:space="preserve">The cost of housing - Young couples wishing to buy their first house, or a larger one for a growing family, may find prices in London prohibitively expensive and therefore choose to live outside of London. </w:t>
      </w:r>
    </w:p>
    <w:p w:rsidR="00A9706E" w:rsidRPr="00BF2094" w:rsidRDefault="00A9706E" w:rsidP="00A9706E">
      <w:pPr>
        <w:pStyle w:val="ListParagraph"/>
        <w:numPr>
          <w:ilvl w:val="1"/>
          <w:numId w:val="11"/>
        </w:numPr>
        <w:jc w:val="both"/>
        <w:rPr>
          <w:rFonts w:ascii="Calibri" w:hAnsi="Calibri" w:cs="Calibri"/>
        </w:rPr>
      </w:pPr>
      <w:r w:rsidRPr="00BF2094">
        <w:rPr>
          <w:rFonts w:ascii="Calibri" w:hAnsi="Calibri" w:cs="Calibri"/>
        </w:rPr>
        <w:t>People</w:t>
      </w:r>
      <w:r>
        <w:rPr>
          <w:rFonts w:ascii="Calibri" w:hAnsi="Calibri" w:cs="Calibri"/>
        </w:rPr>
        <w:t xml:space="preserve"> moving out of London to raise a family. </w:t>
      </w:r>
      <w:r w:rsidRPr="00BF2094">
        <w:rPr>
          <w:rFonts w:ascii="Calibri" w:hAnsi="Calibri" w:cs="Calibri"/>
        </w:rPr>
        <w:t xml:space="preserve">This could be because they are looking for somewhere more rural and quieter, and may also perceive that a less urban neighbourhood offers a better social and educational environment for children. </w:t>
      </w:r>
    </w:p>
    <w:p w:rsidR="00A9706E" w:rsidRDefault="00A9706E" w:rsidP="00A9706E">
      <w:pPr>
        <w:spacing w:after="0" w:line="240" w:lineRule="auto"/>
        <w:jc w:val="both"/>
        <w:rPr>
          <w:rFonts w:ascii="Calibri" w:hAnsi="Calibri" w:cs="Calibri"/>
        </w:rPr>
      </w:pPr>
      <w:r>
        <w:rPr>
          <w:rFonts w:ascii="Calibri" w:hAnsi="Calibri" w:cs="Calibri"/>
        </w:rPr>
        <w:t xml:space="preserve">Table 2-12 displays the population projections for the period 2015-2030, with the drivers of growth (births, deaths and net migration) shown against them. </w:t>
      </w:r>
    </w:p>
    <w:p w:rsidR="00A9706E" w:rsidRDefault="00A9706E" w:rsidP="00A9706E">
      <w:pPr>
        <w:spacing w:after="0" w:line="240" w:lineRule="auto"/>
        <w:jc w:val="both"/>
        <w:rPr>
          <w:rFonts w:ascii="Calibri" w:hAnsi="Calibri" w:cs="Calibri"/>
        </w:rPr>
      </w:pPr>
    </w:p>
    <w:p w:rsidR="00A9706E" w:rsidRPr="002E169A" w:rsidRDefault="00A9706E" w:rsidP="00A9706E">
      <w:pPr>
        <w:pStyle w:val="Caption"/>
        <w:rPr>
          <w:rFonts w:ascii="Calibri" w:hAnsi="Calibri" w:cs="Calibri"/>
          <w:b w:val="0"/>
          <w:i/>
        </w:rPr>
      </w:pPr>
      <w:r>
        <w:t xml:space="preserve">Table </w:t>
      </w:r>
      <w:fldSimple w:instr=" STYLEREF 1 \s ">
        <w:r w:rsidR="001663C2">
          <w:rPr>
            <w:noProof/>
          </w:rPr>
          <w:t>2</w:t>
        </w:r>
      </w:fldSimple>
      <w:r>
        <w:noBreakHyphen/>
      </w:r>
      <w:fldSimple w:instr=" SEQ Table \* ARABIC \s 1 ">
        <w:r w:rsidR="001663C2">
          <w:rPr>
            <w:noProof/>
          </w:rPr>
          <w:t>12</w:t>
        </w:r>
      </w:fldSimple>
      <w:r w:rsidRPr="00B217DD">
        <w:rPr>
          <w:rFonts w:cs="Calibri"/>
        </w:rPr>
        <w:t>: Population Projections by Drivers of Growth (2015-2030)</w:t>
      </w:r>
    </w:p>
    <w:tbl>
      <w:tblPr>
        <w:tblW w:w="7454" w:type="dxa"/>
        <w:jc w:val="center"/>
        <w:tblInd w:w="91" w:type="dxa"/>
        <w:tblLook w:val="04A0" w:firstRow="1" w:lastRow="0" w:firstColumn="1" w:lastColumn="0" w:noHBand="0" w:noVBand="1"/>
      </w:tblPr>
      <w:tblGrid>
        <w:gridCol w:w="960"/>
        <w:gridCol w:w="1480"/>
        <w:gridCol w:w="960"/>
        <w:gridCol w:w="960"/>
        <w:gridCol w:w="1800"/>
        <w:gridCol w:w="1294"/>
      </w:tblGrid>
      <w:tr w:rsidR="00A9706E" w:rsidRPr="00471ECA" w:rsidTr="00031B92">
        <w:trPr>
          <w:trHeight w:val="612"/>
          <w:jc w:val="center"/>
        </w:trPr>
        <w:tc>
          <w:tcPr>
            <w:tcW w:w="960" w:type="dxa"/>
            <w:tcBorders>
              <w:top w:val="single" w:sz="8" w:space="0" w:color="auto"/>
              <w:left w:val="single" w:sz="8" w:space="0" w:color="auto"/>
              <w:bottom w:val="single" w:sz="8" w:space="0" w:color="auto"/>
              <w:right w:val="single" w:sz="8" w:space="0" w:color="auto"/>
            </w:tcBorders>
            <w:shd w:val="clear" w:color="auto" w:fill="BFBFBF" w:themeFill="background1" w:themeFillShade="BF"/>
            <w:noWrap/>
            <w:vAlign w:val="center"/>
            <w:hideMark/>
          </w:tcPr>
          <w:p w:rsidR="00A9706E" w:rsidRPr="00471ECA" w:rsidRDefault="00A9706E" w:rsidP="00031B92">
            <w:pPr>
              <w:spacing w:after="0" w:line="240" w:lineRule="auto"/>
              <w:jc w:val="center"/>
              <w:rPr>
                <w:rFonts w:ascii="Calibri" w:eastAsia="Times New Roman" w:hAnsi="Calibri" w:cs="Arial"/>
                <w:b/>
                <w:bCs/>
                <w:color w:val="000000"/>
                <w:lang w:eastAsia="en-GB"/>
              </w:rPr>
            </w:pPr>
            <w:r w:rsidRPr="00471ECA">
              <w:rPr>
                <w:rFonts w:ascii="Calibri" w:eastAsia="Times New Roman" w:hAnsi="Calibri" w:cs="Arial"/>
                <w:b/>
                <w:bCs/>
                <w:color w:val="000000"/>
                <w:lang w:eastAsia="en-GB"/>
              </w:rPr>
              <w:t>Year</w:t>
            </w:r>
          </w:p>
        </w:tc>
        <w:tc>
          <w:tcPr>
            <w:tcW w:w="1480"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rsidR="00A9706E" w:rsidRPr="00471ECA" w:rsidRDefault="00A9706E" w:rsidP="00031B92">
            <w:pPr>
              <w:spacing w:after="0" w:line="240" w:lineRule="auto"/>
              <w:jc w:val="center"/>
              <w:rPr>
                <w:rFonts w:ascii="Calibri" w:eastAsia="Times New Roman" w:hAnsi="Calibri" w:cs="Arial"/>
                <w:b/>
                <w:bCs/>
                <w:color w:val="000000"/>
                <w:lang w:eastAsia="en-GB"/>
              </w:rPr>
            </w:pPr>
            <w:r w:rsidRPr="00471ECA">
              <w:rPr>
                <w:rFonts w:ascii="Calibri" w:eastAsia="Times New Roman" w:hAnsi="Calibri" w:cs="Arial"/>
                <w:b/>
                <w:bCs/>
                <w:color w:val="000000"/>
                <w:lang w:eastAsia="en-GB"/>
              </w:rPr>
              <w:t>Population Projections</w:t>
            </w:r>
          </w:p>
        </w:tc>
        <w:tc>
          <w:tcPr>
            <w:tcW w:w="960" w:type="dxa"/>
            <w:tcBorders>
              <w:top w:val="single" w:sz="8" w:space="0" w:color="auto"/>
              <w:left w:val="nil"/>
              <w:bottom w:val="single" w:sz="8" w:space="0" w:color="auto"/>
              <w:right w:val="single" w:sz="8" w:space="0" w:color="auto"/>
            </w:tcBorders>
            <w:shd w:val="clear" w:color="auto" w:fill="BFBFBF" w:themeFill="background1" w:themeFillShade="BF"/>
            <w:noWrap/>
            <w:vAlign w:val="center"/>
            <w:hideMark/>
          </w:tcPr>
          <w:p w:rsidR="00A9706E" w:rsidRPr="00471ECA" w:rsidRDefault="00A9706E" w:rsidP="00031B92">
            <w:pPr>
              <w:spacing w:after="0" w:line="240" w:lineRule="auto"/>
              <w:jc w:val="center"/>
              <w:rPr>
                <w:rFonts w:ascii="Calibri" w:eastAsia="Times New Roman" w:hAnsi="Calibri" w:cs="Arial"/>
                <w:b/>
                <w:bCs/>
                <w:color w:val="000000"/>
                <w:lang w:eastAsia="en-GB"/>
              </w:rPr>
            </w:pPr>
            <w:r w:rsidRPr="00471ECA">
              <w:rPr>
                <w:rFonts w:ascii="Calibri" w:eastAsia="Times New Roman" w:hAnsi="Calibri" w:cs="Arial"/>
                <w:b/>
                <w:bCs/>
                <w:color w:val="000000"/>
                <w:lang w:eastAsia="en-GB"/>
              </w:rPr>
              <w:t>Births</w:t>
            </w:r>
          </w:p>
        </w:tc>
        <w:tc>
          <w:tcPr>
            <w:tcW w:w="960" w:type="dxa"/>
            <w:tcBorders>
              <w:top w:val="single" w:sz="8" w:space="0" w:color="auto"/>
              <w:left w:val="nil"/>
              <w:bottom w:val="single" w:sz="8" w:space="0" w:color="auto"/>
              <w:right w:val="single" w:sz="8" w:space="0" w:color="auto"/>
            </w:tcBorders>
            <w:shd w:val="clear" w:color="auto" w:fill="BFBFBF" w:themeFill="background1" w:themeFillShade="BF"/>
            <w:noWrap/>
            <w:vAlign w:val="center"/>
            <w:hideMark/>
          </w:tcPr>
          <w:p w:rsidR="00A9706E" w:rsidRPr="00471ECA" w:rsidRDefault="00A9706E" w:rsidP="00031B92">
            <w:pPr>
              <w:spacing w:after="0" w:line="240" w:lineRule="auto"/>
              <w:jc w:val="center"/>
              <w:rPr>
                <w:rFonts w:ascii="Calibri" w:eastAsia="Times New Roman" w:hAnsi="Calibri" w:cs="Arial"/>
                <w:b/>
                <w:bCs/>
                <w:color w:val="000000"/>
                <w:lang w:eastAsia="en-GB"/>
              </w:rPr>
            </w:pPr>
            <w:r w:rsidRPr="00471ECA">
              <w:rPr>
                <w:rFonts w:ascii="Calibri" w:eastAsia="Times New Roman" w:hAnsi="Calibri" w:cs="Arial"/>
                <w:b/>
                <w:bCs/>
                <w:color w:val="000000"/>
                <w:lang w:eastAsia="en-GB"/>
              </w:rPr>
              <w:t>Deaths</w:t>
            </w:r>
          </w:p>
        </w:tc>
        <w:tc>
          <w:tcPr>
            <w:tcW w:w="1800"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rsidR="00A9706E" w:rsidRPr="00471ECA" w:rsidRDefault="00A9706E" w:rsidP="00031B92">
            <w:pPr>
              <w:spacing w:after="0" w:line="240" w:lineRule="auto"/>
              <w:jc w:val="center"/>
              <w:rPr>
                <w:rFonts w:ascii="Calibri" w:eastAsia="Times New Roman" w:hAnsi="Calibri" w:cs="Arial"/>
                <w:b/>
                <w:bCs/>
                <w:color w:val="000000"/>
                <w:lang w:eastAsia="en-GB"/>
              </w:rPr>
            </w:pPr>
            <w:r w:rsidRPr="00471ECA">
              <w:rPr>
                <w:rFonts w:ascii="Calibri" w:eastAsia="Times New Roman" w:hAnsi="Calibri" w:cs="Arial"/>
                <w:b/>
                <w:bCs/>
                <w:color w:val="000000"/>
                <w:lang w:eastAsia="en-GB"/>
              </w:rPr>
              <w:t>Natural Change (births - deaths)</w:t>
            </w:r>
          </w:p>
        </w:tc>
        <w:tc>
          <w:tcPr>
            <w:tcW w:w="1294" w:type="dxa"/>
            <w:tcBorders>
              <w:top w:val="single" w:sz="8" w:space="0" w:color="auto"/>
              <w:left w:val="nil"/>
              <w:bottom w:val="single" w:sz="8" w:space="0" w:color="auto"/>
              <w:right w:val="single" w:sz="8" w:space="0" w:color="auto"/>
            </w:tcBorders>
            <w:shd w:val="clear" w:color="auto" w:fill="BFBFBF" w:themeFill="background1" w:themeFillShade="BF"/>
            <w:noWrap/>
            <w:vAlign w:val="center"/>
            <w:hideMark/>
          </w:tcPr>
          <w:p w:rsidR="00A9706E" w:rsidRPr="00471ECA" w:rsidRDefault="00A9706E" w:rsidP="00031B92">
            <w:pPr>
              <w:spacing w:after="0" w:line="240" w:lineRule="auto"/>
              <w:jc w:val="center"/>
              <w:rPr>
                <w:rFonts w:ascii="Calibri" w:eastAsia="Times New Roman" w:hAnsi="Calibri" w:cs="Arial"/>
                <w:b/>
                <w:bCs/>
                <w:color w:val="000000"/>
                <w:lang w:eastAsia="en-GB"/>
              </w:rPr>
            </w:pPr>
            <w:r w:rsidRPr="00471ECA">
              <w:rPr>
                <w:rFonts w:ascii="Calibri" w:eastAsia="Times New Roman" w:hAnsi="Calibri" w:cs="Arial"/>
                <w:b/>
                <w:bCs/>
                <w:color w:val="000000"/>
                <w:lang w:eastAsia="en-GB"/>
              </w:rPr>
              <w:t>Net Migration</w:t>
            </w:r>
          </w:p>
        </w:tc>
      </w:tr>
      <w:tr w:rsidR="00A9706E" w:rsidRPr="00471ECA" w:rsidTr="00031B92">
        <w:trPr>
          <w:trHeight w:val="315"/>
          <w:jc w:val="center"/>
        </w:trPr>
        <w:tc>
          <w:tcPr>
            <w:tcW w:w="960" w:type="dxa"/>
            <w:tcBorders>
              <w:top w:val="nil"/>
              <w:left w:val="single" w:sz="8" w:space="0" w:color="auto"/>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2015</w:t>
            </w:r>
          </w:p>
        </w:tc>
        <w:tc>
          <w:tcPr>
            <w:tcW w:w="148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367,265</w:t>
            </w:r>
          </w:p>
        </w:tc>
        <w:tc>
          <w:tcPr>
            <w:tcW w:w="96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5,659</w:t>
            </w:r>
          </w:p>
        </w:tc>
        <w:tc>
          <w:tcPr>
            <w:tcW w:w="96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2,463</w:t>
            </w:r>
          </w:p>
        </w:tc>
        <w:tc>
          <w:tcPr>
            <w:tcW w:w="180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3,195</w:t>
            </w:r>
          </w:p>
        </w:tc>
        <w:tc>
          <w:tcPr>
            <w:tcW w:w="1294"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-412</w:t>
            </w:r>
          </w:p>
        </w:tc>
      </w:tr>
      <w:tr w:rsidR="00A9706E" w:rsidRPr="00471ECA" w:rsidTr="00031B92">
        <w:trPr>
          <w:trHeight w:val="315"/>
          <w:jc w:val="center"/>
        </w:trPr>
        <w:tc>
          <w:tcPr>
            <w:tcW w:w="960" w:type="dxa"/>
            <w:tcBorders>
              <w:top w:val="nil"/>
              <w:left w:val="single" w:sz="8" w:space="0" w:color="auto"/>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2016</w:t>
            </w:r>
          </w:p>
        </w:tc>
        <w:tc>
          <w:tcPr>
            <w:tcW w:w="148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369,887</w:t>
            </w:r>
          </w:p>
        </w:tc>
        <w:tc>
          <w:tcPr>
            <w:tcW w:w="96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5,637</w:t>
            </w:r>
          </w:p>
        </w:tc>
        <w:tc>
          <w:tcPr>
            <w:tcW w:w="96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2,437</w:t>
            </w:r>
          </w:p>
        </w:tc>
        <w:tc>
          <w:tcPr>
            <w:tcW w:w="180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3,200</w:t>
            </w:r>
          </w:p>
        </w:tc>
        <w:tc>
          <w:tcPr>
            <w:tcW w:w="1294"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-578</w:t>
            </w:r>
          </w:p>
        </w:tc>
      </w:tr>
      <w:tr w:rsidR="00A9706E" w:rsidRPr="00471ECA" w:rsidTr="00031B92">
        <w:trPr>
          <w:trHeight w:val="315"/>
          <w:jc w:val="center"/>
        </w:trPr>
        <w:tc>
          <w:tcPr>
            <w:tcW w:w="960" w:type="dxa"/>
            <w:tcBorders>
              <w:top w:val="nil"/>
              <w:left w:val="single" w:sz="8" w:space="0" w:color="auto"/>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2017</w:t>
            </w:r>
          </w:p>
        </w:tc>
        <w:tc>
          <w:tcPr>
            <w:tcW w:w="148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373,680</w:t>
            </w:r>
          </w:p>
        </w:tc>
        <w:tc>
          <w:tcPr>
            <w:tcW w:w="96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5,639</w:t>
            </w:r>
          </w:p>
        </w:tc>
        <w:tc>
          <w:tcPr>
            <w:tcW w:w="96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2,420</w:t>
            </w:r>
          </w:p>
        </w:tc>
        <w:tc>
          <w:tcPr>
            <w:tcW w:w="180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3,218</w:t>
            </w:r>
          </w:p>
        </w:tc>
        <w:tc>
          <w:tcPr>
            <w:tcW w:w="1294"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574</w:t>
            </w:r>
          </w:p>
        </w:tc>
      </w:tr>
      <w:tr w:rsidR="00A9706E" w:rsidRPr="00471ECA" w:rsidTr="00031B92">
        <w:trPr>
          <w:trHeight w:val="315"/>
          <w:jc w:val="center"/>
        </w:trPr>
        <w:tc>
          <w:tcPr>
            <w:tcW w:w="960" w:type="dxa"/>
            <w:tcBorders>
              <w:top w:val="nil"/>
              <w:left w:val="single" w:sz="8" w:space="0" w:color="auto"/>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2018</w:t>
            </w:r>
          </w:p>
        </w:tc>
        <w:tc>
          <w:tcPr>
            <w:tcW w:w="148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377,316</w:t>
            </w:r>
          </w:p>
        </w:tc>
        <w:tc>
          <w:tcPr>
            <w:tcW w:w="96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5,638</w:t>
            </w:r>
          </w:p>
        </w:tc>
        <w:tc>
          <w:tcPr>
            <w:tcW w:w="96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2,406</w:t>
            </w:r>
          </w:p>
        </w:tc>
        <w:tc>
          <w:tcPr>
            <w:tcW w:w="180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3,232</w:t>
            </w:r>
          </w:p>
        </w:tc>
        <w:tc>
          <w:tcPr>
            <w:tcW w:w="1294"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405</w:t>
            </w:r>
          </w:p>
        </w:tc>
      </w:tr>
      <w:tr w:rsidR="00A9706E" w:rsidRPr="00471ECA" w:rsidTr="00031B92">
        <w:trPr>
          <w:trHeight w:val="315"/>
          <w:jc w:val="center"/>
        </w:trPr>
        <w:tc>
          <w:tcPr>
            <w:tcW w:w="960" w:type="dxa"/>
            <w:tcBorders>
              <w:top w:val="nil"/>
              <w:left w:val="single" w:sz="8" w:space="0" w:color="auto"/>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2019</w:t>
            </w:r>
          </w:p>
        </w:tc>
        <w:tc>
          <w:tcPr>
            <w:tcW w:w="148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382,508</w:t>
            </w:r>
          </w:p>
        </w:tc>
        <w:tc>
          <w:tcPr>
            <w:tcW w:w="96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5,669</w:t>
            </w:r>
          </w:p>
        </w:tc>
        <w:tc>
          <w:tcPr>
            <w:tcW w:w="96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2,405</w:t>
            </w:r>
          </w:p>
        </w:tc>
        <w:tc>
          <w:tcPr>
            <w:tcW w:w="180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3,265</w:t>
            </w:r>
          </w:p>
        </w:tc>
        <w:tc>
          <w:tcPr>
            <w:tcW w:w="1294"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1,927</w:t>
            </w:r>
          </w:p>
        </w:tc>
      </w:tr>
      <w:tr w:rsidR="00A9706E" w:rsidRPr="00471ECA" w:rsidTr="00031B92">
        <w:trPr>
          <w:trHeight w:val="315"/>
          <w:jc w:val="center"/>
        </w:trPr>
        <w:tc>
          <w:tcPr>
            <w:tcW w:w="960" w:type="dxa"/>
            <w:tcBorders>
              <w:top w:val="nil"/>
              <w:left w:val="single" w:sz="8" w:space="0" w:color="auto"/>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2020</w:t>
            </w:r>
          </w:p>
        </w:tc>
        <w:tc>
          <w:tcPr>
            <w:tcW w:w="148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386,752</w:t>
            </w:r>
          </w:p>
        </w:tc>
        <w:tc>
          <w:tcPr>
            <w:tcW w:w="96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5,680</w:t>
            </w:r>
          </w:p>
        </w:tc>
        <w:tc>
          <w:tcPr>
            <w:tcW w:w="96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2,403</w:t>
            </w:r>
          </w:p>
        </w:tc>
        <w:tc>
          <w:tcPr>
            <w:tcW w:w="180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3,277</w:t>
            </w:r>
          </w:p>
        </w:tc>
        <w:tc>
          <w:tcPr>
            <w:tcW w:w="1294"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967</w:t>
            </w:r>
          </w:p>
        </w:tc>
      </w:tr>
      <w:tr w:rsidR="00A9706E" w:rsidRPr="00471ECA" w:rsidTr="00031B92">
        <w:trPr>
          <w:trHeight w:val="315"/>
          <w:jc w:val="center"/>
        </w:trPr>
        <w:tc>
          <w:tcPr>
            <w:tcW w:w="960" w:type="dxa"/>
            <w:tcBorders>
              <w:top w:val="nil"/>
              <w:left w:val="single" w:sz="8" w:space="0" w:color="auto"/>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2021</w:t>
            </w:r>
          </w:p>
        </w:tc>
        <w:tc>
          <w:tcPr>
            <w:tcW w:w="148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391,472</w:t>
            </w:r>
          </w:p>
        </w:tc>
        <w:tc>
          <w:tcPr>
            <w:tcW w:w="96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5,704</w:t>
            </w:r>
          </w:p>
        </w:tc>
        <w:tc>
          <w:tcPr>
            <w:tcW w:w="96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2,406</w:t>
            </w:r>
          </w:p>
        </w:tc>
        <w:tc>
          <w:tcPr>
            <w:tcW w:w="180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3,298</w:t>
            </w:r>
          </w:p>
        </w:tc>
        <w:tc>
          <w:tcPr>
            <w:tcW w:w="1294"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1,422</w:t>
            </w:r>
          </w:p>
        </w:tc>
      </w:tr>
      <w:tr w:rsidR="00A9706E" w:rsidRPr="00471ECA" w:rsidTr="00031B92">
        <w:trPr>
          <w:trHeight w:val="315"/>
          <w:jc w:val="center"/>
        </w:trPr>
        <w:tc>
          <w:tcPr>
            <w:tcW w:w="960" w:type="dxa"/>
            <w:tcBorders>
              <w:top w:val="nil"/>
              <w:left w:val="single" w:sz="8" w:space="0" w:color="auto"/>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2022</w:t>
            </w:r>
          </w:p>
        </w:tc>
        <w:tc>
          <w:tcPr>
            <w:tcW w:w="148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394,769</w:t>
            </w:r>
          </w:p>
        </w:tc>
        <w:tc>
          <w:tcPr>
            <w:tcW w:w="96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5,701</w:t>
            </w:r>
          </w:p>
        </w:tc>
        <w:tc>
          <w:tcPr>
            <w:tcW w:w="96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2,409</w:t>
            </w:r>
          </w:p>
        </w:tc>
        <w:tc>
          <w:tcPr>
            <w:tcW w:w="180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3,293</w:t>
            </w:r>
          </w:p>
        </w:tc>
        <w:tc>
          <w:tcPr>
            <w:tcW w:w="1294"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5</w:t>
            </w:r>
          </w:p>
        </w:tc>
      </w:tr>
      <w:tr w:rsidR="00A9706E" w:rsidRPr="00471ECA" w:rsidTr="00031B92">
        <w:trPr>
          <w:trHeight w:val="315"/>
          <w:jc w:val="center"/>
        </w:trPr>
        <w:tc>
          <w:tcPr>
            <w:tcW w:w="960" w:type="dxa"/>
            <w:tcBorders>
              <w:top w:val="nil"/>
              <w:left w:val="single" w:sz="8" w:space="0" w:color="auto"/>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2023</w:t>
            </w:r>
          </w:p>
        </w:tc>
        <w:tc>
          <w:tcPr>
            <w:tcW w:w="148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399,599</w:t>
            </w:r>
          </w:p>
        </w:tc>
        <w:tc>
          <w:tcPr>
            <w:tcW w:w="96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5,731</w:t>
            </w:r>
          </w:p>
        </w:tc>
        <w:tc>
          <w:tcPr>
            <w:tcW w:w="96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2,423</w:t>
            </w:r>
          </w:p>
        </w:tc>
        <w:tc>
          <w:tcPr>
            <w:tcW w:w="180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3,308</w:t>
            </w:r>
          </w:p>
        </w:tc>
        <w:tc>
          <w:tcPr>
            <w:tcW w:w="1294"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1,523</w:t>
            </w:r>
          </w:p>
        </w:tc>
      </w:tr>
      <w:tr w:rsidR="00A9706E" w:rsidRPr="00471ECA" w:rsidTr="00031B92">
        <w:trPr>
          <w:trHeight w:val="315"/>
          <w:jc w:val="center"/>
        </w:trPr>
        <w:tc>
          <w:tcPr>
            <w:tcW w:w="960" w:type="dxa"/>
            <w:tcBorders>
              <w:top w:val="nil"/>
              <w:left w:val="single" w:sz="8" w:space="0" w:color="auto"/>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2024</w:t>
            </w:r>
          </w:p>
        </w:tc>
        <w:tc>
          <w:tcPr>
            <w:tcW w:w="148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402,814</w:t>
            </w:r>
          </w:p>
        </w:tc>
        <w:tc>
          <w:tcPr>
            <w:tcW w:w="96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5,725</w:t>
            </w:r>
          </w:p>
        </w:tc>
        <w:tc>
          <w:tcPr>
            <w:tcW w:w="96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2,436</w:t>
            </w:r>
          </w:p>
        </w:tc>
        <w:tc>
          <w:tcPr>
            <w:tcW w:w="180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3,290</w:t>
            </w:r>
          </w:p>
        </w:tc>
        <w:tc>
          <w:tcPr>
            <w:tcW w:w="1294"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-75</w:t>
            </w:r>
          </w:p>
        </w:tc>
      </w:tr>
      <w:tr w:rsidR="00A9706E" w:rsidRPr="00471ECA" w:rsidTr="00031B92">
        <w:trPr>
          <w:trHeight w:val="315"/>
          <w:jc w:val="center"/>
        </w:trPr>
        <w:tc>
          <w:tcPr>
            <w:tcW w:w="960" w:type="dxa"/>
            <w:tcBorders>
              <w:top w:val="nil"/>
              <w:left w:val="single" w:sz="8" w:space="0" w:color="auto"/>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2025</w:t>
            </w:r>
          </w:p>
        </w:tc>
        <w:tc>
          <w:tcPr>
            <w:tcW w:w="148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406,341</w:t>
            </w:r>
          </w:p>
        </w:tc>
        <w:tc>
          <w:tcPr>
            <w:tcW w:w="96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5,725</w:t>
            </w:r>
          </w:p>
        </w:tc>
        <w:tc>
          <w:tcPr>
            <w:tcW w:w="96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2,455</w:t>
            </w:r>
          </w:p>
        </w:tc>
        <w:tc>
          <w:tcPr>
            <w:tcW w:w="180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3,270</w:t>
            </w:r>
          </w:p>
        </w:tc>
        <w:tc>
          <w:tcPr>
            <w:tcW w:w="1294"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257</w:t>
            </w:r>
          </w:p>
        </w:tc>
      </w:tr>
      <w:tr w:rsidR="00A9706E" w:rsidRPr="00471ECA" w:rsidTr="00031B92">
        <w:trPr>
          <w:trHeight w:val="315"/>
          <w:jc w:val="center"/>
        </w:trPr>
        <w:tc>
          <w:tcPr>
            <w:tcW w:w="960" w:type="dxa"/>
            <w:tcBorders>
              <w:top w:val="nil"/>
              <w:left w:val="single" w:sz="8" w:space="0" w:color="auto"/>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2026</w:t>
            </w:r>
          </w:p>
        </w:tc>
        <w:tc>
          <w:tcPr>
            <w:tcW w:w="148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409,063</w:t>
            </w:r>
          </w:p>
        </w:tc>
        <w:tc>
          <w:tcPr>
            <w:tcW w:w="96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5,710</w:t>
            </w:r>
          </w:p>
        </w:tc>
        <w:tc>
          <w:tcPr>
            <w:tcW w:w="96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2,478</w:t>
            </w:r>
          </w:p>
        </w:tc>
        <w:tc>
          <w:tcPr>
            <w:tcW w:w="180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3,232</w:t>
            </w:r>
          </w:p>
        </w:tc>
        <w:tc>
          <w:tcPr>
            <w:tcW w:w="1294"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-510</w:t>
            </w:r>
          </w:p>
        </w:tc>
      </w:tr>
      <w:tr w:rsidR="00A9706E" w:rsidRPr="00471ECA" w:rsidTr="00031B92">
        <w:trPr>
          <w:trHeight w:val="315"/>
          <w:jc w:val="center"/>
        </w:trPr>
        <w:tc>
          <w:tcPr>
            <w:tcW w:w="960" w:type="dxa"/>
            <w:tcBorders>
              <w:top w:val="nil"/>
              <w:left w:val="single" w:sz="8" w:space="0" w:color="auto"/>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2027</w:t>
            </w:r>
          </w:p>
        </w:tc>
        <w:tc>
          <w:tcPr>
            <w:tcW w:w="148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410,596</w:t>
            </w:r>
          </w:p>
        </w:tc>
        <w:tc>
          <w:tcPr>
            <w:tcW w:w="96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5,676</w:t>
            </w:r>
          </w:p>
        </w:tc>
        <w:tc>
          <w:tcPr>
            <w:tcW w:w="96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2,503</w:t>
            </w:r>
          </w:p>
        </w:tc>
        <w:tc>
          <w:tcPr>
            <w:tcW w:w="180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3,174</w:t>
            </w:r>
          </w:p>
        </w:tc>
        <w:tc>
          <w:tcPr>
            <w:tcW w:w="1294"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-1,640</w:t>
            </w:r>
          </w:p>
        </w:tc>
      </w:tr>
      <w:tr w:rsidR="00A9706E" w:rsidRPr="00471ECA" w:rsidTr="00031B92">
        <w:trPr>
          <w:trHeight w:val="315"/>
          <w:jc w:val="center"/>
        </w:trPr>
        <w:tc>
          <w:tcPr>
            <w:tcW w:w="960" w:type="dxa"/>
            <w:tcBorders>
              <w:top w:val="nil"/>
              <w:left w:val="single" w:sz="8" w:space="0" w:color="auto"/>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2028</w:t>
            </w:r>
          </w:p>
        </w:tc>
        <w:tc>
          <w:tcPr>
            <w:tcW w:w="148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412,959</w:t>
            </w:r>
          </w:p>
        </w:tc>
        <w:tc>
          <w:tcPr>
            <w:tcW w:w="96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5,660</w:t>
            </w:r>
          </w:p>
        </w:tc>
        <w:tc>
          <w:tcPr>
            <w:tcW w:w="96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2,535</w:t>
            </w:r>
          </w:p>
        </w:tc>
        <w:tc>
          <w:tcPr>
            <w:tcW w:w="180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3,125</w:t>
            </w:r>
          </w:p>
        </w:tc>
        <w:tc>
          <w:tcPr>
            <w:tcW w:w="1294"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-763</w:t>
            </w:r>
          </w:p>
        </w:tc>
      </w:tr>
      <w:tr w:rsidR="00A9706E" w:rsidRPr="00471ECA" w:rsidTr="00031B92">
        <w:trPr>
          <w:trHeight w:val="315"/>
          <w:jc w:val="center"/>
        </w:trPr>
        <w:tc>
          <w:tcPr>
            <w:tcW w:w="960" w:type="dxa"/>
            <w:tcBorders>
              <w:top w:val="nil"/>
              <w:left w:val="single" w:sz="8" w:space="0" w:color="auto"/>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2029</w:t>
            </w:r>
          </w:p>
        </w:tc>
        <w:tc>
          <w:tcPr>
            <w:tcW w:w="148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414,798</w:t>
            </w:r>
          </w:p>
        </w:tc>
        <w:tc>
          <w:tcPr>
            <w:tcW w:w="96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5,638</w:t>
            </w:r>
          </w:p>
        </w:tc>
        <w:tc>
          <w:tcPr>
            <w:tcW w:w="96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2,568</w:t>
            </w:r>
          </w:p>
        </w:tc>
        <w:tc>
          <w:tcPr>
            <w:tcW w:w="180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3,070</w:t>
            </w:r>
          </w:p>
        </w:tc>
        <w:tc>
          <w:tcPr>
            <w:tcW w:w="1294"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-1,231</w:t>
            </w:r>
          </w:p>
        </w:tc>
      </w:tr>
      <w:tr w:rsidR="00A9706E" w:rsidRPr="00471ECA" w:rsidTr="00031B92">
        <w:trPr>
          <w:trHeight w:val="315"/>
          <w:jc w:val="center"/>
        </w:trPr>
        <w:tc>
          <w:tcPr>
            <w:tcW w:w="960" w:type="dxa"/>
            <w:tcBorders>
              <w:top w:val="nil"/>
              <w:left w:val="single" w:sz="8" w:space="0" w:color="auto"/>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2030</w:t>
            </w:r>
          </w:p>
        </w:tc>
        <w:tc>
          <w:tcPr>
            <w:tcW w:w="148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417,573</w:t>
            </w:r>
          </w:p>
        </w:tc>
        <w:tc>
          <w:tcPr>
            <w:tcW w:w="96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5,635</w:t>
            </w:r>
          </w:p>
        </w:tc>
        <w:tc>
          <w:tcPr>
            <w:tcW w:w="96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2,607</w:t>
            </w:r>
          </w:p>
        </w:tc>
        <w:tc>
          <w:tcPr>
            <w:tcW w:w="1800"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3,028</w:t>
            </w:r>
          </w:p>
        </w:tc>
        <w:tc>
          <w:tcPr>
            <w:tcW w:w="1294" w:type="dxa"/>
            <w:tcBorders>
              <w:top w:val="nil"/>
              <w:left w:val="nil"/>
              <w:bottom w:val="single" w:sz="8" w:space="0" w:color="auto"/>
              <w:right w:val="single" w:sz="8" w:space="0" w:color="auto"/>
            </w:tcBorders>
            <w:shd w:val="clear" w:color="auto" w:fill="auto"/>
            <w:noWrap/>
            <w:vAlign w:val="bottom"/>
            <w:hideMark/>
          </w:tcPr>
          <w:p w:rsidR="00A9706E" w:rsidRPr="00471ECA" w:rsidRDefault="00A9706E" w:rsidP="00031B92">
            <w:pPr>
              <w:spacing w:after="0" w:line="240" w:lineRule="auto"/>
              <w:jc w:val="center"/>
              <w:rPr>
                <w:rFonts w:ascii="Calibri" w:eastAsia="Times New Roman" w:hAnsi="Calibri" w:cs="Arial"/>
                <w:color w:val="000000"/>
                <w:lang w:eastAsia="en-GB"/>
              </w:rPr>
            </w:pPr>
            <w:r w:rsidRPr="00471ECA">
              <w:rPr>
                <w:rFonts w:ascii="Calibri" w:eastAsia="Times New Roman" w:hAnsi="Calibri" w:cs="Arial"/>
                <w:color w:val="000000"/>
                <w:lang w:eastAsia="en-GB"/>
              </w:rPr>
              <w:t>-254</w:t>
            </w:r>
          </w:p>
        </w:tc>
      </w:tr>
    </w:tbl>
    <w:p w:rsidR="00A9706E" w:rsidRPr="002E41FC" w:rsidRDefault="00A9706E" w:rsidP="00A9706E">
      <w:pPr>
        <w:jc w:val="both"/>
        <w:rPr>
          <w:rFonts w:ascii="Calibri" w:hAnsi="Calibri" w:cs="Calibri"/>
        </w:rPr>
      </w:pPr>
      <w:r w:rsidRPr="002E41FC">
        <w:rPr>
          <w:rFonts w:ascii="Calibri" w:hAnsi="Calibri" w:cs="Calibri"/>
        </w:rPr>
        <w:t>Source: GLA Projections 2013</w:t>
      </w:r>
      <w:r>
        <w:rPr>
          <w:rFonts w:ascii="Calibri" w:hAnsi="Calibri" w:cs="Calibri"/>
        </w:rPr>
        <w:t xml:space="preserve"> </w:t>
      </w:r>
      <w:r>
        <w:t>(</w:t>
      </w:r>
      <w:r w:rsidRPr="005D3C22">
        <w:t>Preferred Option Projections</w:t>
      </w:r>
      <w:r>
        <w:t>)</w:t>
      </w:r>
    </w:p>
    <w:p w:rsidR="00A9706E" w:rsidRDefault="00A9706E" w:rsidP="00A9706E">
      <w:pPr>
        <w:pStyle w:val="ListParagraph"/>
        <w:numPr>
          <w:ilvl w:val="0"/>
          <w:numId w:val="12"/>
        </w:numPr>
        <w:jc w:val="both"/>
        <w:rPr>
          <w:rFonts w:ascii="Calibri" w:hAnsi="Calibri" w:cs="Calibri"/>
        </w:rPr>
      </w:pPr>
      <w:r>
        <w:rPr>
          <w:rFonts w:ascii="Calibri" w:hAnsi="Calibri" w:cs="Calibri"/>
        </w:rPr>
        <w:t>As can be seen by Figure 2-1</w:t>
      </w:r>
      <w:r w:rsidR="00C52CEE">
        <w:rPr>
          <w:rFonts w:ascii="Calibri" w:hAnsi="Calibri" w:cs="Calibri"/>
        </w:rPr>
        <w:t>4</w:t>
      </w:r>
      <w:r w:rsidRPr="002E41FC">
        <w:rPr>
          <w:rFonts w:ascii="Calibri" w:hAnsi="Calibri" w:cs="Calibri"/>
        </w:rPr>
        <w:t xml:space="preserve">, up until 2023, population growth within Barnet is projected to be driven by natural change and net migration. However, after 2023, more people are projected to leave the </w:t>
      </w:r>
      <w:r>
        <w:rPr>
          <w:rFonts w:ascii="Calibri" w:hAnsi="Calibri" w:cs="Calibri"/>
        </w:rPr>
        <w:t>Borough</w:t>
      </w:r>
      <w:r w:rsidRPr="002E41FC">
        <w:rPr>
          <w:rFonts w:ascii="Calibri" w:hAnsi="Calibri" w:cs="Calibri"/>
        </w:rPr>
        <w:t xml:space="preserve"> than enter it, resulting in growth being solely driven by natural change. </w:t>
      </w:r>
    </w:p>
    <w:p w:rsidR="00A9706E" w:rsidRPr="002E41FC" w:rsidRDefault="00A9706E" w:rsidP="00A9706E">
      <w:pPr>
        <w:pStyle w:val="ListParagraph"/>
        <w:numPr>
          <w:ilvl w:val="0"/>
          <w:numId w:val="12"/>
        </w:numPr>
        <w:jc w:val="both"/>
        <w:rPr>
          <w:rFonts w:ascii="Calibri" w:hAnsi="Calibri" w:cs="Calibri"/>
        </w:rPr>
      </w:pPr>
      <w:r>
        <w:rPr>
          <w:rFonts w:ascii="Calibri" w:hAnsi="Calibri" w:cs="Calibri"/>
        </w:rPr>
        <w:t>As the natural change remains relatively stable</w:t>
      </w:r>
      <w:r w:rsidRPr="002E41FC">
        <w:rPr>
          <w:rFonts w:ascii="Calibri" w:hAnsi="Calibri" w:cs="Calibri"/>
        </w:rPr>
        <w:t>, and net migration becomes negative,</w:t>
      </w:r>
      <w:r>
        <w:rPr>
          <w:rFonts w:ascii="Calibri" w:hAnsi="Calibri" w:cs="Calibri"/>
        </w:rPr>
        <w:t xml:space="preserve"> the rate of </w:t>
      </w:r>
      <w:r w:rsidRPr="002E41FC">
        <w:rPr>
          <w:rFonts w:ascii="Calibri" w:hAnsi="Calibri" w:cs="Calibri"/>
        </w:rPr>
        <w:t>population growth will</w:t>
      </w:r>
      <w:r>
        <w:rPr>
          <w:rFonts w:ascii="Calibri" w:hAnsi="Calibri" w:cs="Calibri"/>
        </w:rPr>
        <w:t xml:space="preserve"> slow down </w:t>
      </w:r>
      <w:r w:rsidRPr="002E41FC">
        <w:rPr>
          <w:rFonts w:ascii="Calibri" w:hAnsi="Calibri" w:cs="Calibri"/>
        </w:rPr>
        <w:t xml:space="preserve">after 2023. </w:t>
      </w:r>
    </w:p>
    <w:p w:rsidR="000120BC" w:rsidRDefault="000120BC" w:rsidP="00A9706E">
      <w:pPr>
        <w:pStyle w:val="Caption"/>
      </w:pPr>
    </w:p>
    <w:p w:rsidR="000120BC" w:rsidRDefault="000120BC" w:rsidP="00A9706E">
      <w:pPr>
        <w:pStyle w:val="Caption"/>
      </w:pPr>
    </w:p>
    <w:p w:rsidR="000120BC" w:rsidRDefault="000120BC" w:rsidP="00A9706E">
      <w:pPr>
        <w:pStyle w:val="Caption"/>
      </w:pPr>
    </w:p>
    <w:p w:rsidR="000120BC" w:rsidRDefault="000120BC" w:rsidP="00A9706E">
      <w:pPr>
        <w:pStyle w:val="Caption"/>
      </w:pPr>
    </w:p>
    <w:p w:rsidR="000120BC" w:rsidRDefault="000120BC" w:rsidP="00A9706E">
      <w:pPr>
        <w:pStyle w:val="Caption"/>
      </w:pPr>
    </w:p>
    <w:p w:rsidR="00A9706E" w:rsidRDefault="00A9706E" w:rsidP="00A9706E">
      <w:pPr>
        <w:pStyle w:val="Caption"/>
        <w:rPr>
          <w:rFonts w:ascii="Calibri" w:hAnsi="Calibri" w:cs="Calibri"/>
          <w:b w:val="0"/>
        </w:rPr>
      </w:pPr>
      <w:r>
        <w:lastRenderedPageBreak/>
        <w:t xml:space="preserve">Figure </w:t>
      </w:r>
      <w:fldSimple w:instr=" STYLEREF 1 \s ">
        <w:r w:rsidR="001663C2">
          <w:rPr>
            <w:noProof/>
          </w:rPr>
          <w:t>2</w:t>
        </w:r>
      </w:fldSimple>
      <w:r w:rsidR="00943DC2">
        <w:noBreakHyphen/>
      </w:r>
      <w:fldSimple w:instr=" SEQ Figure \* ARABIC \s 1 ">
        <w:r w:rsidR="001663C2">
          <w:rPr>
            <w:noProof/>
          </w:rPr>
          <w:t>14</w:t>
        </w:r>
      </w:fldSimple>
      <w:r w:rsidRPr="00B217DD">
        <w:rPr>
          <w:rFonts w:cs="Calibri"/>
        </w:rPr>
        <w:t>: Population Projections by Drivers of Growth (2015-2030)</w:t>
      </w:r>
    </w:p>
    <w:p w:rsidR="00A9706E" w:rsidRDefault="00A9706E" w:rsidP="00A9706E">
      <w:pPr>
        <w:spacing w:after="0" w:line="240" w:lineRule="auto"/>
        <w:ind w:right="-472"/>
        <w:jc w:val="both"/>
        <w:rPr>
          <w:rFonts w:ascii="Calibri" w:hAnsi="Calibri" w:cs="Calibri"/>
          <w:b/>
        </w:rPr>
      </w:pPr>
      <w:r>
        <w:rPr>
          <w:noProof/>
          <w:lang w:eastAsia="en-GB"/>
        </w:rPr>
        <w:drawing>
          <wp:inline distT="0" distB="0" distL="0" distR="0" wp14:anchorId="2D5E7097" wp14:editId="1B12175E">
            <wp:extent cx="5911702" cy="2402958"/>
            <wp:effectExtent l="0" t="0" r="13335" b="16510"/>
            <wp:docPr id="43028" name="Chart 430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A9706E" w:rsidRDefault="00A9706E" w:rsidP="00A9706E">
      <w:pPr>
        <w:jc w:val="both"/>
        <w:rPr>
          <w:rFonts w:ascii="Calibri" w:hAnsi="Calibri" w:cs="Calibri"/>
        </w:rPr>
      </w:pPr>
      <w:r w:rsidRPr="002E41FC">
        <w:rPr>
          <w:rFonts w:ascii="Calibri" w:hAnsi="Calibri" w:cs="Calibri"/>
        </w:rPr>
        <w:t>Source: GLA Projections 2013</w:t>
      </w:r>
      <w:r>
        <w:rPr>
          <w:rFonts w:ascii="Calibri" w:hAnsi="Calibri" w:cs="Calibri"/>
        </w:rPr>
        <w:t xml:space="preserve"> </w:t>
      </w:r>
      <w:r>
        <w:t>(</w:t>
      </w:r>
      <w:r w:rsidRPr="005D3C22">
        <w:t>Preferred Option Projections</w:t>
      </w:r>
      <w:r>
        <w:t>)</w:t>
      </w:r>
    </w:p>
    <w:p w:rsidR="00A9706E" w:rsidRDefault="00A9706E" w:rsidP="00A9706E">
      <w:pPr>
        <w:pStyle w:val="Heading3"/>
      </w:pPr>
      <w:r>
        <w:t>International Migration</w:t>
      </w:r>
    </w:p>
    <w:p w:rsidR="00A9706E" w:rsidRPr="00C50055" w:rsidRDefault="00A9706E" w:rsidP="00A9706E">
      <w:pPr>
        <w:jc w:val="both"/>
        <w:rPr>
          <w:bCs/>
        </w:rPr>
      </w:pPr>
      <w:r w:rsidRPr="00C50055">
        <w:rPr>
          <w:bCs/>
        </w:rPr>
        <w:t xml:space="preserve">National </w:t>
      </w:r>
      <w:r>
        <w:rPr>
          <w:bCs/>
        </w:rPr>
        <w:t>In</w:t>
      </w:r>
      <w:r w:rsidRPr="00C50055">
        <w:rPr>
          <w:bCs/>
        </w:rPr>
        <w:t>surance registrations of overseas nationals</w:t>
      </w:r>
      <w:r w:rsidR="00702B67">
        <w:rPr>
          <w:bCs/>
        </w:rPr>
        <w:t xml:space="preserve"> can be used</w:t>
      </w:r>
      <w:r w:rsidRPr="00C50055">
        <w:rPr>
          <w:bCs/>
        </w:rPr>
        <w:t xml:space="preserve"> as an indication of the nationality of international migrants. Figure </w:t>
      </w:r>
      <w:r>
        <w:rPr>
          <w:rFonts w:ascii="Calibri" w:hAnsi="Calibri" w:cs="Calibri"/>
        </w:rPr>
        <w:t>2-</w:t>
      </w:r>
      <w:r w:rsidRPr="00C50055">
        <w:rPr>
          <w:bCs/>
        </w:rPr>
        <w:t>1</w:t>
      </w:r>
      <w:r w:rsidR="00C52CEE">
        <w:rPr>
          <w:bCs/>
        </w:rPr>
        <w:t>5</w:t>
      </w:r>
      <w:r w:rsidRPr="00C50055">
        <w:rPr>
          <w:bCs/>
        </w:rPr>
        <w:t xml:space="preserve"> displays the National Insurance registrations of overseas nationals into Barnet, for the 2013/14 financial year. In total there were 9,406 national insurance registrations of overseas nationals during this period, which accounted for approximately 4.0% of the Barnet working age group. Romanians accounted for 19.6% of overseas migrations, followed by Polish workers who accounted for 9.2%. All other groups of new migrant overseas workers were relatively small which is why they are not displayed. </w:t>
      </w:r>
    </w:p>
    <w:p w:rsidR="00A9706E" w:rsidRPr="00B217DD" w:rsidRDefault="00A9706E" w:rsidP="00A9706E">
      <w:pPr>
        <w:pStyle w:val="Caption"/>
        <w:rPr>
          <w:rFonts w:cs="Calibri"/>
        </w:rPr>
      </w:pPr>
      <w:r>
        <w:t xml:space="preserve">Figure </w:t>
      </w:r>
      <w:fldSimple w:instr=" STYLEREF 1 \s ">
        <w:r w:rsidR="001663C2">
          <w:rPr>
            <w:noProof/>
          </w:rPr>
          <w:t>2</w:t>
        </w:r>
      </w:fldSimple>
      <w:r w:rsidR="00943DC2">
        <w:noBreakHyphen/>
      </w:r>
      <w:fldSimple w:instr=" SEQ Figure \* ARABIC \s 1 ">
        <w:r w:rsidR="001663C2">
          <w:rPr>
            <w:noProof/>
          </w:rPr>
          <w:t>15</w:t>
        </w:r>
      </w:fldSimple>
      <w:r w:rsidRPr="00B217DD">
        <w:rPr>
          <w:rFonts w:cs="Calibri"/>
        </w:rPr>
        <w:t>: Number of New Migrant Workers by their Country of Origin, 2013/14</w:t>
      </w:r>
    </w:p>
    <w:p w:rsidR="00A9706E" w:rsidRPr="00144797" w:rsidRDefault="00A9706E" w:rsidP="00A9706E">
      <w:pPr>
        <w:spacing w:after="0"/>
        <w:jc w:val="center"/>
        <w:rPr>
          <w:b/>
        </w:rPr>
      </w:pPr>
      <w:r w:rsidRPr="00144797">
        <w:rPr>
          <w:noProof/>
          <w:lang w:eastAsia="en-GB"/>
        </w:rPr>
        <w:drawing>
          <wp:inline distT="0" distB="0" distL="0" distR="0" wp14:anchorId="201721B4" wp14:editId="3274C4D7">
            <wp:extent cx="6039293" cy="2083981"/>
            <wp:effectExtent l="0" t="0" r="19050" b="12065"/>
            <wp:docPr id="43029" name="Chart 430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A9706E" w:rsidRPr="00754C41" w:rsidRDefault="00A9706E" w:rsidP="00A9706E">
      <w:pPr>
        <w:spacing w:after="0" w:line="240" w:lineRule="auto"/>
        <w:jc w:val="both"/>
        <w:rPr>
          <w:sz w:val="16"/>
          <w:szCs w:val="16"/>
        </w:rPr>
      </w:pPr>
      <w:r w:rsidRPr="0050388B">
        <w:t xml:space="preserve">Source: </w:t>
      </w:r>
      <w:r>
        <w:t xml:space="preserve">Department for Work and Pensions 2014; </w:t>
      </w:r>
      <w:r w:rsidRPr="0050388B">
        <w:t xml:space="preserve">National Insurance Number Registrations of Overseas Nationals, </w:t>
      </w:r>
      <w:r>
        <w:t>Borough</w:t>
      </w:r>
    </w:p>
    <w:p w:rsidR="00A9706E" w:rsidRDefault="00A9706E" w:rsidP="00A9706E">
      <w:pPr>
        <w:pStyle w:val="Heading2"/>
      </w:pPr>
      <w:bookmarkStart w:id="415" w:name="_Toc426723302"/>
      <w:bookmarkStart w:id="416" w:name="_Toc431225129"/>
      <w:r w:rsidRPr="00503E8F">
        <w:t>Disability</w:t>
      </w:r>
      <w:bookmarkEnd w:id="415"/>
      <w:bookmarkEnd w:id="416"/>
    </w:p>
    <w:p w:rsidR="00A9706E" w:rsidRDefault="00A9706E" w:rsidP="00A9706E">
      <w:pPr>
        <w:jc w:val="both"/>
      </w:pPr>
      <w:r>
        <w:t>In the 2011 Census, residents were asked to assess whether their day-to-day activities were either ‘Limited a lot’ or ‘Limited a little’ because of a health problem or disability. These include any problem related to old age, which has lasted, or is expected to last, at least 12 months.</w:t>
      </w:r>
    </w:p>
    <w:p w:rsidR="000120BC" w:rsidRDefault="000120BC" w:rsidP="00A9706E">
      <w:pPr>
        <w:pStyle w:val="Caption"/>
      </w:pPr>
    </w:p>
    <w:p w:rsidR="00A9706E" w:rsidRPr="00937EC1" w:rsidRDefault="00A9706E" w:rsidP="00A9706E">
      <w:pPr>
        <w:pStyle w:val="Caption"/>
        <w:rPr>
          <w:b w:val="0"/>
          <w:i/>
        </w:rPr>
      </w:pPr>
      <w:r>
        <w:lastRenderedPageBreak/>
        <w:t xml:space="preserve">Figure </w:t>
      </w:r>
      <w:fldSimple w:instr=" STYLEREF 1 \s ">
        <w:r w:rsidR="001663C2">
          <w:rPr>
            <w:noProof/>
          </w:rPr>
          <w:t>2</w:t>
        </w:r>
      </w:fldSimple>
      <w:r w:rsidR="00943DC2">
        <w:noBreakHyphen/>
      </w:r>
      <w:fldSimple w:instr=" SEQ Figure \* ARABIC \s 1 ">
        <w:r w:rsidR="001663C2">
          <w:rPr>
            <w:noProof/>
          </w:rPr>
          <w:t>16</w:t>
        </w:r>
      </w:fldSimple>
      <w:r w:rsidRPr="00B217DD">
        <w:rPr>
          <w:rFonts w:cs="Calibri"/>
        </w:rPr>
        <w:t xml:space="preserve">: Proportion of Population </w:t>
      </w:r>
      <w:r>
        <w:rPr>
          <w:rFonts w:cs="Calibri"/>
        </w:rPr>
        <w:t>who Self-Reported that their</w:t>
      </w:r>
      <w:r w:rsidRPr="00B217DD">
        <w:rPr>
          <w:rFonts w:cs="Calibri"/>
        </w:rPr>
        <w:t xml:space="preserve"> Activity is ‘Limited a lot or a little’ by Age (Barnet, Regional, and National)</w:t>
      </w:r>
    </w:p>
    <w:p w:rsidR="00A9706E" w:rsidRDefault="00A9706E" w:rsidP="00A9706E">
      <w:pPr>
        <w:spacing w:after="0" w:line="240" w:lineRule="auto"/>
        <w:jc w:val="both"/>
      </w:pPr>
      <w:r w:rsidRPr="00BD7C73">
        <w:rPr>
          <w:noProof/>
          <w:lang w:eastAsia="en-GB"/>
        </w:rPr>
        <w:drawing>
          <wp:inline distT="0" distB="0" distL="0" distR="0" wp14:anchorId="44B04CC3" wp14:editId="3A7DBAD1">
            <wp:extent cx="5937662" cy="1769423"/>
            <wp:effectExtent l="0" t="0" r="25400" b="21590"/>
            <wp:docPr id="43030"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A9706E" w:rsidRDefault="00A9706E" w:rsidP="00A9706E">
      <w:pPr>
        <w:spacing w:after="0" w:line="240" w:lineRule="auto"/>
        <w:jc w:val="both"/>
      </w:pPr>
      <w:r>
        <w:t>Source: 2011 Census</w:t>
      </w:r>
    </w:p>
    <w:p w:rsidR="00A9706E" w:rsidRDefault="00A9706E" w:rsidP="00A9706E">
      <w:pPr>
        <w:pStyle w:val="ListParagraph"/>
        <w:jc w:val="both"/>
      </w:pPr>
    </w:p>
    <w:p w:rsidR="00A9706E" w:rsidRDefault="00A9706E" w:rsidP="00A9706E">
      <w:pPr>
        <w:pStyle w:val="ListParagraph"/>
        <w:numPr>
          <w:ilvl w:val="0"/>
          <w:numId w:val="3"/>
        </w:numPr>
        <w:jc w:val="both"/>
      </w:pPr>
      <w:r>
        <w:t>As is expected, the proportion of people with disabilities increases as the age range increases.</w:t>
      </w:r>
    </w:p>
    <w:p w:rsidR="00A9706E" w:rsidRDefault="00A9706E" w:rsidP="00A9706E">
      <w:pPr>
        <w:pStyle w:val="ListParagraph"/>
        <w:numPr>
          <w:ilvl w:val="0"/>
          <w:numId w:val="3"/>
        </w:numPr>
        <w:jc w:val="both"/>
      </w:pPr>
      <w:r>
        <w:t>Across all ranges, Barnet has a lower proportion of people with disabilities compared to Outer London and England and Wales.</w:t>
      </w:r>
    </w:p>
    <w:p w:rsidR="00A9706E" w:rsidRDefault="00A9706E" w:rsidP="00A9706E">
      <w:pPr>
        <w:jc w:val="both"/>
      </w:pPr>
      <w:r>
        <w:t>By gender, there were more females aged 16 and above with disabilities than men. For those aged under 16, proportionally more males reported limitations in their day-to-day activities. This was the same across all geographical areas.</w:t>
      </w:r>
    </w:p>
    <w:p w:rsidR="00A9706E" w:rsidRDefault="00A9706E" w:rsidP="00A9706E">
      <w:pPr>
        <w:pStyle w:val="Caption"/>
        <w:rPr>
          <w:b w:val="0"/>
          <w:i/>
        </w:rPr>
      </w:pPr>
      <w:r>
        <w:t xml:space="preserve">Table </w:t>
      </w:r>
      <w:fldSimple w:instr=" STYLEREF 1 \s ">
        <w:r w:rsidR="001663C2">
          <w:rPr>
            <w:noProof/>
          </w:rPr>
          <w:t>2</w:t>
        </w:r>
      </w:fldSimple>
      <w:r>
        <w:noBreakHyphen/>
      </w:r>
      <w:fldSimple w:instr=" SEQ Table \* ARABIC \s 1 ">
        <w:r w:rsidR="001663C2">
          <w:rPr>
            <w:noProof/>
          </w:rPr>
          <w:t>13</w:t>
        </w:r>
      </w:fldSimple>
      <w:r w:rsidRPr="00B217DD">
        <w:rPr>
          <w:rFonts w:cs="Calibri"/>
        </w:rPr>
        <w:t>: Proportion of Population Whose Activity is ‘Limited a lot or a little’ by Age and Gender 2011 (Barnet, Regional, and National)</w:t>
      </w:r>
    </w:p>
    <w:tbl>
      <w:tblPr>
        <w:tblStyle w:val="TableGrid"/>
        <w:tblW w:w="0" w:type="auto"/>
        <w:jc w:val="center"/>
        <w:tblInd w:w="-998" w:type="dxa"/>
        <w:tblLook w:val="04A0" w:firstRow="1" w:lastRow="0" w:firstColumn="1" w:lastColumn="0" w:noHBand="0" w:noVBand="1"/>
      </w:tblPr>
      <w:tblGrid>
        <w:gridCol w:w="1931"/>
        <w:gridCol w:w="771"/>
        <w:gridCol w:w="890"/>
        <w:gridCol w:w="682"/>
        <w:gridCol w:w="890"/>
        <w:gridCol w:w="682"/>
        <w:gridCol w:w="890"/>
        <w:gridCol w:w="771"/>
        <w:gridCol w:w="890"/>
        <w:gridCol w:w="771"/>
        <w:gridCol w:w="890"/>
      </w:tblGrid>
      <w:tr w:rsidR="00A9706E" w:rsidRPr="002C1311" w:rsidTr="00031B92">
        <w:trPr>
          <w:jc w:val="center"/>
        </w:trPr>
        <w:tc>
          <w:tcPr>
            <w:tcW w:w="1931" w:type="dxa"/>
            <w:vMerge w:val="restart"/>
            <w:shd w:val="clear" w:color="auto" w:fill="BFBFBF" w:themeFill="background1" w:themeFillShade="BF"/>
            <w:vAlign w:val="center"/>
          </w:tcPr>
          <w:p w:rsidR="00A9706E" w:rsidRPr="002C1311" w:rsidRDefault="00A9706E" w:rsidP="00031B92">
            <w:pPr>
              <w:jc w:val="center"/>
              <w:rPr>
                <w:rFonts w:eastAsia="Times New Roman" w:cs="Arial"/>
                <w:b/>
                <w:bCs/>
                <w:lang w:eastAsia="en-GB"/>
              </w:rPr>
            </w:pPr>
            <w:r w:rsidRPr="002C1311">
              <w:rPr>
                <w:rFonts w:eastAsia="Times New Roman" w:cs="Arial"/>
                <w:b/>
                <w:bCs/>
                <w:lang w:eastAsia="en-GB"/>
              </w:rPr>
              <w:t>Area</w:t>
            </w:r>
          </w:p>
        </w:tc>
        <w:tc>
          <w:tcPr>
            <w:tcW w:w="1661" w:type="dxa"/>
            <w:gridSpan w:val="2"/>
            <w:shd w:val="clear" w:color="auto" w:fill="BFBFBF" w:themeFill="background1" w:themeFillShade="BF"/>
            <w:vAlign w:val="center"/>
          </w:tcPr>
          <w:p w:rsidR="00A9706E" w:rsidRPr="002C1311" w:rsidRDefault="00A9706E" w:rsidP="00031B92">
            <w:pPr>
              <w:jc w:val="center"/>
              <w:rPr>
                <w:rFonts w:eastAsia="Times New Roman" w:cs="Arial"/>
                <w:b/>
                <w:bCs/>
                <w:lang w:eastAsia="en-GB"/>
              </w:rPr>
            </w:pPr>
            <w:r w:rsidRPr="002C1311">
              <w:rPr>
                <w:rFonts w:eastAsia="Times New Roman" w:cs="Arial"/>
                <w:b/>
                <w:bCs/>
                <w:lang w:eastAsia="en-GB"/>
              </w:rPr>
              <w:t>All Ages</w:t>
            </w:r>
          </w:p>
        </w:tc>
        <w:tc>
          <w:tcPr>
            <w:tcW w:w="1572" w:type="dxa"/>
            <w:gridSpan w:val="2"/>
            <w:shd w:val="clear" w:color="auto" w:fill="BFBFBF" w:themeFill="background1" w:themeFillShade="BF"/>
            <w:vAlign w:val="center"/>
          </w:tcPr>
          <w:p w:rsidR="00A9706E" w:rsidRPr="002C1311" w:rsidRDefault="00A9706E" w:rsidP="00031B92">
            <w:pPr>
              <w:jc w:val="center"/>
              <w:rPr>
                <w:rFonts w:eastAsia="Times New Roman" w:cs="Arial"/>
                <w:b/>
                <w:bCs/>
                <w:lang w:eastAsia="en-GB"/>
              </w:rPr>
            </w:pPr>
            <w:r w:rsidRPr="002C1311">
              <w:rPr>
                <w:rFonts w:eastAsia="Times New Roman" w:cs="Arial"/>
                <w:b/>
                <w:bCs/>
                <w:lang w:eastAsia="en-GB"/>
              </w:rPr>
              <w:t>0 - 15</w:t>
            </w:r>
          </w:p>
        </w:tc>
        <w:tc>
          <w:tcPr>
            <w:tcW w:w="1572" w:type="dxa"/>
            <w:gridSpan w:val="2"/>
            <w:shd w:val="clear" w:color="auto" w:fill="BFBFBF" w:themeFill="background1" w:themeFillShade="BF"/>
            <w:vAlign w:val="center"/>
          </w:tcPr>
          <w:p w:rsidR="00A9706E" w:rsidRPr="002C1311" w:rsidRDefault="00A9706E" w:rsidP="00031B92">
            <w:pPr>
              <w:jc w:val="center"/>
              <w:rPr>
                <w:rFonts w:eastAsia="Times New Roman" w:cs="Arial"/>
                <w:b/>
                <w:bCs/>
                <w:lang w:eastAsia="en-GB"/>
              </w:rPr>
            </w:pPr>
            <w:r w:rsidRPr="002C1311">
              <w:rPr>
                <w:rFonts w:eastAsia="Times New Roman" w:cs="Arial"/>
                <w:b/>
                <w:bCs/>
                <w:lang w:eastAsia="en-GB"/>
              </w:rPr>
              <w:t>16 - 49</w:t>
            </w:r>
          </w:p>
        </w:tc>
        <w:tc>
          <w:tcPr>
            <w:tcW w:w="1661" w:type="dxa"/>
            <w:gridSpan w:val="2"/>
            <w:shd w:val="clear" w:color="auto" w:fill="BFBFBF" w:themeFill="background1" w:themeFillShade="BF"/>
            <w:vAlign w:val="center"/>
          </w:tcPr>
          <w:p w:rsidR="00A9706E" w:rsidRPr="002C1311" w:rsidRDefault="00A9706E" w:rsidP="00031B92">
            <w:pPr>
              <w:jc w:val="center"/>
              <w:rPr>
                <w:rFonts w:eastAsia="Times New Roman" w:cs="Arial"/>
                <w:b/>
                <w:bCs/>
                <w:lang w:eastAsia="en-GB"/>
              </w:rPr>
            </w:pPr>
            <w:r w:rsidRPr="002C1311">
              <w:rPr>
                <w:rFonts w:eastAsia="Times New Roman" w:cs="Arial"/>
                <w:b/>
                <w:bCs/>
                <w:lang w:eastAsia="en-GB"/>
              </w:rPr>
              <w:t>50 - 64</w:t>
            </w:r>
          </w:p>
        </w:tc>
        <w:tc>
          <w:tcPr>
            <w:tcW w:w="1661" w:type="dxa"/>
            <w:gridSpan w:val="2"/>
            <w:shd w:val="clear" w:color="auto" w:fill="BFBFBF" w:themeFill="background1" w:themeFillShade="BF"/>
            <w:vAlign w:val="center"/>
          </w:tcPr>
          <w:p w:rsidR="00A9706E" w:rsidRPr="002C1311" w:rsidRDefault="00A9706E" w:rsidP="00031B92">
            <w:pPr>
              <w:jc w:val="center"/>
              <w:rPr>
                <w:rFonts w:eastAsia="Times New Roman" w:cs="Arial"/>
                <w:b/>
                <w:bCs/>
                <w:lang w:eastAsia="en-GB"/>
              </w:rPr>
            </w:pPr>
            <w:r w:rsidRPr="002C1311">
              <w:rPr>
                <w:rFonts w:eastAsia="Times New Roman" w:cs="Arial"/>
                <w:b/>
                <w:bCs/>
                <w:lang w:eastAsia="en-GB"/>
              </w:rPr>
              <w:t>65+</w:t>
            </w:r>
          </w:p>
        </w:tc>
      </w:tr>
      <w:tr w:rsidR="00A9706E" w:rsidRPr="002C1311" w:rsidTr="00031B92">
        <w:trPr>
          <w:jc w:val="center"/>
        </w:trPr>
        <w:tc>
          <w:tcPr>
            <w:tcW w:w="1931" w:type="dxa"/>
            <w:vMerge/>
            <w:shd w:val="clear" w:color="auto" w:fill="BFBFBF" w:themeFill="background1" w:themeFillShade="BF"/>
            <w:vAlign w:val="center"/>
          </w:tcPr>
          <w:p w:rsidR="00A9706E" w:rsidRPr="002C1311" w:rsidRDefault="00A9706E" w:rsidP="00031B92">
            <w:pPr>
              <w:jc w:val="center"/>
              <w:rPr>
                <w:rFonts w:eastAsia="Times New Roman" w:cs="Arial"/>
                <w:b/>
                <w:bCs/>
                <w:lang w:eastAsia="en-GB"/>
              </w:rPr>
            </w:pPr>
          </w:p>
        </w:tc>
        <w:tc>
          <w:tcPr>
            <w:tcW w:w="771" w:type="dxa"/>
            <w:shd w:val="clear" w:color="auto" w:fill="BFBFBF" w:themeFill="background1" w:themeFillShade="BF"/>
            <w:vAlign w:val="center"/>
          </w:tcPr>
          <w:p w:rsidR="00A9706E" w:rsidRPr="002C1311" w:rsidRDefault="00A9706E" w:rsidP="00031B92">
            <w:pPr>
              <w:jc w:val="center"/>
              <w:rPr>
                <w:rFonts w:eastAsia="Times New Roman" w:cs="Arial"/>
                <w:b/>
                <w:bCs/>
                <w:lang w:eastAsia="en-GB"/>
              </w:rPr>
            </w:pPr>
            <w:r w:rsidRPr="002C1311">
              <w:rPr>
                <w:rFonts w:eastAsia="Times New Roman" w:cs="Arial"/>
                <w:b/>
                <w:bCs/>
                <w:lang w:eastAsia="en-GB"/>
              </w:rPr>
              <w:t>Male</w:t>
            </w:r>
          </w:p>
        </w:tc>
        <w:tc>
          <w:tcPr>
            <w:tcW w:w="890" w:type="dxa"/>
            <w:shd w:val="clear" w:color="auto" w:fill="BFBFBF" w:themeFill="background1" w:themeFillShade="BF"/>
            <w:vAlign w:val="center"/>
          </w:tcPr>
          <w:p w:rsidR="00A9706E" w:rsidRPr="002C1311" w:rsidRDefault="00A9706E" w:rsidP="00031B92">
            <w:pPr>
              <w:jc w:val="center"/>
              <w:rPr>
                <w:rFonts w:eastAsia="Times New Roman" w:cs="Arial"/>
                <w:b/>
                <w:bCs/>
                <w:lang w:eastAsia="en-GB"/>
              </w:rPr>
            </w:pPr>
            <w:r w:rsidRPr="002C1311">
              <w:rPr>
                <w:rFonts w:eastAsia="Times New Roman" w:cs="Arial"/>
                <w:b/>
                <w:bCs/>
                <w:lang w:eastAsia="en-GB"/>
              </w:rPr>
              <w:t>Female</w:t>
            </w:r>
          </w:p>
        </w:tc>
        <w:tc>
          <w:tcPr>
            <w:tcW w:w="682" w:type="dxa"/>
            <w:shd w:val="clear" w:color="auto" w:fill="BFBFBF" w:themeFill="background1" w:themeFillShade="BF"/>
            <w:vAlign w:val="center"/>
          </w:tcPr>
          <w:p w:rsidR="00A9706E" w:rsidRPr="002C1311" w:rsidRDefault="00A9706E" w:rsidP="00031B92">
            <w:pPr>
              <w:jc w:val="center"/>
              <w:rPr>
                <w:rFonts w:eastAsia="Times New Roman" w:cs="Arial"/>
                <w:b/>
                <w:bCs/>
                <w:lang w:eastAsia="en-GB"/>
              </w:rPr>
            </w:pPr>
            <w:r w:rsidRPr="002C1311">
              <w:rPr>
                <w:rFonts w:eastAsia="Times New Roman" w:cs="Arial"/>
                <w:b/>
                <w:bCs/>
                <w:lang w:eastAsia="en-GB"/>
              </w:rPr>
              <w:t>Male</w:t>
            </w:r>
          </w:p>
        </w:tc>
        <w:tc>
          <w:tcPr>
            <w:tcW w:w="890" w:type="dxa"/>
            <w:shd w:val="clear" w:color="auto" w:fill="BFBFBF" w:themeFill="background1" w:themeFillShade="BF"/>
            <w:vAlign w:val="center"/>
          </w:tcPr>
          <w:p w:rsidR="00A9706E" w:rsidRPr="002C1311" w:rsidRDefault="00A9706E" w:rsidP="00031B92">
            <w:pPr>
              <w:jc w:val="center"/>
              <w:rPr>
                <w:rFonts w:eastAsia="Times New Roman" w:cs="Arial"/>
                <w:b/>
                <w:bCs/>
                <w:lang w:eastAsia="en-GB"/>
              </w:rPr>
            </w:pPr>
            <w:r w:rsidRPr="002C1311">
              <w:rPr>
                <w:rFonts w:eastAsia="Times New Roman" w:cs="Arial"/>
                <w:b/>
                <w:bCs/>
                <w:lang w:eastAsia="en-GB"/>
              </w:rPr>
              <w:t>Female</w:t>
            </w:r>
          </w:p>
        </w:tc>
        <w:tc>
          <w:tcPr>
            <w:tcW w:w="682" w:type="dxa"/>
            <w:shd w:val="clear" w:color="auto" w:fill="BFBFBF" w:themeFill="background1" w:themeFillShade="BF"/>
            <w:vAlign w:val="center"/>
          </w:tcPr>
          <w:p w:rsidR="00A9706E" w:rsidRPr="002C1311" w:rsidRDefault="00A9706E" w:rsidP="00031B92">
            <w:pPr>
              <w:jc w:val="center"/>
              <w:rPr>
                <w:rFonts w:eastAsia="Times New Roman" w:cs="Arial"/>
                <w:b/>
                <w:bCs/>
                <w:lang w:eastAsia="en-GB"/>
              </w:rPr>
            </w:pPr>
            <w:r w:rsidRPr="002C1311">
              <w:rPr>
                <w:rFonts w:eastAsia="Times New Roman" w:cs="Arial"/>
                <w:b/>
                <w:bCs/>
                <w:lang w:eastAsia="en-GB"/>
              </w:rPr>
              <w:t>Male</w:t>
            </w:r>
          </w:p>
        </w:tc>
        <w:tc>
          <w:tcPr>
            <w:tcW w:w="890" w:type="dxa"/>
            <w:shd w:val="clear" w:color="auto" w:fill="BFBFBF" w:themeFill="background1" w:themeFillShade="BF"/>
            <w:vAlign w:val="center"/>
          </w:tcPr>
          <w:p w:rsidR="00A9706E" w:rsidRPr="002C1311" w:rsidRDefault="00A9706E" w:rsidP="00031B92">
            <w:pPr>
              <w:jc w:val="center"/>
              <w:rPr>
                <w:rFonts w:eastAsia="Times New Roman" w:cs="Arial"/>
                <w:b/>
                <w:bCs/>
                <w:lang w:eastAsia="en-GB"/>
              </w:rPr>
            </w:pPr>
            <w:r w:rsidRPr="002C1311">
              <w:rPr>
                <w:rFonts w:eastAsia="Times New Roman" w:cs="Arial"/>
                <w:b/>
                <w:bCs/>
                <w:lang w:eastAsia="en-GB"/>
              </w:rPr>
              <w:t>Female</w:t>
            </w:r>
          </w:p>
        </w:tc>
        <w:tc>
          <w:tcPr>
            <w:tcW w:w="771" w:type="dxa"/>
            <w:shd w:val="clear" w:color="auto" w:fill="BFBFBF" w:themeFill="background1" w:themeFillShade="BF"/>
            <w:vAlign w:val="center"/>
          </w:tcPr>
          <w:p w:rsidR="00A9706E" w:rsidRPr="002C1311" w:rsidRDefault="00A9706E" w:rsidP="00031B92">
            <w:pPr>
              <w:jc w:val="center"/>
              <w:rPr>
                <w:rFonts w:eastAsia="Times New Roman" w:cs="Arial"/>
                <w:b/>
                <w:bCs/>
                <w:lang w:eastAsia="en-GB"/>
              </w:rPr>
            </w:pPr>
            <w:r w:rsidRPr="002C1311">
              <w:rPr>
                <w:rFonts w:eastAsia="Times New Roman" w:cs="Arial"/>
                <w:b/>
                <w:bCs/>
                <w:lang w:eastAsia="en-GB"/>
              </w:rPr>
              <w:t>Male</w:t>
            </w:r>
          </w:p>
        </w:tc>
        <w:tc>
          <w:tcPr>
            <w:tcW w:w="890" w:type="dxa"/>
            <w:shd w:val="clear" w:color="auto" w:fill="BFBFBF" w:themeFill="background1" w:themeFillShade="BF"/>
            <w:vAlign w:val="center"/>
          </w:tcPr>
          <w:p w:rsidR="00A9706E" w:rsidRPr="002C1311" w:rsidRDefault="00A9706E" w:rsidP="00031B92">
            <w:pPr>
              <w:jc w:val="center"/>
              <w:rPr>
                <w:rFonts w:eastAsia="Times New Roman" w:cs="Arial"/>
                <w:b/>
                <w:bCs/>
                <w:lang w:eastAsia="en-GB"/>
              </w:rPr>
            </w:pPr>
            <w:r w:rsidRPr="002C1311">
              <w:rPr>
                <w:rFonts w:eastAsia="Times New Roman" w:cs="Arial"/>
                <w:b/>
                <w:bCs/>
                <w:lang w:eastAsia="en-GB"/>
              </w:rPr>
              <w:t>Female</w:t>
            </w:r>
          </w:p>
        </w:tc>
        <w:tc>
          <w:tcPr>
            <w:tcW w:w="771" w:type="dxa"/>
            <w:shd w:val="clear" w:color="auto" w:fill="BFBFBF" w:themeFill="background1" w:themeFillShade="BF"/>
            <w:vAlign w:val="center"/>
          </w:tcPr>
          <w:p w:rsidR="00A9706E" w:rsidRPr="002C1311" w:rsidRDefault="00A9706E" w:rsidP="00031B92">
            <w:pPr>
              <w:jc w:val="center"/>
              <w:rPr>
                <w:rFonts w:eastAsia="Times New Roman" w:cs="Arial"/>
                <w:b/>
                <w:bCs/>
                <w:lang w:eastAsia="en-GB"/>
              </w:rPr>
            </w:pPr>
            <w:r w:rsidRPr="002C1311">
              <w:rPr>
                <w:rFonts w:eastAsia="Times New Roman" w:cs="Arial"/>
                <w:b/>
                <w:bCs/>
                <w:lang w:eastAsia="en-GB"/>
              </w:rPr>
              <w:t>Male</w:t>
            </w:r>
          </w:p>
        </w:tc>
        <w:tc>
          <w:tcPr>
            <w:tcW w:w="890" w:type="dxa"/>
            <w:shd w:val="clear" w:color="auto" w:fill="BFBFBF" w:themeFill="background1" w:themeFillShade="BF"/>
            <w:vAlign w:val="center"/>
          </w:tcPr>
          <w:p w:rsidR="00A9706E" w:rsidRPr="002C1311" w:rsidRDefault="00A9706E" w:rsidP="00031B92">
            <w:pPr>
              <w:jc w:val="center"/>
              <w:rPr>
                <w:rFonts w:eastAsia="Times New Roman" w:cs="Arial"/>
                <w:b/>
                <w:bCs/>
                <w:lang w:eastAsia="en-GB"/>
              </w:rPr>
            </w:pPr>
            <w:r w:rsidRPr="002C1311">
              <w:rPr>
                <w:rFonts w:eastAsia="Times New Roman" w:cs="Arial"/>
                <w:b/>
                <w:bCs/>
                <w:lang w:eastAsia="en-GB"/>
              </w:rPr>
              <w:t>Female</w:t>
            </w:r>
          </w:p>
        </w:tc>
      </w:tr>
      <w:tr w:rsidR="00A9706E" w:rsidRPr="002C1311" w:rsidTr="00031B92">
        <w:trPr>
          <w:trHeight w:val="410"/>
          <w:jc w:val="center"/>
        </w:trPr>
        <w:tc>
          <w:tcPr>
            <w:tcW w:w="1931" w:type="dxa"/>
            <w:vAlign w:val="center"/>
          </w:tcPr>
          <w:p w:rsidR="00A9706E" w:rsidRPr="002C1311" w:rsidRDefault="00A9706E" w:rsidP="00031B92">
            <w:pPr>
              <w:jc w:val="center"/>
              <w:rPr>
                <w:rFonts w:eastAsia="Times New Roman" w:cs="Arial"/>
                <w:lang w:eastAsia="en-GB"/>
              </w:rPr>
            </w:pPr>
            <w:r w:rsidRPr="002C1311">
              <w:rPr>
                <w:rFonts w:eastAsia="Times New Roman" w:cs="Arial"/>
                <w:lang w:eastAsia="en-GB"/>
              </w:rPr>
              <w:t>Barnet</w:t>
            </w:r>
          </w:p>
        </w:tc>
        <w:tc>
          <w:tcPr>
            <w:tcW w:w="771" w:type="dxa"/>
            <w:vAlign w:val="center"/>
          </w:tcPr>
          <w:p w:rsidR="00A9706E" w:rsidRPr="002C1311" w:rsidRDefault="00A9706E" w:rsidP="00031B92">
            <w:pPr>
              <w:jc w:val="center"/>
              <w:rPr>
                <w:rFonts w:eastAsia="Times New Roman" w:cs="Arial"/>
                <w:lang w:eastAsia="en-GB"/>
              </w:rPr>
            </w:pPr>
            <w:r w:rsidRPr="002C1311">
              <w:rPr>
                <w:rFonts w:eastAsia="Times New Roman" w:cs="Arial"/>
                <w:lang w:eastAsia="en-GB"/>
              </w:rPr>
              <w:t>12.6%</w:t>
            </w:r>
          </w:p>
        </w:tc>
        <w:tc>
          <w:tcPr>
            <w:tcW w:w="890" w:type="dxa"/>
            <w:vAlign w:val="center"/>
          </w:tcPr>
          <w:p w:rsidR="00A9706E" w:rsidRPr="002C1311" w:rsidRDefault="00A9706E" w:rsidP="00031B92">
            <w:pPr>
              <w:jc w:val="center"/>
              <w:rPr>
                <w:rFonts w:eastAsia="Times New Roman" w:cs="Arial"/>
                <w:lang w:eastAsia="en-GB"/>
              </w:rPr>
            </w:pPr>
            <w:r w:rsidRPr="002C1311">
              <w:rPr>
                <w:rFonts w:eastAsia="Times New Roman" w:cs="Arial"/>
                <w:lang w:eastAsia="en-GB"/>
              </w:rPr>
              <w:t>15.4%</w:t>
            </w:r>
          </w:p>
        </w:tc>
        <w:tc>
          <w:tcPr>
            <w:tcW w:w="682" w:type="dxa"/>
            <w:vAlign w:val="center"/>
          </w:tcPr>
          <w:p w:rsidR="00A9706E" w:rsidRPr="002C1311" w:rsidRDefault="00A9706E" w:rsidP="00031B92">
            <w:pPr>
              <w:jc w:val="center"/>
              <w:rPr>
                <w:rFonts w:eastAsia="Times New Roman" w:cs="Arial"/>
                <w:lang w:eastAsia="en-GB"/>
              </w:rPr>
            </w:pPr>
            <w:r w:rsidRPr="002C1311">
              <w:rPr>
                <w:rFonts w:eastAsia="Times New Roman" w:cs="Arial"/>
                <w:lang w:eastAsia="en-GB"/>
              </w:rPr>
              <w:t>3.6%</w:t>
            </w:r>
          </w:p>
        </w:tc>
        <w:tc>
          <w:tcPr>
            <w:tcW w:w="890" w:type="dxa"/>
            <w:vAlign w:val="center"/>
          </w:tcPr>
          <w:p w:rsidR="00A9706E" w:rsidRPr="002C1311" w:rsidRDefault="00A9706E" w:rsidP="00031B92">
            <w:pPr>
              <w:jc w:val="center"/>
              <w:rPr>
                <w:rFonts w:eastAsia="Times New Roman" w:cs="Arial"/>
                <w:lang w:eastAsia="en-GB"/>
              </w:rPr>
            </w:pPr>
            <w:r w:rsidRPr="002C1311">
              <w:rPr>
                <w:rFonts w:eastAsia="Times New Roman" w:cs="Arial"/>
                <w:lang w:eastAsia="en-GB"/>
              </w:rPr>
              <w:t>2.3%</w:t>
            </w:r>
          </w:p>
        </w:tc>
        <w:tc>
          <w:tcPr>
            <w:tcW w:w="682" w:type="dxa"/>
            <w:vAlign w:val="center"/>
          </w:tcPr>
          <w:p w:rsidR="00A9706E" w:rsidRPr="002C1311" w:rsidRDefault="00A9706E" w:rsidP="00031B92">
            <w:pPr>
              <w:jc w:val="center"/>
              <w:rPr>
                <w:rFonts w:eastAsia="Times New Roman" w:cs="Arial"/>
                <w:lang w:eastAsia="en-GB"/>
              </w:rPr>
            </w:pPr>
            <w:r w:rsidRPr="002C1311">
              <w:rPr>
                <w:rFonts w:eastAsia="Times New Roman" w:cs="Arial"/>
                <w:lang w:eastAsia="en-GB"/>
              </w:rPr>
              <w:t>6.8%</w:t>
            </w:r>
          </w:p>
        </w:tc>
        <w:tc>
          <w:tcPr>
            <w:tcW w:w="890" w:type="dxa"/>
            <w:vAlign w:val="center"/>
          </w:tcPr>
          <w:p w:rsidR="00A9706E" w:rsidRPr="002C1311" w:rsidRDefault="00A9706E" w:rsidP="00031B92">
            <w:pPr>
              <w:jc w:val="center"/>
              <w:rPr>
                <w:rFonts w:eastAsia="Times New Roman" w:cs="Arial"/>
                <w:lang w:eastAsia="en-GB"/>
              </w:rPr>
            </w:pPr>
            <w:r w:rsidRPr="002C1311">
              <w:rPr>
                <w:rFonts w:eastAsia="Times New Roman" w:cs="Arial"/>
                <w:lang w:eastAsia="en-GB"/>
              </w:rPr>
              <w:t>7.3%</w:t>
            </w:r>
          </w:p>
        </w:tc>
        <w:tc>
          <w:tcPr>
            <w:tcW w:w="771" w:type="dxa"/>
            <w:vAlign w:val="center"/>
          </w:tcPr>
          <w:p w:rsidR="00A9706E" w:rsidRPr="002C1311" w:rsidRDefault="00A9706E" w:rsidP="00031B92">
            <w:pPr>
              <w:jc w:val="center"/>
              <w:rPr>
                <w:rFonts w:eastAsia="Times New Roman" w:cs="Arial"/>
                <w:lang w:eastAsia="en-GB"/>
              </w:rPr>
            </w:pPr>
            <w:r w:rsidRPr="002C1311">
              <w:rPr>
                <w:rFonts w:eastAsia="Times New Roman" w:cs="Arial"/>
                <w:lang w:eastAsia="en-GB"/>
              </w:rPr>
              <w:t>18.8%</w:t>
            </w:r>
          </w:p>
        </w:tc>
        <w:tc>
          <w:tcPr>
            <w:tcW w:w="890" w:type="dxa"/>
            <w:vAlign w:val="center"/>
          </w:tcPr>
          <w:p w:rsidR="00A9706E" w:rsidRPr="002C1311" w:rsidRDefault="00A9706E" w:rsidP="00031B92">
            <w:pPr>
              <w:jc w:val="center"/>
              <w:rPr>
                <w:rFonts w:eastAsia="Times New Roman" w:cs="Arial"/>
                <w:lang w:eastAsia="en-GB"/>
              </w:rPr>
            </w:pPr>
            <w:r w:rsidRPr="002C1311">
              <w:rPr>
                <w:rFonts w:eastAsia="Times New Roman" w:cs="Arial"/>
                <w:lang w:eastAsia="en-GB"/>
              </w:rPr>
              <w:t>20.8%</w:t>
            </w:r>
          </w:p>
        </w:tc>
        <w:tc>
          <w:tcPr>
            <w:tcW w:w="771" w:type="dxa"/>
            <w:vAlign w:val="center"/>
          </w:tcPr>
          <w:p w:rsidR="00A9706E" w:rsidRPr="002C1311" w:rsidRDefault="00A9706E" w:rsidP="00031B92">
            <w:pPr>
              <w:jc w:val="center"/>
              <w:rPr>
                <w:rFonts w:eastAsia="Times New Roman" w:cs="Arial"/>
                <w:lang w:eastAsia="en-GB"/>
              </w:rPr>
            </w:pPr>
            <w:r w:rsidRPr="002C1311">
              <w:rPr>
                <w:rFonts w:eastAsia="Times New Roman" w:cs="Arial"/>
                <w:lang w:eastAsia="en-GB"/>
              </w:rPr>
              <w:t>45.9%</w:t>
            </w:r>
          </w:p>
        </w:tc>
        <w:tc>
          <w:tcPr>
            <w:tcW w:w="890" w:type="dxa"/>
            <w:vAlign w:val="center"/>
          </w:tcPr>
          <w:p w:rsidR="00A9706E" w:rsidRPr="002C1311" w:rsidRDefault="00A9706E" w:rsidP="00031B92">
            <w:pPr>
              <w:jc w:val="center"/>
              <w:rPr>
                <w:rFonts w:eastAsia="Times New Roman" w:cs="Arial"/>
                <w:lang w:eastAsia="en-GB"/>
              </w:rPr>
            </w:pPr>
            <w:r w:rsidRPr="002C1311">
              <w:rPr>
                <w:rFonts w:eastAsia="Times New Roman" w:cs="Arial"/>
                <w:lang w:eastAsia="en-GB"/>
              </w:rPr>
              <w:t>54.3%</w:t>
            </w:r>
          </w:p>
        </w:tc>
      </w:tr>
      <w:tr w:rsidR="00A9706E" w:rsidRPr="002C1311" w:rsidTr="00031B92">
        <w:trPr>
          <w:jc w:val="center"/>
        </w:trPr>
        <w:tc>
          <w:tcPr>
            <w:tcW w:w="1931" w:type="dxa"/>
            <w:vAlign w:val="center"/>
          </w:tcPr>
          <w:p w:rsidR="00A9706E" w:rsidRPr="002C1311" w:rsidRDefault="00A9706E" w:rsidP="00031B92">
            <w:pPr>
              <w:jc w:val="center"/>
              <w:rPr>
                <w:rFonts w:eastAsia="Times New Roman" w:cs="Arial"/>
                <w:lang w:eastAsia="en-GB"/>
              </w:rPr>
            </w:pPr>
            <w:r w:rsidRPr="002C1311">
              <w:rPr>
                <w:rFonts w:eastAsia="Times New Roman" w:cs="Arial"/>
                <w:lang w:eastAsia="en-GB"/>
              </w:rPr>
              <w:t>Outer London</w:t>
            </w:r>
          </w:p>
        </w:tc>
        <w:tc>
          <w:tcPr>
            <w:tcW w:w="771" w:type="dxa"/>
            <w:vAlign w:val="center"/>
          </w:tcPr>
          <w:p w:rsidR="00A9706E" w:rsidRPr="002C1311" w:rsidRDefault="00A9706E" w:rsidP="00031B92">
            <w:pPr>
              <w:jc w:val="center"/>
              <w:rPr>
                <w:rFonts w:eastAsia="Times New Roman" w:cs="Arial"/>
                <w:lang w:eastAsia="en-GB"/>
              </w:rPr>
            </w:pPr>
            <w:r w:rsidRPr="002C1311">
              <w:rPr>
                <w:rFonts w:eastAsia="Times New Roman" w:cs="Arial"/>
                <w:lang w:eastAsia="en-GB"/>
              </w:rPr>
              <w:t>13.1%</w:t>
            </w:r>
          </w:p>
        </w:tc>
        <w:tc>
          <w:tcPr>
            <w:tcW w:w="890" w:type="dxa"/>
            <w:vAlign w:val="center"/>
          </w:tcPr>
          <w:p w:rsidR="00A9706E" w:rsidRPr="002C1311" w:rsidRDefault="00A9706E" w:rsidP="00031B92">
            <w:pPr>
              <w:jc w:val="center"/>
              <w:rPr>
                <w:rFonts w:eastAsia="Times New Roman" w:cs="Arial"/>
                <w:lang w:eastAsia="en-GB"/>
              </w:rPr>
            </w:pPr>
            <w:r w:rsidRPr="002C1311">
              <w:rPr>
                <w:rFonts w:eastAsia="Times New Roman" w:cs="Arial"/>
                <w:lang w:eastAsia="en-GB"/>
              </w:rPr>
              <w:t>15.9%</w:t>
            </w:r>
          </w:p>
        </w:tc>
        <w:tc>
          <w:tcPr>
            <w:tcW w:w="682" w:type="dxa"/>
            <w:vAlign w:val="center"/>
          </w:tcPr>
          <w:p w:rsidR="00A9706E" w:rsidRPr="002C1311" w:rsidRDefault="00A9706E" w:rsidP="00031B92">
            <w:pPr>
              <w:jc w:val="center"/>
              <w:rPr>
                <w:rFonts w:eastAsia="Times New Roman" w:cs="Arial"/>
                <w:lang w:eastAsia="en-GB"/>
              </w:rPr>
            </w:pPr>
            <w:r w:rsidRPr="002C1311">
              <w:rPr>
                <w:rFonts w:eastAsia="Times New Roman" w:cs="Arial"/>
                <w:lang w:eastAsia="en-GB"/>
              </w:rPr>
              <w:t>3.9%</w:t>
            </w:r>
          </w:p>
        </w:tc>
        <w:tc>
          <w:tcPr>
            <w:tcW w:w="890" w:type="dxa"/>
            <w:vAlign w:val="center"/>
          </w:tcPr>
          <w:p w:rsidR="00A9706E" w:rsidRPr="002C1311" w:rsidRDefault="00A9706E" w:rsidP="00031B92">
            <w:pPr>
              <w:jc w:val="center"/>
              <w:rPr>
                <w:rFonts w:eastAsia="Times New Roman" w:cs="Arial"/>
                <w:lang w:eastAsia="en-GB"/>
              </w:rPr>
            </w:pPr>
            <w:r w:rsidRPr="002C1311">
              <w:rPr>
                <w:rFonts w:eastAsia="Times New Roman" w:cs="Arial"/>
                <w:lang w:eastAsia="en-GB"/>
              </w:rPr>
              <w:t>2.6%</w:t>
            </w:r>
          </w:p>
        </w:tc>
        <w:tc>
          <w:tcPr>
            <w:tcW w:w="682" w:type="dxa"/>
            <w:vAlign w:val="center"/>
          </w:tcPr>
          <w:p w:rsidR="00A9706E" w:rsidRPr="002C1311" w:rsidRDefault="00A9706E" w:rsidP="00031B92">
            <w:pPr>
              <w:jc w:val="center"/>
              <w:rPr>
                <w:rFonts w:eastAsia="Times New Roman" w:cs="Arial"/>
                <w:lang w:eastAsia="en-GB"/>
              </w:rPr>
            </w:pPr>
            <w:r w:rsidRPr="002C1311">
              <w:rPr>
                <w:rFonts w:eastAsia="Times New Roman" w:cs="Arial"/>
                <w:lang w:eastAsia="en-GB"/>
              </w:rPr>
              <w:t>7.1%</w:t>
            </w:r>
          </w:p>
        </w:tc>
        <w:tc>
          <w:tcPr>
            <w:tcW w:w="890" w:type="dxa"/>
            <w:vAlign w:val="center"/>
          </w:tcPr>
          <w:p w:rsidR="00A9706E" w:rsidRPr="002C1311" w:rsidRDefault="00A9706E" w:rsidP="00031B92">
            <w:pPr>
              <w:jc w:val="center"/>
              <w:rPr>
                <w:rFonts w:eastAsia="Times New Roman" w:cs="Arial"/>
                <w:lang w:eastAsia="en-GB"/>
              </w:rPr>
            </w:pPr>
            <w:r w:rsidRPr="002C1311">
              <w:rPr>
                <w:rFonts w:eastAsia="Times New Roman" w:cs="Arial"/>
                <w:lang w:eastAsia="en-GB"/>
              </w:rPr>
              <w:t>7.8%</w:t>
            </w:r>
          </w:p>
        </w:tc>
        <w:tc>
          <w:tcPr>
            <w:tcW w:w="771" w:type="dxa"/>
            <w:vAlign w:val="center"/>
          </w:tcPr>
          <w:p w:rsidR="00A9706E" w:rsidRPr="002C1311" w:rsidRDefault="00A9706E" w:rsidP="00031B92">
            <w:pPr>
              <w:jc w:val="center"/>
              <w:rPr>
                <w:rFonts w:eastAsia="Times New Roman" w:cs="Arial"/>
                <w:lang w:eastAsia="en-GB"/>
              </w:rPr>
            </w:pPr>
            <w:r w:rsidRPr="002C1311">
              <w:rPr>
                <w:rFonts w:eastAsia="Times New Roman" w:cs="Arial"/>
                <w:lang w:eastAsia="en-GB"/>
              </w:rPr>
              <w:t>20.5%</w:t>
            </w:r>
          </w:p>
        </w:tc>
        <w:tc>
          <w:tcPr>
            <w:tcW w:w="890" w:type="dxa"/>
            <w:vAlign w:val="center"/>
          </w:tcPr>
          <w:p w:rsidR="00A9706E" w:rsidRPr="002C1311" w:rsidRDefault="00A9706E" w:rsidP="00031B92">
            <w:pPr>
              <w:jc w:val="center"/>
              <w:rPr>
                <w:rFonts w:eastAsia="Times New Roman" w:cs="Arial"/>
                <w:lang w:eastAsia="en-GB"/>
              </w:rPr>
            </w:pPr>
            <w:r w:rsidRPr="002C1311">
              <w:rPr>
                <w:rFonts w:eastAsia="Times New Roman" w:cs="Arial"/>
                <w:lang w:eastAsia="en-GB"/>
              </w:rPr>
              <w:t>23.1%</w:t>
            </w:r>
          </w:p>
        </w:tc>
        <w:tc>
          <w:tcPr>
            <w:tcW w:w="771" w:type="dxa"/>
            <w:vAlign w:val="center"/>
          </w:tcPr>
          <w:p w:rsidR="00A9706E" w:rsidRPr="002C1311" w:rsidRDefault="00A9706E" w:rsidP="00031B92">
            <w:pPr>
              <w:jc w:val="center"/>
              <w:rPr>
                <w:rFonts w:eastAsia="Times New Roman" w:cs="Arial"/>
                <w:lang w:eastAsia="en-GB"/>
              </w:rPr>
            </w:pPr>
            <w:r w:rsidRPr="002C1311">
              <w:rPr>
                <w:rFonts w:eastAsia="Times New Roman" w:cs="Arial"/>
                <w:lang w:eastAsia="en-GB"/>
              </w:rPr>
              <w:t>48.1%</w:t>
            </w:r>
          </w:p>
        </w:tc>
        <w:tc>
          <w:tcPr>
            <w:tcW w:w="890" w:type="dxa"/>
            <w:vAlign w:val="center"/>
          </w:tcPr>
          <w:p w:rsidR="00A9706E" w:rsidRPr="002C1311" w:rsidRDefault="00A9706E" w:rsidP="00031B92">
            <w:pPr>
              <w:jc w:val="center"/>
              <w:rPr>
                <w:rFonts w:eastAsia="Times New Roman" w:cs="Arial"/>
                <w:lang w:eastAsia="en-GB"/>
              </w:rPr>
            </w:pPr>
            <w:r w:rsidRPr="002C1311">
              <w:rPr>
                <w:rFonts w:eastAsia="Times New Roman" w:cs="Arial"/>
                <w:lang w:eastAsia="en-GB"/>
              </w:rPr>
              <w:t>55.5%</w:t>
            </w:r>
          </w:p>
        </w:tc>
      </w:tr>
      <w:tr w:rsidR="00A9706E" w:rsidRPr="002C1311" w:rsidTr="00031B92">
        <w:trPr>
          <w:jc w:val="center"/>
        </w:trPr>
        <w:tc>
          <w:tcPr>
            <w:tcW w:w="1931" w:type="dxa"/>
            <w:vAlign w:val="center"/>
          </w:tcPr>
          <w:p w:rsidR="00A9706E" w:rsidRPr="002C1311" w:rsidRDefault="00A9706E" w:rsidP="00031B92">
            <w:pPr>
              <w:jc w:val="center"/>
              <w:rPr>
                <w:rFonts w:eastAsia="Times New Roman" w:cs="Arial"/>
                <w:lang w:eastAsia="en-GB"/>
              </w:rPr>
            </w:pPr>
            <w:r w:rsidRPr="002C1311">
              <w:rPr>
                <w:rFonts w:eastAsia="Times New Roman" w:cs="Arial"/>
                <w:lang w:eastAsia="en-GB"/>
              </w:rPr>
              <w:t>England and Wales</w:t>
            </w:r>
          </w:p>
        </w:tc>
        <w:tc>
          <w:tcPr>
            <w:tcW w:w="771" w:type="dxa"/>
            <w:vAlign w:val="center"/>
          </w:tcPr>
          <w:p w:rsidR="00A9706E" w:rsidRPr="002C1311" w:rsidRDefault="00A9706E" w:rsidP="00031B92">
            <w:pPr>
              <w:jc w:val="center"/>
              <w:rPr>
                <w:rFonts w:eastAsia="Times New Roman" w:cs="Arial"/>
                <w:lang w:eastAsia="en-GB"/>
              </w:rPr>
            </w:pPr>
            <w:r w:rsidRPr="002C1311">
              <w:rPr>
                <w:rFonts w:eastAsia="Times New Roman" w:cs="Arial"/>
                <w:lang w:eastAsia="en-GB"/>
              </w:rPr>
              <w:t>16.6%</w:t>
            </w:r>
          </w:p>
        </w:tc>
        <w:tc>
          <w:tcPr>
            <w:tcW w:w="890" w:type="dxa"/>
            <w:vAlign w:val="center"/>
          </w:tcPr>
          <w:p w:rsidR="00A9706E" w:rsidRPr="002C1311" w:rsidRDefault="00A9706E" w:rsidP="00031B92">
            <w:pPr>
              <w:jc w:val="center"/>
              <w:rPr>
                <w:rFonts w:eastAsia="Times New Roman" w:cs="Arial"/>
                <w:lang w:eastAsia="en-GB"/>
              </w:rPr>
            </w:pPr>
            <w:r w:rsidRPr="002C1311">
              <w:rPr>
                <w:rFonts w:eastAsia="Times New Roman" w:cs="Arial"/>
                <w:lang w:eastAsia="en-GB"/>
              </w:rPr>
              <w:t>19.2%</w:t>
            </w:r>
          </w:p>
        </w:tc>
        <w:tc>
          <w:tcPr>
            <w:tcW w:w="682" w:type="dxa"/>
            <w:vAlign w:val="center"/>
          </w:tcPr>
          <w:p w:rsidR="00A9706E" w:rsidRPr="002C1311" w:rsidRDefault="00A9706E" w:rsidP="00031B92">
            <w:pPr>
              <w:jc w:val="center"/>
              <w:rPr>
                <w:rFonts w:eastAsia="Times New Roman" w:cs="Arial"/>
                <w:lang w:eastAsia="en-GB"/>
              </w:rPr>
            </w:pPr>
            <w:r w:rsidRPr="002C1311">
              <w:rPr>
                <w:rFonts w:eastAsia="Times New Roman" w:cs="Arial"/>
                <w:lang w:eastAsia="en-GB"/>
              </w:rPr>
              <w:t>4.6%</w:t>
            </w:r>
          </w:p>
        </w:tc>
        <w:tc>
          <w:tcPr>
            <w:tcW w:w="890" w:type="dxa"/>
            <w:vAlign w:val="center"/>
          </w:tcPr>
          <w:p w:rsidR="00A9706E" w:rsidRPr="002C1311" w:rsidRDefault="00A9706E" w:rsidP="00031B92">
            <w:pPr>
              <w:jc w:val="center"/>
              <w:rPr>
                <w:rFonts w:eastAsia="Times New Roman" w:cs="Arial"/>
                <w:lang w:eastAsia="en-GB"/>
              </w:rPr>
            </w:pPr>
            <w:r w:rsidRPr="002C1311">
              <w:rPr>
                <w:rFonts w:eastAsia="Times New Roman" w:cs="Arial"/>
                <w:lang w:eastAsia="en-GB"/>
              </w:rPr>
              <w:t>2.9%</w:t>
            </w:r>
          </w:p>
        </w:tc>
        <w:tc>
          <w:tcPr>
            <w:tcW w:w="682" w:type="dxa"/>
            <w:vAlign w:val="center"/>
          </w:tcPr>
          <w:p w:rsidR="00A9706E" w:rsidRPr="002C1311" w:rsidRDefault="00A9706E" w:rsidP="00031B92">
            <w:pPr>
              <w:jc w:val="center"/>
              <w:rPr>
                <w:rFonts w:eastAsia="Times New Roman" w:cs="Arial"/>
                <w:lang w:eastAsia="en-GB"/>
              </w:rPr>
            </w:pPr>
            <w:r w:rsidRPr="002C1311">
              <w:rPr>
                <w:rFonts w:eastAsia="Times New Roman" w:cs="Arial"/>
                <w:lang w:eastAsia="en-GB"/>
              </w:rPr>
              <w:t>8.5%</w:t>
            </w:r>
          </w:p>
        </w:tc>
        <w:tc>
          <w:tcPr>
            <w:tcW w:w="890" w:type="dxa"/>
            <w:vAlign w:val="center"/>
          </w:tcPr>
          <w:p w:rsidR="00A9706E" w:rsidRPr="002C1311" w:rsidRDefault="00A9706E" w:rsidP="00031B92">
            <w:pPr>
              <w:jc w:val="center"/>
              <w:rPr>
                <w:rFonts w:eastAsia="Times New Roman" w:cs="Arial"/>
                <w:lang w:eastAsia="en-GB"/>
              </w:rPr>
            </w:pPr>
            <w:r w:rsidRPr="002C1311">
              <w:rPr>
                <w:rFonts w:eastAsia="Times New Roman" w:cs="Arial"/>
                <w:lang w:eastAsia="en-GB"/>
              </w:rPr>
              <w:t>9.0%</w:t>
            </w:r>
          </w:p>
        </w:tc>
        <w:tc>
          <w:tcPr>
            <w:tcW w:w="771" w:type="dxa"/>
            <w:vAlign w:val="center"/>
          </w:tcPr>
          <w:p w:rsidR="00A9706E" w:rsidRPr="002C1311" w:rsidRDefault="00A9706E" w:rsidP="00031B92">
            <w:pPr>
              <w:jc w:val="center"/>
              <w:rPr>
                <w:rFonts w:eastAsia="Times New Roman" w:cs="Arial"/>
                <w:lang w:eastAsia="en-GB"/>
              </w:rPr>
            </w:pPr>
            <w:r w:rsidRPr="002C1311">
              <w:rPr>
                <w:rFonts w:eastAsia="Times New Roman" w:cs="Arial"/>
                <w:lang w:eastAsia="en-GB"/>
              </w:rPr>
              <w:t>22.9%</w:t>
            </w:r>
          </w:p>
        </w:tc>
        <w:tc>
          <w:tcPr>
            <w:tcW w:w="890" w:type="dxa"/>
            <w:vAlign w:val="center"/>
          </w:tcPr>
          <w:p w:rsidR="00A9706E" w:rsidRPr="002C1311" w:rsidRDefault="00A9706E" w:rsidP="00031B92">
            <w:pPr>
              <w:jc w:val="center"/>
              <w:rPr>
                <w:rFonts w:eastAsia="Times New Roman" w:cs="Arial"/>
                <w:lang w:eastAsia="en-GB"/>
              </w:rPr>
            </w:pPr>
            <w:r w:rsidRPr="002C1311">
              <w:rPr>
                <w:rFonts w:eastAsia="Times New Roman" w:cs="Arial"/>
                <w:lang w:eastAsia="en-GB"/>
              </w:rPr>
              <w:t>24.6%</w:t>
            </w:r>
          </w:p>
        </w:tc>
        <w:tc>
          <w:tcPr>
            <w:tcW w:w="771" w:type="dxa"/>
            <w:vAlign w:val="center"/>
          </w:tcPr>
          <w:p w:rsidR="00A9706E" w:rsidRPr="002C1311" w:rsidRDefault="00A9706E" w:rsidP="00031B92">
            <w:pPr>
              <w:jc w:val="center"/>
              <w:rPr>
                <w:rFonts w:eastAsia="Times New Roman" w:cs="Arial"/>
                <w:lang w:eastAsia="en-GB"/>
              </w:rPr>
            </w:pPr>
            <w:r w:rsidRPr="002C1311">
              <w:rPr>
                <w:rFonts w:eastAsia="Times New Roman" w:cs="Arial"/>
                <w:lang w:eastAsia="en-GB"/>
              </w:rPr>
              <w:t>50.3%</w:t>
            </w:r>
          </w:p>
        </w:tc>
        <w:tc>
          <w:tcPr>
            <w:tcW w:w="890" w:type="dxa"/>
            <w:vAlign w:val="center"/>
          </w:tcPr>
          <w:p w:rsidR="00A9706E" w:rsidRPr="002C1311" w:rsidRDefault="00A9706E" w:rsidP="00031B92">
            <w:pPr>
              <w:jc w:val="center"/>
              <w:rPr>
                <w:rFonts w:eastAsia="Times New Roman" w:cs="Arial"/>
                <w:lang w:eastAsia="en-GB"/>
              </w:rPr>
            </w:pPr>
            <w:r w:rsidRPr="002C1311">
              <w:rPr>
                <w:rFonts w:eastAsia="Times New Roman" w:cs="Arial"/>
                <w:lang w:eastAsia="en-GB"/>
              </w:rPr>
              <w:t>56.3%</w:t>
            </w:r>
          </w:p>
        </w:tc>
      </w:tr>
    </w:tbl>
    <w:p w:rsidR="00A9706E" w:rsidRDefault="00A9706E" w:rsidP="00A9706E">
      <w:r>
        <w:t>Source: 2011 C</w:t>
      </w:r>
      <w:r w:rsidRPr="005C7EBE">
        <w:t>ensus</w:t>
      </w:r>
    </w:p>
    <w:p w:rsidR="00A9706E" w:rsidRPr="00B16C7B" w:rsidRDefault="00A9706E" w:rsidP="00A9706E">
      <w:pPr>
        <w:pStyle w:val="ListParagraph"/>
        <w:numPr>
          <w:ilvl w:val="0"/>
          <w:numId w:val="13"/>
        </w:numPr>
        <w:jc w:val="both"/>
      </w:pPr>
      <w:r w:rsidRPr="00B16C7B">
        <w:rPr>
          <w:rFonts w:ascii="Calibri" w:eastAsia="Times New Roman" w:hAnsi="Calibri" w:cs="Times New Roman"/>
          <w:color w:val="000000"/>
          <w:lang w:eastAsia="en-GB"/>
        </w:rPr>
        <w:t>By Ward, Underhill had the largest proportion of residents who reported having their day-to-day activities limited in some way, (17.2%) with 8.2% of these residents assessing themselves as having their day-to-day activities limited a lot.</w:t>
      </w:r>
    </w:p>
    <w:p w:rsidR="00A9706E" w:rsidRPr="00B16C7B" w:rsidRDefault="00A9706E" w:rsidP="00A9706E">
      <w:pPr>
        <w:pStyle w:val="ListParagraph"/>
        <w:numPr>
          <w:ilvl w:val="0"/>
          <w:numId w:val="13"/>
        </w:numPr>
        <w:jc w:val="both"/>
      </w:pPr>
      <w:r w:rsidRPr="00B16C7B">
        <w:rPr>
          <w:rFonts w:ascii="Calibri" w:eastAsia="Times New Roman" w:hAnsi="Calibri" w:cs="Times New Roman"/>
          <w:color w:val="000000"/>
          <w:lang w:eastAsia="en-GB"/>
        </w:rPr>
        <w:t xml:space="preserve">Even though Underhill has one of the smallest actual populations within the </w:t>
      </w:r>
      <w:r>
        <w:rPr>
          <w:rFonts w:ascii="Calibri" w:eastAsia="Times New Roman" w:hAnsi="Calibri" w:cs="Times New Roman"/>
          <w:color w:val="000000"/>
          <w:lang w:eastAsia="en-GB"/>
        </w:rPr>
        <w:t>Borough</w:t>
      </w:r>
      <w:r w:rsidRPr="00B16C7B">
        <w:rPr>
          <w:rFonts w:ascii="Calibri" w:eastAsia="Times New Roman" w:hAnsi="Calibri" w:cs="Times New Roman"/>
          <w:color w:val="000000"/>
          <w:lang w:eastAsia="en-GB"/>
        </w:rPr>
        <w:t xml:space="preserve"> (15,915 in 2011), it still had the third largest number of people who reporting having their day-to-day activities limited a lot (1,311).</w:t>
      </w:r>
    </w:p>
    <w:p w:rsidR="00A9706E" w:rsidRPr="00C52CEE" w:rsidRDefault="00A9706E" w:rsidP="00A9706E">
      <w:pPr>
        <w:pStyle w:val="ListParagraph"/>
        <w:numPr>
          <w:ilvl w:val="0"/>
          <w:numId w:val="13"/>
        </w:numPr>
        <w:jc w:val="both"/>
      </w:pPr>
      <w:r w:rsidRPr="00B16C7B">
        <w:rPr>
          <w:rFonts w:ascii="Calibri" w:eastAsia="Times New Roman" w:hAnsi="Calibri" w:cs="Times New Roman"/>
          <w:color w:val="000000"/>
          <w:lang w:eastAsia="en-GB"/>
        </w:rPr>
        <w:t xml:space="preserve">Burnt Oak and Childs Hill had the highest number of residents who assessed themselves as having their activities limited a lot, 1,499 and 1,390 respectively. </w:t>
      </w:r>
    </w:p>
    <w:p w:rsidR="00F911DF" w:rsidRDefault="00F911DF" w:rsidP="00A9706E">
      <w:pPr>
        <w:pStyle w:val="Caption"/>
      </w:pPr>
    </w:p>
    <w:p w:rsidR="00F911DF" w:rsidRDefault="00F911DF" w:rsidP="00A9706E">
      <w:pPr>
        <w:pStyle w:val="Caption"/>
      </w:pPr>
    </w:p>
    <w:p w:rsidR="00F911DF" w:rsidRDefault="00F911DF" w:rsidP="00A9706E">
      <w:pPr>
        <w:pStyle w:val="Caption"/>
      </w:pPr>
    </w:p>
    <w:p w:rsidR="00F911DF" w:rsidRDefault="00F911DF" w:rsidP="00A9706E">
      <w:pPr>
        <w:pStyle w:val="Caption"/>
      </w:pPr>
    </w:p>
    <w:p w:rsidR="00F911DF" w:rsidRDefault="00F911DF" w:rsidP="00A9706E">
      <w:pPr>
        <w:pStyle w:val="Caption"/>
      </w:pPr>
    </w:p>
    <w:p w:rsidR="00F911DF" w:rsidRDefault="00F911DF" w:rsidP="00A9706E">
      <w:pPr>
        <w:pStyle w:val="Caption"/>
      </w:pPr>
    </w:p>
    <w:p w:rsidR="00A9706E" w:rsidRPr="00026DD4" w:rsidRDefault="00A9706E" w:rsidP="00A9706E">
      <w:pPr>
        <w:pStyle w:val="Caption"/>
        <w:rPr>
          <w:b w:val="0"/>
          <w:i/>
        </w:rPr>
      </w:pPr>
      <w:r>
        <w:lastRenderedPageBreak/>
        <w:t xml:space="preserve">Table </w:t>
      </w:r>
      <w:fldSimple w:instr=" STYLEREF 1 \s ">
        <w:r w:rsidR="001663C2">
          <w:rPr>
            <w:noProof/>
          </w:rPr>
          <w:t>2</w:t>
        </w:r>
      </w:fldSimple>
      <w:r>
        <w:noBreakHyphen/>
      </w:r>
      <w:fldSimple w:instr=" SEQ Table \* ARABIC \s 1 ">
        <w:r w:rsidR="001663C2">
          <w:rPr>
            <w:noProof/>
          </w:rPr>
          <w:t>14</w:t>
        </w:r>
      </w:fldSimple>
      <w:r w:rsidRPr="00B217DD">
        <w:rPr>
          <w:rFonts w:cs="Calibri"/>
        </w:rPr>
        <w:t>: Proportion of Population Whose Activity is ‘Limited a lot or a little’ in 2011 (Ward, Barnet, Regional, and National)</w:t>
      </w:r>
    </w:p>
    <w:tbl>
      <w:tblPr>
        <w:tblW w:w="10019" w:type="dxa"/>
        <w:jc w:val="center"/>
        <w:tblInd w:w="89" w:type="dxa"/>
        <w:tblLook w:val="04A0" w:firstRow="1" w:lastRow="0" w:firstColumn="1" w:lastColumn="0" w:noHBand="0" w:noVBand="1"/>
      </w:tblPr>
      <w:tblGrid>
        <w:gridCol w:w="2140"/>
        <w:gridCol w:w="1560"/>
        <w:gridCol w:w="1220"/>
        <w:gridCol w:w="1200"/>
        <w:gridCol w:w="1217"/>
        <w:gridCol w:w="928"/>
        <w:gridCol w:w="928"/>
        <w:gridCol w:w="960"/>
      </w:tblGrid>
      <w:tr w:rsidR="00A9706E" w:rsidRPr="00796BD3" w:rsidTr="00031B92">
        <w:trPr>
          <w:trHeight w:val="510"/>
          <w:jc w:val="center"/>
        </w:trPr>
        <w:tc>
          <w:tcPr>
            <w:tcW w:w="2140" w:type="dxa"/>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noWrap/>
            <w:vAlign w:val="center"/>
            <w:hideMark/>
          </w:tcPr>
          <w:p w:rsidR="00A9706E" w:rsidRPr="002E169A" w:rsidRDefault="00A9706E" w:rsidP="00031B92">
            <w:pPr>
              <w:spacing w:after="0" w:line="240" w:lineRule="auto"/>
              <w:jc w:val="center"/>
              <w:rPr>
                <w:rFonts w:ascii="Arial" w:eastAsia="Times New Roman" w:hAnsi="Arial" w:cs="Arial"/>
                <w:b/>
                <w:sz w:val="20"/>
                <w:szCs w:val="20"/>
                <w:lang w:eastAsia="en-GB"/>
              </w:rPr>
            </w:pPr>
            <w:r w:rsidRPr="002E169A">
              <w:rPr>
                <w:rFonts w:ascii="Arial" w:eastAsia="Times New Roman" w:hAnsi="Arial" w:cs="Arial"/>
                <w:b/>
                <w:sz w:val="20"/>
                <w:szCs w:val="20"/>
                <w:lang w:eastAsia="en-GB"/>
              </w:rPr>
              <w:t>Area</w:t>
            </w:r>
          </w:p>
        </w:tc>
        <w:tc>
          <w:tcPr>
            <w:tcW w:w="1560" w:type="dxa"/>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rsidR="00A9706E" w:rsidRPr="002E169A" w:rsidRDefault="00A9706E" w:rsidP="00031B92">
            <w:pPr>
              <w:spacing w:after="0" w:line="240" w:lineRule="auto"/>
              <w:jc w:val="center"/>
              <w:rPr>
                <w:rFonts w:ascii="Arial" w:eastAsia="Times New Roman" w:hAnsi="Arial" w:cs="Arial"/>
                <w:b/>
                <w:sz w:val="20"/>
                <w:szCs w:val="20"/>
                <w:lang w:eastAsia="en-GB"/>
              </w:rPr>
            </w:pPr>
            <w:r w:rsidRPr="002E169A">
              <w:rPr>
                <w:rFonts w:ascii="Arial" w:eastAsia="Times New Roman" w:hAnsi="Arial" w:cs="Arial"/>
                <w:b/>
                <w:sz w:val="20"/>
                <w:szCs w:val="20"/>
                <w:lang w:eastAsia="en-GB"/>
              </w:rPr>
              <w:t>Total Population</w:t>
            </w:r>
          </w:p>
        </w:tc>
        <w:tc>
          <w:tcPr>
            <w:tcW w:w="3637" w:type="dxa"/>
            <w:gridSpan w:val="3"/>
            <w:tcBorders>
              <w:top w:val="single" w:sz="4" w:space="0" w:color="auto"/>
              <w:left w:val="nil"/>
              <w:bottom w:val="single" w:sz="4" w:space="0" w:color="auto"/>
              <w:right w:val="single" w:sz="4" w:space="0" w:color="auto"/>
            </w:tcBorders>
            <w:shd w:val="clear" w:color="auto" w:fill="BFBFBF" w:themeFill="background1" w:themeFillShade="BF"/>
            <w:vAlign w:val="bottom"/>
            <w:hideMark/>
          </w:tcPr>
          <w:p w:rsidR="00A9706E" w:rsidRPr="002E169A" w:rsidRDefault="00A9706E" w:rsidP="00031B92">
            <w:pPr>
              <w:spacing w:after="0" w:line="240" w:lineRule="auto"/>
              <w:jc w:val="center"/>
              <w:rPr>
                <w:rFonts w:ascii="Arial" w:eastAsia="Times New Roman" w:hAnsi="Arial" w:cs="Arial"/>
                <w:b/>
                <w:sz w:val="20"/>
                <w:szCs w:val="20"/>
                <w:lang w:eastAsia="en-GB"/>
              </w:rPr>
            </w:pPr>
            <w:r w:rsidRPr="002E169A">
              <w:rPr>
                <w:rFonts w:ascii="Arial" w:eastAsia="Times New Roman" w:hAnsi="Arial" w:cs="Arial"/>
                <w:b/>
                <w:sz w:val="20"/>
                <w:szCs w:val="20"/>
                <w:lang w:eastAsia="en-GB"/>
              </w:rPr>
              <w:t>Number of People with day-to-day activities limited</w:t>
            </w:r>
          </w:p>
        </w:tc>
        <w:tc>
          <w:tcPr>
            <w:tcW w:w="2682" w:type="dxa"/>
            <w:gridSpan w:val="3"/>
            <w:tcBorders>
              <w:top w:val="single" w:sz="4" w:space="0" w:color="auto"/>
              <w:left w:val="nil"/>
              <w:bottom w:val="single" w:sz="4" w:space="0" w:color="auto"/>
              <w:right w:val="single" w:sz="4" w:space="0" w:color="auto"/>
            </w:tcBorders>
            <w:shd w:val="clear" w:color="auto" w:fill="BFBFBF" w:themeFill="background1" w:themeFillShade="BF"/>
            <w:vAlign w:val="bottom"/>
            <w:hideMark/>
          </w:tcPr>
          <w:p w:rsidR="00A9706E" w:rsidRPr="002E169A" w:rsidRDefault="00A9706E" w:rsidP="00031B92">
            <w:pPr>
              <w:spacing w:after="0" w:line="240" w:lineRule="auto"/>
              <w:jc w:val="center"/>
              <w:rPr>
                <w:rFonts w:ascii="Arial" w:eastAsia="Times New Roman" w:hAnsi="Arial" w:cs="Arial"/>
                <w:b/>
                <w:sz w:val="20"/>
                <w:szCs w:val="20"/>
                <w:lang w:eastAsia="en-GB"/>
              </w:rPr>
            </w:pPr>
            <w:r w:rsidRPr="002E169A">
              <w:rPr>
                <w:rFonts w:ascii="Arial" w:eastAsia="Times New Roman" w:hAnsi="Arial" w:cs="Arial"/>
                <w:b/>
                <w:sz w:val="20"/>
                <w:szCs w:val="20"/>
                <w:lang w:eastAsia="en-GB"/>
              </w:rPr>
              <w:t>% of People with day-to-day activities limited</w:t>
            </w:r>
          </w:p>
        </w:tc>
      </w:tr>
      <w:tr w:rsidR="00A9706E" w:rsidRPr="00796BD3" w:rsidTr="00031B92">
        <w:trPr>
          <w:trHeight w:val="510"/>
          <w:jc w:val="center"/>
        </w:trPr>
        <w:tc>
          <w:tcPr>
            <w:tcW w:w="2140" w:type="dxa"/>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rsidR="00A9706E" w:rsidRPr="002E169A" w:rsidRDefault="00A9706E" w:rsidP="00031B92">
            <w:pPr>
              <w:spacing w:after="0" w:line="240" w:lineRule="auto"/>
              <w:jc w:val="center"/>
              <w:rPr>
                <w:rFonts w:ascii="Arial" w:eastAsia="Times New Roman" w:hAnsi="Arial" w:cs="Arial"/>
                <w:b/>
                <w:sz w:val="20"/>
                <w:szCs w:val="20"/>
                <w:lang w:eastAsia="en-GB"/>
              </w:rPr>
            </w:pPr>
          </w:p>
        </w:tc>
        <w:tc>
          <w:tcPr>
            <w:tcW w:w="1560" w:type="dxa"/>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rsidR="00A9706E" w:rsidRPr="002E169A" w:rsidRDefault="00A9706E" w:rsidP="00031B92">
            <w:pPr>
              <w:spacing w:after="0" w:line="240" w:lineRule="auto"/>
              <w:jc w:val="center"/>
              <w:rPr>
                <w:rFonts w:ascii="Arial" w:eastAsia="Times New Roman" w:hAnsi="Arial" w:cs="Arial"/>
                <w:b/>
                <w:sz w:val="20"/>
                <w:szCs w:val="20"/>
                <w:lang w:eastAsia="en-GB"/>
              </w:rPr>
            </w:pPr>
          </w:p>
        </w:tc>
        <w:tc>
          <w:tcPr>
            <w:tcW w:w="1220" w:type="dxa"/>
            <w:tcBorders>
              <w:top w:val="nil"/>
              <w:left w:val="nil"/>
              <w:bottom w:val="single" w:sz="4" w:space="0" w:color="auto"/>
              <w:right w:val="single" w:sz="4" w:space="0" w:color="auto"/>
            </w:tcBorders>
            <w:shd w:val="clear" w:color="auto" w:fill="BFBFBF" w:themeFill="background1" w:themeFillShade="BF"/>
            <w:vAlign w:val="center"/>
            <w:hideMark/>
          </w:tcPr>
          <w:p w:rsidR="00A9706E" w:rsidRPr="002E169A" w:rsidRDefault="00A9706E" w:rsidP="00031B92">
            <w:pPr>
              <w:spacing w:after="0" w:line="240" w:lineRule="auto"/>
              <w:jc w:val="center"/>
              <w:rPr>
                <w:rFonts w:ascii="Arial" w:eastAsia="Times New Roman" w:hAnsi="Arial" w:cs="Arial"/>
                <w:b/>
                <w:sz w:val="20"/>
                <w:szCs w:val="20"/>
                <w:lang w:eastAsia="en-GB"/>
              </w:rPr>
            </w:pPr>
            <w:r w:rsidRPr="002E169A">
              <w:rPr>
                <w:rFonts w:ascii="Arial" w:eastAsia="Times New Roman" w:hAnsi="Arial" w:cs="Arial"/>
                <w:b/>
                <w:sz w:val="20"/>
                <w:szCs w:val="20"/>
                <w:lang w:eastAsia="en-GB"/>
              </w:rPr>
              <w:t>Limited a Lot</w:t>
            </w:r>
          </w:p>
        </w:tc>
        <w:tc>
          <w:tcPr>
            <w:tcW w:w="1200" w:type="dxa"/>
            <w:tcBorders>
              <w:top w:val="nil"/>
              <w:left w:val="nil"/>
              <w:bottom w:val="single" w:sz="4" w:space="0" w:color="auto"/>
              <w:right w:val="single" w:sz="4" w:space="0" w:color="auto"/>
            </w:tcBorders>
            <w:shd w:val="clear" w:color="auto" w:fill="BFBFBF" w:themeFill="background1" w:themeFillShade="BF"/>
            <w:vAlign w:val="center"/>
            <w:hideMark/>
          </w:tcPr>
          <w:p w:rsidR="00A9706E" w:rsidRPr="002E169A" w:rsidRDefault="00A9706E" w:rsidP="00031B92">
            <w:pPr>
              <w:spacing w:after="0" w:line="240" w:lineRule="auto"/>
              <w:jc w:val="center"/>
              <w:rPr>
                <w:rFonts w:ascii="Arial" w:eastAsia="Times New Roman" w:hAnsi="Arial" w:cs="Arial"/>
                <w:b/>
                <w:sz w:val="20"/>
                <w:szCs w:val="20"/>
                <w:lang w:eastAsia="en-GB"/>
              </w:rPr>
            </w:pPr>
            <w:r w:rsidRPr="002E169A">
              <w:rPr>
                <w:rFonts w:ascii="Arial" w:eastAsia="Times New Roman" w:hAnsi="Arial" w:cs="Arial"/>
                <w:b/>
                <w:sz w:val="20"/>
                <w:szCs w:val="20"/>
                <w:lang w:eastAsia="en-GB"/>
              </w:rPr>
              <w:t>Limited a Little</w:t>
            </w:r>
          </w:p>
        </w:tc>
        <w:tc>
          <w:tcPr>
            <w:tcW w:w="1217" w:type="dxa"/>
            <w:tcBorders>
              <w:top w:val="nil"/>
              <w:left w:val="nil"/>
              <w:bottom w:val="single" w:sz="4" w:space="0" w:color="auto"/>
              <w:right w:val="single" w:sz="4" w:space="0" w:color="auto"/>
            </w:tcBorders>
            <w:shd w:val="clear" w:color="auto" w:fill="BFBFBF" w:themeFill="background1" w:themeFillShade="BF"/>
            <w:vAlign w:val="center"/>
            <w:hideMark/>
          </w:tcPr>
          <w:p w:rsidR="00A9706E" w:rsidRPr="002E169A" w:rsidRDefault="00A9706E" w:rsidP="00031B92">
            <w:pPr>
              <w:spacing w:after="0" w:line="240" w:lineRule="auto"/>
              <w:jc w:val="center"/>
              <w:rPr>
                <w:rFonts w:ascii="Arial" w:eastAsia="Times New Roman" w:hAnsi="Arial" w:cs="Arial"/>
                <w:b/>
                <w:sz w:val="20"/>
                <w:szCs w:val="20"/>
                <w:lang w:eastAsia="en-GB"/>
              </w:rPr>
            </w:pPr>
            <w:r w:rsidRPr="002E169A">
              <w:rPr>
                <w:rFonts w:ascii="Arial" w:eastAsia="Times New Roman" w:hAnsi="Arial" w:cs="Arial"/>
                <w:b/>
                <w:sz w:val="20"/>
                <w:szCs w:val="20"/>
                <w:lang w:eastAsia="en-GB"/>
              </w:rPr>
              <w:t>Total</w:t>
            </w:r>
          </w:p>
        </w:tc>
        <w:tc>
          <w:tcPr>
            <w:tcW w:w="861" w:type="dxa"/>
            <w:tcBorders>
              <w:top w:val="nil"/>
              <w:left w:val="nil"/>
              <w:bottom w:val="single" w:sz="4" w:space="0" w:color="auto"/>
              <w:right w:val="single" w:sz="4" w:space="0" w:color="auto"/>
            </w:tcBorders>
            <w:shd w:val="clear" w:color="auto" w:fill="BFBFBF" w:themeFill="background1" w:themeFillShade="BF"/>
            <w:vAlign w:val="center"/>
            <w:hideMark/>
          </w:tcPr>
          <w:p w:rsidR="00A9706E" w:rsidRPr="002E169A" w:rsidRDefault="00A9706E" w:rsidP="00031B92">
            <w:pPr>
              <w:spacing w:after="0" w:line="240" w:lineRule="auto"/>
              <w:jc w:val="center"/>
              <w:rPr>
                <w:rFonts w:ascii="Arial" w:eastAsia="Times New Roman" w:hAnsi="Arial" w:cs="Arial"/>
                <w:b/>
                <w:sz w:val="20"/>
                <w:szCs w:val="20"/>
                <w:lang w:eastAsia="en-GB"/>
              </w:rPr>
            </w:pPr>
            <w:r w:rsidRPr="002E169A">
              <w:rPr>
                <w:rFonts w:ascii="Arial" w:eastAsia="Times New Roman" w:hAnsi="Arial" w:cs="Arial"/>
                <w:b/>
                <w:sz w:val="20"/>
                <w:szCs w:val="20"/>
                <w:lang w:eastAsia="en-GB"/>
              </w:rPr>
              <w:t>Limited a Lot</w:t>
            </w:r>
          </w:p>
        </w:tc>
        <w:tc>
          <w:tcPr>
            <w:tcW w:w="861" w:type="dxa"/>
            <w:tcBorders>
              <w:top w:val="nil"/>
              <w:left w:val="nil"/>
              <w:bottom w:val="single" w:sz="4" w:space="0" w:color="auto"/>
              <w:right w:val="single" w:sz="4" w:space="0" w:color="auto"/>
            </w:tcBorders>
            <w:shd w:val="clear" w:color="auto" w:fill="BFBFBF" w:themeFill="background1" w:themeFillShade="BF"/>
            <w:vAlign w:val="center"/>
            <w:hideMark/>
          </w:tcPr>
          <w:p w:rsidR="00A9706E" w:rsidRPr="002E169A" w:rsidRDefault="00A9706E" w:rsidP="00031B92">
            <w:pPr>
              <w:spacing w:after="0" w:line="240" w:lineRule="auto"/>
              <w:jc w:val="center"/>
              <w:rPr>
                <w:rFonts w:ascii="Arial" w:eastAsia="Times New Roman" w:hAnsi="Arial" w:cs="Arial"/>
                <w:b/>
                <w:sz w:val="20"/>
                <w:szCs w:val="20"/>
                <w:lang w:eastAsia="en-GB"/>
              </w:rPr>
            </w:pPr>
            <w:r w:rsidRPr="002E169A">
              <w:rPr>
                <w:rFonts w:ascii="Arial" w:eastAsia="Times New Roman" w:hAnsi="Arial" w:cs="Arial"/>
                <w:b/>
                <w:sz w:val="20"/>
                <w:szCs w:val="20"/>
                <w:lang w:eastAsia="en-GB"/>
              </w:rPr>
              <w:t>Limited a Little</w:t>
            </w:r>
          </w:p>
        </w:tc>
        <w:tc>
          <w:tcPr>
            <w:tcW w:w="960" w:type="dxa"/>
            <w:tcBorders>
              <w:top w:val="nil"/>
              <w:left w:val="nil"/>
              <w:bottom w:val="single" w:sz="4" w:space="0" w:color="auto"/>
              <w:right w:val="single" w:sz="4" w:space="0" w:color="auto"/>
            </w:tcBorders>
            <w:shd w:val="clear" w:color="auto" w:fill="BFBFBF" w:themeFill="background1" w:themeFillShade="BF"/>
            <w:vAlign w:val="center"/>
            <w:hideMark/>
          </w:tcPr>
          <w:p w:rsidR="00A9706E" w:rsidRPr="002E169A" w:rsidRDefault="00A9706E" w:rsidP="00031B92">
            <w:pPr>
              <w:spacing w:after="0" w:line="240" w:lineRule="auto"/>
              <w:jc w:val="center"/>
              <w:rPr>
                <w:rFonts w:ascii="Arial" w:eastAsia="Times New Roman" w:hAnsi="Arial" w:cs="Arial"/>
                <w:b/>
                <w:sz w:val="20"/>
                <w:szCs w:val="20"/>
                <w:lang w:eastAsia="en-GB"/>
              </w:rPr>
            </w:pPr>
            <w:r w:rsidRPr="002E169A">
              <w:rPr>
                <w:rFonts w:ascii="Arial" w:eastAsia="Times New Roman" w:hAnsi="Arial" w:cs="Arial"/>
                <w:b/>
                <w:sz w:val="20"/>
                <w:szCs w:val="20"/>
                <w:lang w:eastAsia="en-GB"/>
              </w:rPr>
              <w:t>Total</w:t>
            </w:r>
          </w:p>
        </w:tc>
      </w:tr>
      <w:tr w:rsidR="00A9706E" w:rsidRPr="00796BD3" w:rsidTr="00031B92">
        <w:trPr>
          <w:trHeight w:val="255"/>
          <w:jc w:val="cent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Barnet</w:t>
            </w:r>
          </w:p>
        </w:tc>
        <w:tc>
          <w:tcPr>
            <w:tcW w:w="156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356,386</w:t>
            </w:r>
          </w:p>
        </w:tc>
        <w:tc>
          <w:tcPr>
            <w:tcW w:w="122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23,475</w:t>
            </w:r>
          </w:p>
        </w:tc>
        <w:tc>
          <w:tcPr>
            <w:tcW w:w="120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26,428</w:t>
            </w:r>
          </w:p>
        </w:tc>
        <w:tc>
          <w:tcPr>
            <w:tcW w:w="1217"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49,903</w:t>
            </w:r>
          </w:p>
        </w:tc>
        <w:tc>
          <w:tcPr>
            <w:tcW w:w="861"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6.6%</w:t>
            </w:r>
          </w:p>
        </w:tc>
        <w:tc>
          <w:tcPr>
            <w:tcW w:w="861"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7.4%</w:t>
            </w:r>
          </w:p>
        </w:tc>
        <w:tc>
          <w:tcPr>
            <w:tcW w:w="96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14.0%</w:t>
            </w:r>
          </w:p>
        </w:tc>
      </w:tr>
      <w:tr w:rsidR="00A9706E" w:rsidRPr="00796BD3" w:rsidTr="00031B92">
        <w:trPr>
          <w:trHeight w:val="255"/>
          <w:jc w:val="cent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Outer London</w:t>
            </w:r>
          </w:p>
        </w:tc>
        <w:tc>
          <w:tcPr>
            <w:tcW w:w="156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4,942,040</w:t>
            </w:r>
          </w:p>
        </w:tc>
        <w:tc>
          <w:tcPr>
            <w:tcW w:w="122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335,759</w:t>
            </w:r>
          </w:p>
        </w:tc>
        <w:tc>
          <w:tcPr>
            <w:tcW w:w="120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382,917</w:t>
            </w:r>
          </w:p>
        </w:tc>
        <w:tc>
          <w:tcPr>
            <w:tcW w:w="1217"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718,676</w:t>
            </w:r>
          </w:p>
        </w:tc>
        <w:tc>
          <w:tcPr>
            <w:tcW w:w="861"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6.8%</w:t>
            </w:r>
          </w:p>
        </w:tc>
        <w:tc>
          <w:tcPr>
            <w:tcW w:w="861"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7.7%</w:t>
            </w:r>
          </w:p>
        </w:tc>
        <w:tc>
          <w:tcPr>
            <w:tcW w:w="96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14.5%</w:t>
            </w:r>
          </w:p>
        </w:tc>
      </w:tr>
      <w:tr w:rsidR="00A9706E" w:rsidRPr="00796BD3" w:rsidTr="00031B92">
        <w:trPr>
          <w:trHeight w:val="255"/>
          <w:jc w:val="cent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England and Wales</w:t>
            </w:r>
          </w:p>
        </w:tc>
        <w:tc>
          <w:tcPr>
            <w:tcW w:w="156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56,075,912</w:t>
            </w:r>
          </w:p>
        </w:tc>
        <w:tc>
          <w:tcPr>
            <w:tcW w:w="122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4,769,712</w:t>
            </w:r>
          </w:p>
        </w:tc>
        <w:tc>
          <w:tcPr>
            <w:tcW w:w="120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5,278,729</w:t>
            </w:r>
          </w:p>
        </w:tc>
        <w:tc>
          <w:tcPr>
            <w:tcW w:w="1217"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10,048,441</w:t>
            </w:r>
          </w:p>
        </w:tc>
        <w:tc>
          <w:tcPr>
            <w:tcW w:w="861"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8.5%</w:t>
            </w:r>
          </w:p>
        </w:tc>
        <w:tc>
          <w:tcPr>
            <w:tcW w:w="861"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9.4%</w:t>
            </w:r>
          </w:p>
        </w:tc>
        <w:tc>
          <w:tcPr>
            <w:tcW w:w="96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17.9%</w:t>
            </w:r>
          </w:p>
        </w:tc>
      </w:tr>
      <w:tr w:rsidR="00A9706E" w:rsidRPr="00796BD3" w:rsidTr="00031B92">
        <w:trPr>
          <w:trHeight w:val="255"/>
          <w:jc w:val="cent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p>
        </w:tc>
        <w:tc>
          <w:tcPr>
            <w:tcW w:w="156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p>
        </w:tc>
        <w:tc>
          <w:tcPr>
            <w:tcW w:w="122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p>
        </w:tc>
        <w:tc>
          <w:tcPr>
            <w:tcW w:w="120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p>
        </w:tc>
        <w:tc>
          <w:tcPr>
            <w:tcW w:w="1217"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p>
        </w:tc>
        <w:tc>
          <w:tcPr>
            <w:tcW w:w="861"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p>
        </w:tc>
        <w:tc>
          <w:tcPr>
            <w:tcW w:w="861"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p>
        </w:tc>
        <w:tc>
          <w:tcPr>
            <w:tcW w:w="96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p>
        </w:tc>
      </w:tr>
      <w:tr w:rsidR="00A9706E" w:rsidRPr="00796BD3" w:rsidTr="00031B92">
        <w:trPr>
          <w:trHeight w:val="255"/>
          <w:jc w:val="cent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Brunswick Park</w:t>
            </w:r>
          </w:p>
        </w:tc>
        <w:tc>
          <w:tcPr>
            <w:tcW w:w="156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16,394</w:t>
            </w:r>
          </w:p>
        </w:tc>
        <w:tc>
          <w:tcPr>
            <w:tcW w:w="122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1,117</w:t>
            </w:r>
          </w:p>
        </w:tc>
        <w:tc>
          <w:tcPr>
            <w:tcW w:w="120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1,361</w:t>
            </w:r>
          </w:p>
        </w:tc>
        <w:tc>
          <w:tcPr>
            <w:tcW w:w="1217"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2,478</w:t>
            </w:r>
          </w:p>
        </w:tc>
        <w:tc>
          <w:tcPr>
            <w:tcW w:w="861"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6.8%</w:t>
            </w:r>
          </w:p>
        </w:tc>
        <w:tc>
          <w:tcPr>
            <w:tcW w:w="861"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8.3%</w:t>
            </w:r>
          </w:p>
        </w:tc>
        <w:tc>
          <w:tcPr>
            <w:tcW w:w="96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15.1%</w:t>
            </w:r>
          </w:p>
        </w:tc>
      </w:tr>
      <w:tr w:rsidR="00A9706E" w:rsidRPr="00796BD3" w:rsidTr="00031B92">
        <w:trPr>
          <w:trHeight w:val="255"/>
          <w:jc w:val="cent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Burnt Oak</w:t>
            </w:r>
          </w:p>
        </w:tc>
        <w:tc>
          <w:tcPr>
            <w:tcW w:w="156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18,217</w:t>
            </w:r>
          </w:p>
        </w:tc>
        <w:tc>
          <w:tcPr>
            <w:tcW w:w="122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1,499</w:t>
            </w:r>
          </w:p>
        </w:tc>
        <w:tc>
          <w:tcPr>
            <w:tcW w:w="120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1,390</w:t>
            </w:r>
          </w:p>
        </w:tc>
        <w:tc>
          <w:tcPr>
            <w:tcW w:w="1217"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2,889</w:t>
            </w:r>
          </w:p>
        </w:tc>
        <w:tc>
          <w:tcPr>
            <w:tcW w:w="861"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8.2%</w:t>
            </w:r>
          </w:p>
        </w:tc>
        <w:tc>
          <w:tcPr>
            <w:tcW w:w="861"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7.6%</w:t>
            </w:r>
          </w:p>
        </w:tc>
        <w:tc>
          <w:tcPr>
            <w:tcW w:w="96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15.9%</w:t>
            </w:r>
          </w:p>
        </w:tc>
      </w:tr>
      <w:tr w:rsidR="00A9706E" w:rsidRPr="00796BD3" w:rsidTr="00031B92">
        <w:trPr>
          <w:trHeight w:val="255"/>
          <w:jc w:val="cent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Childs Hill</w:t>
            </w:r>
          </w:p>
        </w:tc>
        <w:tc>
          <w:tcPr>
            <w:tcW w:w="156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20,049</w:t>
            </w:r>
          </w:p>
        </w:tc>
        <w:tc>
          <w:tcPr>
            <w:tcW w:w="122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1,429</w:t>
            </w:r>
          </w:p>
        </w:tc>
        <w:tc>
          <w:tcPr>
            <w:tcW w:w="120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1,283</w:t>
            </w:r>
          </w:p>
        </w:tc>
        <w:tc>
          <w:tcPr>
            <w:tcW w:w="1217"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2,712</w:t>
            </w:r>
          </w:p>
        </w:tc>
        <w:tc>
          <w:tcPr>
            <w:tcW w:w="861"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7.1%</w:t>
            </w:r>
          </w:p>
        </w:tc>
        <w:tc>
          <w:tcPr>
            <w:tcW w:w="861"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6.4%</w:t>
            </w:r>
          </w:p>
        </w:tc>
        <w:tc>
          <w:tcPr>
            <w:tcW w:w="96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13.5%</w:t>
            </w:r>
          </w:p>
        </w:tc>
      </w:tr>
      <w:tr w:rsidR="00A9706E" w:rsidRPr="00796BD3" w:rsidTr="00031B92">
        <w:trPr>
          <w:trHeight w:val="255"/>
          <w:jc w:val="cent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Colindale</w:t>
            </w:r>
          </w:p>
        </w:tc>
        <w:tc>
          <w:tcPr>
            <w:tcW w:w="156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17,098</w:t>
            </w:r>
          </w:p>
        </w:tc>
        <w:tc>
          <w:tcPr>
            <w:tcW w:w="122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1,079</w:t>
            </w:r>
          </w:p>
        </w:tc>
        <w:tc>
          <w:tcPr>
            <w:tcW w:w="120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1,167</w:t>
            </w:r>
          </w:p>
        </w:tc>
        <w:tc>
          <w:tcPr>
            <w:tcW w:w="1217"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2,246</w:t>
            </w:r>
          </w:p>
        </w:tc>
        <w:tc>
          <w:tcPr>
            <w:tcW w:w="861"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6.3%</w:t>
            </w:r>
          </w:p>
        </w:tc>
        <w:tc>
          <w:tcPr>
            <w:tcW w:w="861"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6.8%</w:t>
            </w:r>
          </w:p>
        </w:tc>
        <w:tc>
          <w:tcPr>
            <w:tcW w:w="96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13.1%</w:t>
            </w:r>
          </w:p>
        </w:tc>
      </w:tr>
      <w:tr w:rsidR="00A9706E" w:rsidRPr="00796BD3" w:rsidTr="00031B92">
        <w:trPr>
          <w:trHeight w:val="255"/>
          <w:jc w:val="cent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Coppetts</w:t>
            </w:r>
          </w:p>
        </w:tc>
        <w:tc>
          <w:tcPr>
            <w:tcW w:w="156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17,250</w:t>
            </w:r>
          </w:p>
        </w:tc>
        <w:tc>
          <w:tcPr>
            <w:tcW w:w="122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1,160</w:t>
            </w:r>
          </w:p>
        </w:tc>
        <w:tc>
          <w:tcPr>
            <w:tcW w:w="120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1,198</w:t>
            </w:r>
          </w:p>
        </w:tc>
        <w:tc>
          <w:tcPr>
            <w:tcW w:w="1217"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2,358</w:t>
            </w:r>
          </w:p>
        </w:tc>
        <w:tc>
          <w:tcPr>
            <w:tcW w:w="861"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6.7%</w:t>
            </w:r>
          </w:p>
        </w:tc>
        <w:tc>
          <w:tcPr>
            <w:tcW w:w="861"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6.9%</w:t>
            </w:r>
          </w:p>
        </w:tc>
        <w:tc>
          <w:tcPr>
            <w:tcW w:w="96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13.7%</w:t>
            </w:r>
          </w:p>
        </w:tc>
      </w:tr>
      <w:tr w:rsidR="00A9706E" w:rsidRPr="00796BD3" w:rsidTr="00031B92">
        <w:trPr>
          <w:trHeight w:val="255"/>
          <w:jc w:val="cent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East Barnet</w:t>
            </w:r>
          </w:p>
        </w:tc>
        <w:tc>
          <w:tcPr>
            <w:tcW w:w="156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16,137</w:t>
            </w:r>
          </w:p>
        </w:tc>
        <w:tc>
          <w:tcPr>
            <w:tcW w:w="122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1,042</w:t>
            </w:r>
          </w:p>
        </w:tc>
        <w:tc>
          <w:tcPr>
            <w:tcW w:w="120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1,301</w:t>
            </w:r>
          </w:p>
        </w:tc>
        <w:tc>
          <w:tcPr>
            <w:tcW w:w="1217"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2,343</w:t>
            </w:r>
          </w:p>
        </w:tc>
        <w:tc>
          <w:tcPr>
            <w:tcW w:w="861"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6.5%</w:t>
            </w:r>
          </w:p>
        </w:tc>
        <w:tc>
          <w:tcPr>
            <w:tcW w:w="861"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8.1%</w:t>
            </w:r>
          </w:p>
        </w:tc>
        <w:tc>
          <w:tcPr>
            <w:tcW w:w="96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14.5%</w:t>
            </w:r>
          </w:p>
        </w:tc>
      </w:tr>
      <w:tr w:rsidR="00A9706E" w:rsidRPr="00796BD3" w:rsidTr="00031B92">
        <w:trPr>
          <w:trHeight w:val="255"/>
          <w:jc w:val="cent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East Finchley</w:t>
            </w:r>
          </w:p>
        </w:tc>
        <w:tc>
          <w:tcPr>
            <w:tcW w:w="156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15,989</w:t>
            </w:r>
          </w:p>
        </w:tc>
        <w:tc>
          <w:tcPr>
            <w:tcW w:w="122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1,074</w:t>
            </w:r>
          </w:p>
        </w:tc>
        <w:tc>
          <w:tcPr>
            <w:tcW w:w="120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1,259</w:t>
            </w:r>
          </w:p>
        </w:tc>
        <w:tc>
          <w:tcPr>
            <w:tcW w:w="1217"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2,333</w:t>
            </w:r>
          </w:p>
        </w:tc>
        <w:tc>
          <w:tcPr>
            <w:tcW w:w="861"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6.7%</w:t>
            </w:r>
          </w:p>
        </w:tc>
        <w:tc>
          <w:tcPr>
            <w:tcW w:w="861"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7.9%</w:t>
            </w:r>
          </w:p>
        </w:tc>
        <w:tc>
          <w:tcPr>
            <w:tcW w:w="96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14.6%</w:t>
            </w:r>
          </w:p>
        </w:tc>
      </w:tr>
      <w:tr w:rsidR="00A9706E" w:rsidRPr="00796BD3" w:rsidTr="00031B92">
        <w:trPr>
          <w:trHeight w:val="255"/>
          <w:jc w:val="cent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Edgware</w:t>
            </w:r>
          </w:p>
        </w:tc>
        <w:tc>
          <w:tcPr>
            <w:tcW w:w="156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16,728</w:t>
            </w:r>
          </w:p>
        </w:tc>
        <w:tc>
          <w:tcPr>
            <w:tcW w:w="122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1,075</w:t>
            </w:r>
          </w:p>
        </w:tc>
        <w:tc>
          <w:tcPr>
            <w:tcW w:w="120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1,298</w:t>
            </w:r>
          </w:p>
        </w:tc>
        <w:tc>
          <w:tcPr>
            <w:tcW w:w="1217"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2,373</w:t>
            </w:r>
          </w:p>
        </w:tc>
        <w:tc>
          <w:tcPr>
            <w:tcW w:w="861"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6.4%</w:t>
            </w:r>
          </w:p>
        </w:tc>
        <w:tc>
          <w:tcPr>
            <w:tcW w:w="861"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7.8%</w:t>
            </w:r>
          </w:p>
        </w:tc>
        <w:tc>
          <w:tcPr>
            <w:tcW w:w="96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14.2%</w:t>
            </w:r>
          </w:p>
        </w:tc>
      </w:tr>
      <w:tr w:rsidR="00A9706E" w:rsidRPr="00796BD3" w:rsidTr="00031B92">
        <w:trPr>
          <w:trHeight w:val="255"/>
          <w:jc w:val="cent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Finchley Church End</w:t>
            </w:r>
          </w:p>
        </w:tc>
        <w:tc>
          <w:tcPr>
            <w:tcW w:w="156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15,715</w:t>
            </w:r>
          </w:p>
        </w:tc>
        <w:tc>
          <w:tcPr>
            <w:tcW w:w="122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857</w:t>
            </w:r>
          </w:p>
        </w:tc>
        <w:tc>
          <w:tcPr>
            <w:tcW w:w="120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1,229</w:t>
            </w:r>
          </w:p>
        </w:tc>
        <w:tc>
          <w:tcPr>
            <w:tcW w:w="1217"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2,086</w:t>
            </w:r>
          </w:p>
        </w:tc>
        <w:tc>
          <w:tcPr>
            <w:tcW w:w="861"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5.5%</w:t>
            </w:r>
          </w:p>
        </w:tc>
        <w:tc>
          <w:tcPr>
            <w:tcW w:w="861"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7.8%</w:t>
            </w:r>
          </w:p>
        </w:tc>
        <w:tc>
          <w:tcPr>
            <w:tcW w:w="96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13.3%</w:t>
            </w:r>
          </w:p>
        </w:tc>
      </w:tr>
      <w:tr w:rsidR="00A9706E" w:rsidRPr="00796BD3" w:rsidTr="00031B92">
        <w:trPr>
          <w:trHeight w:val="255"/>
          <w:jc w:val="cent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Garden Suburb</w:t>
            </w:r>
          </w:p>
        </w:tc>
        <w:tc>
          <w:tcPr>
            <w:tcW w:w="156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15,929</w:t>
            </w:r>
          </w:p>
        </w:tc>
        <w:tc>
          <w:tcPr>
            <w:tcW w:w="122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694</w:t>
            </w:r>
          </w:p>
        </w:tc>
        <w:tc>
          <w:tcPr>
            <w:tcW w:w="120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968</w:t>
            </w:r>
          </w:p>
        </w:tc>
        <w:tc>
          <w:tcPr>
            <w:tcW w:w="1217"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1,662</w:t>
            </w:r>
          </w:p>
        </w:tc>
        <w:tc>
          <w:tcPr>
            <w:tcW w:w="861"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4.4%</w:t>
            </w:r>
          </w:p>
        </w:tc>
        <w:tc>
          <w:tcPr>
            <w:tcW w:w="861"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6.1%</w:t>
            </w:r>
          </w:p>
        </w:tc>
        <w:tc>
          <w:tcPr>
            <w:tcW w:w="96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10.4%</w:t>
            </w:r>
          </w:p>
        </w:tc>
      </w:tr>
      <w:tr w:rsidR="00A9706E" w:rsidRPr="00796BD3" w:rsidTr="00031B92">
        <w:trPr>
          <w:trHeight w:val="255"/>
          <w:jc w:val="cent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Golders Green</w:t>
            </w:r>
          </w:p>
        </w:tc>
        <w:tc>
          <w:tcPr>
            <w:tcW w:w="156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18,818</w:t>
            </w:r>
          </w:p>
        </w:tc>
        <w:tc>
          <w:tcPr>
            <w:tcW w:w="122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1,254</w:t>
            </w:r>
          </w:p>
        </w:tc>
        <w:tc>
          <w:tcPr>
            <w:tcW w:w="120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1,228</w:t>
            </w:r>
          </w:p>
        </w:tc>
        <w:tc>
          <w:tcPr>
            <w:tcW w:w="1217"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2,482</w:t>
            </w:r>
          </w:p>
        </w:tc>
        <w:tc>
          <w:tcPr>
            <w:tcW w:w="861"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6.7%</w:t>
            </w:r>
          </w:p>
        </w:tc>
        <w:tc>
          <w:tcPr>
            <w:tcW w:w="861"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6.5%</w:t>
            </w:r>
          </w:p>
        </w:tc>
        <w:tc>
          <w:tcPr>
            <w:tcW w:w="96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13.2%</w:t>
            </w:r>
          </w:p>
        </w:tc>
      </w:tr>
      <w:tr w:rsidR="00A9706E" w:rsidRPr="00796BD3" w:rsidTr="00031B92">
        <w:trPr>
          <w:trHeight w:val="255"/>
          <w:jc w:val="cent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Hale</w:t>
            </w:r>
          </w:p>
        </w:tc>
        <w:tc>
          <w:tcPr>
            <w:tcW w:w="156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17,437</w:t>
            </w:r>
          </w:p>
        </w:tc>
        <w:tc>
          <w:tcPr>
            <w:tcW w:w="122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1,182</w:t>
            </w:r>
          </w:p>
        </w:tc>
        <w:tc>
          <w:tcPr>
            <w:tcW w:w="120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1,301</w:t>
            </w:r>
          </w:p>
        </w:tc>
        <w:tc>
          <w:tcPr>
            <w:tcW w:w="1217"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2,483</w:t>
            </w:r>
          </w:p>
        </w:tc>
        <w:tc>
          <w:tcPr>
            <w:tcW w:w="861"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6.8%</w:t>
            </w:r>
          </w:p>
        </w:tc>
        <w:tc>
          <w:tcPr>
            <w:tcW w:w="861"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7.5%</w:t>
            </w:r>
          </w:p>
        </w:tc>
        <w:tc>
          <w:tcPr>
            <w:tcW w:w="96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14.2%</w:t>
            </w:r>
          </w:p>
        </w:tc>
      </w:tr>
      <w:tr w:rsidR="00A9706E" w:rsidRPr="00796BD3" w:rsidTr="00031B92">
        <w:trPr>
          <w:trHeight w:val="255"/>
          <w:jc w:val="cent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Hendon</w:t>
            </w:r>
          </w:p>
        </w:tc>
        <w:tc>
          <w:tcPr>
            <w:tcW w:w="156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18,472</w:t>
            </w:r>
          </w:p>
        </w:tc>
        <w:tc>
          <w:tcPr>
            <w:tcW w:w="122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1,078</w:t>
            </w:r>
          </w:p>
        </w:tc>
        <w:tc>
          <w:tcPr>
            <w:tcW w:w="120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1,286</w:t>
            </w:r>
          </w:p>
        </w:tc>
        <w:tc>
          <w:tcPr>
            <w:tcW w:w="1217"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2,364</w:t>
            </w:r>
          </w:p>
        </w:tc>
        <w:tc>
          <w:tcPr>
            <w:tcW w:w="861"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5.8%</w:t>
            </w:r>
          </w:p>
        </w:tc>
        <w:tc>
          <w:tcPr>
            <w:tcW w:w="861"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7.0%</w:t>
            </w:r>
          </w:p>
        </w:tc>
        <w:tc>
          <w:tcPr>
            <w:tcW w:w="96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12.8%</w:t>
            </w:r>
          </w:p>
        </w:tc>
      </w:tr>
      <w:tr w:rsidR="00A9706E" w:rsidRPr="00796BD3" w:rsidTr="00031B92">
        <w:trPr>
          <w:trHeight w:val="255"/>
          <w:jc w:val="cent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High Barnet</w:t>
            </w:r>
          </w:p>
        </w:tc>
        <w:tc>
          <w:tcPr>
            <w:tcW w:w="156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15,307</w:t>
            </w:r>
          </w:p>
        </w:tc>
        <w:tc>
          <w:tcPr>
            <w:tcW w:w="122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1,050</w:t>
            </w:r>
          </w:p>
        </w:tc>
        <w:tc>
          <w:tcPr>
            <w:tcW w:w="120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1,242</w:t>
            </w:r>
          </w:p>
        </w:tc>
        <w:tc>
          <w:tcPr>
            <w:tcW w:w="1217"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2,292</w:t>
            </w:r>
          </w:p>
        </w:tc>
        <w:tc>
          <w:tcPr>
            <w:tcW w:w="861"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6.9%</w:t>
            </w:r>
          </w:p>
        </w:tc>
        <w:tc>
          <w:tcPr>
            <w:tcW w:w="861"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8.1%</w:t>
            </w:r>
          </w:p>
        </w:tc>
        <w:tc>
          <w:tcPr>
            <w:tcW w:w="96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15.0%</w:t>
            </w:r>
          </w:p>
        </w:tc>
      </w:tr>
      <w:tr w:rsidR="00A9706E" w:rsidRPr="00796BD3" w:rsidTr="00031B92">
        <w:trPr>
          <w:trHeight w:val="255"/>
          <w:jc w:val="cent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Mill Hill</w:t>
            </w:r>
          </w:p>
        </w:tc>
        <w:tc>
          <w:tcPr>
            <w:tcW w:w="156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18,451</w:t>
            </w:r>
          </w:p>
        </w:tc>
        <w:tc>
          <w:tcPr>
            <w:tcW w:w="122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1,047</w:t>
            </w:r>
          </w:p>
        </w:tc>
        <w:tc>
          <w:tcPr>
            <w:tcW w:w="120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1,406</w:t>
            </w:r>
          </w:p>
        </w:tc>
        <w:tc>
          <w:tcPr>
            <w:tcW w:w="1217"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2,453</w:t>
            </w:r>
          </w:p>
        </w:tc>
        <w:tc>
          <w:tcPr>
            <w:tcW w:w="861"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5.7%</w:t>
            </w:r>
          </w:p>
        </w:tc>
        <w:tc>
          <w:tcPr>
            <w:tcW w:w="861"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7.6%</w:t>
            </w:r>
          </w:p>
        </w:tc>
        <w:tc>
          <w:tcPr>
            <w:tcW w:w="96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13.3%</w:t>
            </w:r>
          </w:p>
        </w:tc>
      </w:tr>
      <w:tr w:rsidR="00A9706E" w:rsidRPr="00796BD3" w:rsidTr="00031B92">
        <w:trPr>
          <w:trHeight w:val="255"/>
          <w:jc w:val="cent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Oakleigh</w:t>
            </w:r>
          </w:p>
        </w:tc>
        <w:tc>
          <w:tcPr>
            <w:tcW w:w="156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15,811</w:t>
            </w:r>
          </w:p>
        </w:tc>
        <w:tc>
          <w:tcPr>
            <w:tcW w:w="122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1,073</w:t>
            </w:r>
          </w:p>
        </w:tc>
        <w:tc>
          <w:tcPr>
            <w:tcW w:w="120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1,172</w:t>
            </w:r>
          </w:p>
        </w:tc>
        <w:tc>
          <w:tcPr>
            <w:tcW w:w="1217"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2,245</w:t>
            </w:r>
          </w:p>
        </w:tc>
        <w:tc>
          <w:tcPr>
            <w:tcW w:w="861"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6.8%</w:t>
            </w:r>
          </w:p>
        </w:tc>
        <w:tc>
          <w:tcPr>
            <w:tcW w:w="861"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7.4%</w:t>
            </w:r>
          </w:p>
        </w:tc>
        <w:tc>
          <w:tcPr>
            <w:tcW w:w="96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14.2%</w:t>
            </w:r>
          </w:p>
        </w:tc>
      </w:tr>
      <w:tr w:rsidR="00A9706E" w:rsidRPr="00796BD3" w:rsidTr="00031B92">
        <w:trPr>
          <w:trHeight w:val="255"/>
          <w:jc w:val="cent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Totteridge</w:t>
            </w:r>
          </w:p>
        </w:tc>
        <w:tc>
          <w:tcPr>
            <w:tcW w:w="156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15,159</w:t>
            </w:r>
          </w:p>
        </w:tc>
        <w:tc>
          <w:tcPr>
            <w:tcW w:w="122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951</w:t>
            </w:r>
          </w:p>
        </w:tc>
        <w:tc>
          <w:tcPr>
            <w:tcW w:w="120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1,121</w:t>
            </w:r>
          </w:p>
        </w:tc>
        <w:tc>
          <w:tcPr>
            <w:tcW w:w="1217"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2,072</w:t>
            </w:r>
          </w:p>
        </w:tc>
        <w:tc>
          <w:tcPr>
            <w:tcW w:w="861"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6.3%</w:t>
            </w:r>
          </w:p>
        </w:tc>
        <w:tc>
          <w:tcPr>
            <w:tcW w:w="861"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7.4%</w:t>
            </w:r>
          </w:p>
        </w:tc>
        <w:tc>
          <w:tcPr>
            <w:tcW w:w="96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13.7%</w:t>
            </w:r>
          </w:p>
        </w:tc>
      </w:tr>
      <w:tr w:rsidR="00A9706E" w:rsidRPr="00796BD3" w:rsidTr="00031B92">
        <w:trPr>
          <w:trHeight w:val="255"/>
          <w:jc w:val="cent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Underhill</w:t>
            </w:r>
          </w:p>
        </w:tc>
        <w:tc>
          <w:tcPr>
            <w:tcW w:w="156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15,915</w:t>
            </w:r>
          </w:p>
        </w:tc>
        <w:tc>
          <w:tcPr>
            <w:tcW w:w="122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1,311</w:t>
            </w:r>
          </w:p>
        </w:tc>
        <w:tc>
          <w:tcPr>
            <w:tcW w:w="120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1,430</w:t>
            </w:r>
          </w:p>
        </w:tc>
        <w:tc>
          <w:tcPr>
            <w:tcW w:w="1217"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2,741</w:t>
            </w:r>
          </w:p>
        </w:tc>
        <w:tc>
          <w:tcPr>
            <w:tcW w:w="861"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8.2%</w:t>
            </w:r>
          </w:p>
        </w:tc>
        <w:tc>
          <w:tcPr>
            <w:tcW w:w="861"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9.0%</w:t>
            </w:r>
          </w:p>
        </w:tc>
        <w:tc>
          <w:tcPr>
            <w:tcW w:w="96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17.2%</w:t>
            </w:r>
          </w:p>
        </w:tc>
      </w:tr>
      <w:tr w:rsidR="00A9706E" w:rsidRPr="00796BD3" w:rsidTr="00031B92">
        <w:trPr>
          <w:trHeight w:val="255"/>
          <w:jc w:val="cent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West Finchley</w:t>
            </w:r>
          </w:p>
        </w:tc>
        <w:tc>
          <w:tcPr>
            <w:tcW w:w="156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16,533</w:t>
            </w:r>
          </w:p>
        </w:tc>
        <w:tc>
          <w:tcPr>
            <w:tcW w:w="122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1,023</w:t>
            </w:r>
          </w:p>
        </w:tc>
        <w:tc>
          <w:tcPr>
            <w:tcW w:w="120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1,136</w:t>
            </w:r>
          </w:p>
        </w:tc>
        <w:tc>
          <w:tcPr>
            <w:tcW w:w="1217"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2,159</w:t>
            </w:r>
          </w:p>
        </w:tc>
        <w:tc>
          <w:tcPr>
            <w:tcW w:w="861"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6.2%</w:t>
            </w:r>
          </w:p>
        </w:tc>
        <w:tc>
          <w:tcPr>
            <w:tcW w:w="861"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6.9%</w:t>
            </w:r>
          </w:p>
        </w:tc>
        <w:tc>
          <w:tcPr>
            <w:tcW w:w="96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13.1%</w:t>
            </w:r>
          </w:p>
        </w:tc>
      </w:tr>
      <w:tr w:rsidR="00A9706E" w:rsidRPr="00796BD3" w:rsidTr="00031B92">
        <w:trPr>
          <w:trHeight w:val="255"/>
          <w:jc w:val="cent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West Hendon</w:t>
            </w:r>
          </w:p>
        </w:tc>
        <w:tc>
          <w:tcPr>
            <w:tcW w:w="156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17,402</w:t>
            </w:r>
          </w:p>
        </w:tc>
        <w:tc>
          <w:tcPr>
            <w:tcW w:w="122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1,172</w:t>
            </w:r>
          </w:p>
        </w:tc>
        <w:tc>
          <w:tcPr>
            <w:tcW w:w="120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1,243</w:t>
            </w:r>
          </w:p>
        </w:tc>
        <w:tc>
          <w:tcPr>
            <w:tcW w:w="1217"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2,415</w:t>
            </w:r>
          </w:p>
        </w:tc>
        <w:tc>
          <w:tcPr>
            <w:tcW w:w="861"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6.7%</w:t>
            </w:r>
          </w:p>
        </w:tc>
        <w:tc>
          <w:tcPr>
            <w:tcW w:w="861"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7.1%</w:t>
            </w:r>
          </w:p>
        </w:tc>
        <w:tc>
          <w:tcPr>
            <w:tcW w:w="96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13.9%</w:t>
            </w:r>
          </w:p>
        </w:tc>
      </w:tr>
      <w:tr w:rsidR="00A9706E" w:rsidRPr="00796BD3" w:rsidTr="00031B92">
        <w:trPr>
          <w:trHeight w:val="255"/>
          <w:jc w:val="cent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Woodhouse</w:t>
            </w:r>
          </w:p>
        </w:tc>
        <w:tc>
          <w:tcPr>
            <w:tcW w:w="156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17,575</w:t>
            </w:r>
          </w:p>
        </w:tc>
        <w:tc>
          <w:tcPr>
            <w:tcW w:w="122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1,308</w:t>
            </w:r>
          </w:p>
        </w:tc>
        <w:tc>
          <w:tcPr>
            <w:tcW w:w="120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1,409</w:t>
            </w:r>
          </w:p>
        </w:tc>
        <w:tc>
          <w:tcPr>
            <w:tcW w:w="1217"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2,717</w:t>
            </w:r>
          </w:p>
        </w:tc>
        <w:tc>
          <w:tcPr>
            <w:tcW w:w="861"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7.4%</w:t>
            </w:r>
          </w:p>
        </w:tc>
        <w:tc>
          <w:tcPr>
            <w:tcW w:w="861"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8.0%</w:t>
            </w:r>
          </w:p>
        </w:tc>
        <w:tc>
          <w:tcPr>
            <w:tcW w:w="960" w:type="dxa"/>
            <w:tcBorders>
              <w:top w:val="nil"/>
              <w:left w:val="nil"/>
              <w:bottom w:val="single" w:sz="4" w:space="0" w:color="auto"/>
              <w:right w:val="single" w:sz="4" w:space="0" w:color="auto"/>
            </w:tcBorders>
            <w:shd w:val="clear" w:color="auto" w:fill="auto"/>
            <w:noWrap/>
            <w:vAlign w:val="bottom"/>
            <w:hideMark/>
          </w:tcPr>
          <w:p w:rsidR="00A9706E" w:rsidRPr="00796BD3" w:rsidRDefault="00A9706E" w:rsidP="00031B92">
            <w:pPr>
              <w:spacing w:after="0" w:line="240" w:lineRule="auto"/>
              <w:jc w:val="center"/>
              <w:rPr>
                <w:rFonts w:ascii="Arial" w:eastAsia="Times New Roman" w:hAnsi="Arial" w:cs="Arial"/>
                <w:sz w:val="20"/>
                <w:szCs w:val="20"/>
                <w:lang w:eastAsia="en-GB"/>
              </w:rPr>
            </w:pPr>
            <w:r w:rsidRPr="00796BD3">
              <w:rPr>
                <w:rFonts w:ascii="Arial" w:eastAsia="Times New Roman" w:hAnsi="Arial" w:cs="Arial"/>
                <w:sz w:val="20"/>
                <w:szCs w:val="20"/>
                <w:lang w:eastAsia="en-GB"/>
              </w:rPr>
              <w:t>15.5%</w:t>
            </w:r>
          </w:p>
        </w:tc>
      </w:tr>
    </w:tbl>
    <w:p w:rsidR="00A9706E" w:rsidRDefault="00A9706E" w:rsidP="00A9706E">
      <w:pPr>
        <w:jc w:val="both"/>
        <w:rPr>
          <w:rFonts w:ascii="Calibri" w:eastAsia="Times New Roman" w:hAnsi="Calibri" w:cs="Times New Roman"/>
          <w:color w:val="000000"/>
          <w:lang w:eastAsia="en-GB"/>
        </w:rPr>
      </w:pPr>
      <w:r>
        <w:rPr>
          <w:rFonts w:ascii="Calibri" w:eastAsia="Times New Roman" w:hAnsi="Calibri" w:cs="Times New Roman"/>
          <w:color w:val="000000"/>
          <w:lang w:eastAsia="en-GB"/>
        </w:rPr>
        <w:t>Source: 2011 Census</w:t>
      </w:r>
    </w:p>
    <w:p w:rsidR="00A9706E" w:rsidRDefault="00A9706E" w:rsidP="00A9706E">
      <w:pPr>
        <w:jc w:val="both"/>
        <w:rPr>
          <w:rFonts w:ascii="Calibri" w:eastAsia="Times New Roman" w:hAnsi="Calibri" w:cs="Times New Roman"/>
          <w:color w:val="000000"/>
          <w:lang w:eastAsia="en-GB"/>
        </w:rPr>
      </w:pPr>
      <w:r>
        <w:rPr>
          <w:rFonts w:ascii="Calibri" w:eastAsia="Times New Roman" w:hAnsi="Calibri" w:cs="Times New Roman"/>
          <w:color w:val="000000"/>
          <w:lang w:eastAsia="en-GB"/>
        </w:rPr>
        <w:t xml:space="preserve">Figure </w:t>
      </w:r>
      <w:r>
        <w:rPr>
          <w:rFonts w:ascii="Calibri" w:hAnsi="Calibri" w:cs="Calibri"/>
        </w:rPr>
        <w:t>2-</w:t>
      </w:r>
      <w:r w:rsidR="00C52CEE">
        <w:rPr>
          <w:rFonts w:ascii="Calibri" w:eastAsia="Times New Roman" w:hAnsi="Calibri" w:cs="Times New Roman"/>
          <w:color w:val="000000"/>
          <w:lang w:eastAsia="en-GB"/>
        </w:rPr>
        <w:t>17</w:t>
      </w:r>
      <w:r>
        <w:rPr>
          <w:rFonts w:ascii="Calibri" w:eastAsia="Times New Roman" w:hAnsi="Calibri" w:cs="Times New Roman"/>
          <w:color w:val="000000"/>
          <w:lang w:eastAsia="en-GB"/>
        </w:rPr>
        <w:t xml:space="preserve"> provides map of the Barnet population by residents who reported having their day-to-day activities limited a lot. As you can see from the map, this indicator appears less impacted by locality, with a fairly even spread across the whole Borough. </w:t>
      </w:r>
    </w:p>
    <w:p w:rsidR="00C52CEE" w:rsidRDefault="00C52CEE" w:rsidP="00A9706E">
      <w:pPr>
        <w:pStyle w:val="Caption"/>
      </w:pPr>
    </w:p>
    <w:p w:rsidR="00C52CEE" w:rsidRDefault="00C52CEE" w:rsidP="00A9706E">
      <w:pPr>
        <w:pStyle w:val="Caption"/>
      </w:pPr>
    </w:p>
    <w:p w:rsidR="00C52CEE" w:rsidRDefault="00C52CEE" w:rsidP="00A9706E">
      <w:pPr>
        <w:pStyle w:val="Caption"/>
      </w:pPr>
    </w:p>
    <w:p w:rsidR="00C52CEE" w:rsidRDefault="00C52CEE" w:rsidP="00A9706E">
      <w:pPr>
        <w:pStyle w:val="Caption"/>
      </w:pPr>
    </w:p>
    <w:p w:rsidR="00C52CEE" w:rsidRDefault="00C52CEE" w:rsidP="00A9706E">
      <w:pPr>
        <w:pStyle w:val="Caption"/>
      </w:pPr>
    </w:p>
    <w:p w:rsidR="00C52CEE" w:rsidRDefault="00C52CEE" w:rsidP="00A9706E">
      <w:pPr>
        <w:pStyle w:val="Caption"/>
      </w:pPr>
    </w:p>
    <w:p w:rsidR="00C52CEE" w:rsidRDefault="00C52CEE" w:rsidP="00A9706E">
      <w:pPr>
        <w:pStyle w:val="Caption"/>
      </w:pPr>
    </w:p>
    <w:p w:rsidR="00C52CEE" w:rsidRDefault="00C52CEE" w:rsidP="00A9706E">
      <w:pPr>
        <w:pStyle w:val="Caption"/>
      </w:pPr>
    </w:p>
    <w:p w:rsidR="00C52CEE" w:rsidRDefault="00C52CEE" w:rsidP="00A9706E">
      <w:pPr>
        <w:pStyle w:val="Caption"/>
      </w:pPr>
    </w:p>
    <w:p w:rsidR="00C52CEE" w:rsidRDefault="00C52CEE" w:rsidP="00A9706E">
      <w:pPr>
        <w:pStyle w:val="Caption"/>
      </w:pPr>
    </w:p>
    <w:p w:rsidR="00C52CEE" w:rsidRDefault="00C52CEE" w:rsidP="00A9706E">
      <w:pPr>
        <w:pStyle w:val="Caption"/>
      </w:pPr>
    </w:p>
    <w:p w:rsidR="00C52CEE" w:rsidRDefault="00C52CEE" w:rsidP="00A9706E">
      <w:pPr>
        <w:pStyle w:val="Caption"/>
      </w:pPr>
    </w:p>
    <w:p w:rsidR="00A9706E" w:rsidRPr="00B217DD" w:rsidRDefault="00A9706E" w:rsidP="00A9706E">
      <w:pPr>
        <w:pStyle w:val="Caption"/>
        <w:rPr>
          <w:rFonts w:cs="Calibri"/>
        </w:rPr>
      </w:pPr>
      <w:r>
        <w:lastRenderedPageBreak/>
        <w:t xml:space="preserve">Figure </w:t>
      </w:r>
      <w:fldSimple w:instr=" STYLEREF 1 \s ">
        <w:r w:rsidR="001663C2">
          <w:rPr>
            <w:noProof/>
          </w:rPr>
          <w:t>2</w:t>
        </w:r>
      </w:fldSimple>
      <w:r w:rsidR="00943DC2">
        <w:noBreakHyphen/>
      </w:r>
      <w:fldSimple w:instr=" SEQ Figure \* ARABIC \s 1 ">
        <w:r w:rsidR="001663C2">
          <w:rPr>
            <w:noProof/>
          </w:rPr>
          <w:t>17</w:t>
        </w:r>
      </w:fldSimple>
      <w:r w:rsidRPr="00B217DD">
        <w:rPr>
          <w:rFonts w:cs="Calibri"/>
        </w:rPr>
        <w:t>: Proportion of Population Whose Activity is ‘Limited a lot’ by Ward, 2011</w:t>
      </w:r>
    </w:p>
    <w:p w:rsidR="00A9706E" w:rsidRDefault="00A9706E" w:rsidP="00A9706E">
      <w:pPr>
        <w:spacing w:after="0" w:line="240" w:lineRule="auto"/>
        <w:jc w:val="center"/>
        <w:rPr>
          <w:rFonts w:ascii="Calibri" w:eastAsia="Times New Roman" w:hAnsi="Calibri" w:cs="Times New Roman"/>
          <w:color w:val="000000"/>
          <w:lang w:eastAsia="en-GB"/>
        </w:rPr>
      </w:pPr>
      <w:r>
        <w:rPr>
          <w:noProof/>
          <w:lang w:eastAsia="en-GB"/>
        </w:rPr>
        <w:drawing>
          <wp:inline distT="0" distB="0" distL="0" distR="0" wp14:anchorId="59F85EDC" wp14:editId="285BFD9B">
            <wp:extent cx="3495020" cy="3171825"/>
            <wp:effectExtent l="0" t="0" r="0" b="0"/>
            <wp:docPr id="43031" name="Picture 43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extLst>
                        <a:ext uri="{28A0092B-C50C-407E-A947-70E740481C1C}">
                          <a14:useLocalDpi xmlns:a14="http://schemas.microsoft.com/office/drawing/2010/main" val="0"/>
                        </a:ext>
                      </a:extLst>
                    </a:blip>
                    <a:srcRect l="21933" t="25510" r="41264" b="15098"/>
                    <a:stretch/>
                  </pic:blipFill>
                  <pic:spPr bwMode="auto">
                    <a:xfrm>
                      <a:off x="0" y="0"/>
                      <a:ext cx="3508943" cy="3184460"/>
                    </a:xfrm>
                    <a:prstGeom prst="rect">
                      <a:avLst/>
                    </a:prstGeom>
                    <a:ln>
                      <a:noFill/>
                    </a:ln>
                    <a:extLst>
                      <a:ext uri="{53640926-AAD7-44D8-BBD7-CCE9431645EC}">
                        <a14:shadowObscured xmlns:a14="http://schemas.microsoft.com/office/drawing/2010/main"/>
                      </a:ext>
                    </a:extLst>
                  </pic:spPr>
                </pic:pic>
              </a:graphicData>
            </a:graphic>
          </wp:inline>
        </w:drawing>
      </w:r>
    </w:p>
    <w:p w:rsidR="00A9706E" w:rsidRDefault="00A9706E" w:rsidP="00A9706E">
      <w:pPr>
        <w:spacing w:after="0" w:line="240" w:lineRule="auto"/>
        <w:jc w:val="both"/>
        <w:rPr>
          <w:rFonts w:ascii="Calibri" w:eastAsia="Times New Roman" w:hAnsi="Calibri" w:cs="Times New Roman"/>
          <w:color w:val="000000"/>
          <w:lang w:eastAsia="en-GB"/>
        </w:rPr>
      </w:pPr>
      <w:r>
        <w:rPr>
          <w:rFonts w:ascii="Calibri" w:eastAsia="Times New Roman" w:hAnsi="Calibri" w:cs="Times New Roman"/>
          <w:color w:val="000000"/>
          <w:lang w:eastAsia="en-GB"/>
        </w:rPr>
        <w:t>Source: 2011 Census</w:t>
      </w:r>
    </w:p>
    <w:p w:rsidR="00A9706E" w:rsidRDefault="00A9706E" w:rsidP="00A9706E">
      <w:pPr>
        <w:pStyle w:val="Heading3"/>
      </w:pPr>
      <w:r>
        <w:t>Types of Disability</w:t>
      </w:r>
    </w:p>
    <w:p w:rsidR="00A9706E" w:rsidRDefault="00702B67" w:rsidP="00A9706E">
      <w:r>
        <w:t xml:space="preserve">There is </w:t>
      </w:r>
      <w:r w:rsidR="00A9706E">
        <w:t xml:space="preserve">no definitive data on the amount of people with disabilities within the Borough, although by applying national prevalence rates to the Barnet population </w:t>
      </w:r>
      <w:r>
        <w:t xml:space="preserve">it is possible to </w:t>
      </w:r>
      <w:r w:rsidR="00A9706E">
        <w:t xml:space="preserve">get an indication of this. The rates are taken from research undertaken by Oxford Brookes University. </w:t>
      </w:r>
    </w:p>
    <w:p w:rsidR="00A9706E" w:rsidRDefault="00A9706E" w:rsidP="00A9706E">
      <w:pPr>
        <w:pStyle w:val="Caption"/>
        <w:rPr>
          <w:b w:val="0"/>
          <w:i/>
        </w:rPr>
      </w:pPr>
      <w:r>
        <w:t xml:space="preserve">Table </w:t>
      </w:r>
      <w:fldSimple w:instr=" STYLEREF 1 \s ">
        <w:r w:rsidR="001663C2">
          <w:rPr>
            <w:noProof/>
          </w:rPr>
          <w:t>2</w:t>
        </w:r>
      </w:fldSimple>
      <w:r>
        <w:noBreakHyphen/>
      </w:r>
      <w:fldSimple w:instr=" SEQ Table \* ARABIC \s 1 ">
        <w:r w:rsidR="001663C2">
          <w:rPr>
            <w:noProof/>
          </w:rPr>
          <w:t>15</w:t>
        </w:r>
      </w:fldSimple>
      <w:r w:rsidRPr="00B217DD">
        <w:rPr>
          <w:rFonts w:cs="Calibri"/>
        </w:rPr>
        <w:t>: The Estimated Number of People in Barnet with Moderate or Severe Learning Disabilities, 2015, 2021 &amp; 2030</w:t>
      </w:r>
    </w:p>
    <w:tbl>
      <w:tblPr>
        <w:tblW w:w="7782" w:type="dxa"/>
        <w:jc w:val="center"/>
        <w:tblInd w:w="-219" w:type="dxa"/>
        <w:tblLook w:val="04A0" w:firstRow="1" w:lastRow="0" w:firstColumn="1" w:lastColumn="0" w:noHBand="0" w:noVBand="1"/>
      </w:tblPr>
      <w:tblGrid>
        <w:gridCol w:w="1392"/>
        <w:gridCol w:w="1360"/>
        <w:gridCol w:w="1600"/>
        <w:gridCol w:w="1689"/>
        <w:gridCol w:w="1741"/>
      </w:tblGrid>
      <w:tr w:rsidR="00A9706E" w:rsidRPr="006D0377" w:rsidTr="00031B92">
        <w:trPr>
          <w:trHeight w:val="685"/>
          <w:jc w:val="center"/>
        </w:trPr>
        <w:tc>
          <w:tcPr>
            <w:tcW w:w="1392"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A9706E" w:rsidRPr="00B45B7D" w:rsidRDefault="00A9706E" w:rsidP="00031B92">
            <w:pPr>
              <w:spacing w:after="0" w:line="240" w:lineRule="auto"/>
              <w:jc w:val="center"/>
              <w:rPr>
                <w:rFonts w:ascii="Calibri" w:eastAsia="Times New Roman" w:hAnsi="Calibri" w:cs="Times New Roman"/>
                <w:b/>
                <w:color w:val="000000"/>
                <w:lang w:eastAsia="en-GB"/>
              </w:rPr>
            </w:pPr>
            <w:r w:rsidRPr="00B45B7D">
              <w:rPr>
                <w:rFonts w:ascii="Calibri" w:eastAsia="Times New Roman" w:hAnsi="Calibri" w:cs="Times New Roman"/>
                <w:b/>
                <w:color w:val="000000"/>
                <w:lang w:eastAsia="en-GB"/>
              </w:rPr>
              <w:t>Age Range</w:t>
            </w:r>
          </w:p>
        </w:tc>
        <w:tc>
          <w:tcPr>
            <w:tcW w:w="136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A9706E" w:rsidRPr="00B45B7D" w:rsidRDefault="00A9706E" w:rsidP="00031B92">
            <w:pPr>
              <w:spacing w:after="0" w:line="240" w:lineRule="auto"/>
              <w:jc w:val="center"/>
              <w:rPr>
                <w:rFonts w:ascii="Calibri" w:eastAsia="Times New Roman" w:hAnsi="Calibri" w:cs="Times New Roman"/>
                <w:b/>
                <w:color w:val="000000"/>
                <w:lang w:eastAsia="en-GB"/>
              </w:rPr>
            </w:pPr>
            <w:r w:rsidRPr="00B45B7D">
              <w:rPr>
                <w:rFonts w:ascii="Calibri" w:eastAsia="Times New Roman" w:hAnsi="Calibri" w:cs="Times New Roman"/>
                <w:b/>
                <w:color w:val="000000"/>
                <w:lang w:eastAsia="en-GB"/>
              </w:rPr>
              <w:t>Prevalence Rate</w:t>
            </w:r>
          </w:p>
        </w:tc>
        <w:tc>
          <w:tcPr>
            <w:tcW w:w="160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A9706E" w:rsidRPr="00B45B7D" w:rsidRDefault="00A9706E" w:rsidP="00031B92">
            <w:pPr>
              <w:spacing w:after="0" w:line="240" w:lineRule="auto"/>
              <w:jc w:val="center"/>
              <w:rPr>
                <w:rFonts w:ascii="Calibri" w:eastAsia="Times New Roman" w:hAnsi="Calibri" w:cs="Times New Roman"/>
                <w:b/>
                <w:color w:val="000000"/>
                <w:lang w:eastAsia="en-GB"/>
              </w:rPr>
            </w:pPr>
            <w:r w:rsidRPr="00B45B7D">
              <w:rPr>
                <w:rFonts w:ascii="Calibri" w:eastAsia="Times New Roman" w:hAnsi="Calibri" w:cs="Times New Roman"/>
                <w:b/>
                <w:color w:val="000000"/>
                <w:lang w:eastAsia="en-GB"/>
              </w:rPr>
              <w:t>Number of People</w:t>
            </w:r>
            <w:r>
              <w:rPr>
                <w:rFonts w:ascii="Calibri" w:eastAsia="Times New Roman" w:hAnsi="Calibri" w:cs="Times New Roman"/>
                <w:b/>
                <w:color w:val="000000"/>
                <w:lang w:eastAsia="en-GB"/>
              </w:rPr>
              <w:t>: 2015</w:t>
            </w:r>
          </w:p>
        </w:tc>
        <w:tc>
          <w:tcPr>
            <w:tcW w:w="1689"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A9706E" w:rsidRPr="00B45B7D" w:rsidRDefault="00A9706E" w:rsidP="00031B92">
            <w:pPr>
              <w:spacing w:after="0" w:line="240" w:lineRule="auto"/>
              <w:jc w:val="center"/>
              <w:rPr>
                <w:rFonts w:ascii="Calibri" w:eastAsia="Times New Roman" w:hAnsi="Calibri" w:cs="Times New Roman"/>
                <w:b/>
                <w:color w:val="000000"/>
                <w:lang w:eastAsia="en-GB"/>
              </w:rPr>
            </w:pPr>
            <w:r w:rsidRPr="00B45B7D">
              <w:rPr>
                <w:rFonts w:ascii="Calibri" w:eastAsia="Times New Roman" w:hAnsi="Calibri" w:cs="Times New Roman"/>
                <w:b/>
                <w:color w:val="000000"/>
                <w:lang w:eastAsia="en-GB"/>
              </w:rPr>
              <w:t>Number of People: 2021</w:t>
            </w:r>
          </w:p>
        </w:tc>
        <w:tc>
          <w:tcPr>
            <w:tcW w:w="1741"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A9706E" w:rsidRPr="00B45B7D" w:rsidRDefault="00A9706E" w:rsidP="00031B92">
            <w:pPr>
              <w:spacing w:after="0" w:line="240" w:lineRule="auto"/>
              <w:jc w:val="center"/>
              <w:rPr>
                <w:rFonts w:ascii="Calibri" w:eastAsia="Times New Roman" w:hAnsi="Calibri" w:cs="Times New Roman"/>
                <w:b/>
                <w:color w:val="000000"/>
                <w:lang w:eastAsia="en-GB"/>
              </w:rPr>
            </w:pPr>
            <w:r w:rsidRPr="00B45B7D">
              <w:rPr>
                <w:rFonts w:ascii="Calibri" w:eastAsia="Times New Roman" w:hAnsi="Calibri" w:cs="Times New Roman"/>
                <w:b/>
                <w:color w:val="000000"/>
                <w:lang w:eastAsia="en-GB"/>
              </w:rPr>
              <w:t>Number of People: 2030</w:t>
            </w:r>
          </w:p>
        </w:tc>
      </w:tr>
      <w:tr w:rsidR="00A9706E" w:rsidRPr="006D0377" w:rsidTr="00031B92">
        <w:trPr>
          <w:trHeight w:val="300"/>
          <w:jc w:val="center"/>
        </w:trPr>
        <w:tc>
          <w:tcPr>
            <w:tcW w:w="1392" w:type="dxa"/>
            <w:tcBorders>
              <w:top w:val="nil"/>
              <w:left w:val="single" w:sz="4" w:space="0" w:color="auto"/>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15-19</w:t>
            </w:r>
          </w:p>
        </w:tc>
        <w:tc>
          <w:tcPr>
            <w:tcW w:w="1360" w:type="dxa"/>
            <w:tcBorders>
              <w:top w:val="nil"/>
              <w:left w:val="nil"/>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0.68%</w:t>
            </w:r>
          </w:p>
        </w:tc>
        <w:tc>
          <w:tcPr>
            <w:tcW w:w="1600" w:type="dxa"/>
            <w:tcBorders>
              <w:top w:val="nil"/>
              <w:left w:val="nil"/>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137</w:t>
            </w:r>
          </w:p>
        </w:tc>
        <w:tc>
          <w:tcPr>
            <w:tcW w:w="1689" w:type="dxa"/>
            <w:tcBorders>
              <w:top w:val="nil"/>
              <w:left w:val="nil"/>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143</w:t>
            </w:r>
          </w:p>
        </w:tc>
        <w:tc>
          <w:tcPr>
            <w:tcW w:w="1741" w:type="dxa"/>
            <w:tcBorders>
              <w:top w:val="nil"/>
              <w:left w:val="nil"/>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164</w:t>
            </w:r>
          </w:p>
        </w:tc>
      </w:tr>
      <w:tr w:rsidR="00A9706E" w:rsidRPr="006D0377" w:rsidTr="00031B92">
        <w:trPr>
          <w:trHeight w:val="300"/>
          <w:jc w:val="center"/>
        </w:trPr>
        <w:tc>
          <w:tcPr>
            <w:tcW w:w="1392" w:type="dxa"/>
            <w:tcBorders>
              <w:top w:val="nil"/>
              <w:left w:val="single" w:sz="4" w:space="0" w:color="auto"/>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20-24</w:t>
            </w:r>
          </w:p>
        </w:tc>
        <w:tc>
          <w:tcPr>
            <w:tcW w:w="1360" w:type="dxa"/>
            <w:tcBorders>
              <w:top w:val="nil"/>
              <w:left w:val="nil"/>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0.60%</w:t>
            </w:r>
          </w:p>
        </w:tc>
        <w:tc>
          <w:tcPr>
            <w:tcW w:w="1600" w:type="dxa"/>
            <w:tcBorders>
              <w:top w:val="nil"/>
              <w:left w:val="nil"/>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131</w:t>
            </w:r>
          </w:p>
        </w:tc>
        <w:tc>
          <w:tcPr>
            <w:tcW w:w="1689" w:type="dxa"/>
            <w:tcBorders>
              <w:top w:val="nil"/>
              <w:left w:val="nil"/>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128</w:t>
            </w:r>
          </w:p>
        </w:tc>
        <w:tc>
          <w:tcPr>
            <w:tcW w:w="1741" w:type="dxa"/>
            <w:tcBorders>
              <w:top w:val="nil"/>
              <w:left w:val="nil"/>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139</w:t>
            </w:r>
          </w:p>
        </w:tc>
      </w:tr>
      <w:tr w:rsidR="00A9706E" w:rsidRPr="006D0377" w:rsidTr="00031B92">
        <w:trPr>
          <w:trHeight w:val="300"/>
          <w:jc w:val="center"/>
        </w:trPr>
        <w:tc>
          <w:tcPr>
            <w:tcW w:w="1392" w:type="dxa"/>
            <w:tcBorders>
              <w:top w:val="nil"/>
              <w:left w:val="single" w:sz="4" w:space="0" w:color="auto"/>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25-29</w:t>
            </w:r>
          </w:p>
        </w:tc>
        <w:tc>
          <w:tcPr>
            <w:tcW w:w="1360" w:type="dxa"/>
            <w:tcBorders>
              <w:top w:val="nil"/>
              <w:left w:val="nil"/>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0.53%</w:t>
            </w:r>
          </w:p>
        </w:tc>
        <w:tc>
          <w:tcPr>
            <w:tcW w:w="1600" w:type="dxa"/>
            <w:tcBorders>
              <w:top w:val="nil"/>
              <w:left w:val="nil"/>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161</w:t>
            </w:r>
          </w:p>
        </w:tc>
        <w:tc>
          <w:tcPr>
            <w:tcW w:w="1689" w:type="dxa"/>
            <w:tcBorders>
              <w:top w:val="nil"/>
              <w:left w:val="nil"/>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158</w:t>
            </w:r>
          </w:p>
        </w:tc>
        <w:tc>
          <w:tcPr>
            <w:tcW w:w="1741" w:type="dxa"/>
            <w:tcBorders>
              <w:top w:val="nil"/>
              <w:left w:val="nil"/>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153</w:t>
            </w:r>
          </w:p>
        </w:tc>
      </w:tr>
      <w:tr w:rsidR="00A9706E" w:rsidRPr="006D0377" w:rsidTr="00031B92">
        <w:trPr>
          <w:trHeight w:val="300"/>
          <w:jc w:val="center"/>
        </w:trPr>
        <w:tc>
          <w:tcPr>
            <w:tcW w:w="1392" w:type="dxa"/>
            <w:tcBorders>
              <w:top w:val="nil"/>
              <w:left w:val="single" w:sz="4" w:space="0" w:color="auto"/>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30-34</w:t>
            </w:r>
          </w:p>
        </w:tc>
        <w:tc>
          <w:tcPr>
            <w:tcW w:w="1360" w:type="dxa"/>
            <w:tcBorders>
              <w:top w:val="nil"/>
              <w:left w:val="nil"/>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0.54%</w:t>
            </w:r>
          </w:p>
        </w:tc>
        <w:tc>
          <w:tcPr>
            <w:tcW w:w="1600" w:type="dxa"/>
            <w:tcBorders>
              <w:top w:val="nil"/>
              <w:left w:val="nil"/>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170</w:t>
            </w:r>
          </w:p>
        </w:tc>
        <w:tc>
          <w:tcPr>
            <w:tcW w:w="1689" w:type="dxa"/>
            <w:tcBorders>
              <w:top w:val="nil"/>
              <w:left w:val="nil"/>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174</w:t>
            </w:r>
          </w:p>
        </w:tc>
        <w:tc>
          <w:tcPr>
            <w:tcW w:w="1741" w:type="dxa"/>
            <w:tcBorders>
              <w:top w:val="nil"/>
              <w:left w:val="nil"/>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167</w:t>
            </w:r>
          </w:p>
        </w:tc>
      </w:tr>
      <w:tr w:rsidR="00A9706E" w:rsidRPr="006D0377" w:rsidTr="00031B92">
        <w:trPr>
          <w:trHeight w:val="300"/>
          <w:jc w:val="center"/>
        </w:trPr>
        <w:tc>
          <w:tcPr>
            <w:tcW w:w="1392" w:type="dxa"/>
            <w:tcBorders>
              <w:top w:val="nil"/>
              <w:left w:val="single" w:sz="4" w:space="0" w:color="auto"/>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35-39</w:t>
            </w:r>
          </w:p>
        </w:tc>
        <w:tc>
          <w:tcPr>
            <w:tcW w:w="1360" w:type="dxa"/>
            <w:tcBorders>
              <w:top w:val="nil"/>
              <w:left w:val="nil"/>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0.61%</w:t>
            </w:r>
          </w:p>
        </w:tc>
        <w:tc>
          <w:tcPr>
            <w:tcW w:w="1600" w:type="dxa"/>
            <w:tcBorders>
              <w:top w:val="nil"/>
              <w:left w:val="nil"/>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175</w:t>
            </w:r>
          </w:p>
        </w:tc>
        <w:tc>
          <w:tcPr>
            <w:tcW w:w="1689" w:type="dxa"/>
            <w:tcBorders>
              <w:top w:val="nil"/>
              <w:left w:val="nil"/>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191</w:t>
            </w:r>
          </w:p>
        </w:tc>
        <w:tc>
          <w:tcPr>
            <w:tcW w:w="1741" w:type="dxa"/>
            <w:tcBorders>
              <w:top w:val="nil"/>
              <w:left w:val="nil"/>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191</w:t>
            </w:r>
          </w:p>
        </w:tc>
      </w:tr>
      <w:tr w:rsidR="00A9706E" w:rsidRPr="006D0377" w:rsidTr="00031B92">
        <w:trPr>
          <w:trHeight w:val="300"/>
          <w:jc w:val="center"/>
        </w:trPr>
        <w:tc>
          <w:tcPr>
            <w:tcW w:w="1392" w:type="dxa"/>
            <w:tcBorders>
              <w:top w:val="nil"/>
              <w:left w:val="single" w:sz="4" w:space="0" w:color="auto"/>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40-44</w:t>
            </w:r>
          </w:p>
        </w:tc>
        <w:tc>
          <w:tcPr>
            <w:tcW w:w="1360" w:type="dxa"/>
            <w:tcBorders>
              <w:top w:val="nil"/>
              <w:left w:val="nil"/>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0.62%</w:t>
            </w:r>
          </w:p>
        </w:tc>
        <w:tc>
          <w:tcPr>
            <w:tcW w:w="1600" w:type="dxa"/>
            <w:tcBorders>
              <w:top w:val="nil"/>
              <w:left w:val="nil"/>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163</w:t>
            </w:r>
          </w:p>
        </w:tc>
        <w:tc>
          <w:tcPr>
            <w:tcW w:w="1689" w:type="dxa"/>
            <w:tcBorders>
              <w:top w:val="nil"/>
              <w:left w:val="nil"/>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177</w:t>
            </w:r>
          </w:p>
        </w:tc>
        <w:tc>
          <w:tcPr>
            <w:tcW w:w="1741" w:type="dxa"/>
            <w:tcBorders>
              <w:top w:val="nil"/>
              <w:left w:val="nil"/>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189</w:t>
            </w:r>
          </w:p>
        </w:tc>
      </w:tr>
      <w:tr w:rsidR="00A9706E" w:rsidRPr="006D0377" w:rsidTr="00031B92">
        <w:trPr>
          <w:trHeight w:val="300"/>
          <w:jc w:val="center"/>
        </w:trPr>
        <w:tc>
          <w:tcPr>
            <w:tcW w:w="1392" w:type="dxa"/>
            <w:tcBorders>
              <w:top w:val="nil"/>
              <w:left w:val="single" w:sz="4" w:space="0" w:color="auto"/>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45-49</w:t>
            </w:r>
          </w:p>
        </w:tc>
        <w:tc>
          <w:tcPr>
            <w:tcW w:w="1360" w:type="dxa"/>
            <w:tcBorders>
              <w:top w:val="nil"/>
              <w:left w:val="nil"/>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0.56%</w:t>
            </w:r>
          </w:p>
        </w:tc>
        <w:tc>
          <w:tcPr>
            <w:tcW w:w="1600" w:type="dxa"/>
            <w:tcBorders>
              <w:top w:val="nil"/>
              <w:left w:val="nil"/>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143</w:t>
            </w:r>
          </w:p>
        </w:tc>
        <w:tc>
          <w:tcPr>
            <w:tcW w:w="1689" w:type="dxa"/>
            <w:tcBorders>
              <w:top w:val="nil"/>
              <w:left w:val="nil"/>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144</w:t>
            </w:r>
          </w:p>
        </w:tc>
        <w:tc>
          <w:tcPr>
            <w:tcW w:w="1741" w:type="dxa"/>
            <w:tcBorders>
              <w:top w:val="nil"/>
              <w:left w:val="nil"/>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161</w:t>
            </w:r>
          </w:p>
        </w:tc>
      </w:tr>
      <w:tr w:rsidR="00A9706E" w:rsidRPr="006D0377" w:rsidTr="00031B92">
        <w:trPr>
          <w:trHeight w:val="300"/>
          <w:jc w:val="center"/>
        </w:trPr>
        <w:tc>
          <w:tcPr>
            <w:tcW w:w="1392" w:type="dxa"/>
            <w:tcBorders>
              <w:top w:val="nil"/>
              <w:left w:val="single" w:sz="4" w:space="0" w:color="auto"/>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50-54</w:t>
            </w:r>
          </w:p>
        </w:tc>
        <w:tc>
          <w:tcPr>
            <w:tcW w:w="1360" w:type="dxa"/>
            <w:tcBorders>
              <w:top w:val="nil"/>
              <w:left w:val="nil"/>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0.48%</w:t>
            </w:r>
          </w:p>
        </w:tc>
        <w:tc>
          <w:tcPr>
            <w:tcW w:w="1600" w:type="dxa"/>
            <w:tcBorders>
              <w:top w:val="nil"/>
              <w:left w:val="nil"/>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110</w:t>
            </w:r>
          </w:p>
        </w:tc>
        <w:tc>
          <w:tcPr>
            <w:tcW w:w="1689" w:type="dxa"/>
            <w:tcBorders>
              <w:top w:val="nil"/>
              <w:left w:val="nil"/>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120</w:t>
            </w:r>
          </w:p>
        </w:tc>
        <w:tc>
          <w:tcPr>
            <w:tcW w:w="1741" w:type="dxa"/>
            <w:tcBorders>
              <w:top w:val="nil"/>
              <w:left w:val="nil"/>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123</w:t>
            </w:r>
          </w:p>
        </w:tc>
      </w:tr>
      <w:tr w:rsidR="00A9706E" w:rsidRPr="006D0377" w:rsidTr="00031B92">
        <w:trPr>
          <w:trHeight w:val="300"/>
          <w:jc w:val="center"/>
        </w:trPr>
        <w:tc>
          <w:tcPr>
            <w:tcW w:w="1392" w:type="dxa"/>
            <w:tcBorders>
              <w:top w:val="nil"/>
              <w:left w:val="single" w:sz="4" w:space="0" w:color="auto"/>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55-59</w:t>
            </w:r>
          </w:p>
        </w:tc>
        <w:tc>
          <w:tcPr>
            <w:tcW w:w="1360" w:type="dxa"/>
            <w:tcBorders>
              <w:top w:val="nil"/>
              <w:left w:val="nil"/>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0.55%</w:t>
            </w:r>
          </w:p>
        </w:tc>
        <w:tc>
          <w:tcPr>
            <w:tcW w:w="1600" w:type="dxa"/>
            <w:tcBorders>
              <w:top w:val="nil"/>
              <w:left w:val="nil"/>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106</w:t>
            </w:r>
          </w:p>
        </w:tc>
        <w:tc>
          <w:tcPr>
            <w:tcW w:w="1689" w:type="dxa"/>
            <w:tcBorders>
              <w:top w:val="nil"/>
              <w:left w:val="nil"/>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122</w:t>
            </w:r>
          </w:p>
        </w:tc>
        <w:tc>
          <w:tcPr>
            <w:tcW w:w="1741" w:type="dxa"/>
            <w:tcBorders>
              <w:top w:val="nil"/>
              <w:left w:val="nil"/>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127</w:t>
            </w:r>
          </w:p>
        </w:tc>
      </w:tr>
      <w:tr w:rsidR="00A9706E" w:rsidRPr="006D0377" w:rsidTr="00031B92">
        <w:trPr>
          <w:trHeight w:val="300"/>
          <w:jc w:val="center"/>
        </w:trPr>
        <w:tc>
          <w:tcPr>
            <w:tcW w:w="1392" w:type="dxa"/>
            <w:tcBorders>
              <w:top w:val="nil"/>
              <w:left w:val="single" w:sz="4" w:space="0" w:color="auto"/>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60-64</w:t>
            </w:r>
          </w:p>
        </w:tc>
        <w:tc>
          <w:tcPr>
            <w:tcW w:w="1360" w:type="dxa"/>
            <w:tcBorders>
              <w:top w:val="nil"/>
              <w:left w:val="nil"/>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0.43%</w:t>
            </w:r>
          </w:p>
        </w:tc>
        <w:tc>
          <w:tcPr>
            <w:tcW w:w="1600" w:type="dxa"/>
            <w:tcBorders>
              <w:top w:val="nil"/>
              <w:left w:val="nil"/>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68</w:t>
            </w:r>
          </w:p>
        </w:tc>
        <w:tc>
          <w:tcPr>
            <w:tcW w:w="1689" w:type="dxa"/>
            <w:tcBorders>
              <w:top w:val="nil"/>
              <w:left w:val="nil"/>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79</w:t>
            </w:r>
          </w:p>
        </w:tc>
        <w:tc>
          <w:tcPr>
            <w:tcW w:w="1741" w:type="dxa"/>
            <w:tcBorders>
              <w:top w:val="nil"/>
              <w:left w:val="nil"/>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92</w:t>
            </w:r>
          </w:p>
        </w:tc>
      </w:tr>
      <w:tr w:rsidR="00A9706E" w:rsidRPr="006D0377" w:rsidTr="00031B92">
        <w:trPr>
          <w:trHeight w:val="300"/>
          <w:jc w:val="center"/>
        </w:trPr>
        <w:tc>
          <w:tcPr>
            <w:tcW w:w="1392" w:type="dxa"/>
            <w:tcBorders>
              <w:top w:val="nil"/>
              <w:left w:val="single" w:sz="4" w:space="0" w:color="auto"/>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65-69</w:t>
            </w:r>
          </w:p>
        </w:tc>
        <w:tc>
          <w:tcPr>
            <w:tcW w:w="1360" w:type="dxa"/>
            <w:tcBorders>
              <w:top w:val="nil"/>
              <w:left w:val="nil"/>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0.36%</w:t>
            </w:r>
          </w:p>
        </w:tc>
        <w:tc>
          <w:tcPr>
            <w:tcW w:w="1600" w:type="dxa"/>
            <w:tcBorders>
              <w:top w:val="nil"/>
              <w:left w:val="nil"/>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55</w:t>
            </w:r>
          </w:p>
        </w:tc>
        <w:tc>
          <w:tcPr>
            <w:tcW w:w="1689" w:type="dxa"/>
            <w:tcBorders>
              <w:top w:val="nil"/>
              <w:left w:val="nil"/>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53</w:t>
            </w:r>
          </w:p>
        </w:tc>
        <w:tc>
          <w:tcPr>
            <w:tcW w:w="1741" w:type="dxa"/>
            <w:tcBorders>
              <w:top w:val="nil"/>
              <w:left w:val="nil"/>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66</w:t>
            </w:r>
          </w:p>
        </w:tc>
      </w:tr>
      <w:tr w:rsidR="00A9706E" w:rsidRPr="006D0377" w:rsidTr="00031B92">
        <w:trPr>
          <w:trHeight w:val="300"/>
          <w:jc w:val="center"/>
        </w:trPr>
        <w:tc>
          <w:tcPr>
            <w:tcW w:w="1392" w:type="dxa"/>
            <w:tcBorders>
              <w:top w:val="nil"/>
              <w:left w:val="single" w:sz="4" w:space="0" w:color="auto"/>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70-74</w:t>
            </w:r>
          </w:p>
        </w:tc>
        <w:tc>
          <w:tcPr>
            <w:tcW w:w="1360" w:type="dxa"/>
            <w:tcBorders>
              <w:top w:val="nil"/>
              <w:left w:val="nil"/>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0.34%</w:t>
            </w:r>
          </w:p>
        </w:tc>
        <w:tc>
          <w:tcPr>
            <w:tcW w:w="1600" w:type="dxa"/>
            <w:tcBorders>
              <w:top w:val="nil"/>
              <w:left w:val="nil"/>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39</w:t>
            </w:r>
          </w:p>
        </w:tc>
        <w:tc>
          <w:tcPr>
            <w:tcW w:w="1689" w:type="dxa"/>
            <w:tcBorders>
              <w:top w:val="nil"/>
              <w:left w:val="nil"/>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47</w:t>
            </w:r>
          </w:p>
        </w:tc>
        <w:tc>
          <w:tcPr>
            <w:tcW w:w="1741" w:type="dxa"/>
            <w:tcBorders>
              <w:top w:val="nil"/>
              <w:left w:val="nil"/>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51</w:t>
            </w:r>
          </w:p>
        </w:tc>
      </w:tr>
      <w:tr w:rsidR="00A9706E" w:rsidRPr="006D0377" w:rsidTr="00031B92">
        <w:trPr>
          <w:trHeight w:val="300"/>
          <w:jc w:val="center"/>
        </w:trPr>
        <w:tc>
          <w:tcPr>
            <w:tcW w:w="1392" w:type="dxa"/>
            <w:tcBorders>
              <w:top w:val="nil"/>
              <w:left w:val="single" w:sz="4" w:space="0" w:color="auto"/>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75-79</w:t>
            </w:r>
          </w:p>
        </w:tc>
        <w:tc>
          <w:tcPr>
            <w:tcW w:w="1360" w:type="dxa"/>
            <w:tcBorders>
              <w:top w:val="nil"/>
              <w:left w:val="nil"/>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0.23%</w:t>
            </w:r>
          </w:p>
        </w:tc>
        <w:tc>
          <w:tcPr>
            <w:tcW w:w="1600" w:type="dxa"/>
            <w:tcBorders>
              <w:top w:val="nil"/>
              <w:left w:val="nil"/>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21</w:t>
            </w:r>
          </w:p>
        </w:tc>
        <w:tc>
          <w:tcPr>
            <w:tcW w:w="1689" w:type="dxa"/>
            <w:tcBorders>
              <w:top w:val="nil"/>
              <w:left w:val="nil"/>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25</w:t>
            </w:r>
          </w:p>
        </w:tc>
        <w:tc>
          <w:tcPr>
            <w:tcW w:w="1741" w:type="dxa"/>
            <w:tcBorders>
              <w:top w:val="nil"/>
              <w:left w:val="nil"/>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27</w:t>
            </w:r>
          </w:p>
        </w:tc>
      </w:tr>
      <w:tr w:rsidR="00A9706E" w:rsidRPr="006D0377" w:rsidTr="00031B92">
        <w:trPr>
          <w:trHeight w:val="300"/>
          <w:jc w:val="center"/>
        </w:trPr>
        <w:tc>
          <w:tcPr>
            <w:tcW w:w="1392" w:type="dxa"/>
            <w:tcBorders>
              <w:top w:val="nil"/>
              <w:left w:val="single" w:sz="4" w:space="0" w:color="auto"/>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80+</w:t>
            </w:r>
          </w:p>
        </w:tc>
        <w:tc>
          <w:tcPr>
            <w:tcW w:w="1360" w:type="dxa"/>
            <w:tcBorders>
              <w:top w:val="nil"/>
              <w:left w:val="nil"/>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0.18%</w:t>
            </w:r>
          </w:p>
        </w:tc>
        <w:tc>
          <w:tcPr>
            <w:tcW w:w="1600" w:type="dxa"/>
            <w:tcBorders>
              <w:top w:val="nil"/>
              <w:left w:val="nil"/>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28</w:t>
            </w:r>
          </w:p>
        </w:tc>
        <w:tc>
          <w:tcPr>
            <w:tcW w:w="1689" w:type="dxa"/>
            <w:tcBorders>
              <w:top w:val="nil"/>
              <w:left w:val="nil"/>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32</w:t>
            </w:r>
          </w:p>
        </w:tc>
        <w:tc>
          <w:tcPr>
            <w:tcW w:w="1741" w:type="dxa"/>
            <w:tcBorders>
              <w:top w:val="nil"/>
              <w:left w:val="nil"/>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44</w:t>
            </w:r>
          </w:p>
        </w:tc>
      </w:tr>
      <w:tr w:rsidR="00A9706E" w:rsidRPr="006D0377" w:rsidTr="00031B92">
        <w:trPr>
          <w:trHeight w:val="300"/>
          <w:jc w:val="center"/>
        </w:trPr>
        <w:tc>
          <w:tcPr>
            <w:tcW w:w="2752"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9706E" w:rsidRPr="006D0377" w:rsidRDefault="00A9706E" w:rsidP="00031B92">
            <w:pPr>
              <w:spacing w:after="0" w:line="240" w:lineRule="auto"/>
              <w:jc w:val="center"/>
              <w:rPr>
                <w:rFonts w:ascii="Calibri" w:eastAsia="Times New Roman" w:hAnsi="Calibri" w:cs="Times New Roman"/>
                <w:b/>
                <w:bCs/>
                <w:color w:val="000000"/>
                <w:lang w:eastAsia="en-GB"/>
              </w:rPr>
            </w:pPr>
            <w:r w:rsidRPr="006D0377">
              <w:rPr>
                <w:rFonts w:ascii="Calibri" w:eastAsia="Times New Roman" w:hAnsi="Calibri" w:cs="Times New Roman"/>
                <w:b/>
                <w:bCs/>
                <w:color w:val="000000"/>
                <w:lang w:eastAsia="en-GB"/>
              </w:rPr>
              <w:t>Total</w:t>
            </w:r>
          </w:p>
        </w:tc>
        <w:tc>
          <w:tcPr>
            <w:tcW w:w="1600" w:type="dxa"/>
            <w:tcBorders>
              <w:top w:val="nil"/>
              <w:left w:val="nil"/>
              <w:bottom w:val="single" w:sz="4" w:space="0" w:color="auto"/>
              <w:right w:val="single" w:sz="4" w:space="0" w:color="auto"/>
            </w:tcBorders>
            <w:shd w:val="clear" w:color="auto" w:fill="auto"/>
            <w:noWrap/>
            <w:vAlign w:val="center"/>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1</w:t>
            </w:r>
            <w:r>
              <w:rPr>
                <w:rFonts w:ascii="Calibri" w:eastAsia="Times New Roman" w:hAnsi="Calibri" w:cs="Times New Roman"/>
                <w:color w:val="000000"/>
                <w:lang w:eastAsia="en-GB"/>
              </w:rPr>
              <w:t>,</w:t>
            </w:r>
            <w:r w:rsidRPr="006D0377">
              <w:rPr>
                <w:rFonts w:ascii="Calibri" w:eastAsia="Times New Roman" w:hAnsi="Calibri" w:cs="Times New Roman"/>
                <w:color w:val="000000"/>
                <w:lang w:eastAsia="en-GB"/>
              </w:rPr>
              <w:t>507</w:t>
            </w:r>
          </w:p>
        </w:tc>
        <w:tc>
          <w:tcPr>
            <w:tcW w:w="1689" w:type="dxa"/>
            <w:tcBorders>
              <w:top w:val="nil"/>
              <w:left w:val="nil"/>
              <w:bottom w:val="single" w:sz="4" w:space="0" w:color="auto"/>
              <w:right w:val="single" w:sz="4" w:space="0" w:color="auto"/>
            </w:tcBorders>
            <w:shd w:val="clear" w:color="auto" w:fill="auto"/>
            <w:noWrap/>
            <w:vAlign w:val="center"/>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1</w:t>
            </w:r>
            <w:r>
              <w:rPr>
                <w:rFonts w:ascii="Calibri" w:eastAsia="Times New Roman" w:hAnsi="Calibri" w:cs="Times New Roman"/>
                <w:color w:val="000000"/>
                <w:lang w:eastAsia="en-GB"/>
              </w:rPr>
              <w:t>,</w:t>
            </w:r>
            <w:r w:rsidRPr="006D0377">
              <w:rPr>
                <w:rFonts w:ascii="Calibri" w:eastAsia="Times New Roman" w:hAnsi="Calibri" w:cs="Times New Roman"/>
                <w:color w:val="000000"/>
                <w:lang w:eastAsia="en-GB"/>
              </w:rPr>
              <w:t>591</w:t>
            </w:r>
          </w:p>
        </w:tc>
        <w:tc>
          <w:tcPr>
            <w:tcW w:w="1741" w:type="dxa"/>
            <w:tcBorders>
              <w:top w:val="nil"/>
              <w:left w:val="nil"/>
              <w:bottom w:val="single" w:sz="4" w:space="0" w:color="auto"/>
              <w:right w:val="single" w:sz="4" w:space="0" w:color="auto"/>
            </w:tcBorders>
            <w:shd w:val="clear" w:color="auto" w:fill="auto"/>
            <w:noWrap/>
            <w:vAlign w:val="center"/>
            <w:hideMark/>
          </w:tcPr>
          <w:p w:rsidR="00A9706E" w:rsidRPr="006D0377" w:rsidRDefault="00A9706E" w:rsidP="00031B92">
            <w:pPr>
              <w:spacing w:after="0" w:line="240" w:lineRule="auto"/>
              <w:jc w:val="center"/>
              <w:rPr>
                <w:rFonts w:ascii="Calibri" w:eastAsia="Times New Roman" w:hAnsi="Calibri" w:cs="Times New Roman"/>
                <w:color w:val="000000"/>
                <w:lang w:eastAsia="en-GB"/>
              </w:rPr>
            </w:pPr>
            <w:r w:rsidRPr="006D0377">
              <w:rPr>
                <w:rFonts w:ascii="Calibri" w:eastAsia="Times New Roman" w:hAnsi="Calibri" w:cs="Times New Roman"/>
                <w:color w:val="000000"/>
                <w:lang w:eastAsia="en-GB"/>
              </w:rPr>
              <w:t>1</w:t>
            </w:r>
            <w:r>
              <w:rPr>
                <w:rFonts w:ascii="Calibri" w:eastAsia="Times New Roman" w:hAnsi="Calibri" w:cs="Times New Roman"/>
                <w:color w:val="000000"/>
                <w:lang w:eastAsia="en-GB"/>
              </w:rPr>
              <w:t>,</w:t>
            </w:r>
            <w:r w:rsidRPr="006D0377">
              <w:rPr>
                <w:rFonts w:ascii="Calibri" w:eastAsia="Times New Roman" w:hAnsi="Calibri" w:cs="Times New Roman"/>
                <w:color w:val="000000"/>
                <w:lang w:eastAsia="en-GB"/>
              </w:rPr>
              <w:t>694</w:t>
            </w:r>
          </w:p>
        </w:tc>
      </w:tr>
    </w:tbl>
    <w:p w:rsidR="00A9706E" w:rsidRPr="002B07BE" w:rsidRDefault="00A9706E" w:rsidP="00A9706E">
      <w:pPr>
        <w:spacing w:after="0" w:line="240" w:lineRule="auto"/>
        <w:jc w:val="both"/>
      </w:pPr>
      <w:r w:rsidRPr="002B07BE">
        <w:t>Source: Projecting Adult Needs and Service Information</w:t>
      </w:r>
      <w:r>
        <w:t xml:space="preserve"> (PANSI)</w:t>
      </w:r>
      <w:r w:rsidRPr="002B07BE">
        <w:t xml:space="preserve"> and Projecting Older People Population Information </w:t>
      </w:r>
      <w:r>
        <w:t>(POPPI)</w:t>
      </w:r>
    </w:p>
    <w:p w:rsidR="00A9706E" w:rsidRDefault="00A9706E" w:rsidP="00A9706E">
      <w:pPr>
        <w:spacing w:after="0" w:line="240" w:lineRule="auto"/>
        <w:jc w:val="both"/>
        <w:rPr>
          <w:b/>
          <w:i/>
        </w:rPr>
      </w:pPr>
    </w:p>
    <w:p w:rsidR="00A9706E" w:rsidRDefault="00A9706E" w:rsidP="00A9706E">
      <w:pPr>
        <w:pStyle w:val="ListParagraph"/>
        <w:numPr>
          <w:ilvl w:val="0"/>
          <w:numId w:val="17"/>
        </w:numPr>
        <w:spacing w:after="0" w:line="240" w:lineRule="auto"/>
        <w:jc w:val="both"/>
      </w:pPr>
      <w:r>
        <w:t xml:space="preserve">The 15-19 age </w:t>
      </w:r>
      <w:proofErr w:type="gramStart"/>
      <w:r>
        <w:t>group</w:t>
      </w:r>
      <w:proofErr w:type="gramEnd"/>
      <w:r>
        <w:t xml:space="preserve"> has the highest proportion of people with moderate or severe learning disabilities (0.68%). However, as the 35-39 has a bigger overall population, the largest number of people with learning disabilities is estimated to be within this age group.</w:t>
      </w:r>
    </w:p>
    <w:p w:rsidR="00A9706E" w:rsidRDefault="00A9706E" w:rsidP="00A9706E">
      <w:pPr>
        <w:pStyle w:val="ListParagraph"/>
        <w:numPr>
          <w:ilvl w:val="0"/>
          <w:numId w:val="17"/>
        </w:numPr>
        <w:spacing w:after="0" w:line="240" w:lineRule="auto"/>
        <w:jc w:val="both"/>
      </w:pPr>
      <w:r>
        <w:t xml:space="preserve">Due to the projected population increase in the 65 and overs, the number of people aged over 65 with moderate or severe learning difficulties is estimated to rise from 143 in 2015 to 187 in 2030; a rise of over 30%. </w:t>
      </w:r>
    </w:p>
    <w:p w:rsidR="00A9706E" w:rsidRDefault="00A9706E" w:rsidP="00A9706E">
      <w:pPr>
        <w:spacing w:after="0" w:line="240" w:lineRule="auto"/>
        <w:jc w:val="both"/>
      </w:pPr>
    </w:p>
    <w:p w:rsidR="00A9706E" w:rsidRDefault="00A9706E" w:rsidP="00A9706E">
      <w:pPr>
        <w:pStyle w:val="Caption"/>
        <w:rPr>
          <w:b w:val="0"/>
          <w:i/>
        </w:rPr>
      </w:pPr>
      <w:r>
        <w:t xml:space="preserve">Table </w:t>
      </w:r>
      <w:fldSimple w:instr=" STYLEREF 1 \s ">
        <w:r w:rsidR="001663C2">
          <w:rPr>
            <w:noProof/>
          </w:rPr>
          <w:t>2</w:t>
        </w:r>
      </w:fldSimple>
      <w:r>
        <w:noBreakHyphen/>
      </w:r>
      <w:fldSimple w:instr=" SEQ Table \* ARABIC \s 1 ">
        <w:r w:rsidR="001663C2">
          <w:rPr>
            <w:noProof/>
          </w:rPr>
          <w:t>16</w:t>
        </w:r>
      </w:fldSimple>
      <w:r>
        <w:t xml:space="preserve">: </w:t>
      </w:r>
      <w:r w:rsidRPr="00B217DD">
        <w:rPr>
          <w:rFonts w:cs="Calibri"/>
        </w:rPr>
        <w:t>The Estimated Number of People in Barnet Aged 18-64 with Moderate or Severe Physical Disabilities, 2015, 2021 &amp; 2030</w:t>
      </w:r>
    </w:p>
    <w:tbl>
      <w:tblPr>
        <w:tblW w:w="9596" w:type="dxa"/>
        <w:jc w:val="center"/>
        <w:tblInd w:w="2212" w:type="dxa"/>
        <w:tblLook w:val="04A0" w:firstRow="1" w:lastRow="0" w:firstColumn="1" w:lastColumn="0" w:noHBand="0" w:noVBand="1"/>
      </w:tblPr>
      <w:tblGrid>
        <w:gridCol w:w="1276"/>
        <w:gridCol w:w="2058"/>
        <w:gridCol w:w="1960"/>
        <w:gridCol w:w="829"/>
        <w:gridCol w:w="829"/>
        <w:gridCol w:w="829"/>
        <w:gridCol w:w="717"/>
        <w:gridCol w:w="717"/>
        <w:gridCol w:w="717"/>
      </w:tblGrid>
      <w:tr w:rsidR="00A9706E" w:rsidRPr="00890338" w:rsidTr="00031B92">
        <w:trPr>
          <w:trHeight w:val="300"/>
          <w:jc w:val="center"/>
        </w:trPr>
        <w:tc>
          <w:tcPr>
            <w:tcW w:w="1276" w:type="dxa"/>
            <w:tcBorders>
              <w:top w:val="nil"/>
              <w:left w:val="nil"/>
              <w:bottom w:val="nil"/>
              <w:right w:val="nil"/>
            </w:tcBorders>
            <w:shd w:val="clear" w:color="auto" w:fill="auto"/>
            <w:noWrap/>
            <w:vAlign w:val="bottom"/>
            <w:hideMark/>
          </w:tcPr>
          <w:p w:rsidR="00A9706E" w:rsidRPr="00890338" w:rsidRDefault="00A9706E" w:rsidP="00031B92">
            <w:pPr>
              <w:spacing w:after="0" w:line="240" w:lineRule="auto"/>
              <w:jc w:val="center"/>
              <w:rPr>
                <w:rFonts w:ascii="Calibri" w:eastAsia="Times New Roman" w:hAnsi="Calibri" w:cs="Times New Roman"/>
                <w:color w:val="000000"/>
                <w:lang w:eastAsia="en-GB"/>
              </w:rPr>
            </w:pPr>
          </w:p>
        </w:tc>
        <w:tc>
          <w:tcPr>
            <w:tcW w:w="2058" w:type="dxa"/>
            <w:tcBorders>
              <w:top w:val="nil"/>
              <w:left w:val="nil"/>
              <w:bottom w:val="nil"/>
              <w:right w:val="nil"/>
            </w:tcBorders>
            <w:shd w:val="clear" w:color="auto" w:fill="auto"/>
            <w:noWrap/>
            <w:vAlign w:val="bottom"/>
            <w:hideMark/>
          </w:tcPr>
          <w:p w:rsidR="00A9706E" w:rsidRPr="00890338" w:rsidRDefault="00A9706E" w:rsidP="00031B92">
            <w:pPr>
              <w:spacing w:after="0" w:line="240" w:lineRule="auto"/>
              <w:jc w:val="center"/>
              <w:rPr>
                <w:rFonts w:ascii="Calibri" w:eastAsia="Times New Roman" w:hAnsi="Calibri" w:cs="Times New Roman"/>
                <w:color w:val="000000"/>
                <w:lang w:eastAsia="en-GB"/>
              </w:rPr>
            </w:pPr>
          </w:p>
        </w:tc>
        <w:tc>
          <w:tcPr>
            <w:tcW w:w="1960" w:type="dxa"/>
            <w:tcBorders>
              <w:top w:val="nil"/>
              <w:left w:val="nil"/>
              <w:bottom w:val="nil"/>
              <w:right w:val="nil"/>
            </w:tcBorders>
            <w:shd w:val="clear" w:color="auto" w:fill="auto"/>
            <w:noWrap/>
            <w:vAlign w:val="bottom"/>
            <w:hideMark/>
          </w:tcPr>
          <w:p w:rsidR="00A9706E" w:rsidRPr="00890338" w:rsidRDefault="00A9706E" w:rsidP="00031B92">
            <w:pPr>
              <w:spacing w:after="0" w:line="240" w:lineRule="auto"/>
              <w:jc w:val="center"/>
              <w:rPr>
                <w:rFonts w:ascii="Calibri" w:eastAsia="Times New Roman" w:hAnsi="Calibri" w:cs="Times New Roman"/>
                <w:color w:val="000000"/>
                <w:lang w:eastAsia="en-GB"/>
              </w:rPr>
            </w:pPr>
          </w:p>
        </w:tc>
        <w:tc>
          <w:tcPr>
            <w:tcW w:w="2151"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hideMark/>
          </w:tcPr>
          <w:p w:rsidR="00A9706E" w:rsidRPr="00890338" w:rsidRDefault="00A9706E" w:rsidP="00031B92">
            <w:pPr>
              <w:spacing w:after="0" w:line="240" w:lineRule="auto"/>
              <w:jc w:val="center"/>
              <w:rPr>
                <w:rFonts w:ascii="Calibri" w:eastAsia="Times New Roman" w:hAnsi="Calibri" w:cs="Times New Roman"/>
                <w:b/>
                <w:bCs/>
                <w:color w:val="000000"/>
                <w:lang w:eastAsia="en-GB"/>
              </w:rPr>
            </w:pPr>
            <w:r w:rsidRPr="00890338">
              <w:rPr>
                <w:rFonts w:ascii="Calibri" w:eastAsia="Times New Roman" w:hAnsi="Calibri" w:cs="Times New Roman"/>
                <w:b/>
                <w:bCs/>
                <w:color w:val="000000"/>
                <w:lang w:eastAsia="en-GB"/>
              </w:rPr>
              <w:t>Moderate</w:t>
            </w:r>
          </w:p>
        </w:tc>
        <w:tc>
          <w:tcPr>
            <w:tcW w:w="2151" w:type="dxa"/>
            <w:gridSpan w:val="3"/>
            <w:tcBorders>
              <w:top w:val="single" w:sz="4" w:space="0" w:color="auto"/>
              <w:left w:val="nil"/>
              <w:bottom w:val="single" w:sz="4" w:space="0" w:color="auto"/>
              <w:right w:val="single" w:sz="4" w:space="0" w:color="auto"/>
            </w:tcBorders>
            <w:shd w:val="clear" w:color="auto" w:fill="BFBFBF" w:themeFill="background1" w:themeFillShade="BF"/>
            <w:noWrap/>
            <w:vAlign w:val="bottom"/>
            <w:hideMark/>
          </w:tcPr>
          <w:p w:rsidR="00A9706E" w:rsidRPr="00890338" w:rsidRDefault="00A9706E" w:rsidP="00031B92">
            <w:pPr>
              <w:spacing w:after="0" w:line="240" w:lineRule="auto"/>
              <w:jc w:val="center"/>
              <w:rPr>
                <w:rFonts w:ascii="Calibri" w:eastAsia="Times New Roman" w:hAnsi="Calibri" w:cs="Times New Roman"/>
                <w:b/>
                <w:bCs/>
                <w:color w:val="000000"/>
                <w:lang w:eastAsia="en-GB"/>
              </w:rPr>
            </w:pPr>
            <w:r w:rsidRPr="00890338">
              <w:rPr>
                <w:rFonts w:ascii="Calibri" w:eastAsia="Times New Roman" w:hAnsi="Calibri" w:cs="Times New Roman"/>
                <w:b/>
                <w:bCs/>
                <w:color w:val="000000"/>
                <w:lang w:eastAsia="en-GB"/>
              </w:rPr>
              <w:t>Serious</w:t>
            </w:r>
          </w:p>
        </w:tc>
      </w:tr>
      <w:tr w:rsidR="00A9706E" w:rsidRPr="00890338" w:rsidTr="00031B92">
        <w:trPr>
          <w:trHeight w:val="600"/>
          <w:jc w:val="center"/>
        </w:trPr>
        <w:tc>
          <w:tcPr>
            <w:tcW w:w="1276"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A9706E" w:rsidRPr="00890338" w:rsidRDefault="00A9706E" w:rsidP="00031B92">
            <w:pPr>
              <w:spacing w:after="0" w:line="240" w:lineRule="auto"/>
              <w:jc w:val="center"/>
              <w:rPr>
                <w:rFonts w:ascii="Calibri" w:eastAsia="Times New Roman" w:hAnsi="Calibri" w:cs="Times New Roman"/>
                <w:b/>
                <w:bCs/>
                <w:color w:val="000000"/>
                <w:lang w:eastAsia="en-GB"/>
              </w:rPr>
            </w:pPr>
            <w:r>
              <w:rPr>
                <w:rFonts w:ascii="Calibri" w:eastAsia="Times New Roman" w:hAnsi="Calibri" w:cs="Times New Roman"/>
                <w:b/>
                <w:bCs/>
                <w:color w:val="000000"/>
                <w:lang w:eastAsia="en-GB"/>
              </w:rPr>
              <w:t>Age Range</w:t>
            </w:r>
          </w:p>
        </w:tc>
        <w:tc>
          <w:tcPr>
            <w:tcW w:w="2058"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A9706E" w:rsidRPr="00890338" w:rsidRDefault="00A9706E" w:rsidP="00031B92">
            <w:pPr>
              <w:spacing w:after="0" w:line="240" w:lineRule="auto"/>
              <w:jc w:val="center"/>
              <w:rPr>
                <w:rFonts w:ascii="Calibri" w:eastAsia="Times New Roman" w:hAnsi="Calibri" w:cs="Times New Roman"/>
                <w:b/>
                <w:bCs/>
                <w:color w:val="000000"/>
                <w:lang w:eastAsia="en-GB"/>
              </w:rPr>
            </w:pPr>
            <w:r w:rsidRPr="00890338">
              <w:rPr>
                <w:rFonts w:ascii="Calibri" w:eastAsia="Times New Roman" w:hAnsi="Calibri" w:cs="Times New Roman"/>
                <w:b/>
                <w:bCs/>
                <w:color w:val="000000"/>
                <w:lang w:eastAsia="en-GB"/>
              </w:rPr>
              <w:t>Prevalence Rates - Moderate Disability</w:t>
            </w:r>
          </w:p>
        </w:tc>
        <w:tc>
          <w:tcPr>
            <w:tcW w:w="196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A9706E" w:rsidRPr="00890338" w:rsidRDefault="00A9706E" w:rsidP="00031B92">
            <w:pPr>
              <w:spacing w:after="0" w:line="240" w:lineRule="auto"/>
              <w:jc w:val="center"/>
              <w:rPr>
                <w:rFonts w:ascii="Calibri" w:eastAsia="Times New Roman" w:hAnsi="Calibri" w:cs="Times New Roman"/>
                <w:b/>
                <w:bCs/>
                <w:color w:val="000000"/>
                <w:lang w:eastAsia="en-GB"/>
              </w:rPr>
            </w:pPr>
            <w:r w:rsidRPr="00890338">
              <w:rPr>
                <w:rFonts w:ascii="Calibri" w:eastAsia="Times New Roman" w:hAnsi="Calibri" w:cs="Times New Roman"/>
                <w:b/>
                <w:bCs/>
                <w:color w:val="000000"/>
                <w:lang w:eastAsia="en-GB"/>
              </w:rPr>
              <w:t>Prevalence Rates - Serious Disability</w:t>
            </w:r>
          </w:p>
        </w:tc>
        <w:tc>
          <w:tcPr>
            <w:tcW w:w="717" w:type="dxa"/>
            <w:tcBorders>
              <w:top w:val="nil"/>
              <w:left w:val="nil"/>
              <w:bottom w:val="single" w:sz="4" w:space="0" w:color="auto"/>
              <w:right w:val="single" w:sz="4" w:space="0" w:color="auto"/>
            </w:tcBorders>
            <w:shd w:val="clear" w:color="auto" w:fill="BFBFBF" w:themeFill="background1" w:themeFillShade="BF"/>
            <w:noWrap/>
            <w:vAlign w:val="center"/>
            <w:hideMark/>
          </w:tcPr>
          <w:p w:rsidR="00A9706E" w:rsidRPr="00890338" w:rsidRDefault="00A9706E" w:rsidP="00031B92">
            <w:pPr>
              <w:spacing w:after="0" w:line="240" w:lineRule="auto"/>
              <w:jc w:val="center"/>
              <w:rPr>
                <w:rFonts w:ascii="Calibri" w:eastAsia="Times New Roman" w:hAnsi="Calibri" w:cs="Times New Roman"/>
                <w:b/>
                <w:color w:val="000000"/>
                <w:lang w:eastAsia="en-GB"/>
              </w:rPr>
            </w:pPr>
            <w:r w:rsidRPr="00890338">
              <w:rPr>
                <w:rFonts w:ascii="Calibri" w:eastAsia="Times New Roman" w:hAnsi="Calibri" w:cs="Times New Roman"/>
                <w:b/>
                <w:color w:val="000000"/>
                <w:lang w:eastAsia="en-GB"/>
              </w:rPr>
              <w:t>2015</w:t>
            </w:r>
          </w:p>
        </w:tc>
        <w:tc>
          <w:tcPr>
            <w:tcW w:w="717" w:type="dxa"/>
            <w:tcBorders>
              <w:top w:val="nil"/>
              <w:left w:val="nil"/>
              <w:bottom w:val="single" w:sz="4" w:space="0" w:color="auto"/>
              <w:right w:val="single" w:sz="4" w:space="0" w:color="auto"/>
            </w:tcBorders>
            <w:shd w:val="clear" w:color="auto" w:fill="BFBFBF" w:themeFill="background1" w:themeFillShade="BF"/>
            <w:noWrap/>
            <w:vAlign w:val="center"/>
            <w:hideMark/>
          </w:tcPr>
          <w:p w:rsidR="00A9706E" w:rsidRPr="00890338" w:rsidRDefault="00A9706E" w:rsidP="00031B92">
            <w:pPr>
              <w:spacing w:after="0" w:line="240" w:lineRule="auto"/>
              <w:jc w:val="center"/>
              <w:rPr>
                <w:rFonts w:ascii="Calibri" w:eastAsia="Times New Roman" w:hAnsi="Calibri" w:cs="Times New Roman"/>
                <w:b/>
                <w:color w:val="000000"/>
                <w:lang w:eastAsia="en-GB"/>
              </w:rPr>
            </w:pPr>
            <w:r w:rsidRPr="00890338">
              <w:rPr>
                <w:rFonts w:ascii="Calibri" w:eastAsia="Times New Roman" w:hAnsi="Calibri" w:cs="Times New Roman"/>
                <w:b/>
                <w:color w:val="000000"/>
                <w:lang w:eastAsia="en-GB"/>
              </w:rPr>
              <w:t>2021</w:t>
            </w:r>
          </w:p>
        </w:tc>
        <w:tc>
          <w:tcPr>
            <w:tcW w:w="717" w:type="dxa"/>
            <w:tcBorders>
              <w:top w:val="nil"/>
              <w:left w:val="nil"/>
              <w:bottom w:val="single" w:sz="4" w:space="0" w:color="auto"/>
              <w:right w:val="single" w:sz="4" w:space="0" w:color="auto"/>
            </w:tcBorders>
            <w:shd w:val="clear" w:color="auto" w:fill="BFBFBF" w:themeFill="background1" w:themeFillShade="BF"/>
            <w:noWrap/>
            <w:vAlign w:val="center"/>
            <w:hideMark/>
          </w:tcPr>
          <w:p w:rsidR="00A9706E" w:rsidRPr="00890338" w:rsidRDefault="00A9706E" w:rsidP="00031B92">
            <w:pPr>
              <w:spacing w:after="0" w:line="240" w:lineRule="auto"/>
              <w:jc w:val="center"/>
              <w:rPr>
                <w:rFonts w:ascii="Calibri" w:eastAsia="Times New Roman" w:hAnsi="Calibri" w:cs="Times New Roman"/>
                <w:b/>
                <w:color w:val="000000"/>
                <w:lang w:eastAsia="en-GB"/>
              </w:rPr>
            </w:pPr>
            <w:r w:rsidRPr="00890338">
              <w:rPr>
                <w:rFonts w:ascii="Calibri" w:eastAsia="Times New Roman" w:hAnsi="Calibri" w:cs="Times New Roman"/>
                <w:b/>
                <w:color w:val="000000"/>
                <w:lang w:eastAsia="en-GB"/>
              </w:rPr>
              <w:t>2030</w:t>
            </w:r>
          </w:p>
        </w:tc>
        <w:tc>
          <w:tcPr>
            <w:tcW w:w="717" w:type="dxa"/>
            <w:tcBorders>
              <w:top w:val="nil"/>
              <w:left w:val="nil"/>
              <w:bottom w:val="single" w:sz="4" w:space="0" w:color="auto"/>
              <w:right w:val="single" w:sz="4" w:space="0" w:color="auto"/>
            </w:tcBorders>
            <w:shd w:val="clear" w:color="auto" w:fill="BFBFBF" w:themeFill="background1" w:themeFillShade="BF"/>
            <w:noWrap/>
            <w:vAlign w:val="center"/>
            <w:hideMark/>
          </w:tcPr>
          <w:p w:rsidR="00A9706E" w:rsidRPr="00890338" w:rsidRDefault="00A9706E" w:rsidP="00031B92">
            <w:pPr>
              <w:spacing w:after="0" w:line="240" w:lineRule="auto"/>
              <w:jc w:val="center"/>
              <w:rPr>
                <w:rFonts w:ascii="Calibri" w:eastAsia="Times New Roman" w:hAnsi="Calibri" w:cs="Times New Roman"/>
                <w:b/>
                <w:color w:val="000000"/>
                <w:lang w:eastAsia="en-GB"/>
              </w:rPr>
            </w:pPr>
            <w:r w:rsidRPr="00890338">
              <w:rPr>
                <w:rFonts w:ascii="Calibri" w:eastAsia="Times New Roman" w:hAnsi="Calibri" w:cs="Times New Roman"/>
                <w:b/>
                <w:color w:val="000000"/>
                <w:lang w:eastAsia="en-GB"/>
              </w:rPr>
              <w:t>2015</w:t>
            </w:r>
          </w:p>
        </w:tc>
        <w:tc>
          <w:tcPr>
            <w:tcW w:w="717" w:type="dxa"/>
            <w:tcBorders>
              <w:top w:val="nil"/>
              <w:left w:val="nil"/>
              <w:bottom w:val="single" w:sz="4" w:space="0" w:color="auto"/>
              <w:right w:val="single" w:sz="4" w:space="0" w:color="auto"/>
            </w:tcBorders>
            <w:shd w:val="clear" w:color="auto" w:fill="BFBFBF" w:themeFill="background1" w:themeFillShade="BF"/>
            <w:noWrap/>
            <w:vAlign w:val="center"/>
            <w:hideMark/>
          </w:tcPr>
          <w:p w:rsidR="00A9706E" w:rsidRPr="00890338" w:rsidRDefault="00A9706E" w:rsidP="00031B92">
            <w:pPr>
              <w:spacing w:after="0" w:line="240" w:lineRule="auto"/>
              <w:jc w:val="center"/>
              <w:rPr>
                <w:rFonts w:ascii="Calibri" w:eastAsia="Times New Roman" w:hAnsi="Calibri" w:cs="Times New Roman"/>
                <w:b/>
                <w:color w:val="000000"/>
                <w:lang w:eastAsia="en-GB"/>
              </w:rPr>
            </w:pPr>
            <w:r w:rsidRPr="00890338">
              <w:rPr>
                <w:rFonts w:ascii="Calibri" w:eastAsia="Times New Roman" w:hAnsi="Calibri" w:cs="Times New Roman"/>
                <w:b/>
                <w:color w:val="000000"/>
                <w:lang w:eastAsia="en-GB"/>
              </w:rPr>
              <w:t>2021</w:t>
            </w:r>
          </w:p>
        </w:tc>
        <w:tc>
          <w:tcPr>
            <w:tcW w:w="717" w:type="dxa"/>
            <w:tcBorders>
              <w:top w:val="nil"/>
              <w:left w:val="nil"/>
              <w:bottom w:val="single" w:sz="4" w:space="0" w:color="auto"/>
              <w:right w:val="single" w:sz="4" w:space="0" w:color="auto"/>
            </w:tcBorders>
            <w:shd w:val="clear" w:color="auto" w:fill="BFBFBF" w:themeFill="background1" w:themeFillShade="BF"/>
            <w:noWrap/>
            <w:vAlign w:val="center"/>
            <w:hideMark/>
          </w:tcPr>
          <w:p w:rsidR="00A9706E" w:rsidRPr="00890338" w:rsidRDefault="00A9706E" w:rsidP="00031B92">
            <w:pPr>
              <w:spacing w:after="0" w:line="240" w:lineRule="auto"/>
              <w:jc w:val="center"/>
              <w:rPr>
                <w:rFonts w:ascii="Calibri" w:eastAsia="Times New Roman" w:hAnsi="Calibri" w:cs="Times New Roman"/>
                <w:b/>
                <w:color w:val="000000"/>
                <w:lang w:eastAsia="en-GB"/>
              </w:rPr>
            </w:pPr>
            <w:r w:rsidRPr="00890338">
              <w:rPr>
                <w:rFonts w:ascii="Calibri" w:eastAsia="Times New Roman" w:hAnsi="Calibri" w:cs="Times New Roman"/>
                <w:b/>
                <w:color w:val="000000"/>
                <w:lang w:eastAsia="en-GB"/>
              </w:rPr>
              <w:t>2030</w:t>
            </w:r>
          </w:p>
        </w:tc>
      </w:tr>
      <w:tr w:rsidR="00A9706E" w:rsidRPr="00890338" w:rsidTr="00031B92">
        <w:trPr>
          <w:trHeight w:val="300"/>
          <w:jc w:val="center"/>
        </w:trPr>
        <w:tc>
          <w:tcPr>
            <w:tcW w:w="1276" w:type="dxa"/>
            <w:tcBorders>
              <w:top w:val="nil"/>
              <w:left w:val="single" w:sz="4" w:space="0" w:color="auto"/>
              <w:bottom w:val="single" w:sz="4" w:space="0" w:color="auto"/>
              <w:right w:val="single" w:sz="4" w:space="0" w:color="auto"/>
            </w:tcBorders>
            <w:shd w:val="clear" w:color="auto" w:fill="auto"/>
            <w:noWrap/>
            <w:vAlign w:val="bottom"/>
            <w:hideMark/>
          </w:tcPr>
          <w:p w:rsidR="00A9706E" w:rsidRPr="00890338" w:rsidRDefault="00A9706E" w:rsidP="00031B92">
            <w:pPr>
              <w:spacing w:after="0" w:line="240" w:lineRule="auto"/>
              <w:jc w:val="center"/>
              <w:rPr>
                <w:rFonts w:ascii="Calibri" w:eastAsia="Times New Roman" w:hAnsi="Calibri" w:cs="Times New Roman"/>
                <w:color w:val="000000"/>
                <w:lang w:eastAsia="en-GB"/>
              </w:rPr>
            </w:pPr>
            <w:r w:rsidRPr="00890338">
              <w:rPr>
                <w:rFonts w:ascii="Calibri" w:eastAsia="Times New Roman" w:hAnsi="Calibri" w:cs="Times New Roman"/>
                <w:color w:val="000000"/>
                <w:lang w:eastAsia="en-GB"/>
              </w:rPr>
              <w:t>18-24</w:t>
            </w:r>
          </w:p>
        </w:tc>
        <w:tc>
          <w:tcPr>
            <w:tcW w:w="2058" w:type="dxa"/>
            <w:tcBorders>
              <w:top w:val="nil"/>
              <w:left w:val="nil"/>
              <w:bottom w:val="single" w:sz="4" w:space="0" w:color="auto"/>
              <w:right w:val="single" w:sz="4" w:space="0" w:color="auto"/>
            </w:tcBorders>
            <w:shd w:val="clear" w:color="auto" w:fill="auto"/>
            <w:noWrap/>
            <w:vAlign w:val="bottom"/>
            <w:hideMark/>
          </w:tcPr>
          <w:p w:rsidR="00A9706E" w:rsidRPr="00890338" w:rsidRDefault="00A9706E" w:rsidP="00031B92">
            <w:pPr>
              <w:spacing w:after="0" w:line="240" w:lineRule="auto"/>
              <w:jc w:val="center"/>
              <w:rPr>
                <w:rFonts w:ascii="Calibri" w:eastAsia="Times New Roman" w:hAnsi="Calibri" w:cs="Times New Roman"/>
                <w:color w:val="000000"/>
                <w:lang w:eastAsia="en-GB"/>
              </w:rPr>
            </w:pPr>
            <w:r w:rsidRPr="00890338">
              <w:rPr>
                <w:rFonts w:ascii="Calibri" w:eastAsia="Times New Roman" w:hAnsi="Calibri" w:cs="Times New Roman"/>
                <w:color w:val="000000"/>
                <w:lang w:eastAsia="en-GB"/>
              </w:rPr>
              <w:t>4.10%</w:t>
            </w:r>
          </w:p>
        </w:tc>
        <w:tc>
          <w:tcPr>
            <w:tcW w:w="1960" w:type="dxa"/>
            <w:tcBorders>
              <w:top w:val="nil"/>
              <w:left w:val="nil"/>
              <w:bottom w:val="single" w:sz="4" w:space="0" w:color="auto"/>
              <w:right w:val="single" w:sz="4" w:space="0" w:color="auto"/>
            </w:tcBorders>
            <w:shd w:val="clear" w:color="auto" w:fill="auto"/>
            <w:noWrap/>
            <w:vAlign w:val="bottom"/>
            <w:hideMark/>
          </w:tcPr>
          <w:p w:rsidR="00A9706E" w:rsidRPr="00890338" w:rsidRDefault="00A9706E" w:rsidP="00031B92">
            <w:pPr>
              <w:spacing w:after="0" w:line="240" w:lineRule="auto"/>
              <w:jc w:val="center"/>
              <w:rPr>
                <w:rFonts w:ascii="Calibri" w:eastAsia="Times New Roman" w:hAnsi="Calibri" w:cs="Times New Roman"/>
                <w:color w:val="000000"/>
                <w:lang w:eastAsia="en-GB"/>
              </w:rPr>
            </w:pPr>
            <w:r w:rsidRPr="00890338">
              <w:rPr>
                <w:rFonts w:ascii="Calibri" w:eastAsia="Times New Roman" w:hAnsi="Calibri" w:cs="Times New Roman"/>
                <w:color w:val="000000"/>
                <w:lang w:eastAsia="en-GB"/>
              </w:rPr>
              <w:t>0.80%</w:t>
            </w:r>
          </w:p>
        </w:tc>
        <w:tc>
          <w:tcPr>
            <w:tcW w:w="717" w:type="dxa"/>
            <w:tcBorders>
              <w:top w:val="nil"/>
              <w:left w:val="nil"/>
              <w:bottom w:val="single" w:sz="4" w:space="0" w:color="auto"/>
              <w:right w:val="single" w:sz="4" w:space="0" w:color="auto"/>
            </w:tcBorders>
            <w:shd w:val="clear" w:color="auto" w:fill="auto"/>
            <w:noWrap/>
            <w:vAlign w:val="bottom"/>
            <w:hideMark/>
          </w:tcPr>
          <w:p w:rsidR="00A9706E" w:rsidRPr="00890338" w:rsidRDefault="00A9706E" w:rsidP="00031B92">
            <w:pPr>
              <w:spacing w:after="0" w:line="240" w:lineRule="auto"/>
              <w:jc w:val="center"/>
              <w:rPr>
                <w:rFonts w:ascii="Calibri" w:eastAsia="Times New Roman" w:hAnsi="Calibri" w:cs="Times New Roman"/>
                <w:color w:val="000000"/>
                <w:lang w:eastAsia="en-GB"/>
              </w:rPr>
            </w:pPr>
            <w:r w:rsidRPr="00890338">
              <w:rPr>
                <w:rFonts w:ascii="Calibri" w:eastAsia="Times New Roman" w:hAnsi="Calibri" w:cs="Times New Roman"/>
                <w:color w:val="000000"/>
                <w:lang w:eastAsia="en-GB"/>
              </w:rPr>
              <w:t>1</w:t>
            </w:r>
            <w:r>
              <w:rPr>
                <w:rFonts w:ascii="Calibri" w:eastAsia="Times New Roman" w:hAnsi="Calibri" w:cs="Times New Roman"/>
                <w:color w:val="000000"/>
                <w:lang w:eastAsia="en-GB"/>
              </w:rPr>
              <w:t>,</w:t>
            </w:r>
            <w:r w:rsidRPr="00890338">
              <w:rPr>
                <w:rFonts w:ascii="Calibri" w:eastAsia="Times New Roman" w:hAnsi="Calibri" w:cs="Times New Roman"/>
                <w:color w:val="000000"/>
                <w:lang w:eastAsia="en-GB"/>
              </w:rPr>
              <w:t>188</w:t>
            </w:r>
          </w:p>
        </w:tc>
        <w:tc>
          <w:tcPr>
            <w:tcW w:w="717" w:type="dxa"/>
            <w:tcBorders>
              <w:top w:val="nil"/>
              <w:left w:val="nil"/>
              <w:bottom w:val="single" w:sz="4" w:space="0" w:color="auto"/>
              <w:right w:val="single" w:sz="4" w:space="0" w:color="auto"/>
            </w:tcBorders>
            <w:shd w:val="clear" w:color="auto" w:fill="auto"/>
            <w:noWrap/>
            <w:vAlign w:val="bottom"/>
            <w:hideMark/>
          </w:tcPr>
          <w:p w:rsidR="00A9706E" w:rsidRPr="00890338" w:rsidRDefault="00A9706E" w:rsidP="00031B92">
            <w:pPr>
              <w:spacing w:after="0" w:line="240" w:lineRule="auto"/>
              <w:jc w:val="center"/>
              <w:rPr>
                <w:rFonts w:ascii="Calibri" w:eastAsia="Times New Roman" w:hAnsi="Calibri" w:cs="Times New Roman"/>
                <w:color w:val="000000"/>
                <w:lang w:eastAsia="en-GB"/>
              </w:rPr>
            </w:pPr>
            <w:r w:rsidRPr="00890338">
              <w:rPr>
                <w:rFonts w:ascii="Calibri" w:eastAsia="Times New Roman" w:hAnsi="Calibri" w:cs="Times New Roman"/>
                <w:color w:val="000000"/>
                <w:lang w:eastAsia="en-GB"/>
              </w:rPr>
              <w:t>1</w:t>
            </w:r>
            <w:r>
              <w:rPr>
                <w:rFonts w:ascii="Calibri" w:eastAsia="Times New Roman" w:hAnsi="Calibri" w:cs="Times New Roman"/>
                <w:color w:val="000000"/>
                <w:lang w:eastAsia="en-GB"/>
              </w:rPr>
              <w:t>,</w:t>
            </w:r>
            <w:r w:rsidRPr="00890338">
              <w:rPr>
                <w:rFonts w:ascii="Calibri" w:eastAsia="Times New Roman" w:hAnsi="Calibri" w:cs="Times New Roman"/>
                <w:color w:val="000000"/>
                <w:lang w:eastAsia="en-GB"/>
              </w:rPr>
              <w:t>181</w:t>
            </w:r>
          </w:p>
        </w:tc>
        <w:tc>
          <w:tcPr>
            <w:tcW w:w="717" w:type="dxa"/>
            <w:tcBorders>
              <w:top w:val="nil"/>
              <w:left w:val="nil"/>
              <w:bottom w:val="single" w:sz="4" w:space="0" w:color="auto"/>
              <w:right w:val="single" w:sz="4" w:space="0" w:color="auto"/>
            </w:tcBorders>
            <w:shd w:val="clear" w:color="auto" w:fill="auto"/>
            <w:noWrap/>
            <w:vAlign w:val="bottom"/>
            <w:hideMark/>
          </w:tcPr>
          <w:p w:rsidR="00A9706E" w:rsidRPr="00890338" w:rsidRDefault="00A9706E" w:rsidP="00031B92">
            <w:pPr>
              <w:spacing w:after="0" w:line="240" w:lineRule="auto"/>
              <w:jc w:val="center"/>
              <w:rPr>
                <w:rFonts w:ascii="Calibri" w:eastAsia="Times New Roman" w:hAnsi="Calibri" w:cs="Times New Roman"/>
                <w:color w:val="000000"/>
                <w:lang w:eastAsia="en-GB"/>
              </w:rPr>
            </w:pPr>
            <w:r w:rsidRPr="00890338">
              <w:rPr>
                <w:rFonts w:ascii="Calibri" w:eastAsia="Times New Roman" w:hAnsi="Calibri" w:cs="Times New Roman"/>
                <w:color w:val="000000"/>
                <w:lang w:eastAsia="en-GB"/>
              </w:rPr>
              <w:t>1</w:t>
            </w:r>
            <w:r>
              <w:rPr>
                <w:rFonts w:ascii="Calibri" w:eastAsia="Times New Roman" w:hAnsi="Calibri" w:cs="Times New Roman"/>
                <w:color w:val="000000"/>
                <w:lang w:eastAsia="en-GB"/>
              </w:rPr>
              <w:t>,</w:t>
            </w:r>
            <w:r w:rsidRPr="00890338">
              <w:rPr>
                <w:rFonts w:ascii="Calibri" w:eastAsia="Times New Roman" w:hAnsi="Calibri" w:cs="Times New Roman"/>
                <w:color w:val="000000"/>
                <w:lang w:eastAsia="en-GB"/>
              </w:rPr>
              <w:t>306</w:t>
            </w:r>
          </w:p>
        </w:tc>
        <w:tc>
          <w:tcPr>
            <w:tcW w:w="717" w:type="dxa"/>
            <w:tcBorders>
              <w:top w:val="nil"/>
              <w:left w:val="nil"/>
              <w:bottom w:val="single" w:sz="4" w:space="0" w:color="auto"/>
              <w:right w:val="single" w:sz="4" w:space="0" w:color="auto"/>
            </w:tcBorders>
            <w:shd w:val="clear" w:color="auto" w:fill="auto"/>
            <w:noWrap/>
            <w:vAlign w:val="bottom"/>
            <w:hideMark/>
          </w:tcPr>
          <w:p w:rsidR="00A9706E" w:rsidRPr="00890338" w:rsidRDefault="00A9706E" w:rsidP="00031B92">
            <w:pPr>
              <w:spacing w:after="0" w:line="240" w:lineRule="auto"/>
              <w:jc w:val="center"/>
              <w:rPr>
                <w:rFonts w:ascii="Calibri" w:eastAsia="Times New Roman" w:hAnsi="Calibri" w:cs="Times New Roman"/>
                <w:color w:val="000000"/>
                <w:lang w:eastAsia="en-GB"/>
              </w:rPr>
            </w:pPr>
            <w:r w:rsidRPr="00890338">
              <w:rPr>
                <w:rFonts w:ascii="Calibri" w:eastAsia="Times New Roman" w:hAnsi="Calibri" w:cs="Times New Roman"/>
                <w:color w:val="000000"/>
                <w:lang w:eastAsia="en-GB"/>
              </w:rPr>
              <w:t>232</w:t>
            </w:r>
          </w:p>
        </w:tc>
        <w:tc>
          <w:tcPr>
            <w:tcW w:w="717" w:type="dxa"/>
            <w:tcBorders>
              <w:top w:val="nil"/>
              <w:left w:val="nil"/>
              <w:bottom w:val="single" w:sz="4" w:space="0" w:color="auto"/>
              <w:right w:val="single" w:sz="4" w:space="0" w:color="auto"/>
            </w:tcBorders>
            <w:shd w:val="clear" w:color="auto" w:fill="auto"/>
            <w:noWrap/>
            <w:vAlign w:val="bottom"/>
            <w:hideMark/>
          </w:tcPr>
          <w:p w:rsidR="00A9706E" w:rsidRPr="00890338" w:rsidRDefault="00A9706E" w:rsidP="00031B92">
            <w:pPr>
              <w:spacing w:after="0" w:line="240" w:lineRule="auto"/>
              <w:jc w:val="center"/>
              <w:rPr>
                <w:rFonts w:ascii="Calibri" w:eastAsia="Times New Roman" w:hAnsi="Calibri" w:cs="Times New Roman"/>
                <w:color w:val="000000"/>
                <w:lang w:eastAsia="en-GB"/>
              </w:rPr>
            </w:pPr>
            <w:r w:rsidRPr="00890338">
              <w:rPr>
                <w:rFonts w:ascii="Calibri" w:eastAsia="Times New Roman" w:hAnsi="Calibri" w:cs="Times New Roman"/>
                <w:color w:val="000000"/>
                <w:lang w:eastAsia="en-GB"/>
              </w:rPr>
              <w:t>230</w:t>
            </w:r>
          </w:p>
        </w:tc>
        <w:tc>
          <w:tcPr>
            <w:tcW w:w="717" w:type="dxa"/>
            <w:tcBorders>
              <w:top w:val="nil"/>
              <w:left w:val="nil"/>
              <w:bottom w:val="single" w:sz="4" w:space="0" w:color="auto"/>
              <w:right w:val="single" w:sz="4" w:space="0" w:color="auto"/>
            </w:tcBorders>
            <w:shd w:val="clear" w:color="auto" w:fill="auto"/>
            <w:noWrap/>
            <w:vAlign w:val="bottom"/>
            <w:hideMark/>
          </w:tcPr>
          <w:p w:rsidR="00A9706E" w:rsidRPr="00890338" w:rsidRDefault="00A9706E" w:rsidP="00031B92">
            <w:pPr>
              <w:spacing w:after="0" w:line="240" w:lineRule="auto"/>
              <w:jc w:val="center"/>
              <w:rPr>
                <w:rFonts w:ascii="Calibri" w:eastAsia="Times New Roman" w:hAnsi="Calibri" w:cs="Times New Roman"/>
                <w:color w:val="000000"/>
                <w:lang w:eastAsia="en-GB"/>
              </w:rPr>
            </w:pPr>
            <w:r w:rsidRPr="00890338">
              <w:rPr>
                <w:rFonts w:ascii="Calibri" w:eastAsia="Times New Roman" w:hAnsi="Calibri" w:cs="Times New Roman"/>
                <w:color w:val="000000"/>
                <w:lang w:eastAsia="en-GB"/>
              </w:rPr>
              <w:t>255</w:t>
            </w:r>
          </w:p>
        </w:tc>
      </w:tr>
      <w:tr w:rsidR="00A9706E" w:rsidRPr="00890338" w:rsidTr="00031B92">
        <w:trPr>
          <w:trHeight w:val="300"/>
          <w:jc w:val="center"/>
        </w:trPr>
        <w:tc>
          <w:tcPr>
            <w:tcW w:w="1276" w:type="dxa"/>
            <w:tcBorders>
              <w:top w:val="nil"/>
              <w:left w:val="single" w:sz="4" w:space="0" w:color="auto"/>
              <w:bottom w:val="single" w:sz="4" w:space="0" w:color="auto"/>
              <w:right w:val="single" w:sz="4" w:space="0" w:color="auto"/>
            </w:tcBorders>
            <w:shd w:val="clear" w:color="auto" w:fill="auto"/>
            <w:noWrap/>
            <w:vAlign w:val="bottom"/>
            <w:hideMark/>
          </w:tcPr>
          <w:p w:rsidR="00A9706E" w:rsidRPr="00890338" w:rsidRDefault="00A9706E" w:rsidP="00031B92">
            <w:pPr>
              <w:spacing w:after="0" w:line="240" w:lineRule="auto"/>
              <w:jc w:val="center"/>
              <w:rPr>
                <w:rFonts w:ascii="Calibri" w:eastAsia="Times New Roman" w:hAnsi="Calibri" w:cs="Times New Roman"/>
                <w:color w:val="000000"/>
                <w:lang w:eastAsia="en-GB"/>
              </w:rPr>
            </w:pPr>
            <w:r w:rsidRPr="00890338">
              <w:rPr>
                <w:rFonts w:ascii="Calibri" w:eastAsia="Times New Roman" w:hAnsi="Calibri" w:cs="Times New Roman"/>
                <w:color w:val="000000"/>
                <w:lang w:eastAsia="en-GB"/>
              </w:rPr>
              <w:t>25-34</w:t>
            </w:r>
          </w:p>
        </w:tc>
        <w:tc>
          <w:tcPr>
            <w:tcW w:w="2058" w:type="dxa"/>
            <w:tcBorders>
              <w:top w:val="nil"/>
              <w:left w:val="nil"/>
              <w:bottom w:val="single" w:sz="4" w:space="0" w:color="auto"/>
              <w:right w:val="single" w:sz="4" w:space="0" w:color="auto"/>
            </w:tcBorders>
            <w:shd w:val="clear" w:color="auto" w:fill="auto"/>
            <w:noWrap/>
            <w:vAlign w:val="bottom"/>
            <w:hideMark/>
          </w:tcPr>
          <w:p w:rsidR="00A9706E" w:rsidRPr="00890338" w:rsidRDefault="00A9706E" w:rsidP="00031B92">
            <w:pPr>
              <w:spacing w:after="0" w:line="240" w:lineRule="auto"/>
              <w:jc w:val="center"/>
              <w:rPr>
                <w:rFonts w:ascii="Calibri" w:eastAsia="Times New Roman" w:hAnsi="Calibri" w:cs="Times New Roman"/>
                <w:color w:val="000000"/>
                <w:lang w:eastAsia="en-GB"/>
              </w:rPr>
            </w:pPr>
            <w:r w:rsidRPr="00890338">
              <w:rPr>
                <w:rFonts w:ascii="Calibri" w:eastAsia="Times New Roman" w:hAnsi="Calibri" w:cs="Times New Roman"/>
                <w:color w:val="000000"/>
                <w:lang w:eastAsia="en-GB"/>
              </w:rPr>
              <w:t>4.20%</w:t>
            </w:r>
          </w:p>
        </w:tc>
        <w:tc>
          <w:tcPr>
            <w:tcW w:w="1960" w:type="dxa"/>
            <w:tcBorders>
              <w:top w:val="nil"/>
              <w:left w:val="nil"/>
              <w:bottom w:val="single" w:sz="4" w:space="0" w:color="auto"/>
              <w:right w:val="single" w:sz="4" w:space="0" w:color="auto"/>
            </w:tcBorders>
            <w:shd w:val="clear" w:color="auto" w:fill="auto"/>
            <w:noWrap/>
            <w:vAlign w:val="bottom"/>
            <w:hideMark/>
          </w:tcPr>
          <w:p w:rsidR="00A9706E" w:rsidRPr="00890338" w:rsidRDefault="00A9706E" w:rsidP="00031B92">
            <w:pPr>
              <w:spacing w:after="0" w:line="240" w:lineRule="auto"/>
              <w:jc w:val="center"/>
              <w:rPr>
                <w:rFonts w:ascii="Calibri" w:eastAsia="Times New Roman" w:hAnsi="Calibri" w:cs="Times New Roman"/>
                <w:color w:val="000000"/>
                <w:lang w:eastAsia="en-GB"/>
              </w:rPr>
            </w:pPr>
            <w:r w:rsidRPr="00890338">
              <w:rPr>
                <w:rFonts w:ascii="Calibri" w:eastAsia="Times New Roman" w:hAnsi="Calibri" w:cs="Times New Roman"/>
                <w:color w:val="000000"/>
                <w:lang w:eastAsia="en-GB"/>
              </w:rPr>
              <w:t>0.40%</w:t>
            </w:r>
          </w:p>
        </w:tc>
        <w:tc>
          <w:tcPr>
            <w:tcW w:w="717" w:type="dxa"/>
            <w:tcBorders>
              <w:top w:val="nil"/>
              <w:left w:val="nil"/>
              <w:bottom w:val="single" w:sz="4" w:space="0" w:color="auto"/>
              <w:right w:val="single" w:sz="4" w:space="0" w:color="auto"/>
            </w:tcBorders>
            <w:shd w:val="clear" w:color="auto" w:fill="auto"/>
            <w:noWrap/>
            <w:vAlign w:val="bottom"/>
            <w:hideMark/>
          </w:tcPr>
          <w:p w:rsidR="00A9706E" w:rsidRPr="00890338" w:rsidRDefault="00A9706E" w:rsidP="00031B92">
            <w:pPr>
              <w:spacing w:after="0" w:line="240" w:lineRule="auto"/>
              <w:jc w:val="center"/>
              <w:rPr>
                <w:rFonts w:ascii="Calibri" w:eastAsia="Times New Roman" w:hAnsi="Calibri" w:cs="Times New Roman"/>
                <w:color w:val="000000"/>
                <w:lang w:eastAsia="en-GB"/>
              </w:rPr>
            </w:pPr>
            <w:r w:rsidRPr="00890338">
              <w:rPr>
                <w:rFonts w:ascii="Calibri" w:eastAsia="Times New Roman" w:hAnsi="Calibri" w:cs="Times New Roman"/>
                <w:color w:val="000000"/>
                <w:lang w:eastAsia="en-GB"/>
              </w:rPr>
              <w:t>2</w:t>
            </w:r>
            <w:r>
              <w:rPr>
                <w:rFonts w:ascii="Calibri" w:eastAsia="Times New Roman" w:hAnsi="Calibri" w:cs="Times New Roman"/>
                <w:color w:val="000000"/>
                <w:lang w:eastAsia="en-GB"/>
              </w:rPr>
              <w:t>,</w:t>
            </w:r>
            <w:r w:rsidRPr="00890338">
              <w:rPr>
                <w:rFonts w:ascii="Calibri" w:eastAsia="Times New Roman" w:hAnsi="Calibri" w:cs="Times New Roman"/>
                <w:color w:val="000000"/>
                <w:lang w:eastAsia="en-GB"/>
              </w:rPr>
              <w:t>598</w:t>
            </w:r>
          </w:p>
        </w:tc>
        <w:tc>
          <w:tcPr>
            <w:tcW w:w="717" w:type="dxa"/>
            <w:tcBorders>
              <w:top w:val="nil"/>
              <w:left w:val="nil"/>
              <w:bottom w:val="single" w:sz="4" w:space="0" w:color="auto"/>
              <w:right w:val="single" w:sz="4" w:space="0" w:color="auto"/>
            </w:tcBorders>
            <w:shd w:val="clear" w:color="auto" w:fill="auto"/>
            <w:noWrap/>
            <w:vAlign w:val="bottom"/>
            <w:hideMark/>
          </w:tcPr>
          <w:p w:rsidR="00A9706E" w:rsidRPr="00890338" w:rsidRDefault="00A9706E" w:rsidP="00031B92">
            <w:pPr>
              <w:spacing w:after="0" w:line="240" w:lineRule="auto"/>
              <w:jc w:val="center"/>
              <w:rPr>
                <w:rFonts w:ascii="Calibri" w:eastAsia="Times New Roman" w:hAnsi="Calibri" w:cs="Times New Roman"/>
                <w:color w:val="000000"/>
                <w:lang w:eastAsia="en-GB"/>
              </w:rPr>
            </w:pPr>
            <w:r w:rsidRPr="00890338">
              <w:rPr>
                <w:rFonts w:ascii="Calibri" w:eastAsia="Times New Roman" w:hAnsi="Calibri" w:cs="Times New Roman"/>
                <w:color w:val="000000"/>
                <w:lang w:eastAsia="en-GB"/>
              </w:rPr>
              <w:t>2</w:t>
            </w:r>
            <w:r>
              <w:rPr>
                <w:rFonts w:ascii="Calibri" w:eastAsia="Times New Roman" w:hAnsi="Calibri" w:cs="Times New Roman"/>
                <w:color w:val="000000"/>
                <w:lang w:eastAsia="en-GB"/>
              </w:rPr>
              <w:t>,</w:t>
            </w:r>
            <w:r w:rsidRPr="00890338">
              <w:rPr>
                <w:rFonts w:ascii="Calibri" w:eastAsia="Times New Roman" w:hAnsi="Calibri" w:cs="Times New Roman"/>
                <w:color w:val="000000"/>
                <w:lang w:eastAsia="en-GB"/>
              </w:rPr>
              <w:t>604</w:t>
            </w:r>
          </w:p>
        </w:tc>
        <w:tc>
          <w:tcPr>
            <w:tcW w:w="717" w:type="dxa"/>
            <w:tcBorders>
              <w:top w:val="nil"/>
              <w:left w:val="nil"/>
              <w:bottom w:val="single" w:sz="4" w:space="0" w:color="auto"/>
              <w:right w:val="single" w:sz="4" w:space="0" w:color="auto"/>
            </w:tcBorders>
            <w:shd w:val="clear" w:color="auto" w:fill="auto"/>
            <w:noWrap/>
            <w:vAlign w:val="bottom"/>
            <w:hideMark/>
          </w:tcPr>
          <w:p w:rsidR="00A9706E" w:rsidRPr="00890338" w:rsidRDefault="00A9706E" w:rsidP="00031B92">
            <w:pPr>
              <w:spacing w:after="0" w:line="240" w:lineRule="auto"/>
              <w:jc w:val="center"/>
              <w:rPr>
                <w:rFonts w:ascii="Calibri" w:eastAsia="Times New Roman" w:hAnsi="Calibri" w:cs="Times New Roman"/>
                <w:color w:val="000000"/>
                <w:lang w:eastAsia="en-GB"/>
              </w:rPr>
            </w:pPr>
            <w:r w:rsidRPr="00890338">
              <w:rPr>
                <w:rFonts w:ascii="Calibri" w:eastAsia="Times New Roman" w:hAnsi="Calibri" w:cs="Times New Roman"/>
                <w:color w:val="000000"/>
                <w:lang w:eastAsia="en-GB"/>
              </w:rPr>
              <w:t>2</w:t>
            </w:r>
            <w:r>
              <w:rPr>
                <w:rFonts w:ascii="Calibri" w:eastAsia="Times New Roman" w:hAnsi="Calibri" w:cs="Times New Roman"/>
                <w:color w:val="000000"/>
                <w:lang w:eastAsia="en-GB"/>
              </w:rPr>
              <w:t>,</w:t>
            </w:r>
            <w:r w:rsidRPr="00890338">
              <w:rPr>
                <w:rFonts w:ascii="Calibri" w:eastAsia="Times New Roman" w:hAnsi="Calibri" w:cs="Times New Roman"/>
                <w:color w:val="000000"/>
                <w:lang w:eastAsia="en-GB"/>
              </w:rPr>
              <w:t>511</w:t>
            </w:r>
          </w:p>
        </w:tc>
        <w:tc>
          <w:tcPr>
            <w:tcW w:w="717" w:type="dxa"/>
            <w:tcBorders>
              <w:top w:val="nil"/>
              <w:left w:val="nil"/>
              <w:bottom w:val="single" w:sz="4" w:space="0" w:color="auto"/>
              <w:right w:val="single" w:sz="4" w:space="0" w:color="auto"/>
            </w:tcBorders>
            <w:shd w:val="clear" w:color="auto" w:fill="auto"/>
            <w:noWrap/>
            <w:vAlign w:val="bottom"/>
            <w:hideMark/>
          </w:tcPr>
          <w:p w:rsidR="00A9706E" w:rsidRPr="00890338" w:rsidRDefault="00A9706E" w:rsidP="00031B92">
            <w:pPr>
              <w:spacing w:after="0" w:line="240" w:lineRule="auto"/>
              <w:jc w:val="center"/>
              <w:rPr>
                <w:rFonts w:ascii="Calibri" w:eastAsia="Times New Roman" w:hAnsi="Calibri" w:cs="Times New Roman"/>
                <w:color w:val="000000"/>
                <w:lang w:eastAsia="en-GB"/>
              </w:rPr>
            </w:pPr>
            <w:r w:rsidRPr="00890338">
              <w:rPr>
                <w:rFonts w:ascii="Calibri" w:eastAsia="Times New Roman" w:hAnsi="Calibri" w:cs="Times New Roman"/>
                <w:color w:val="000000"/>
                <w:lang w:eastAsia="en-GB"/>
              </w:rPr>
              <w:t>247</w:t>
            </w:r>
          </w:p>
        </w:tc>
        <w:tc>
          <w:tcPr>
            <w:tcW w:w="717" w:type="dxa"/>
            <w:tcBorders>
              <w:top w:val="nil"/>
              <w:left w:val="nil"/>
              <w:bottom w:val="single" w:sz="4" w:space="0" w:color="auto"/>
              <w:right w:val="single" w:sz="4" w:space="0" w:color="auto"/>
            </w:tcBorders>
            <w:shd w:val="clear" w:color="auto" w:fill="auto"/>
            <w:noWrap/>
            <w:vAlign w:val="bottom"/>
            <w:hideMark/>
          </w:tcPr>
          <w:p w:rsidR="00A9706E" w:rsidRPr="00890338" w:rsidRDefault="00A9706E" w:rsidP="00031B92">
            <w:pPr>
              <w:spacing w:after="0" w:line="240" w:lineRule="auto"/>
              <w:jc w:val="center"/>
              <w:rPr>
                <w:rFonts w:ascii="Calibri" w:eastAsia="Times New Roman" w:hAnsi="Calibri" w:cs="Times New Roman"/>
                <w:color w:val="000000"/>
                <w:lang w:eastAsia="en-GB"/>
              </w:rPr>
            </w:pPr>
            <w:r w:rsidRPr="00890338">
              <w:rPr>
                <w:rFonts w:ascii="Calibri" w:eastAsia="Times New Roman" w:hAnsi="Calibri" w:cs="Times New Roman"/>
                <w:color w:val="000000"/>
                <w:lang w:eastAsia="en-GB"/>
              </w:rPr>
              <w:t>248</w:t>
            </w:r>
          </w:p>
        </w:tc>
        <w:tc>
          <w:tcPr>
            <w:tcW w:w="717" w:type="dxa"/>
            <w:tcBorders>
              <w:top w:val="nil"/>
              <w:left w:val="nil"/>
              <w:bottom w:val="single" w:sz="4" w:space="0" w:color="auto"/>
              <w:right w:val="single" w:sz="4" w:space="0" w:color="auto"/>
            </w:tcBorders>
            <w:shd w:val="clear" w:color="auto" w:fill="auto"/>
            <w:noWrap/>
            <w:vAlign w:val="bottom"/>
            <w:hideMark/>
          </w:tcPr>
          <w:p w:rsidR="00A9706E" w:rsidRPr="00890338" w:rsidRDefault="00A9706E" w:rsidP="00031B92">
            <w:pPr>
              <w:spacing w:after="0" w:line="240" w:lineRule="auto"/>
              <w:jc w:val="center"/>
              <w:rPr>
                <w:rFonts w:ascii="Calibri" w:eastAsia="Times New Roman" w:hAnsi="Calibri" w:cs="Times New Roman"/>
                <w:color w:val="000000"/>
                <w:lang w:eastAsia="en-GB"/>
              </w:rPr>
            </w:pPr>
            <w:r w:rsidRPr="00890338">
              <w:rPr>
                <w:rFonts w:ascii="Calibri" w:eastAsia="Times New Roman" w:hAnsi="Calibri" w:cs="Times New Roman"/>
                <w:color w:val="000000"/>
                <w:lang w:eastAsia="en-GB"/>
              </w:rPr>
              <w:t>239</w:t>
            </w:r>
          </w:p>
        </w:tc>
      </w:tr>
      <w:tr w:rsidR="00A9706E" w:rsidRPr="00890338" w:rsidTr="00031B92">
        <w:trPr>
          <w:trHeight w:val="300"/>
          <w:jc w:val="center"/>
        </w:trPr>
        <w:tc>
          <w:tcPr>
            <w:tcW w:w="1276" w:type="dxa"/>
            <w:tcBorders>
              <w:top w:val="nil"/>
              <w:left w:val="single" w:sz="4" w:space="0" w:color="auto"/>
              <w:bottom w:val="single" w:sz="4" w:space="0" w:color="auto"/>
              <w:right w:val="single" w:sz="4" w:space="0" w:color="auto"/>
            </w:tcBorders>
            <w:shd w:val="clear" w:color="auto" w:fill="auto"/>
            <w:noWrap/>
            <w:vAlign w:val="bottom"/>
            <w:hideMark/>
          </w:tcPr>
          <w:p w:rsidR="00A9706E" w:rsidRPr="00890338" w:rsidRDefault="00A9706E" w:rsidP="00031B92">
            <w:pPr>
              <w:spacing w:after="0" w:line="240" w:lineRule="auto"/>
              <w:jc w:val="center"/>
              <w:rPr>
                <w:rFonts w:ascii="Calibri" w:eastAsia="Times New Roman" w:hAnsi="Calibri" w:cs="Times New Roman"/>
                <w:color w:val="000000"/>
                <w:lang w:eastAsia="en-GB"/>
              </w:rPr>
            </w:pPr>
            <w:r w:rsidRPr="00890338">
              <w:rPr>
                <w:rFonts w:ascii="Calibri" w:eastAsia="Times New Roman" w:hAnsi="Calibri" w:cs="Times New Roman"/>
                <w:color w:val="000000"/>
                <w:lang w:eastAsia="en-GB"/>
              </w:rPr>
              <w:t>35-44</w:t>
            </w:r>
          </w:p>
        </w:tc>
        <w:tc>
          <w:tcPr>
            <w:tcW w:w="2058" w:type="dxa"/>
            <w:tcBorders>
              <w:top w:val="nil"/>
              <w:left w:val="nil"/>
              <w:bottom w:val="single" w:sz="4" w:space="0" w:color="auto"/>
              <w:right w:val="single" w:sz="4" w:space="0" w:color="auto"/>
            </w:tcBorders>
            <w:shd w:val="clear" w:color="auto" w:fill="auto"/>
            <w:noWrap/>
            <w:vAlign w:val="bottom"/>
            <w:hideMark/>
          </w:tcPr>
          <w:p w:rsidR="00A9706E" w:rsidRPr="00890338" w:rsidRDefault="00A9706E" w:rsidP="00031B92">
            <w:pPr>
              <w:spacing w:after="0" w:line="240" w:lineRule="auto"/>
              <w:jc w:val="center"/>
              <w:rPr>
                <w:rFonts w:ascii="Calibri" w:eastAsia="Times New Roman" w:hAnsi="Calibri" w:cs="Times New Roman"/>
                <w:color w:val="000000"/>
                <w:lang w:eastAsia="en-GB"/>
              </w:rPr>
            </w:pPr>
            <w:r w:rsidRPr="00890338">
              <w:rPr>
                <w:rFonts w:ascii="Calibri" w:eastAsia="Times New Roman" w:hAnsi="Calibri" w:cs="Times New Roman"/>
                <w:color w:val="000000"/>
                <w:lang w:eastAsia="en-GB"/>
              </w:rPr>
              <w:t>5.60%</w:t>
            </w:r>
          </w:p>
        </w:tc>
        <w:tc>
          <w:tcPr>
            <w:tcW w:w="1960" w:type="dxa"/>
            <w:tcBorders>
              <w:top w:val="nil"/>
              <w:left w:val="nil"/>
              <w:bottom w:val="single" w:sz="4" w:space="0" w:color="auto"/>
              <w:right w:val="single" w:sz="4" w:space="0" w:color="auto"/>
            </w:tcBorders>
            <w:shd w:val="clear" w:color="auto" w:fill="auto"/>
            <w:noWrap/>
            <w:vAlign w:val="bottom"/>
            <w:hideMark/>
          </w:tcPr>
          <w:p w:rsidR="00A9706E" w:rsidRPr="00890338" w:rsidRDefault="00A9706E" w:rsidP="00031B92">
            <w:pPr>
              <w:spacing w:after="0" w:line="240" w:lineRule="auto"/>
              <w:jc w:val="center"/>
              <w:rPr>
                <w:rFonts w:ascii="Calibri" w:eastAsia="Times New Roman" w:hAnsi="Calibri" w:cs="Times New Roman"/>
                <w:color w:val="000000"/>
                <w:lang w:eastAsia="en-GB"/>
              </w:rPr>
            </w:pPr>
            <w:r w:rsidRPr="00890338">
              <w:rPr>
                <w:rFonts w:ascii="Calibri" w:eastAsia="Times New Roman" w:hAnsi="Calibri" w:cs="Times New Roman"/>
                <w:color w:val="000000"/>
                <w:lang w:eastAsia="en-GB"/>
              </w:rPr>
              <w:t>1.70%</w:t>
            </w:r>
          </w:p>
        </w:tc>
        <w:tc>
          <w:tcPr>
            <w:tcW w:w="717" w:type="dxa"/>
            <w:tcBorders>
              <w:top w:val="nil"/>
              <w:left w:val="nil"/>
              <w:bottom w:val="single" w:sz="4" w:space="0" w:color="auto"/>
              <w:right w:val="single" w:sz="4" w:space="0" w:color="auto"/>
            </w:tcBorders>
            <w:shd w:val="clear" w:color="auto" w:fill="auto"/>
            <w:noWrap/>
            <w:vAlign w:val="bottom"/>
            <w:hideMark/>
          </w:tcPr>
          <w:p w:rsidR="00A9706E" w:rsidRPr="00890338" w:rsidRDefault="00A9706E" w:rsidP="00031B92">
            <w:pPr>
              <w:spacing w:after="0" w:line="240" w:lineRule="auto"/>
              <w:jc w:val="center"/>
              <w:rPr>
                <w:rFonts w:ascii="Calibri" w:eastAsia="Times New Roman" w:hAnsi="Calibri" w:cs="Times New Roman"/>
                <w:color w:val="000000"/>
                <w:lang w:eastAsia="en-GB"/>
              </w:rPr>
            </w:pPr>
            <w:r w:rsidRPr="00890338">
              <w:rPr>
                <w:rFonts w:ascii="Calibri" w:eastAsia="Times New Roman" w:hAnsi="Calibri" w:cs="Times New Roman"/>
                <w:color w:val="000000"/>
                <w:lang w:eastAsia="en-GB"/>
              </w:rPr>
              <w:t>3</w:t>
            </w:r>
            <w:r>
              <w:rPr>
                <w:rFonts w:ascii="Calibri" w:eastAsia="Times New Roman" w:hAnsi="Calibri" w:cs="Times New Roman"/>
                <w:color w:val="000000"/>
                <w:lang w:eastAsia="en-GB"/>
              </w:rPr>
              <w:t>,</w:t>
            </w:r>
            <w:r w:rsidRPr="00890338">
              <w:rPr>
                <w:rFonts w:ascii="Calibri" w:eastAsia="Times New Roman" w:hAnsi="Calibri" w:cs="Times New Roman"/>
                <w:color w:val="000000"/>
                <w:lang w:eastAsia="en-GB"/>
              </w:rPr>
              <w:t>076</w:t>
            </w:r>
          </w:p>
        </w:tc>
        <w:tc>
          <w:tcPr>
            <w:tcW w:w="717" w:type="dxa"/>
            <w:tcBorders>
              <w:top w:val="nil"/>
              <w:left w:val="nil"/>
              <w:bottom w:val="single" w:sz="4" w:space="0" w:color="auto"/>
              <w:right w:val="single" w:sz="4" w:space="0" w:color="auto"/>
            </w:tcBorders>
            <w:shd w:val="clear" w:color="auto" w:fill="auto"/>
            <w:noWrap/>
            <w:vAlign w:val="bottom"/>
            <w:hideMark/>
          </w:tcPr>
          <w:p w:rsidR="00A9706E" w:rsidRPr="00890338" w:rsidRDefault="00A9706E" w:rsidP="00031B92">
            <w:pPr>
              <w:spacing w:after="0" w:line="240" w:lineRule="auto"/>
              <w:jc w:val="center"/>
              <w:rPr>
                <w:rFonts w:ascii="Calibri" w:eastAsia="Times New Roman" w:hAnsi="Calibri" w:cs="Times New Roman"/>
                <w:color w:val="000000"/>
                <w:lang w:eastAsia="en-GB"/>
              </w:rPr>
            </w:pPr>
            <w:r w:rsidRPr="00890338">
              <w:rPr>
                <w:rFonts w:ascii="Calibri" w:eastAsia="Times New Roman" w:hAnsi="Calibri" w:cs="Times New Roman"/>
                <w:color w:val="000000"/>
                <w:lang w:eastAsia="en-GB"/>
              </w:rPr>
              <w:t>3</w:t>
            </w:r>
            <w:r>
              <w:rPr>
                <w:rFonts w:ascii="Calibri" w:eastAsia="Times New Roman" w:hAnsi="Calibri" w:cs="Times New Roman"/>
                <w:color w:val="000000"/>
                <w:lang w:eastAsia="en-GB"/>
              </w:rPr>
              <w:t>,</w:t>
            </w:r>
            <w:r w:rsidRPr="00890338">
              <w:rPr>
                <w:rFonts w:ascii="Calibri" w:eastAsia="Times New Roman" w:hAnsi="Calibri" w:cs="Times New Roman"/>
                <w:color w:val="000000"/>
                <w:lang w:eastAsia="en-GB"/>
              </w:rPr>
              <w:t>344</w:t>
            </w:r>
          </w:p>
        </w:tc>
        <w:tc>
          <w:tcPr>
            <w:tcW w:w="717" w:type="dxa"/>
            <w:tcBorders>
              <w:top w:val="nil"/>
              <w:left w:val="nil"/>
              <w:bottom w:val="single" w:sz="4" w:space="0" w:color="auto"/>
              <w:right w:val="single" w:sz="4" w:space="0" w:color="auto"/>
            </w:tcBorders>
            <w:shd w:val="clear" w:color="auto" w:fill="auto"/>
            <w:noWrap/>
            <w:vAlign w:val="bottom"/>
            <w:hideMark/>
          </w:tcPr>
          <w:p w:rsidR="00A9706E" w:rsidRPr="00890338" w:rsidRDefault="00A9706E" w:rsidP="00031B92">
            <w:pPr>
              <w:spacing w:after="0" w:line="240" w:lineRule="auto"/>
              <w:jc w:val="center"/>
              <w:rPr>
                <w:rFonts w:ascii="Calibri" w:eastAsia="Times New Roman" w:hAnsi="Calibri" w:cs="Times New Roman"/>
                <w:color w:val="000000"/>
                <w:lang w:eastAsia="en-GB"/>
              </w:rPr>
            </w:pPr>
            <w:r w:rsidRPr="00890338">
              <w:rPr>
                <w:rFonts w:ascii="Calibri" w:eastAsia="Times New Roman" w:hAnsi="Calibri" w:cs="Times New Roman"/>
                <w:color w:val="000000"/>
                <w:lang w:eastAsia="en-GB"/>
              </w:rPr>
              <w:t>3</w:t>
            </w:r>
            <w:r>
              <w:rPr>
                <w:rFonts w:ascii="Calibri" w:eastAsia="Times New Roman" w:hAnsi="Calibri" w:cs="Times New Roman"/>
                <w:color w:val="000000"/>
                <w:lang w:eastAsia="en-GB"/>
              </w:rPr>
              <w:t>,</w:t>
            </w:r>
            <w:r w:rsidRPr="00890338">
              <w:rPr>
                <w:rFonts w:ascii="Calibri" w:eastAsia="Times New Roman" w:hAnsi="Calibri" w:cs="Times New Roman"/>
                <w:color w:val="000000"/>
                <w:lang w:eastAsia="en-GB"/>
              </w:rPr>
              <w:t>456</w:t>
            </w:r>
          </w:p>
        </w:tc>
        <w:tc>
          <w:tcPr>
            <w:tcW w:w="717" w:type="dxa"/>
            <w:tcBorders>
              <w:top w:val="nil"/>
              <w:left w:val="nil"/>
              <w:bottom w:val="single" w:sz="4" w:space="0" w:color="auto"/>
              <w:right w:val="single" w:sz="4" w:space="0" w:color="auto"/>
            </w:tcBorders>
            <w:shd w:val="clear" w:color="auto" w:fill="auto"/>
            <w:noWrap/>
            <w:vAlign w:val="bottom"/>
            <w:hideMark/>
          </w:tcPr>
          <w:p w:rsidR="00A9706E" w:rsidRPr="00890338" w:rsidRDefault="00A9706E" w:rsidP="00031B92">
            <w:pPr>
              <w:spacing w:after="0" w:line="240" w:lineRule="auto"/>
              <w:jc w:val="center"/>
              <w:rPr>
                <w:rFonts w:ascii="Calibri" w:eastAsia="Times New Roman" w:hAnsi="Calibri" w:cs="Times New Roman"/>
                <w:color w:val="000000"/>
                <w:lang w:eastAsia="en-GB"/>
              </w:rPr>
            </w:pPr>
            <w:r w:rsidRPr="00890338">
              <w:rPr>
                <w:rFonts w:ascii="Calibri" w:eastAsia="Times New Roman" w:hAnsi="Calibri" w:cs="Times New Roman"/>
                <w:color w:val="000000"/>
                <w:lang w:eastAsia="en-GB"/>
              </w:rPr>
              <w:t>934</w:t>
            </w:r>
          </w:p>
        </w:tc>
        <w:tc>
          <w:tcPr>
            <w:tcW w:w="717" w:type="dxa"/>
            <w:tcBorders>
              <w:top w:val="nil"/>
              <w:left w:val="nil"/>
              <w:bottom w:val="single" w:sz="4" w:space="0" w:color="auto"/>
              <w:right w:val="single" w:sz="4" w:space="0" w:color="auto"/>
            </w:tcBorders>
            <w:shd w:val="clear" w:color="auto" w:fill="auto"/>
            <w:noWrap/>
            <w:vAlign w:val="bottom"/>
            <w:hideMark/>
          </w:tcPr>
          <w:p w:rsidR="00A9706E" w:rsidRPr="00890338" w:rsidRDefault="00A9706E" w:rsidP="00031B92">
            <w:pPr>
              <w:spacing w:after="0" w:line="240" w:lineRule="auto"/>
              <w:jc w:val="center"/>
              <w:rPr>
                <w:rFonts w:ascii="Calibri" w:eastAsia="Times New Roman" w:hAnsi="Calibri" w:cs="Times New Roman"/>
                <w:color w:val="000000"/>
                <w:lang w:eastAsia="en-GB"/>
              </w:rPr>
            </w:pPr>
            <w:r w:rsidRPr="00890338">
              <w:rPr>
                <w:rFonts w:ascii="Calibri" w:eastAsia="Times New Roman" w:hAnsi="Calibri" w:cs="Times New Roman"/>
                <w:color w:val="000000"/>
                <w:lang w:eastAsia="en-GB"/>
              </w:rPr>
              <w:t>1</w:t>
            </w:r>
            <w:r>
              <w:rPr>
                <w:rFonts w:ascii="Calibri" w:eastAsia="Times New Roman" w:hAnsi="Calibri" w:cs="Times New Roman"/>
                <w:color w:val="000000"/>
                <w:lang w:eastAsia="en-GB"/>
              </w:rPr>
              <w:t>,</w:t>
            </w:r>
            <w:r w:rsidRPr="00890338">
              <w:rPr>
                <w:rFonts w:ascii="Calibri" w:eastAsia="Times New Roman" w:hAnsi="Calibri" w:cs="Times New Roman"/>
                <w:color w:val="000000"/>
                <w:lang w:eastAsia="en-GB"/>
              </w:rPr>
              <w:t>015</w:t>
            </w:r>
          </w:p>
        </w:tc>
        <w:tc>
          <w:tcPr>
            <w:tcW w:w="717" w:type="dxa"/>
            <w:tcBorders>
              <w:top w:val="nil"/>
              <w:left w:val="nil"/>
              <w:bottom w:val="single" w:sz="4" w:space="0" w:color="auto"/>
              <w:right w:val="single" w:sz="4" w:space="0" w:color="auto"/>
            </w:tcBorders>
            <w:shd w:val="clear" w:color="auto" w:fill="auto"/>
            <w:noWrap/>
            <w:vAlign w:val="bottom"/>
            <w:hideMark/>
          </w:tcPr>
          <w:p w:rsidR="00A9706E" w:rsidRPr="00890338" w:rsidRDefault="00A9706E" w:rsidP="00031B92">
            <w:pPr>
              <w:spacing w:after="0" w:line="240" w:lineRule="auto"/>
              <w:jc w:val="center"/>
              <w:rPr>
                <w:rFonts w:ascii="Calibri" w:eastAsia="Times New Roman" w:hAnsi="Calibri" w:cs="Times New Roman"/>
                <w:color w:val="000000"/>
                <w:lang w:eastAsia="en-GB"/>
              </w:rPr>
            </w:pPr>
            <w:r w:rsidRPr="00890338">
              <w:rPr>
                <w:rFonts w:ascii="Calibri" w:eastAsia="Times New Roman" w:hAnsi="Calibri" w:cs="Times New Roman"/>
                <w:color w:val="000000"/>
                <w:lang w:eastAsia="en-GB"/>
              </w:rPr>
              <w:t>1</w:t>
            </w:r>
            <w:r>
              <w:rPr>
                <w:rFonts w:ascii="Calibri" w:eastAsia="Times New Roman" w:hAnsi="Calibri" w:cs="Times New Roman"/>
                <w:color w:val="000000"/>
                <w:lang w:eastAsia="en-GB"/>
              </w:rPr>
              <w:t>,</w:t>
            </w:r>
            <w:r w:rsidRPr="00890338">
              <w:rPr>
                <w:rFonts w:ascii="Calibri" w:eastAsia="Times New Roman" w:hAnsi="Calibri" w:cs="Times New Roman"/>
                <w:color w:val="000000"/>
                <w:lang w:eastAsia="en-GB"/>
              </w:rPr>
              <w:t>049</w:t>
            </w:r>
          </w:p>
        </w:tc>
      </w:tr>
      <w:tr w:rsidR="00A9706E" w:rsidRPr="00890338" w:rsidTr="00031B92">
        <w:trPr>
          <w:trHeight w:val="300"/>
          <w:jc w:val="center"/>
        </w:trPr>
        <w:tc>
          <w:tcPr>
            <w:tcW w:w="1276" w:type="dxa"/>
            <w:tcBorders>
              <w:top w:val="nil"/>
              <w:left w:val="single" w:sz="4" w:space="0" w:color="auto"/>
              <w:bottom w:val="single" w:sz="4" w:space="0" w:color="auto"/>
              <w:right w:val="single" w:sz="4" w:space="0" w:color="auto"/>
            </w:tcBorders>
            <w:shd w:val="clear" w:color="auto" w:fill="auto"/>
            <w:noWrap/>
            <w:vAlign w:val="bottom"/>
            <w:hideMark/>
          </w:tcPr>
          <w:p w:rsidR="00A9706E" w:rsidRPr="00890338" w:rsidRDefault="00A9706E" w:rsidP="00031B92">
            <w:pPr>
              <w:spacing w:after="0" w:line="240" w:lineRule="auto"/>
              <w:jc w:val="center"/>
              <w:rPr>
                <w:rFonts w:ascii="Calibri" w:eastAsia="Times New Roman" w:hAnsi="Calibri" w:cs="Times New Roman"/>
                <w:color w:val="000000"/>
                <w:lang w:eastAsia="en-GB"/>
              </w:rPr>
            </w:pPr>
            <w:r w:rsidRPr="00890338">
              <w:rPr>
                <w:rFonts w:ascii="Calibri" w:eastAsia="Times New Roman" w:hAnsi="Calibri" w:cs="Times New Roman"/>
                <w:color w:val="000000"/>
                <w:lang w:eastAsia="en-GB"/>
              </w:rPr>
              <w:t>45-54</w:t>
            </w:r>
          </w:p>
        </w:tc>
        <w:tc>
          <w:tcPr>
            <w:tcW w:w="2058" w:type="dxa"/>
            <w:tcBorders>
              <w:top w:val="nil"/>
              <w:left w:val="nil"/>
              <w:bottom w:val="single" w:sz="4" w:space="0" w:color="auto"/>
              <w:right w:val="single" w:sz="4" w:space="0" w:color="auto"/>
            </w:tcBorders>
            <w:shd w:val="clear" w:color="auto" w:fill="auto"/>
            <w:noWrap/>
            <w:vAlign w:val="bottom"/>
            <w:hideMark/>
          </w:tcPr>
          <w:p w:rsidR="00A9706E" w:rsidRPr="00890338" w:rsidRDefault="00A9706E" w:rsidP="00031B92">
            <w:pPr>
              <w:spacing w:after="0" w:line="240" w:lineRule="auto"/>
              <w:jc w:val="center"/>
              <w:rPr>
                <w:rFonts w:ascii="Calibri" w:eastAsia="Times New Roman" w:hAnsi="Calibri" w:cs="Times New Roman"/>
                <w:color w:val="000000"/>
                <w:lang w:eastAsia="en-GB"/>
              </w:rPr>
            </w:pPr>
            <w:r w:rsidRPr="00890338">
              <w:rPr>
                <w:rFonts w:ascii="Calibri" w:eastAsia="Times New Roman" w:hAnsi="Calibri" w:cs="Times New Roman"/>
                <w:color w:val="000000"/>
                <w:lang w:eastAsia="en-GB"/>
              </w:rPr>
              <w:t>9.70%</w:t>
            </w:r>
          </w:p>
        </w:tc>
        <w:tc>
          <w:tcPr>
            <w:tcW w:w="1960" w:type="dxa"/>
            <w:tcBorders>
              <w:top w:val="nil"/>
              <w:left w:val="nil"/>
              <w:bottom w:val="single" w:sz="4" w:space="0" w:color="auto"/>
              <w:right w:val="single" w:sz="4" w:space="0" w:color="auto"/>
            </w:tcBorders>
            <w:shd w:val="clear" w:color="auto" w:fill="auto"/>
            <w:noWrap/>
            <w:vAlign w:val="bottom"/>
            <w:hideMark/>
          </w:tcPr>
          <w:p w:rsidR="00A9706E" w:rsidRPr="00890338" w:rsidRDefault="00A9706E" w:rsidP="00031B92">
            <w:pPr>
              <w:spacing w:after="0" w:line="240" w:lineRule="auto"/>
              <w:jc w:val="center"/>
              <w:rPr>
                <w:rFonts w:ascii="Calibri" w:eastAsia="Times New Roman" w:hAnsi="Calibri" w:cs="Times New Roman"/>
                <w:color w:val="000000"/>
                <w:lang w:eastAsia="en-GB"/>
              </w:rPr>
            </w:pPr>
            <w:r w:rsidRPr="00890338">
              <w:rPr>
                <w:rFonts w:ascii="Calibri" w:eastAsia="Times New Roman" w:hAnsi="Calibri" w:cs="Times New Roman"/>
                <w:color w:val="000000"/>
                <w:lang w:eastAsia="en-GB"/>
              </w:rPr>
              <w:t>2.70%</w:t>
            </w:r>
          </w:p>
        </w:tc>
        <w:tc>
          <w:tcPr>
            <w:tcW w:w="717" w:type="dxa"/>
            <w:tcBorders>
              <w:top w:val="nil"/>
              <w:left w:val="nil"/>
              <w:bottom w:val="single" w:sz="4" w:space="0" w:color="auto"/>
              <w:right w:val="single" w:sz="4" w:space="0" w:color="auto"/>
            </w:tcBorders>
            <w:shd w:val="clear" w:color="auto" w:fill="auto"/>
            <w:noWrap/>
            <w:vAlign w:val="bottom"/>
            <w:hideMark/>
          </w:tcPr>
          <w:p w:rsidR="00A9706E" w:rsidRPr="00890338" w:rsidRDefault="00A9706E" w:rsidP="00031B92">
            <w:pPr>
              <w:spacing w:after="0" w:line="240" w:lineRule="auto"/>
              <w:jc w:val="center"/>
              <w:rPr>
                <w:rFonts w:ascii="Calibri" w:eastAsia="Times New Roman" w:hAnsi="Calibri" w:cs="Times New Roman"/>
                <w:color w:val="000000"/>
                <w:lang w:eastAsia="en-GB"/>
              </w:rPr>
            </w:pPr>
            <w:r w:rsidRPr="00890338">
              <w:rPr>
                <w:rFonts w:ascii="Calibri" w:eastAsia="Times New Roman" w:hAnsi="Calibri" w:cs="Times New Roman"/>
                <w:color w:val="000000"/>
                <w:lang w:eastAsia="en-GB"/>
              </w:rPr>
              <w:t>4</w:t>
            </w:r>
            <w:r>
              <w:rPr>
                <w:rFonts w:ascii="Calibri" w:eastAsia="Times New Roman" w:hAnsi="Calibri" w:cs="Times New Roman"/>
                <w:color w:val="000000"/>
                <w:lang w:eastAsia="en-GB"/>
              </w:rPr>
              <w:t>,</w:t>
            </w:r>
            <w:r w:rsidRPr="00890338">
              <w:rPr>
                <w:rFonts w:ascii="Calibri" w:eastAsia="Times New Roman" w:hAnsi="Calibri" w:cs="Times New Roman"/>
                <w:color w:val="000000"/>
                <w:lang w:eastAsia="en-GB"/>
              </w:rPr>
              <w:t>693</w:t>
            </w:r>
          </w:p>
        </w:tc>
        <w:tc>
          <w:tcPr>
            <w:tcW w:w="717" w:type="dxa"/>
            <w:tcBorders>
              <w:top w:val="nil"/>
              <w:left w:val="nil"/>
              <w:bottom w:val="single" w:sz="4" w:space="0" w:color="auto"/>
              <w:right w:val="single" w:sz="4" w:space="0" w:color="auto"/>
            </w:tcBorders>
            <w:shd w:val="clear" w:color="auto" w:fill="auto"/>
            <w:noWrap/>
            <w:vAlign w:val="bottom"/>
            <w:hideMark/>
          </w:tcPr>
          <w:p w:rsidR="00A9706E" w:rsidRPr="00890338" w:rsidRDefault="00A9706E" w:rsidP="00031B92">
            <w:pPr>
              <w:spacing w:after="0" w:line="240" w:lineRule="auto"/>
              <w:jc w:val="center"/>
              <w:rPr>
                <w:rFonts w:ascii="Calibri" w:eastAsia="Times New Roman" w:hAnsi="Calibri" w:cs="Times New Roman"/>
                <w:color w:val="000000"/>
                <w:lang w:eastAsia="en-GB"/>
              </w:rPr>
            </w:pPr>
            <w:r w:rsidRPr="00890338">
              <w:rPr>
                <w:rFonts w:ascii="Calibri" w:eastAsia="Times New Roman" w:hAnsi="Calibri" w:cs="Times New Roman"/>
                <w:color w:val="000000"/>
                <w:lang w:eastAsia="en-GB"/>
              </w:rPr>
              <w:t>4</w:t>
            </w:r>
            <w:r>
              <w:rPr>
                <w:rFonts w:ascii="Calibri" w:eastAsia="Times New Roman" w:hAnsi="Calibri" w:cs="Times New Roman"/>
                <w:color w:val="000000"/>
                <w:lang w:eastAsia="en-GB"/>
              </w:rPr>
              <w:t>,</w:t>
            </w:r>
            <w:r w:rsidRPr="00890338">
              <w:rPr>
                <w:rFonts w:ascii="Calibri" w:eastAsia="Times New Roman" w:hAnsi="Calibri" w:cs="Times New Roman"/>
                <w:color w:val="000000"/>
                <w:lang w:eastAsia="en-GB"/>
              </w:rPr>
              <w:t>899</w:t>
            </w:r>
          </w:p>
        </w:tc>
        <w:tc>
          <w:tcPr>
            <w:tcW w:w="717" w:type="dxa"/>
            <w:tcBorders>
              <w:top w:val="nil"/>
              <w:left w:val="nil"/>
              <w:bottom w:val="single" w:sz="4" w:space="0" w:color="auto"/>
              <w:right w:val="single" w:sz="4" w:space="0" w:color="auto"/>
            </w:tcBorders>
            <w:shd w:val="clear" w:color="auto" w:fill="auto"/>
            <w:noWrap/>
            <w:vAlign w:val="bottom"/>
            <w:hideMark/>
          </w:tcPr>
          <w:p w:rsidR="00A9706E" w:rsidRPr="00890338" w:rsidRDefault="00A9706E" w:rsidP="00031B92">
            <w:pPr>
              <w:spacing w:after="0" w:line="240" w:lineRule="auto"/>
              <w:jc w:val="center"/>
              <w:rPr>
                <w:rFonts w:ascii="Calibri" w:eastAsia="Times New Roman" w:hAnsi="Calibri" w:cs="Times New Roman"/>
                <w:color w:val="000000"/>
                <w:lang w:eastAsia="en-GB"/>
              </w:rPr>
            </w:pPr>
            <w:r w:rsidRPr="00890338">
              <w:rPr>
                <w:rFonts w:ascii="Calibri" w:eastAsia="Times New Roman" w:hAnsi="Calibri" w:cs="Times New Roman"/>
                <w:color w:val="000000"/>
                <w:lang w:eastAsia="en-GB"/>
              </w:rPr>
              <w:t>5</w:t>
            </w:r>
            <w:r>
              <w:rPr>
                <w:rFonts w:ascii="Calibri" w:eastAsia="Times New Roman" w:hAnsi="Calibri" w:cs="Times New Roman"/>
                <w:color w:val="000000"/>
                <w:lang w:eastAsia="en-GB"/>
              </w:rPr>
              <w:t>,</w:t>
            </w:r>
            <w:r w:rsidRPr="00890338">
              <w:rPr>
                <w:rFonts w:ascii="Calibri" w:eastAsia="Times New Roman" w:hAnsi="Calibri" w:cs="Times New Roman"/>
                <w:color w:val="000000"/>
                <w:lang w:eastAsia="en-GB"/>
              </w:rPr>
              <w:t>279</w:t>
            </w:r>
          </w:p>
        </w:tc>
        <w:tc>
          <w:tcPr>
            <w:tcW w:w="717" w:type="dxa"/>
            <w:tcBorders>
              <w:top w:val="nil"/>
              <w:left w:val="nil"/>
              <w:bottom w:val="single" w:sz="4" w:space="0" w:color="auto"/>
              <w:right w:val="single" w:sz="4" w:space="0" w:color="auto"/>
            </w:tcBorders>
            <w:shd w:val="clear" w:color="auto" w:fill="auto"/>
            <w:noWrap/>
            <w:vAlign w:val="bottom"/>
            <w:hideMark/>
          </w:tcPr>
          <w:p w:rsidR="00A9706E" w:rsidRPr="00890338" w:rsidRDefault="00A9706E" w:rsidP="00031B92">
            <w:pPr>
              <w:spacing w:after="0" w:line="240" w:lineRule="auto"/>
              <w:jc w:val="center"/>
              <w:rPr>
                <w:rFonts w:ascii="Calibri" w:eastAsia="Times New Roman" w:hAnsi="Calibri" w:cs="Times New Roman"/>
                <w:color w:val="000000"/>
                <w:lang w:eastAsia="en-GB"/>
              </w:rPr>
            </w:pPr>
            <w:r w:rsidRPr="00890338">
              <w:rPr>
                <w:rFonts w:ascii="Calibri" w:eastAsia="Times New Roman" w:hAnsi="Calibri" w:cs="Times New Roman"/>
                <w:color w:val="000000"/>
                <w:lang w:eastAsia="en-GB"/>
              </w:rPr>
              <w:t>1</w:t>
            </w:r>
            <w:r>
              <w:rPr>
                <w:rFonts w:ascii="Calibri" w:eastAsia="Times New Roman" w:hAnsi="Calibri" w:cs="Times New Roman"/>
                <w:color w:val="000000"/>
                <w:lang w:eastAsia="en-GB"/>
              </w:rPr>
              <w:t>,</w:t>
            </w:r>
            <w:r w:rsidRPr="00890338">
              <w:rPr>
                <w:rFonts w:ascii="Calibri" w:eastAsia="Times New Roman" w:hAnsi="Calibri" w:cs="Times New Roman"/>
                <w:color w:val="000000"/>
                <w:lang w:eastAsia="en-GB"/>
              </w:rPr>
              <w:t>306</w:t>
            </w:r>
          </w:p>
        </w:tc>
        <w:tc>
          <w:tcPr>
            <w:tcW w:w="717" w:type="dxa"/>
            <w:tcBorders>
              <w:top w:val="nil"/>
              <w:left w:val="nil"/>
              <w:bottom w:val="single" w:sz="4" w:space="0" w:color="auto"/>
              <w:right w:val="single" w:sz="4" w:space="0" w:color="auto"/>
            </w:tcBorders>
            <w:shd w:val="clear" w:color="auto" w:fill="auto"/>
            <w:noWrap/>
            <w:vAlign w:val="bottom"/>
            <w:hideMark/>
          </w:tcPr>
          <w:p w:rsidR="00A9706E" w:rsidRPr="00890338" w:rsidRDefault="00A9706E" w:rsidP="00031B92">
            <w:pPr>
              <w:spacing w:after="0" w:line="240" w:lineRule="auto"/>
              <w:jc w:val="center"/>
              <w:rPr>
                <w:rFonts w:ascii="Calibri" w:eastAsia="Times New Roman" w:hAnsi="Calibri" w:cs="Times New Roman"/>
                <w:color w:val="000000"/>
                <w:lang w:eastAsia="en-GB"/>
              </w:rPr>
            </w:pPr>
            <w:r w:rsidRPr="00890338">
              <w:rPr>
                <w:rFonts w:ascii="Calibri" w:eastAsia="Times New Roman" w:hAnsi="Calibri" w:cs="Times New Roman"/>
                <w:color w:val="000000"/>
                <w:lang w:eastAsia="en-GB"/>
              </w:rPr>
              <w:t>1</w:t>
            </w:r>
            <w:r>
              <w:rPr>
                <w:rFonts w:ascii="Calibri" w:eastAsia="Times New Roman" w:hAnsi="Calibri" w:cs="Times New Roman"/>
                <w:color w:val="000000"/>
                <w:lang w:eastAsia="en-GB"/>
              </w:rPr>
              <w:t>,</w:t>
            </w:r>
            <w:r w:rsidRPr="00890338">
              <w:rPr>
                <w:rFonts w:ascii="Calibri" w:eastAsia="Times New Roman" w:hAnsi="Calibri" w:cs="Times New Roman"/>
                <w:color w:val="000000"/>
                <w:lang w:eastAsia="en-GB"/>
              </w:rPr>
              <w:t>364</w:t>
            </w:r>
          </w:p>
        </w:tc>
        <w:tc>
          <w:tcPr>
            <w:tcW w:w="717" w:type="dxa"/>
            <w:tcBorders>
              <w:top w:val="nil"/>
              <w:left w:val="nil"/>
              <w:bottom w:val="single" w:sz="4" w:space="0" w:color="auto"/>
              <w:right w:val="single" w:sz="4" w:space="0" w:color="auto"/>
            </w:tcBorders>
            <w:shd w:val="clear" w:color="auto" w:fill="auto"/>
            <w:noWrap/>
            <w:vAlign w:val="bottom"/>
            <w:hideMark/>
          </w:tcPr>
          <w:p w:rsidR="00A9706E" w:rsidRPr="00890338" w:rsidRDefault="00A9706E" w:rsidP="00031B92">
            <w:pPr>
              <w:spacing w:after="0" w:line="240" w:lineRule="auto"/>
              <w:jc w:val="center"/>
              <w:rPr>
                <w:rFonts w:ascii="Calibri" w:eastAsia="Times New Roman" w:hAnsi="Calibri" w:cs="Times New Roman"/>
                <w:color w:val="000000"/>
                <w:lang w:eastAsia="en-GB"/>
              </w:rPr>
            </w:pPr>
            <w:r w:rsidRPr="00890338">
              <w:rPr>
                <w:rFonts w:ascii="Calibri" w:eastAsia="Times New Roman" w:hAnsi="Calibri" w:cs="Times New Roman"/>
                <w:color w:val="000000"/>
                <w:lang w:eastAsia="en-GB"/>
              </w:rPr>
              <w:t>1</w:t>
            </w:r>
            <w:r>
              <w:rPr>
                <w:rFonts w:ascii="Calibri" w:eastAsia="Times New Roman" w:hAnsi="Calibri" w:cs="Times New Roman"/>
                <w:color w:val="000000"/>
                <w:lang w:eastAsia="en-GB"/>
              </w:rPr>
              <w:t>,</w:t>
            </w:r>
            <w:r w:rsidRPr="00890338">
              <w:rPr>
                <w:rFonts w:ascii="Calibri" w:eastAsia="Times New Roman" w:hAnsi="Calibri" w:cs="Times New Roman"/>
                <w:color w:val="000000"/>
                <w:lang w:eastAsia="en-GB"/>
              </w:rPr>
              <w:t>470</w:t>
            </w:r>
          </w:p>
        </w:tc>
      </w:tr>
      <w:tr w:rsidR="00A9706E" w:rsidRPr="00890338" w:rsidTr="00031B92">
        <w:trPr>
          <w:trHeight w:val="300"/>
          <w:jc w:val="center"/>
        </w:trPr>
        <w:tc>
          <w:tcPr>
            <w:tcW w:w="1276" w:type="dxa"/>
            <w:tcBorders>
              <w:top w:val="nil"/>
              <w:left w:val="single" w:sz="4" w:space="0" w:color="auto"/>
              <w:bottom w:val="single" w:sz="4" w:space="0" w:color="auto"/>
              <w:right w:val="single" w:sz="4" w:space="0" w:color="auto"/>
            </w:tcBorders>
            <w:shd w:val="clear" w:color="auto" w:fill="auto"/>
            <w:noWrap/>
            <w:vAlign w:val="bottom"/>
            <w:hideMark/>
          </w:tcPr>
          <w:p w:rsidR="00A9706E" w:rsidRPr="00890338" w:rsidRDefault="00A9706E" w:rsidP="00031B92">
            <w:pPr>
              <w:spacing w:after="0" w:line="240" w:lineRule="auto"/>
              <w:jc w:val="center"/>
              <w:rPr>
                <w:rFonts w:ascii="Calibri" w:eastAsia="Times New Roman" w:hAnsi="Calibri" w:cs="Times New Roman"/>
                <w:color w:val="000000"/>
                <w:lang w:eastAsia="en-GB"/>
              </w:rPr>
            </w:pPr>
            <w:r w:rsidRPr="00890338">
              <w:rPr>
                <w:rFonts w:ascii="Calibri" w:eastAsia="Times New Roman" w:hAnsi="Calibri" w:cs="Times New Roman"/>
                <w:color w:val="000000"/>
                <w:lang w:eastAsia="en-GB"/>
              </w:rPr>
              <w:t>55-64</w:t>
            </w:r>
          </w:p>
        </w:tc>
        <w:tc>
          <w:tcPr>
            <w:tcW w:w="2058" w:type="dxa"/>
            <w:tcBorders>
              <w:top w:val="nil"/>
              <w:left w:val="nil"/>
              <w:bottom w:val="single" w:sz="4" w:space="0" w:color="auto"/>
              <w:right w:val="single" w:sz="4" w:space="0" w:color="auto"/>
            </w:tcBorders>
            <w:shd w:val="clear" w:color="auto" w:fill="auto"/>
            <w:noWrap/>
            <w:vAlign w:val="bottom"/>
            <w:hideMark/>
          </w:tcPr>
          <w:p w:rsidR="00A9706E" w:rsidRPr="00890338" w:rsidRDefault="00A9706E" w:rsidP="00031B92">
            <w:pPr>
              <w:spacing w:after="0" w:line="240" w:lineRule="auto"/>
              <w:jc w:val="center"/>
              <w:rPr>
                <w:rFonts w:ascii="Calibri" w:eastAsia="Times New Roman" w:hAnsi="Calibri" w:cs="Times New Roman"/>
                <w:color w:val="000000"/>
                <w:lang w:eastAsia="en-GB"/>
              </w:rPr>
            </w:pPr>
            <w:r w:rsidRPr="00890338">
              <w:rPr>
                <w:rFonts w:ascii="Calibri" w:eastAsia="Times New Roman" w:hAnsi="Calibri" w:cs="Times New Roman"/>
                <w:color w:val="000000"/>
                <w:lang w:eastAsia="en-GB"/>
              </w:rPr>
              <w:t>14.90%</w:t>
            </w:r>
          </w:p>
        </w:tc>
        <w:tc>
          <w:tcPr>
            <w:tcW w:w="1960" w:type="dxa"/>
            <w:tcBorders>
              <w:top w:val="nil"/>
              <w:left w:val="nil"/>
              <w:bottom w:val="single" w:sz="4" w:space="0" w:color="auto"/>
              <w:right w:val="single" w:sz="4" w:space="0" w:color="auto"/>
            </w:tcBorders>
            <w:shd w:val="clear" w:color="auto" w:fill="auto"/>
            <w:noWrap/>
            <w:vAlign w:val="bottom"/>
            <w:hideMark/>
          </w:tcPr>
          <w:p w:rsidR="00A9706E" w:rsidRPr="00890338" w:rsidRDefault="00A9706E" w:rsidP="00031B92">
            <w:pPr>
              <w:spacing w:after="0" w:line="240" w:lineRule="auto"/>
              <w:jc w:val="center"/>
              <w:rPr>
                <w:rFonts w:ascii="Calibri" w:eastAsia="Times New Roman" w:hAnsi="Calibri" w:cs="Times New Roman"/>
                <w:color w:val="000000"/>
                <w:lang w:eastAsia="en-GB"/>
              </w:rPr>
            </w:pPr>
            <w:r w:rsidRPr="00890338">
              <w:rPr>
                <w:rFonts w:ascii="Calibri" w:eastAsia="Times New Roman" w:hAnsi="Calibri" w:cs="Times New Roman"/>
                <w:color w:val="000000"/>
                <w:lang w:eastAsia="en-GB"/>
              </w:rPr>
              <w:t>5.80%</w:t>
            </w:r>
          </w:p>
        </w:tc>
        <w:tc>
          <w:tcPr>
            <w:tcW w:w="717" w:type="dxa"/>
            <w:tcBorders>
              <w:top w:val="nil"/>
              <w:left w:val="nil"/>
              <w:bottom w:val="single" w:sz="4" w:space="0" w:color="auto"/>
              <w:right w:val="single" w:sz="4" w:space="0" w:color="auto"/>
            </w:tcBorders>
            <w:shd w:val="clear" w:color="auto" w:fill="auto"/>
            <w:noWrap/>
            <w:vAlign w:val="bottom"/>
            <w:hideMark/>
          </w:tcPr>
          <w:p w:rsidR="00A9706E" w:rsidRPr="00890338" w:rsidRDefault="00A9706E" w:rsidP="00031B92">
            <w:pPr>
              <w:spacing w:after="0" w:line="240" w:lineRule="auto"/>
              <w:jc w:val="center"/>
              <w:rPr>
                <w:rFonts w:ascii="Calibri" w:eastAsia="Times New Roman" w:hAnsi="Calibri" w:cs="Times New Roman"/>
                <w:color w:val="000000"/>
                <w:lang w:eastAsia="en-GB"/>
              </w:rPr>
            </w:pPr>
            <w:r w:rsidRPr="00890338">
              <w:rPr>
                <w:rFonts w:ascii="Calibri" w:eastAsia="Times New Roman" w:hAnsi="Calibri" w:cs="Times New Roman"/>
                <w:color w:val="000000"/>
                <w:lang w:eastAsia="en-GB"/>
              </w:rPr>
              <w:t>5</w:t>
            </w:r>
            <w:r>
              <w:rPr>
                <w:rFonts w:ascii="Calibri" w:eastAsia="Times New Roman" w:hAnsi="Calibri" w:cs="Times New Roman"/>
                <w:color w:val="000000"/>
                <w:lang w:eastAsia="en-GB"/>
              </w:rPr>
              <w:t>,</w:t>
            </w:r>
            <w:r w:rsidRPr="00890338">
              <w:rPr>
                <w:rFonts w:ascii="Calibri" w:eastAsia="Times New Roman" w:hAnsi="Calibri" w:cs="Times New Roman"/>
                <w:color w:val="000000"/>
                <w:lang w:eastAsia="en-GB"/>
              </w:rPr>
              <w:t>240</w:t>
            </w:r>
          </w:p>
        </w:tc>
        <w:tc>
          <w:tcPr>
            <w:tcW w:w="717" w:type="dxa"/>
            <w:tcBorders>
              <w:top w:val="nil"/>
              <w:left w:val="nil"/>
              <w:bottom w:val="single" w:sz="4" w:space="0" w:color="auto"/>
              <w:right w:val="single" w:sz="4" w:space="0" w:color="auto"/>
            </w:tcBorders>
            <w:shd w:val="clear" w:color="auto" w:fill="auto"/>
            <w:noWrap/>
            <w:vAlign w:val="bottom"/>
            <w:hideMark/>
          </w:tcPr>
          <w:p w:rsidR="00A9706E" w:rsidRPr="00890338" w:rsidRDefault="00A9706E" w:rsidP="00031B92">
            <w:pPr>
              <w:spacing w:after="0" w:line="240" w:lineRule="auto"/>
              <w:jc w:val="center"/>
              <w:rPr>
                <w:rFonts w:ascii="Calibri" w:eastAsia="Times New Roman" w:hAnsi="Calibri" w:cs="Times New Roman"/>
                <w:color w:val="000000"/>
                <w:lang w:eastAsia="en-GB"/>
              </w:rPr>
            </w:pPr>
            <w:r w:rsidRPr="00890338">
              <w:rPr>
                <w:rFonts w:ascii="Calibri" w:eastAsia="Times New Roman" w:hAnsi="Calibri" w:cs="Times New Roman"/>
                <w:color w:val="000000"/>
                <w:lang w:eastAsia="en-GB"/>
              </w:rPr>
              <w:t>6</w:t>
            </w:r>
            <w:r>
              <w:rPr>
                <w:rFonts w:ascii="Calibri" w:eastAsia="Times New Roman" w:hAnsi="Calibri" w:cs="Times New Roman"/>
                <w:color w:val="000000"/>
                <w:lang w:eastAsia="en-GB"/>
              </w:rPr>
              <w:t>,</w:t>
            </w:r>
            <w:r w:rsidRPr="00890338">
              <w:rPr>
                <w:rFonts w:ascii="Calibri" w:eastAsia="Times New Roman" w:hAnsi="Calibri" w:cs="Times New Roman"/>
                <w:color w:val="000000"/>
                <w:lang w:eastAsia="en-GB"/>
              </w:rPr>
              <w:t>026</w:t>
            </w:r>
          </w:p>
        </w:tc>
        <w:tc>
          <w:tcPr>
            <w:tcW w:w="717" w:type="dxa"/>
            <w:tcBorders>
              <w:top w:val="nil"/>
              <w:left w:val="nil"/>
              <w:bottom w:val="single" w:sz="4" w:space="0" w:color="auto"/>
              <w:right w:val="single" w:sz="4" w:space="0" w:color="auto"/>
            </w:tcBorders>
            <w:shd w:val="clear" w:color="auto" w:fill="auto"/>
            <w:noWrap/>
            <w:vAlign w:val="bottom"/>
            <w:hideMark/>
          </w:tcPr>
          <w:p w:rsidR="00A9706E" w:rsidRPr="00890338" w:rsidRDefault="00A9706E" w:rsidP="00031B92">
            <w:pPr>
              <w:spacing w:after="0" w:line="240" w:lineRule="auto"/>
              <w:jc w:val="center"/>
              <w:rPr>
                <w:rFonts w:ascii="Calibri" w:eastAsia="Times New Roman" w:hAnsi="Calibri" w:cs="Times New Roman"/>
                <w:color w:val="000000"/>
                <w:lang w:eastAsia="en-GB"/>
              </w:rPr>
            </w:pPr>
            <w:r w:rsidRPr="00890338">
              <w:rPr>
                <w:rFonts w:ascii="Calibri" w:eastAsia="Times New Roman" w:hAnsi="Calibri" w:cs="Times New Roman"/>
                <w:color w:val="000000"/>
                <w:lang w:eastAsia="en-GB"/>
              </w:rPr>
              <w:t>6</w:t>
            </w:r>
            <w:r>
              <w:rPr>
                <w:rFonts w:ascii="Calibri" w:eastAsia="Times New Roman" w:hAnsi="Calibri" w:cs="Times New Roman"/>
                <w:color w:val="000000"/>
                <w:lang w:eastAsia="en-GB"/>
              </w:rPr>
              <w:t>,</w:t>
            </w:r>
            <w:r w:rsidRPr="00890338">
              <w:rPr>
                <w:rFonts w:ascii="Calibri" w:eastAsia="Times New Roman" w:hAnsi="Calibri" w:cs="Times New Roman"/>
                <w:color w:val="000000"/>
                <w:lang w:eastAsia="en-GB"/>
              </w:rPr>
              <w:t>636</w:t>
            </w:r>
          </w:p>
        </w:tc>
        <w:tc>
          <w:tcPr>
            <w:tcW w:w="717" w:type="dxa"/>
            <w:tcBorders>
              <w:top w:val="nil"/>
              <w:left w:val="nil"/>
              <w:bottom w:val="single" w:sz="4" w:space="0" w:color="auto"/>
              <w:right w:val="single" w:sz="4" w:space="0" w:color="auto"/>
            </w:tcBorders>
            <w:shd w:val="clear" w:color="auto" w:fill="auto"/>
            <w:noWrap/>
            <w:vAlign w:val="bottom"/>
            <w:hideMark/>
          </w:tcPr>
          <w:p w:rsidR="00A9706E" w:rsidRPr="00890338" w:rsidRDefault="00A9706E" w:rsidP="00031B92">
            <w:pPr>
              <w:spacing w:after="0" w:line="240" w:lineRule="auto"/>
              <w:jc w:val="center"/>
              <w:rPr>
                <w:rFonts w:ascii="Calibri" w:eastAsia="Times New Roman" w:hAnsi="Calibri" w:cs="Times New Roman"/>
                <w:color w:val="000000"/>
                <w:lang w:eastAsia="en-GB"/>
              </w:rPr>
            </w:pPr>
            <w:r w:rsidRPr="00890338">
              <w:rPr>
                <w:rFonts w:ascii="Calibri" w:eastAsia="Times New Roman" w:hAnsi="Calibri" w:cs="Times New Roman"/>
                <w:color w:val="000000"/>
                <w:lang w:eastAsia="en-GB"/>
              </w:rPr>
              <w:t>2</w:t>
            </w:r>
            <w:r>
              <w:rPr>
                <w:rFonts w:ascii="Calibri" w:eastAsia="Times New Roman" w:hAnsi="Calibri" w:cs="Times New Roman"/>
                <w:color w:val="000000"/>
                <w:lang w:eastAsia="en-GB"/>
              </w:rPr>
              <w:t>,</w:t>
            </w:r>
            <w:r w:rsidRPr="00890338">
              <w:rPr>
                <w:rFonts w:ascii="Calibri" w:eastAsia="Times New Roman" w:hAnsi="Calibri" w:cs="Times New Roman"/>
                <w:color w:val="000000"/>
                <w:lang w:eastAsia="en-GB"/>
              </w:rPr>
              <w:t>040</w:t>
            </w:r>
          </w:p>
        </w:tc>
        <w:tc>
          <w:tcPr>
            <w:tcW w:w="717" w:type="dxa"/>
            <w:tcBorders>
              <w:top w:val="nil"/>
              <w:left w:val="nil"/>
              <w:bottom w:val="single" w:sz="4" w:space="0" w:color="auto"/>
              <w:right w:val="single" w:sz="4" w:space="0" w:color="auto"/>
            </w:tcBorders>
            <w:shd w:val="clear" w:color="auto" w:fill="auto"/>
            <w:noWrap/>
            <w:vAlign w:val="bottom"/>
            <w:hideMark/>
          </w:tcPr>
          <w:p w:rsidR="00A9706E" w:rsidRPr="00890338" w:rsidRDefault="00A9706E" w:rsidP="00031B92">
            <w:pPr>
              <w:spacing w:after="0" w:line="240" w:lineRule="auto"/>
              <w:jc w:val="center"/>
              <w:rPr>
                <w:rFonts w:ascii="Calibri" w:eastAsia="Times New Roman" w:hAnsi="Calibri" w:cs="Times New Roman"/>
                <w:color w:val="000000"/>
                <w:lang w:eastAsia="en-GB"/>
              </w:rPr>
            </w:pPr>
            <w:r w:rsidRPr="00890338">
              <w:rPr>
                <w:rFonts w:ascii="Calibri" w:eastAsia="Times New Roman" w:hAnsi="Calibri" w:cs="Times New Roman"/>
                <w:color w:val="000000"/>
                <w:lang w:eastAsia="en-GB"/>
              </w:rPr>
              <w:t>2</w:t>
            </w:r>
            <w:r>
              <w:rPr>
                <w:rFonts w:ascii="Calibri" w:eastAsia="Times New Roman" w:hAnsi="Calibri" w:cs="Times New Roman"/>
                <w:color w:val="000000"/>
                <w:lang w:eastAsia="en-GB"/>
              </w:rPr>
              <w:t>,</w:t>
            </w:r>
            <w:r w:rsidRPr="00890338">
              <w:rPr>
                <w:rFonts w:ascii="Calibri" w:eastAsia="Times New Roman" w:hAnsi="Calibri" w:cs="Times New Roman"/>
                <w:color w:val="000000"/>
                <w:lang w:eastAsia="en-GB"/>
              </w:rPr>
              <w:t>346</w:t>
            </w:r>
          </w:p>
        </w:tc>
        <w:tc>
          <w:tcPr>
            <w:tcW w:w="717" w:type="dxa"/>
            <w:tcBorders>
              <w:top w:val="nil"/>
              <w:left w:val="nil"/>
              <w:bottom w:val="single" w:sz="4" w:space="0" w:color="auto"/>
              <w:right w:val="single" w:sz="4" w:space="0" w:color="auto"/>
            </w:tcBorders>
            <w:shd w:val="clear" w:color="auto" w:fill="auto"/>
            <w:noWrap/>
            <w:vAlign w:val="bottom"/>
            <w:hideMark/>
          </w:tcPr>
          <w:p w:rsidR="00A9706E" w:rsidRPr="00890338" w:rsidRDefault="00A9706E" w:rsidP="00031B92">
            <w:pPr>
              <w:spacing w:after="0" w:line="240" w:lineRule="auto"/>
              <w:jc w:val="center"/>
              <w:rPr>
                <w:rFonts w:ascii="Calibri" w:eastAsia="Times New Roman" w:hAnsi="Calibri" w:cs="Times New Roman"/>
                <w:color w:val="000000"/>
                <w:lang w:eastAsia="en-GB"/>
              </w:rPr>
            </w:pPr>
            <w:r w:rsidRPr="00890338">
              <w:rPr>
                <w:rFonts w:ascii="Calibri" w:eastAsia="Times New Roman" w:hAnsi="Calibri" w:cs="Times New Roman"/>
                <w:color w:val="000000"/>
                <w:lang w:eastAsia="en-GB"/>
              </w:rPr>
              <w:t>2</w:t>
            </w:r>
            <w:r>
              <w:rPr>
                <w:rFonts w:ascii="Calibri" w:eastAsia="Times New Roman" w:hAnsi="Calibri" w:cs="Times New Roman"/>
                <w:color w:val="000000"/>
                <w:lang w:eastAsia="en-GB"/>
              </w:rPr>
              <w:t>,</w:t>
            </w:r>
            <w:r w:rsidRPr="00890338">
              <w:rPr>
                <w:rFonts w:ascii="Calibri" w:eastAsia="Times New Roman" w:hAnsi="Calibri" w:cs="Times New Roman"/>
                <w:color w:val="000000"/>
                <w:lang w:eastAsia="en-GB"/>
              </w:rPr>
              <w:t>583</w:t>
            </w:r>
          </w:p>
        </w:tc>
      </w:tr>
      <w:tr w:rsidR="00A9706E" w:rsidRPr="00890338" w:rsidTr="00031B92">
        <w:trPr>
          <w:trHeight w:val="251"/>
          <w:jc w:val="center"/>
        </w:trPr>
        <w:tc>
          <w:tcPr>
            <w:tcW w:w="5294"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A9706E" w:rsidRPr="00DA4176" w:rsidRDefault="00A9706E" w:rsidP="00031B92">
            <w:pPr>
              <w:spacing w:after="0" w:line="240" w:lineRule="auto"/>
              <w:jc w:val="center"/>
              <w:rPr>
                <w:rFonts w:ascii="Calibri" w:eastAsia="Times New Roman" w:hAnsi="Calibri" w:cs="Times New Roman"/>
                <w:b/>
                <w:color w:val="000000"/>
                <w:lang w:eastAsia="en-GB"/>
              </w:rPr>
            </w:pPr>
            <w:r w:rsidRPr="00DA4176">
              <w:rPr>
                <w:rFonts w:ascii="Calibri" w:eastAsia="Times New Roman" w:hAnsi="Calibri" w:cs="Times New Roman"/>
                <w:b/>
                <w:color w:val="000000"/>
                <w:lang w:eastAsia="en-GB"/>
              </w:rPr>
              <w:t>Total</w:t>
            </w:r>
          </w:p>
        </w:tc>
        <w:tc>
          <w:tcPr>
            <w:tcW w:w="717" w:type="dxa"/>
            <w:tcBorders>
              <w:top w:val="single" w:sz="4" w:space="0" w:color="auto"/>
              <w:left w:val="nil"/>
              <w:bottom w:val="single" w:sz="4" w:space="0" w:color="auto"/>
              <w:right w:val="single" w:sz="4" w:space="0" w:color="auto"/>
            </w:tcBorders>
            <w:shd w:val="clear" w:color="auto" w:fill="auto"/>
            <w:noWrap/>
            <w:vAlign w:val="center"/>
          </w:tcPr>
          <w:p w:rsidR="00A9706E" w:rsidRDefault="00A9706E" w:rsidP="00031B92">
            <w:pPr>
              <w:spacing w:after="0" w:line="240" w:lineRule="auto"/>
              <w:jc w:val="center"/>
              <w:rPr>
                <w:rFonts w:ascii="Calibri" w:hAnsi="Calibri"/>
                <w:color w:val="000000"/>
              </w:rPr>
            </w:pPr>
            <w:r>
              <w:rPr>
                <w:rFonts w:ascii="Calibri" w:hAnsi="Calibri"/>
                <w:color w:val="000000"/>
              </w:rPr>
              <w:t>16,795</w:t>
            </w:r>
          </w:p>
        </w:tc>
        <w:tc>
          <w:tcPr>
            <w:tcW w:w="717" w:type="dxa"/>
            <w:tcBorders>
              <w:top w:val="single" w:sz="4" w:space="0" w:color="auto"/>
              <w:left w:val="nil"/>
              <w:bottom w:val="single" w:sz="4" w:space="0" w:color="auto"/>
              <w:right w:val="single" w:sz="4" w:space="0" w:color="auto"/>
            </w:tcBorders>
            <w:shd w:val="clear" w:color="auto" w:fill="auto"/>
            <w:noWrap/>
            <w:vAlign w:val="center"/>
          </w:tcPr>
          <w:p w:rsidR="00A9706E" w:rsidRPr="00DA4176" w:rsidRDefault="00A9706E" w:rsidP="00031B92">
            <w:pPr>
              <w:spacing w:after="0" w:line="240" w:lineRule="auto"/>
              <w:jc w:val="center"/>
              <w:rPr>
                <w:rFonts w:ascii="Calibri" w:eastAsia="Times New Roman" w:hAnsi="Calibri" w:cs="Times New Roman"/>
                <w:color w:val="000000"/>
                <w:lang w:eastAsia="en-GB"/>
              </w:rPr>
            </w:pPr>
            <w:r w:rsidRPr="00DA4176">
              <w:rPr>
                <w:rFonts w:ascii="Calibri" w:eastAsia="Times New Roman" w:hAnsi="Calibri" w:cs="Times New Roman"/>
                <w:color w:val="000000"/>
                <w:lang w:eastAsia="en-GB"/>
              </w:rPr>
              <w:t>18,054</w:t>
            </w:r>
          </w:p>
        </w:tc>
        <w:tc>
          <w:tcPr>
            <w:tcW w:w="717" w:type="dxa"/>
            <w:tcBorders>
              <w:top w:val="single" w:sz="4" w:space="0" w:color="auto"/>
              <w:left w:val="nil"/>
              <w:bottom w:val="single" w:sz="4" w:space="0" w:color="auto"/>
              <w:right w:val="single" w:sz="4" w:space="0" w:color="auto"/>
            </w:tcBorders>
            <w:shd w:val="clear" w:color="auto" w:fill="auto"/>
            <w:noWrap/>
            <w:vAlign w:val="center"/>
          </w:tcPr>
          <w:p w:rsidR="00A9706E" w:rsidRPr="00DA4176" w:rsidRDefault="00A9706E" w:rsidP="00031B92">
            <w:pPr>
              <w:spacing w:after="0" w:line="240" w:lineRule="auto"/>
              <w:jc w:val="center"/>
              <w:rPr>
                <w:rFonts w:ascii="Calibri" w:eastAsia="Times New Roman" w:hAnsi="Calibri" w:cs="Times New Roman"/>
                <w:color w:val="000000"/>
                <w:lang w:eastAsia="en-GB"/>
              </w:rPr>
            </w:pPr>
            <w:r w:rsidRPr="00DA4176">
              <w:rPr>
                <w:rFonts w:ascii="Calibri" w:eastAsia="Times New Roman" w:hAnsi="Calibri" w:cs="Times New Roman"/>
                <w:color w:val="000000"/>
                <w:lang w:eastAsia="en-GB"/>
              </w:rPr>
              <w:t>19,188</w:t>
            </w:r>
          </w:p>
        </w:tc>
        <w:tc>
          <w:tcPr>
            <w:tcW w:w="717" w:type="dxa"/>
            <w:tcBorders>
              <w:top w:val="single" w:sz="4" w:space="0" w:color="auto"/>
              <w:left w:val="nil"/>
              <w:bottom w:val="single" w:sz="4" w:space="0" w:color="auto"/>
              <w:right w:val="single" w:sz="4" w:space="0" w:color="auto"/>
            </w:tcBorders>
            <w:shd w:val="clear" w:color="auto" w:fill="auto"/>
            <w:noWrap/>
            <w:vAlign w:val="center"/>
          </w:tcPr>
          <w:p w:rsidR="00A9706E" w:rsidRPr="00DA4176" w:rsidRDefault="00A9706E" w:rsidP="00031B92">
            <w:pPr>
              <w:spacing w:after="0" w:line="240" w:lineRule="auto"/>
              <w:jc w:val="center"/>
              <w:rPr>
                <w:rFonts w:ascii="Calibri" w:eastAsia="Times New Roman" w:hAnsi="Calibri" w:cs="Times New Roman"/>
                <w:color w:val="000000"/>
                <w:lang w:eastAsia="en-GB"/>
              </w:rPr>
            </w:pPr>
            <w:r w:rsidRPr="00DA4176">
              <w:rPr>
                <w:rFonts w:ascii="Calibri" w:eastAsia="Times New Roman" w:hAnsi="Calibri" w:cs="Times New Roman"/>
                <w:color w:val="000000"/>
                <w:lang w:eastAsia="en-GB"/>
              </w:rPr>
              <w:t>4,759</w:t>
            </w:r>
          </w:p>
        </w:tc>
        <w:tc>
          <w:tcPr>
            <w:tcW w:w="717" w:type="dxa"/>
            <w:tcBorders>
              <w:top w:val="single" w:sz="4" w:space="0" w:color="auto"/>
              <w:left w:val="nil"/>
              <w:bottom w:val="single" w:sz="4" w:space="0" w:color="auto"/>
              <w:right w:val="single" w:sz="4" w:space="0" w:color="auto"/>
            </w:tcBorders>
            <w:shd w:val="clear" w:color="auto" w:fill="auto"/>
            <w:noWrap/>
            <w:vAlign w:val="center"/>
          </w:tcPr>
          <w:p w:rsidR="00A9706E" w:rsidRPr="00DA4176" w:rsidRDefault="00A9706E" w:rsidP="00031B92">
            <w:pPr>
              <w:spacing w:after="0" w:line="240" w:lineRule="auto"/>
              <w:jc w:val="center"/>
              <w:rPr>
                <w:rFonts w:ascii="Calibri" w:eastAsia="Times New Roman" w:hAnsi="Calibri" w:cs="Times New Roman"/>
                <w:color w:val="000000"/>
                <w:lang w:eastAsia="en-GB"/>
              </w:rPr>
            </w:pPr>
            <w:r w:rsidRPr="00DA4176">
              <w:rPr>
                <w:rFonts w:ascii="Calibri" w:eastAsia="Times New Roman" w:hAnsi="Calibri" w:cs="Times New Roman"/>
                <w:color w:val="000000"/>
                <w:lang w:eastAsia="en-GB"/>
              </w:rPr>
              <w:t>5,203</w:t>
            </w:r>
          </w:p>
        </w:tc>
        <w:tc>
          <w:tcPr>
            <w:tcW w:w="717" w:type="dxa"/>
            <w:tcBorders>
              <w:top w:val="single" w:sz="4" w:space="0" w:color="auto"/>
              <w:left w:val="nil"/>
              <w:bottom w:val="single" w:sz="4" w:space="0" w:color="auto"/>
              <w:right w:val="single" w:sz="4" w:space="0" w:color="auto"/>
            </w:tcBorders>
            <w:shd w:val="clear" w:color="auto" w:fill="auto"/>
            <w:noWrap/>
            <w:vAlign w:val="center"/>
          </w:tcPr>
          <w:p w:rsidR="00A9706E" w:rsidRPr="00DA4176" w:rsidRDefault="00A9706E" w:rsidP="00031B92">
            <w:pPr>
              <w:spacing w:after="0" w:line="240" w:lineRule="auto"/>
              <w:jc w:val="center"/>
              <w:rPr>
                <w:rFonts w:ascii="Calibri" w:eastAsia="Times New Roman" w:hAnsi="Calibri" w:cs="Times New Roman"/>
                <w:color w:val="000000"/>
                <w:lang w:eastAsia="en-GB"/>
              </w:rPr>
            </w:pPr>
            <w:r w:rsidRPr="00DA4176">
              <w:rPr>
                <w:rFonts w:ascii="Calibri" w:eastAsia="Times New Roman" w:hAnsi="Calibri" w:cs="Times New Roman"/>
                <w:color w:val="000000"/>
                <w:lang w:eastAsia="en-GB"/>
              </w:rPr>
              <w:t>5,596</w:t>
            </w:r>
          </w:p>
        </w:tc>
      </w:tr>
    </w:tbl>
    <w:p w:rsidR="00A9706E" w:rsidRPr="002B07BE" w:rsidRDefault="00A9706E" w:rsidP="00A9706E">
      <w:pPr>
        <w:spacing w:after="0" w:line="240" w:lineRule="auto"/>
        <w:jc w:val="both"/>
      </w:pPr>
      <w:r w:rsidRPr="002B07BE">
        <w:t>Source: Projecting Adult Needs and Service Information</w:t>
      </w:r>
      <w:r>
        <w:t xml:space="preserve"> (PANSI)</w:t>
      </w:r>
    </w:p>
    <w:p w:rsidR="00A9706E" w:rsidRDefault="00A9706E" w:rsidP="00A9706E">
      <w:pPr>
        <w:pStyle w:val="ListParagraph"/>
        <w:spacing w:after="0" w:line="240" w:lineRule="auto"/>
        <w:jc w:val="both"/>
      </w:pPr>
    </w:p>
    <w:p w:rsidR="00A9706E" w:rsidRDefault="00A9706E" w:rsidP="00A9706E">
      <w:pPr>
        <w:pStyle w:val="ListParagraph"/>
        <w:numPr>
          <w:ilvl w:val="0"/>
          <w:numId w:val="18"/>
        </w:numPr>
        <w:spacing w:after="0" w:line="240" w:lineRule="auto"/>
        <w:jc w:val="both"/>
      </w:pPr>
      <w:r>
        <w:t xml:space="preserve">Unlike learning disabilities, the prevalence of physical disabilities increases as the population becomes older, with the highest rates of both moderate and serous disabilities located within the 55-64 age </w:t>
      </w:r>
      <w:proofErr w:type="gramStart"/>
      <w:r>
        <w:t>group</w:t>
      </w:r>
      <w:proofErr w:type="gramEnd"/>
      <w:r>
        <w:t xml:space="preserve">. It is likely that people aged 65 and over will have higher rates of moderate or serious physical disabilities; however POPPI doesn’t produce this data. </w:t>
      </w:r>
    </w:p>
    <w:p w:rsidR="00A9706E" w:rsidRDefault="00A9706E" w:rsidP="00A9706E">
      <w:pPr>
        <w:pStyle w:val="ListParagraph"/>
        <w:numPr>
          <w:ilvl w:val="0"/>
          <w:numId w:val="18"/>
        </w:numPr>
        <w:spacing w:after="0" w:line="240" w:lineRule="auto"/>
        <w:jc w:val="both"/>
      </w:pPr>
      <w:r>
        <w:t xml:space="preserve">Across all age groups, more people have physical disabilities than learning disabilities. </w:t>
      </w:r>
    </w:p>
    <w:p w:rsidR="00A9706E" w:rsidRDefault="00A9706E" w:rsidP="00A9706E">
      <w:pPr>
        <w:spacing w:after="0" w:line="240" w:lineRule="auto"/>
        <w:jc w:val="both"/>
      </w:pPr>
    </w:p>
    <w:p w:rsidR="00A9706E" w:rsidRDefault="00A9706E" w:rsidP="00A9706E">
      <w:pPr>
        <w:pStyle w:val="Caption"/>
        <w:rPr>
          <w:b w:val="0"/>
          <w:i/>
        </w:rPr>
      </w:pPr>
      <w:r>
        <w:t xml:space="preserve">Table </w:t>
      </w:r>
      <w:fldSimple w:instr=" STYLEREF 1 \s ">
        <w:r w:rsidR="001663C2">
          <w:rPr>
            <w:noProof/>
          </w:rPr>
          <w:t>2</w:t>
        </w:r>
      </w:fldSimple>
      <w:r>
        <w:noBreakHyphen/>
      </w:r>
      <w:fldSimple w:instr=" SEQ Table \* ARABIC \s 1 ">
        <w:r w:rsidR="001663C2">
          <w:rPr>
            <w:noProof/>
          </w:rPr>
          <w:t>17</w:t>
        </w:r>
      </w:fldSimple>
      <w:r w:rsidRPr="00B217DD">
        <w:rPr>
          <w:rFonts w:cs="Calibri"/>
        </w:rPr>
        <w:t>: The Estimated Number of People in Barnet with Mental Health Problems by Gender, 2015, 2021 &amp; 2030</w:t>
      </w:r>
    </w:p>
    <w:tbl>
      <w:tblPr>
        <w:tblW w:w="9532" w:type="dxa"/>
        <w:jc w:val="center"/>
        <w:tblInd w:w="165" w:type="dxa"/>
        <w:tblLook w:val="04A0" w:firstRow="1" w:lastRow="0" w:firstColumn="1" w:lastColumn="0" w:noHBand="0" w:noVBand="1"/>
      </w:tblPr>
      <w:tblGrid>
        <w:gridCol w:w="2521"/>
        <w:gridCol w:w="982"/>
        <w:gridCol w:w="968"/>
        <w:gridCol w:w="829"/>
        <w:gridCol w:w="916"/>
        <w:gridCol w:w="829"/>
        <w:gridCol w:w="829"/>
        <w:gridCol w:w="829"/>
        <w:gridCol w:w="829"/>
      </w:tblGrid>
      <w:tr w:rsidR="00A9706E" w:rsidRPr="0037057E" w:rsidTr="00031B92">
        <w:trPr>
          <w:trHeight w:val="300"/>
          <w:jc w:val="center"/>
        </w:trPr>
        <w:tc>
          <w:tcPr>
            <w:tcW w:w="2521" w:type="dxa"/>
            <w:vMerge w:val="restart"/>
            <w:tcBorders>
              <w:top w:val="single" w:sz="4" w:space="0" w:color="auto"/>
              <w:left w:val="single" w:sz="4" w:space="0" w:color="auto"/>
              <w:right w:val="single" w:sz="4" w:space="0" w:color="auto"/>
            </w:tcBorders>
            <w:shd w:val="clear" w:color="auto" w:fill="BFBFBF" w:themeFill="background1" w:themeFillShade="BF"/>
            <w:noWrap/>
            <w:vAlign w:val="center"/>
            <w:hideMark/>
          </w:tcPr>
          <w:p w:rsidR="00A9706E" w:rsidRPr="0037057E" w:rsidRDefault="00A9706E" w:rsidP="00031B92">
            <w:pPr>
              <w:spacing w:after="0" w:line="240" w:lineRule="auto"/>
              <w:jc w:val="center"/>
              <w:rPr>
                <w:rFonts w:ascii="Calibri" w:eastAsia="Times New Roman" w:hAnsi="Calibri" w:cs="Times New Roman"/>
                <w:b/>
                <w:bCs/>
                <w:color w:val="000000"/>
                <w:lang w:eastAsia="en-GB"/>
              </w:rPr>
            </w:pPr>
          </w:p>
        </w:tc>
        <w:tc>
          <w:tcPr>
            <w:tcW w:w="1950" w:type="dxa"/>
            <w:gridSpan w:val="2"/>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A9706E" w:rsidRPr="0037057E" w:rsidRDefault="00A9706E" w:rsidP="00031B92">
            <w:pPr>
              <w:spacing w:after="0" w:line="240" w:lineRule="auto"/>
              <w:jc w:val="center"/>
              <w:rPr>
                <w:rFonts w:ascii="Calibri" w:eastAsia="Times New Roman" w:hAnsi="Calibri" w:cs="Times New Roman"/>
                <w:b/>
                <w:bCs/>
                <w:color w:val="000000"/>
                <w:lang w:eastAsia="en-GB"/>
              </w:rPr>
            </w:pPr>
            <w:r>
              <w:rPr>
                <w:rFonts w:ascii="Calibri" w:eastAsia="Times New Roman" w:hAnsi="Calibri" w:cs="Times New Roman"/>
                <w:b/>
                <w:bCs/>
                <w:color w:val="000000"/>
                <w:lang w:eastAsia="en-GB"/>
              </w:rPr>
              <w:t>Prevalence Rates</w:t>
            </w:r>
          </w:p>
        </w:tc>
        <w:tc>
          <w:tcPr>
            <w:tcW w:w="2574" w:type="dxa"/>
            <w:gridSpan w:val="3"/>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A9706E" w:rsidRPr="0037057E" w:rsidRDefault="00A9706E" w:rsidP="00031B92">
            <w:pPr>
              <w:spacing w:after="0" w:line="240" w:lineRule="auto"/>
              <w:jc w:val="center"/>
              <w:rPr>
                <w:rFonts w:ascii="Calibri" w:eastAsia="Times New Roman" w:hAnsi="Calibri" w:cs="Times New Roman"/>
                <w:b/>
                <w:bCs/>
                <w:color w:val="000000"/>
                <w:lang w:eastAsia="en-GB"/>
              </w:rPr>
            </w:pPr>
            <w:r w:rsidRPr="0037057E">
              <w:rPr>
                <w:rFonts w:ascii="Calibri" w:eastAsia="Times New Roman" w:hAnsi="Calibri" w:cs="Times New Roman"/>
                <w:b/>
                <w:bCs/>
                <w:color w:val="000000"/>
                <w:lang w:eastAsia="en-GB"/>
              </w:rPr>
              <w:t>Males</w:t>
            </w:r>
          </w:p>
        </w:tc>
        <w:tc>
          <w:tcPr>
            <w:tcW w:w="2487" w:type="dxa"/>
            <w:gridSpan w:val="3"/>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A9706E" w:rsidRPr="0037057E" w:rsidRDefault="00A9706E" w:rsidP="00031B92">
            <w:pPr>
              <w:spacing w:after="0" w:line="240" w:lineRule="auto"/>
              <w:jc w:val="center"/>
              <w:rPr>
                <w:rFonts w:ascii="Calibri" w:eastAsia="Times New Roman" w:hAnsi="Calibri" w:cs="Times New Roman"/>
                <w:b/>
                <w:bCs/>
                <w:color w:val="000000"/>
                <w:lang w:eastAsia="en-GB"/>
              </w:rPr>
            </w:pPr>
            <w:r w:rsidRPr="0037057E">
              <w:rPr>
                <w:rFonts w:ascii="Calibri" w:eastAsia="Times New Roman" w:hAnsi="Calibri" w:cs="Times New Roman"/>
                <w:b/>
                <w:bCs/>
                <w:color w:val="000000"/>
                <w:lang w:eastAsia="en-GB"/>
              </w:rPr>
              <w:t>Females</w:t>
            </w:r>
          </w:p>
        </w:tc>
      </w:tr>
      <w:tr w:rsidR="00A9706E" w:rsidRPr="0037057E" w:rsidTr="00031B92">
        <w:trPr>
          <w:trHeight w:val="300"/>
          <w:jc w:val="center"/>
        </w:trPr>
        <w:tc>
          <w:tcPr>
            <w:tcW w:w="2521" w:type="dxa"/>
            <w:vMerge/>
            <w:tcBorders>
              <w:left w:val="single" w:sz="4" w:space="0" w:color="auto"/>
              <w:bottom w:val="single" w:sz="4" w:space="0" w:color="auto"/>
              <w:right w:val="single" w:sz="4" w:space="0" w:color="auto"/>
            </w:tcBorders>
            <w:shd w:val="clear" w:color="auto" w:fill="BFBFBF" w:themeFill="background1" w:themeFillShade="BF"/>
            <w:noWrap/>
            <w:vAlign w:val="center"/>
            <w:hideMark/>
          </w:tcPr>
          <w:p w:rsidR="00A9706E" w:rsidRPr="0037057E" w:rsidRDefault="00A9706E" w:rsidP="00031B92">
            <w:pPr>
              <w:spacing w:after="0" w:line="240" w:lineRule="auto"/>
              <w:jc w:val="center"/>
              <w:rPr>
                <w:rFonts w:ascii="Calibri" w:eastAsia="Times New Roman" w:hAnsi="Calibri" w:cs="Times New Roman"/>
                <w:b/>
                <w:bCs/>
                <w:color w:val="000000"/>
                <w:lang w:eastAsia="en-GB"/>
              </w:rPr>
            </w:pPr>
          </w:p>
        </w:tc>
        <w:tc>
          <w:tcPr>
            <w:tcW w:w="982" w:type="dxa"/>
            <w:tcBorders>
              <w:top w:val="nil"/>
              <w:left w:val="nil"/>
              <w:bottom w:val="single" w:sz="4" w:space="0" w:color="auto"/>
              <w:right w:val="single" w:sz="4" w:space="0" w:color="auto"/>
            </w:tcBorders>
            <w:shd w:val="clear" w:color="auto" w:fill="BFBFBF" w:themeFill="background1" w:themeFillShade="BF"/>
            <w:noWrap/>
            <w:vAlign w:val="center"/>
            <w:hideMark/>
          </w:tcPr>
          <w:p w:rsidR="00A9706E" w:rsidRPr="0037057E" w:rsidRDefault="00A9706E" w:rsidP="00031B92">
            <w:pPr>
              <w:spacing w:after="0" w:line="240" w:lineRule="auto"/>
              <w:jc w:val="center"/>
              <w:rPr>
                <w:rFonts w:ascii="Calibri" w:eastAsia="Times New Roman" w:hAnsi="Calibri" w:cs="Times New Roman"/>
                <w:b/>
                <w:bCs/>
                <w:color w:val="000000"/>
                <w:lang w:eastAsia="en-GB"/>
              </w:rPr>
            </w:pPr>
            <w:r w:rsidRPr="0037057E">
              <w:rPr>
                <w:rFonts w:ascii="Calibri" w:eastAsia="Times New Roman" w:hAnsi="Calibri" w:cs="Times New Roman"/>
                <w:b/>
                <w:bCs/>
                <w:color w:val="000000"/>
                <w:lang w:eastAsia="en-GB"/>
              </w:rPr>
              <w:t>Males</w:t>
            </w:r>
          </w:p>
        </w:tc>
        <w:tc>
          <w:tcPr>
            <w:tcW w:w="968" w:type="dxa"/>
            <w:tcBorders>
              <w:top w:val="nil"/>
              <w:left w:val="nil"/>
              <w:bottom w:val="single" w:sz="4" w:space="0" w:color="auto"/>
              <w:right w:val="single" w:sz="4" w:space="0" w:color="auto"/>
            </w:tcBorders>
            <w:shd w:val="clear" w:color="auto" w:fill="BFBFBF" w:themeFill="background1" w:themeFillShade="BF"/>
            <w:noWrap/>
            <w:vAlign w:val="center"/>
            <w:hideMark/>
          </w:tcPr>
          <w:p w:rsidR="00A9706E" w:rsidRPr="0037057E" w:rsidRDefault="00A9706E" w:rsidP="00031B92">
            <w:pPr>
              <w:spacing w:after="0" w:line="240" w:lineRule="auto"/>
              <w:jc w:val="center"/>
              <w:rPr>
                <w:rFonts w:ascii="Calibri" w:eastAsia="Times New Roman" w:hAnsi="Calibri" w:cs="Times New Roman"/>
                <w:b/>
                <w:bCs/>
                <w:color w:val="000000"/>
                <w:lang w:eastAsia="en-GB"/>
              </w:rPr>
            </w:pPr>
            <w:r w:rsidRPr="0037057E">
              <w:rPr>
                <w:rFonts w:ascii="Calibri" w:eastAsia="Times New Roman" w:hAnsi="Calibri" w:cs="Times New Roman"/>
                <w:b/>
                <w:bCs/>
                <w:color w:val="000000"/>
                <w:lang w:eastAsia="en-GB"/>
              </w:rPr>
              <w:t>Females</w:t>
            </w:r>
          </w:p>
        </w:tc>
        <w:tc>
          <w:tcPr>
            <w:tcW w:w="829" w:type="dxa"/>
            <w:tcBorders>
              <w:top w:val="nil"/>
              <w:left w:val="nil"/>
              <w:bottom w:val="single" w:sz="4" w:space="0" w:color="auto"/>
              <w:right w:val="single" w:sz="4" w:space="0" w:color="auto"/>
            </w:tcBorders>
            <w:shd w:val="clear" w:color="auto" w:fill="BFBFBF" w:themeFill="background1" w:themeFillShade="BF"/>
            <w:noWrap/>
            <w:vAlign w:val="center"/>
            <w:hideMark/>
          </w:tcPr>
          <w:p w:rsidR="00A9706E" w:rsidRPr="0037057E" w:rsidRDefault="00A9706E" w:rsidP="00031B92">
            <w:pPr>
              <w:spacing w:after="0" w:line="240" w:lineRule="auto"/>
              <w:jc w:val="center"/>
              <w:rPr>
                <w:rFonts w:ascii="Calibri" w:eastAsia="Times New Roman" w:hAnsi="Calibri" w:cs="Times New Roman"/>
                <w:b/>
                <w:bCs/>
                <w:color w:val="000000"/>
                <w:lang w:eastAsia="en-GB"/>
              </w:rPr>
            </w:pPr>
            <w:r w:rsidRPr="0037057E">
              <w:rPr>
                <w:rFonts w:ascii="Calibri" w:eastAsia="Times New Roman" w:hAnsi="Calibri" w:cs="Times New Roman"/>
                <w:b/>
                <w:bCs/>
                <w:color w:val="000000"/>
                <w:lang w:eastAsia="en-GB"/>
              </w:rPr>
              <w:t>2015</w:t>
            </w:r>
          </w:p>
        </w:tc>
        <w:tc>
          <w:tcPr>
            <w:tcW w:w="916" w:type="dxa"/>
            <w:tcBorders>
              <w:top w:val="nil"/>
              <w:left w:val="nil"/>
              <w:bottom w:val="single" w:sz="4" w:space="0" w:color="auto"/>
              <w:right w:val="single" w:sz="4" w:space="0" w:color="auto"/>
            </w:tcBorders>
            <w:shd w:val="clear" w:color="auto" w:fill="BFBFBF" w:themeFill="background1" w:themeFillShade="BF"/>
            <w:noWrap/>
            <w:vAlign w:val="center"/>
            <w:hideMark/>
          </w:tcPr>
          <w:p w:rsidR="00A9706E" w:rsidRPr="0037057E" w:rsidRDefault="00A9706E" w:rsidP="00031B92">
            <w:pPr>
              <w:spacing w:after="0" w:line="240" w:lineRule="auto"/>
              <w:jc w:val="center"/>
              <w:rPr>
                <w:rFonts w:ascii="Calibri" w:eastAsia="Times New Roman" w:hAnsi="Calibri" w:cs="Times New Roman"/>
                <w:b/>
                <w:bCs/>
                <w:color w:val="000000"/>
                <w:lang w:eastAsia="en-GB"/>
              </w:rPr>
            </w:pPr>
            <w:r w:rsidRPr="0037057E">
              <w:rPr>
                <w:rFonts w:ascii="Calibri" w:eastAsia="Times New Roman" w:hAnsi="Calibri" w:cs="Times New Roman"/>
                <w:b/>
                <w:bCs/>
                <w:color w:val="000000"/>
                <w:lang w:eastAsia="en-GB"/>
              </w:rPr>
              <w:t>2021</w:t>
            </w:r>
          </w:p>
        </w:tc>
        <w:tc>
          <w:tcPr>
            <w:tcW w:w="829" w:type="dxa"/>
            <w:tcBorders>
              <w:top w:val="nil"/>
              <w:left w:val="nil"/>
              <w:bottom w:val="single" w:sz="4" w:space="0" w:color="auto"/>
              <w:right w:val="single" w:sz="4" w:space="0" w:color="auto"/>
            </w:tcBorders>
            <w:shd w:val="clear" w:color="auto" w:fill="BFBFBF" w:themeFill="background1" w:themeFillShade="BF"/>
            <w:noWrap/>
            <w:vAlign w:val="center"/>
            <w:hideMark/>
          </w:tcPr>
          <w:p w:rsidR="00A9706E" w:rsidRPr="0037057E" w:rsidRDefault="00A9706E" w:rsidP="00031B92">
            <w:pPr>
              <w:spacing w:after="0" w:line="240" w:lineRule="auto"/>
              <w:jc w:val="center"/>
              <w:rPr>
                <w:rFonts w:ascii="Calibri" w:eastAsia="Times New Roman" w:hAnsi="Calibri" w:cs="Times New Roman"/>
                <w:b/>
                <w:bCs/>
                <w:color w:val="000000"/>
                <w:lang w:eastAsia="en-GB"/>
              </w:rPr>
            </w:pPr>
            <w:r w:rsidRPr="0037057E">
              <w:rPr>
                <w:rFonts w:ascii="Calibri" w:eastAsia="Times New Roman" w:hAnsi="Calibri" w:cs="Times New Roman"/>
                <w:b/>
                <w:bCs/>
                <w:color w:val="000000"/>
                <w:lang w:eastAsia="en-GB"/>
              </w:rPr>
              <w:t>2030</w:t>
            </w:r>
          </w:p>
        </w:tc>
        <w:tc>
          <w:tcPr>
            <w:tcW w:w="829" w:type="dxa"/>
            <w:tcBorders>
              <w:top w:val="nil"/>
              <w:left w:val="nil"/>
              <w:bottom w:val="single" w:sz="4" w:space="0" w:color="auto"/>
              <w:right w:val="single" w:sz="4" w:space="0" w:color="auto"/>
            </w:tcBorders>
            <w:shd w:val="clear" w:color="auto" w:fill="BFBFBF" w:themeFill="background1" w:themeFillShade="BF"/>
            <w:noWrap/>
            <w:vAlign w:val="center"/>
            <w:hideMark/>
          </w:tcPr>
          <w:p w:rsidR="00A9706E" w:rsidRPr="0037057E" w:rsidRDefault="00A9706E" w:rsidP="00031B92">
            <w:pPr>
              <w:spacing w:after="0" w:line="240" w:lineRule="auto"/>
              <w:jc w:val="center"/>
              <w:rPr>
                <w:rFonts w:ascii="Calibri" w:eastAsia="Times New Roman" w:hAnsi="Calibri" w:cs="Times New Roman"/>
                <w:b/>
                <w:bCs/>
                <w:color w:val="000000"/>
                <w:lang w:eastAsia="en-GB"/>
              </w:rPr>
            </w:pPr>
            <w:r w:rsidRPr="0037057E">
              <w:rPr>
                <w:rFonts w:ascii="Calibri" w:eastAsia="Times New Roman" w:hAnsi="Calibri" w:cs="Times New Roman"/>
                <w:b/>
                <w:bCs/>
                <w:color w:val="000000"/>
                <w:lang w:eastAsia="en-GB"/>
              </w:rPr>
              <w:t>2015</w:t>
            </w:r>
          </w:p>
        </w:tc>
        <w:tc>
          <w:tcPr>
            <w:tcW w:w="829" w:type="dxa"/>
            <w:tcBorders>
              <w:top w:val="nil"/>
              <w:left w:val="nil"/>
              <w:bottom w:val="single" w:sz="4" w:space="0" w:color="auto"/>
              <w:right w:val="single" w:sz="4" w:space="0" w:color="auto"/>
            </w:tcBorders>
            <w:shd w:val="clear" w:color="auto" w:fill="BFBFBF" w:themeFill="background1" w:themeFillShade="BF"/>
            <w:noWrap/>
            <w:vAlign w:val="center"/>
            <w:hideMark/>
          </w:tcPr>
          <w:p w:rsidR="00A9706E" w:rsidRPr="0037057E" w:rsidRDefault="00A9706E" w:rsidP="00031B92">
            <w:pPr>
              <w:spacing w:after="0" w:line="240" w:lineRule="auto"/>
              <w:jc w:val="center"/>
              <w:rPr>
                <w:rFonts w:ascii="Calibri" w:eastAsia="Times New Roman" w:hAnsi="Calibri" w:cs="Times New Roman"/>
                <w:b/>
                <w:bCs/>
                <w:color w:val="000000"/>
                <w:lang w:eastAsia="en-GB"/>
              </w:rPr>
            </w:pPr>
            <w:r w:rsidRPr="0037057E">
              <w:rPr>
                <w:rFonts w:ascii="Calibri" w:eastAsia="Times New Roman" w:hAnsi="Calibri" w:cs="Times New Roman"/>
                <w:b/>
                <w:bCs/>
                <w:color w:val="000000"/>
                <w:lang w:eastAsia="en-GB"/>
              </w:rPr>
              <w:t>2021</w:t>
            </w:r>
          </w:p>
        </w:tc>
        <w:tc>
          <w:tcPr>
            <w:tcW w:w="829" w:type="dxa"/>
            <w:tcBorders>
              <w:top w:val="nil"/>
              <w:left w:val="nil"/>
              <w:bottom w:val="single" w:sz="4" w:space="0" w:color="auto"/>
              <w:right w:val="single" w:sz="4" w:space="0" w:color="auto"/>
            </w:tcBorders>
            <w:shd w:val="clear" w:color="auto" w:fill="BFBFBF" w:themeFill="background1" w:themeFillShade="BF"/>
            <w:noWrap/>
            <w:vAlign w:val="center"/>
            <w:hideMark/>
          </w:tcPr>
          <w:p w:rsidR="00A9706E" w:rsidRPr="0037057E" w:rsidRDefault="00A9706E" w:rsidP="00031B92">
            <w:pPr>
              <w:spacing w:after="0" w:line="240" w:lineRule="auto"/>
              <w:jc w:val="center"/>
              <w:rPr>
                <w:rFonts w:ascii="Calibri" w:eastAsia="Times New Roman" w:hAnsi="Calibri" w:cs="Times New Roman"/>
                <w:b/>
                <w:bCs/>
                <w:color w:val="000000"/>
                <w:lang w:eastAsia="en-GB"/>
              </w:rPr>
            </w:pPr>
            <w:r w:rsidRPr="0037057E">
              <w:rPr>
                <w:rFonts w:ascii="Calibri" w:eastAsia="Times New Roman" w:hAnsi="Calibri" w:cs="Times New Roman"/>
                <w:b/>
                <w:bCs/>
                <w:color w:val="000000"/>
                <w:lang w:eastAsia="en-GB"/>
              </w:rPr>
              <w:t>2030</w:t>
            </w:r>
          </w:p>
        </w:tc>
      </w:tr>
      <w:tr w:rsidR="00A9706E" w:rsidRPr="0037057E" w:rsidTr="00031B92">
        <w:trPr>
          <w:trHeight w:val="300"/>
          <w:jc w:val="center"/>
        </w:trPr>
        <w:tc>
          <w:tcPr>
            <w:tcW w:w="2521" w:type="dxa"/>
            <w:tcBorders>
              <w:top w:val="nil"/>
              <w:left w:val="single" w:sz="4" w:space="0" w:color="auto"/>
              <w:bottom w:val="single" w:sz="4" w:space="0" w:color="auto"/>
              <w:right w:val="single" w:sz="4" w:space="0" w:color="auto"/>
            </w:tcBorders>
            <w:shd w:val="clear" w:color="auto" w:fill="auto"/>
            <w:noWrap/>
            <w:vAlign w:val="center"/>
            <w:hideMark/>
          </w:tcPr>
          <w:p w:rsidR="00A9706E" w:rsidRPr="0037057E" w:rsidRDefault="00A9706E" w:rsidP="00031B92">
            <w:pPr>
              <w:spacing w:after="0" w:line="240" w:lineRule="auto"/>
              <w:jc w:val="center"/>
              <w:rPr>
                <w:rFonts w:ascii="Calibri" w:eastAsia="Times New Roman" w:hAnsi="Calibri" w:cs="Times New Roman"/>
                <w:color w:val="000000"/>
                <w:lang w:eastAsia="en-GB"/>
              </w:rPr>
            </w:pPr>
            <w:r w:rsidRPr="0037057E">
              <w:rPr>
                <w:rFonts w:ascii="Calibri" w:eastAsia="Times New Roman" w:hAnsi="Calibri" w:cs="Times New Roman"/>
                <w:color w:val="000000"/>
                <w:lang w:eastAsia="en-GB"/>
              </w:rPr>
              <w:t>Common Mental Disorder</w:t>
            </w:r>
          </w:p>
        </w:tc>
        <w:tc>
          <w:tcPr>
            <w:tcW w:w="982" w:type="dxa"/>
            <w:tcBorders>
              <w:top w:val="nil"/>
              <w:left w:val="nil"/>
              <w:bottom w:val="single" w:sz="4" w:space="0" w:color="auto"/>
              <w:right w:val="single" w:sz="4" w:space="0" w:color="auto"/>
            </w:tcBorders>
            <w:shd w:val="clear" w:color="auto" w:fill="auto"/>
            <w:noWrap/>
            <w:vAlign w:val="center"/>
            <w:hideMark/>
          </w:tcPr>
          <w:p w:rsidR="00A9706E" w:rsidRPr="0037057E" w:rsidRDefault="00A9706E" w:rsidP="00031B92">
            <w:pPr>
              <w:spacing w:after="0" w:line="240" w:lineRule="auto"/>
              <w:jc w:val="center"/>
              <w:rPr>
                <w:rFonts w:ascii="Calibri" w:eastAsia="Times New Roman" w:hAnsi="Calibri" w:cs="Times New Roman"/>
                <w:color w:val="000000"/>
                <w:lang w:eastAsia="en-GB"/>
              </w:rPr>
            </w:pPr>
            <w:r w:rsidRPr="0037057E">
              <w:rPr>
                <w:rFonts w:ascii="Calibri" w:eastAsia="Times New Roman" w:hAnsi="Calibri" w:cs="Times New Roman"/>
                <w:color w:val="000000"/>
                <w:lang w:eastAsia="en-GB"/>
              </w:rPr>
              <w:t>12.50%</w:t>
            </w:r>
          </w:p>
        </w:tc>
        <w:tc>
          <w:tcPr>
            <w:tcW w:w="968" w:type="dxa"/>
            <w:tcBorders>
              <w:top w:val="nil"/>
              <w:left w:val="nil"/>
              <w:bottom w:val="single" w:sz="4" w:space="0" w:color="auto"/>
              <w:right w:val="single" w:sz="4" w:space="0" w:color="auto"/>
            </w:tcBorders>
            <w:shd w:val="clear" w:color="auto" w:fill="auto"/>
            <w:noWrap/>
            <w:vAlign w:val="center"/>
            <w:hideMark/>
          </w:tcPr>
          <w:p w:rsidR="00A9706E" w:rsidRPr="0037057E" w:rsidRDefault="00A9706E" w:rsidP="00031B92">
            <w:pPr>
              <w:spacing w:after="0" w:line="240" w:lineRule="auto"/>
              <w:jc w:val="center"/>
              <w:rPr>
                <w:rFonts w:ascii="Calibri" w:eastAsia="Times New Roman" w:hAnsi="Calibri" w:cs="Times New Roman"/>
                <w:color w:val="000000"/>
                <w:lang w:eastAsia="en-GB"/>
              </w:rPr>
            </w:pPr>
            <w:r w:rsidRPr="0037057E">
              <w:rPr>
                <w:rFonts w:ascii="Calibri" w:eastAsia="Times New Roman" w:hAnsi="Calibri" w:cs="Times New Roman"/>
                <w:color w:val="000000"/>
                <w:lang w:eastAsia="en-GB"/>
              </w:rPr>
              <w:t>19.70%</w:t>
            </w:r>
          </w:p>
        </w:tc>
        <w:tc>
          <w:tcPr>
            <w:tcW w:w="829" w:type="dxa"/>
            <w:tcBorders>
              <w:top w:val="nil"/>
              <w:left w:val="nil"/>
              <w:bottom w:val="single" w:sz="4" w:space="0" w:color="auto"/>
              <w:right w:val="single" w:sz="4" w:space="0" w:color="auto"/>
            </w:tcBorders>
            <w:shd w:val="clear" w:color="auto" w:fill="auto"/>
            <w:noWrap/>
            <w:vAlign w:val="center"/>
            <w:hideMark/>
          </w:tcPr>
          <w:p w:rsidR="00A9706E" w:rsidRPr="0037057E" w:rsidRDefault="00A9706E" w:rsidP="00031B92">
            <w:pPr>
              <w:spacing w:after="0" w:line="240" w:lineRule="auto"/>
              <w:jc w:val="center"/>
              <w:rPr>
                <w:rFonts w:ascii="Calibri" w:eastAsia="Times New Roman" w:hAnsi="Calibri" w:cs="Times New Roman"/>
                <w:color w:val="000000"/>
                <w:lang w:eastAsia="en-GB"/>
              </w:rPr>
            </w:pPr>
            <w:r w:rsidRPr="0037057E">
              <w:rPr>
                <w:rFonts w:ascii="Calibri" w:eastAsia="Times New Roman" w:hAnsi="Calibri" w:cs="Times New Roman"/>
                <w:color w:val="000000"/>
                <w:lang w:eastAsia="en-GB"/>
              </w:rPr>
              <w:t>14</w:t>
            </w:r>
            <w:r>
              <w:rPr>
                <w:rFonts w:ascii="Calibri" w:eastAsia="Times New Roman" w:hAnsi="Calibri" w:cs="Times New Roman"/>
                <w:color w:val="000000"/>
                <w:lang w:eastAsia="en-GB"/>
              </w:rPr>
              <w:t>,</w:t>
            </w:r>
            <w:r w:rsidRPr="0037057E">
              <w:rPr>
                <w:rFonts w:ascii="Calibri" w:eastAsia="Times New Roman" w:hAnsi="Calibri" w:cs="Times New Roman"/>
                <w:color w:val="000000"/>
                <w:lang w:eastAsia="en-GB"/>
              </w:rPr>
              <w:t>098</w:t>
            </w:r>
          </w:p>
        </w:tc>
        <w:tc>
          <w:tcPr>
            <w:tcW w:w="916" w:type="dxa"/>
            <w:tcBorders>
              <w:top w:val="nil"/>
              <w:left w:val="nil"/>
              <w:bottom w:val="single" w:sz="4" w:space="0" w:color="auto"/>
              <w:right w:val="single" w:sz="4" w:space="0" w:color="auto"/>
            </w:tcBorders>
            <w:shd w:val="clear" w:color="auto" w:fill="auto"/>
            <w:noWrap/>
            <w:vAlign w:val="center"/>
            <w:hideMark/>
          </w:tcPr>
          <w:p w:rsidR="00A9706E" w:rsidRPr="0037057E" w:rsidRDefault="00A9706E" w:rsidP="00031B92">
            <w:pPr>
              <w:spacing w:after="0" w:line="240" w:lineRule="auto"/>
              <w:jc w:val="center"/>
              <w:rPr>
                <w:rFonts w:ascii="Calibri" w:eastAsia="Times New Roman" w:hAnsi="Calibri" w:cs="Times New Roman"/>
                <w:color w:val="000000"/>
                <w:lang w:eastAsia="en-GB"/>
              </w:rPr>
            </w:pPr>
            <w:r w:rsidRPr="0037057E">
              <w:rPr>
                <w:rFonts w:ascii="Calibri" w:eastAsia="Times New Roman" w:hAnsi="Calibri" w:cs="Times New Roman"/>
                <w:color w:val="000000"/>
                <w:lang w:eastAsia="en-GB"/>
              </w:rPr>
              <w:t>14</w:t>
            </w:r>
            <w:r>
              <w:rPr>
                <w:rFonts w:ascii="Calibri" w:eastAsia="Times New Roman" w:hAnsi="Calibri" w:cs="Times New Roman"/>
                <w:color w:val="000000"/>
                <w:lang w:eastAsia="en-GB"/>
              </w:rPr>
              <w:t>,</w:t>
            </w:r>
            <w:r w:rsidRPr="0037057E">
              <w:rPr>
                <w:rFonts w:ascii="Calibri" w:eastAsia="Times New Roman" w:hAnsi="Calibri" w:cs="Times New Roman"/>
                <w:color w:val="000000"/>
                <w:lang w:eastAsia="en-GB"/>
              </w:rPr>
              <w:t>927</w:t>
            </w:r>
          </w:p>
        </w:tc>
        <w:tc>
          <w:tcPr>
            <w:tcW w:w="829" w:type="dxa"/>
            <w:tcBorders>
              <w:top w:val="nil"/>
              <w:left w:val="nil"/>
              <w:bottom w:val="single" w:sz="4" w:space="0" w:color="auto"/>
              <w:right w:val="single" w:sz="4" w:space="0" w:color="auto"/>
            </w:tcBorders>
            <w:shd w:val="clear" w:color="auto" w:fill="auto"/>
            <w:noWrap/>
            <w:vAlign w:val="center"/>
            <w:hideMark/>
          </w:tcPr>
          <w:p w:rsidR="00A9706E" w:rsidRPr="0037057E" w:rsidRDefault="00A9706E" w:rsidP="00031B92">
            <w:pPr>
              <w:spacing w:after="0" w:line="240" w:lineRule="auto"/>
              <w:jc w:val="center"/>
              <w:rPr>
                <w:rFonts w:ascii="Calibri" w:eastAsia="Times New Roman" w:hAnsi="Calibri" w:cs="Times New Roman"/>
                <w:color w:val="000000"/>
                <w:lang w:eastAsia="en-GB"/>
              </w:rPr>
            </w:pPr>
            <w:r w:rsidRPr="0037057E">
              <w:rPr>
                <w:rFonts w:ascii="Calibri" w:eastAsia="Times New Roman" w:hAnsi="Calibri" w:cs="Times New Roman"/>
                <w:color w:val="000000"/>
                <w:lang w:eastAsia="en-GB"/>
              </w:rPr>
              <w:t>15</w:t>
            </w:r>
            <w:r>
              <w:rPr>
                <w:rFonts w:ascii="Calibri" w:eastAsia="Times New Roman" w:hAnsi="Calibri" w:cs="Times New Roman"/>
                <w:color w:val="000000"/>
                <w:lang w:eastAsia="en-GB"/>
              </w:rPr>
              <w:t>,</w:t>
            </w:r>
            <w:r w:rsidRPr="0037057E">
              <w:rPr>
                <w:rFonts w:ascii="Calibri" w:eastAsia="Times New Roman" w:hAnsi="Calibri" w:cs="Times New Roman"/>
                <w:color w:val="000000"/>
                <w:lang w:eastAsia="en-GB"/>
              </w:rPr>
              <w:t>680</w:t>
            </w:r>
          </w:p>
        </w:tc>
        <w:tc>
          <w:tcPr>
            <w:tcW w:w="829" w:type="dxa"/>
            <w:tcBorders>
              <w:top w:val="nil"/>
              <w:left w:val="nil"/>
              <w:bottom w:val="single" w:sz="4" w:space="0" w:color="auto"/>
              <w:right w:val="single" w:sz="4" w:space="0" w:color="auto"/>
            </w:tcBorders>
            <w:shd w:val="clear" w:color="auto" w:fill="auto"/>
            <w:noWrap/>
            <w:vAlign w:val="center"/>
            <w:hideMark/>
          </w:tcPr>
          <w:p w:rsidR="00A9706E" w:rsidRPr="0037057E" w:rsidRDefault="00A9706E" w:rsidP="00031B92">
            <w:pPr>
              <w:spacing w:after="0" w:line="240" w:lineRule="auto"/>
              <w:jc w:val="center"/>
              <w:rPr>
                <w:rFonts w:ascii="Calibri" w:eastAsia="Times New Roman" w:hAnsi="Calibri" w:cs="Times New Roman"/>
                <w:color w:val="000000"/>
                <w:lang w:eastAsia="en-GB"/>
              </w:rPr>
            </w:pPr>
            <w:r w:rsidRPr="0037057E">
              <w:rPr>
                <w:rFonts w:ascii="Calibri" w:eastAsia="Times New Roman" w:hAnsi="Calibri" w:cs="Times New Roman"/>
                <w:color w:val="000000"/>
                <w:lang w:eastAsia="en-GB"/>
              </w:rPr>
              <w:t>22</w:t>
            </w:r>
            <w:r>
              <w:rPr>
                <w:rFonts w:ascii="Calibri" w:eastAsia="Times New Roman" w:hAnsi="Calibri" w:cs="Times New Roman"/>
                <w:color w:val="000000"/>
                <w:lang w:eastAsia="en-GB"/>
              </w:rPr>
              <w:t>,</w:t>
            </w:r>
            <w:r w:rsidRPr="0037057E">
              <w:rPr>
                <w:rFonts w:ascii="Calibri" w:eastAsia="Times New Roman" w:hAnsi="Calibri" w:cs="Times New Roman"/>
                <w:color w:val="000000"/>
                <w:lang w:eastAsia="en-GB"/>
              </w:rPr>
              <w:t>960</w:t>
            </w:r>
          </w:p>
        </w:tc>
        <w:tc>
          <w:tcPr>
            <w:tcW w:w="829" w:type="dxa"/>
            <w:tcBorders>
              <w:top w:val="nil"/>
              <w:left w:val="nil"/>
              <w:bottom w:val="single" w:sz="4" w:space="0" w:color="auto"/>
              <w:right w:val="single" w:sz="4" w:space="0" w:color="auto"/>
            </w:tcBorders>
            <w:shd w:val="clear" w:color="auto" w:fill="auto"/>
            <w:noWrap/>
            <w:vAlign w:val="center"/>
            <w:hideMark/>
          </w:tcPr>
          <w:p w:rsidR="00A9706E" w:rsidRPr="0037057E" w:rsidRDefault="00A9706E" w:rsidP="00031B92">
            <w:pPr>
              <w:spacing w:after="0" w:line="240" w:lineRule="auto"/>
              <w:jc w:val="center"/>
              <w:rPr>
                <w:rFonts w:ascii="Calibri" w:eastAsia="Times New Roman" w:hAnsi="Calibri" w:cs="Times New Roman"/>
                <w:color w:val="000000"/>
                <w:lang w:eastAsia="en-GB"/>
              </w:rPr>
            </w:pPr>
            <w:r w:rsidRPr="0037057E">
              <w:rPr>
                <w:rFonts w:ascii="Calibri" w:eastAsia="Times New Roman" w:hAnsi="Calibri" w:cs="Times New Roman"/>
                <w:color w:val="000000"/>
                <w:lang w:eastAsia="en-GB"/>
              </w:rPr>
              <w:t>24</w:t>
            </w:r>
            <w:r>
              <w:rPr>
                <w:rFonts w:ascii="Calibri" w:eastAsia="Times New Roman" w:hAnsi="Calibri" w:cs="Times New Roman"/>
                <w:color w:val="000000"/>
                <w:lang w:eastAsia="en-GB"/>
              </w:rPr>
              <w:t>,</w:t>
            </w:r>
            <w:r w:rsidRPr="0037057E">
              <w:rPr>
                <w:rFonts w:ascii="Calibri" w:eastAsia="Times New Roman" w:hAnsi="Calibri" w:cs="Times New Roman"/>
                <w:color w:val="000000"/>
                <w:lang w:eastAsia="en-GB"/>
              </w:rPr>
              <w:t>045</w:t>
            </w:r>
          </w:p>
        </w:tc>
        <w:tc>
          <w:tcPr>
            <w:tcW w:w="829" w:type="dxa"/>
            <w:tcBorders>
              <w:top w:val="nil"/>
              <w:left w:val="nil"/>
              <w:bottom w:val="single" w:sz="4" w:space="0" w:color="auto"/>
              <w:right w:val="single" w:sz="4" w:space="0" w:color="auto"/>
            </w:tcBorders>
            <w:shd w:val="clear" w:color="auto" w:fill="auto"/>
            <w:noWrap/>
            <w:vAlign w:val="center"/>
            <w:hideMark/>
          </w:tcPr>
          <w:p w:rsidR="00A9706E" w:rsidRPr="0037057E" w:rsidRDefault="00A9706E" w:rsidP="00031B92">
            <w:pPr>
              <w:spacing w:after="0" w:line="240" w:lineRule="auto"/>
              <w:jc w:val="center"/>
              <w:rPr>
                <w:rFonts w:ascii="Calibri" w:eastAsia="Times New Roman" w:hAnsi="Calibri" w:cs="Times New Roman"/>
                <w:color w:val="000000"/>
                <w:lang w:eastAsia="en-GB"/>
              </w:rPr>
            </w:pPr>
            <w:r w:rsidRPr="0037057E">
              <w:rPr>
                <w:rFonts w:ascii="Calibri" w:eastAsia="Times New Roman" w:hAnsi="Calibri" w:cs="Times New Roman"/>
                <w:color w:val="000000"/>
                <w:lang w:eastAsia="en-GB"/>
              </w:rPr>
              <w:t>24</w:t>
            </w:r>
            <w:r>
              <w:rPr>
                <w:rFonts w:ascii="Calibri" w:eastAsia="Times New Roman" w:hAnsi="Calibri" w:cs="Times New Roman"/>
                <w:color w:val="000000"/>
                <w:lang w:eastAsia="en-GB"/>
              </w:rPr>
              <w:t>,</w:t>
            </w:r>
            <w:r w:rsidRPr="0037057E">
              <w:rPr>
                <w:rFonts w:ascii="Calibri" w:eastAsia="Times New Roman" w:hAnsi="Calibri" w:cs="Times New Roman"/>
                <w:color w:val="000000"/>
                <w:lang w:eastAsia="en-GB"/>
              </w:rPr>
              <w:t>993</w:t>
            </w:r>
          </w:p>
        </w:tc>
      </w:tr>
      <w:tr w:rsidR="00A9706E" w:rsidRPr="0037057E" w:rsidTr="00031B92">
        <w:trPr>
          <w:trHeight w:val="300"/>
          <w:jc w:val="center"/>
        </w:trPr>
        <w:tc>
          <w:tcPr>
            <w:tcW w:w="2521" w:type="dxa"/>
            <w:tcBorders>
              <w:top w:val="nil"/>
              <w:left w:val="single" w:sz="4" w:space="0" w:color="auto"/>
              <w:bottom w:val="single" w:sz="4" w:space="0" w:color="auto"/>
              <w:right w:val="single" w:sz="4" w:space="0" w:color="auto"/>
            </w:tcBorders>
            <w:shd w:val="clear" w:color="auto" w:fill="auto"/>
            <w:noWrap/>
            <w:vAlign w:val="center"/>
            <w:hideMark/>
          </w:tcPr>
          <w:p w:rsidR="00A9706E" w:rsidRPr="0037057E" w:rsidRDefault="00A9706E" w:rsidP="00031B92">
            <w:pPr>
              <w:spacing w:after="0" w:line="240" w:lineRule="auto"/>
              <w:jc w:val="center"/>
              <w:rPr>
                <w:rFonts w:ascii="Calibri" w:eastAsia="Times New Roman" w:hAnsi="Calibri" w:cs="Times New Roman"/>
                <w:color w:val="000000"/>
                <w:lang w:eastAsia="en-GB"/>
              </w:rPr>
            </w:pPr>
            <w:r w:rsidRPr="0037057E">
              <w:rPr>
                <w:rFonts w:ascii="Calibri" w:eastAsia="Times New Roman" w:hAnsi="Calibri" w:cs="Times New Roman"/>
                <w:color w:val="000000"/>
                <w:lang w:eastAsia="en-GB"/>
              </w:rPr>
              <w:t>Borderline personality disorder</w:t>
            </w:r>
          </w:p>
        </w:tc>
        <w:tc>
          <w:tcPr>
            <w:tcW w:w="982" w:type="dxa"/>
            <w:tcBorders>
              <w:top w:val="nil"/>
              <w:left w:val="nil"/>
              <w:bottom w:val="single" w:sz="4" w:space="0" w:color="auto"/>
              <w:right w:val="single" w:sz="4" w:space="0" w:color="auto"/>
            </w:tcBorders>
            <w:shd w:val="clear" w:color="auto" w:fill="auto"/>
            <w:noWrap/>
            <w:vAlign w:val="center"/>
            <w:hideMark/>
          </w:tcPr>
          <w:p w:rsidR="00A9706E" w:rsidRPr="0037057E" w:rsidRDefault="00A9706E" w:rsidP="00031B92">
            <w:pPr>
              <w:spacing w:after="0" w:line="240" w:lineRule="auto"/>
              <w:jc w:val="center"/>
              <w:rPr>
                <w:rFonts w:ascii="Calibri" w:eastAsia="Times New Roman" w:hAnsi="Calibri" w:cs="Times New Roman"/>
                <w:color w:val="000000"/>
                <w:lang w:eastAsia="en-GB"/>
              </w:rPr>
            </w:pPr>
            <w:r w:rsidRPr="0037057E">
              <w:rPr>
                <w:rFonts w:ascii="Calibri" w:eastAsia="Times New Roman" w:hAnsi="Calibri" w:cs="Times New Roman"/>
                <w:color w:val="000000"/>
                <w:lang w:eastAsia="en-GB"/>
              </w:rPr>
              <w:t>0.30%</w:t>
            </w:r>
          </w:p>
        </w:tc>
        <w:tc>
          <w:tcPr>
            <w:tcW w:w="968" w:type="dxa"/>
            <w:tcBorders>
              <w:top w:val="nil"/>
              <w:left w:val="nil"/>
              <w:bottom w:val="single" w:sz="4" w:space="0" w:color="auto"/>
              <w:right w:val="single" w:sz="4" w:space="0" w:color="auto"/>
            </w:tcBorders>
            <w:shd w:val="clear" w:color="auto" w:fill="auto"/>
            <w:noWrap/>
            <w:vAlign w:val="center"/>
            <w:hideMark/>
          </w:tcPr>
          <w:p w:rsidR="00A9706E" w:rsidRPr="0037057E" w:rsidRDefault="00A9706E" w:rsidP="00031B92">
            <w:pPr>
              <w:spacing w:after="0" w:line="240" w:lineRule="auto"/>
              <w:jc w:val="center"/>
              <w:rPr>
                <w:rFonts w:ascii="Calibri" w:eastAsia="Times New Roman" w:hAnsi="Calibri" w:cs="Times New Roman"/>
                <w:color w:val="000000"/>
                <w:lang w:eastAsia="en-GB"/>
              </w:rPr>
            </w:pPr>
            <w:r w:rsidRPr="0037057E">
              <w:rPr>
                <w:rFonts w:ascii="Calibri" w:eastAsia="Times New Roman" w:hAnsi="Calibri" w:cs="Times New Roman"/>
                <w:color w:val="000000"/>
                <w:lang w:eastAsia="en-GB"/>
              </w:rPr>
              <w:t>0.60%</w:t>
            </w:r>
          </w:p>
        </w:tc>
        <w:tc>
          <w:tcPr>
            <w:tcW w:w="829" w:type="dxa"/>
            <w:tcBorders>
              <w:top w:val="nil"/>
              <w:left w:val="nil"/>
              <w:bottom w:val="single" w:sz="4" w:space="0" w:color="auto"/>
              <w:right w:val="single" w:sz="4" w:space="0" w:color="auto"/>
            </w:tcBorders>
            <w:shd w:val="clear" w:color="auto" w:fill="auto"/>
            <w:noWrap/>
            <w:vAlign w:val="center"/>
            <w:hideMark/>
          </w:tcPr>
          <w:p w:rsidR="00A9706E" w:rsidRPr="0037057E" w:rsidRDefault="00A9706E" w:rsidP="00031B92">
            <w:pPr>
              <w:spacing w:after="0" w:line="240" w:lineRule="auto"/>
              <w:jc w:val="center"/>
              <w:rPr>
                <w:rFonts w:ascii="Calibri" w:eastAsia="Times New Roman" w:hAnsi="Calibri" w:cs="Times New Roman"/>
                <w:color w:val="000000"/>
                <w:lang w:eastAsia="en-GB"/>
              </w:rPr>
            </w:pPr>
            <w:r w:rsidRPr="0037057E">
              <w:rPr>
                <w:rFonts w:ascii="Calibri" w:eastAsia="Times New Roman" w:hAnsi="Calibri" w:cs="Times New Roman"/>
                <w:color w:val="000000"/>
                <w:lang w:eastAsia="en-GB"/>
              </w:rPr>
              <w:t>338</w:t>
            </w:r>
          </w:p>
        </w:tc>
        <w:tc>
          <w:tcPr>
            <w:tcW w:w="916" w:type="dxa"/>
            <w:tcBorders>
              <w:top w:val="nil"/>
              <w:left w:val="nil"/>
              <w:bottom w:val="single" w:sz="4" w:space="0" w:color="auto"/>
              <w:right w:val="single" w:sz="4" w:space="0" w:color="auto"/>
            </w:tcBorders>
            <w:shd w:val="clear" w:color="auto" w:fill="auto"/>
            <w:noWrap/>
            <w:vAlign w:val="center"/>
            <w:hideMark/>
          </w:tcPr>
          <w:p w:rsidR="00A9706E" w:rsidRPr="0037057E" w:rsidRDefault="00A9706E" w:rsidP="00031B92">
            <w:pPr>
              <w:spacing w:after="0" w:line="240" w:lineRule="auto"/>
              <w:jc w:val="center"/>
              <w:rPr>
                <w:rFonts w:ascii="Calibri" w:eastAsia="Times New Roman" w:hAnsi="Calibri" w:cs="Times New Roman"/>
                <w:color w:val="000000"/>
                <w:lang w:eastAsia="en-GB"/>
              </w:rPr>
            </w:pPr>
            <w:r w:rsidRPr="0037057E">
              <w:rPr>
                <w:rFonts w:ascii="Calibri" w:eastAsia="Times New Roman" w:hAnsi="Calibri" w:cs="Times New Roman"/>
                <w:color w:val="000000"/>
                <w:lang w:eastAsia="en-GB"/>
              </w:rPr>
              <w:t>358</w:t>
            </w:r>
          </w:p>
        </w:tc>
        <w:tc>
          <w:tcPr>
            <w:tcW w:w="829" w:type="dxa"/>
            <w:tcBorders>
              <w:top w:val="nil"/>
              <w:left w:val="nil"/>
              <w:bottom w:val="single" w:sz="4" w:space="0" w:color="auto"/>
              <w:right w:val="single" w:sz="4" w:space="0" w:color="auto"/>
            </w:tcBorders>
            <w:shd w:val="clear" w:color="auto" w:fill="auto"/>
            <w:noWrap/>
            <w:vAlign w:val="center"/>
            <w:hideMark/>
          </w:tcPr>
          <w:p w:rsidR="00A9706E" w:rsidRPr="0037057E" w:rsidRDefault="00A9706E" w:rsidP="00031B92">
            <w:pPr>
              <w:spacing w:after="0" w:line="240" w:lineRule="auto"/>
              <w:jc w:val="center"/>
              <w:rPr>
                <w:rFonts w:ascii="Calibri" w:eastAsia="Times New Roman" w:hAnsi="Calibri" w:cs="Times New Roman"/>
                <w:color w:val="000000"/>
                <w:lang w:eastAsia="en-GB"/>
              </w:rPr>
            </w:pPr>
            <w:r w:rsidRPr="0037057E">
              <w:rPr>
                <w:rFonts w:ascii="Calibri" w:eastAsia="Times New Roman" w:hAnsi="Calibri" w:cs="Times New Roman"/>
                <w:color w:val="000000"/>
                <w:lang w:eastAsia="en-GB"/>
              </w:rPr>
              <w:t>376</w:t>
            </w:r>
          </w:p>
        </w:tc>
        <w:tc>
          <w:tcPr>
            <w:tcW w:w="829" w:type="dxa"/>
            <w:tcBorders>
              <w:top w:val="nil"/>
              <w:left w:val="nil"/>
              <w:bottom w:val="single" w:sz="4" w:space="0" w:color="auto"/>
              <w:right w:val="single" w:sz="4" w:space="0" w:color="auto"/>
            </w:tcBorders>
            <w:shd w:val="clear" w:color="auto" w:fill="auto"/>
            <w:noWrap/>
            <w:vAlign w:val="center"/>
            <w:hideMark/>
          </w:tcPr>
          <w:p w:rsidR="00A9706E" w:rsidRPr="0037057E" w:rsidRDefault="00A9706E" w:rsidP="00031B92">
            <w:pPr>
              <w:spacing w:after="0" w:line="240" w:lineRule="auto"/>
              <w:jc w:val="center"/>
              <w:rPr>
                <w:rFonts w:ascii="Calibri" w:eastAsia="Times New Roman" w:hAnsi="Calibri" w:cs="Times New Roman"/>
                <w:color w:val="000000"/>
                <w:lang w:eastAsia="en-GB"/>
              </w:rPr>
            </w:pPr>
            <w:r w:rsidRPr="0037057E">
              <w:rPr>
                <w:rFonts w:ascii="Calibri" w:eastAsia="Times New Roman" w:hAnsi="Calibri" w:cs="Times New Roman"/>
                <w:color w:val="000000"/>
                <w:lang w:eastAsia="en-GB"/>
              </w:rPr>
              <w:t>699</w:t>
            </w:r>
          </w:p>
        </w:tc>
        <w:tc>
          <w:tcPr>
            <w:tcW w:w="829" w:type="dxa"/>
            <w:tcBorders>
              <w:top w:val="nil"/>
              <w:left w:val="nil"/>
              <w:bottom w:val="single" w:sz="4" w:space="0" w:color="auto"/>
              <w:right w:val="single" w:sz="4" w:space="0" w:color="auto"/>
            </w:tcBorders>
            <w:shd w:val="clear" w:color="auto" w:fill="auto"/>
            <w:noWrap/>
            <w:vAlign w:val="center"/>
            <w:hideMark/>
          </w:tcPr>
          <w:p w:rsidR="00A9706E" w:rsidRPr="0037057E" w:rsidRDefault="00A9706E" w:rsidP="00031B92">
            <w:pPr>
              <w:spacing w:after="0" w:line="240" w:lineRule="auto"/>
              <w:jc w:val="center"/>
              <w:rPr>
                <w:rFonts w:ascii="Calibri" w:eastAsia="Times New Roman" w:hAnsi="Calibri" w:cs="Times New Roman"/>
                <w:color w:val="000000"/>
                <w:lang w:eastAsia="en-GB"/>
              </w:rPr>
            </w:pPr>
            <w:r w:rsidRPr="0037057E">
              <w:rPr>
                <w:rFonts w:ascii="Calibri" w:eastAsia="Times New Roman" w:hAnsi="Calibri" w:cs="Times New Roman"/>
                <w:color w:val="000000"/>
                <w:lang w:eastAsia="en-GB"/>
              </w:rPr>
              <w:t>732</w:t>
            </w:r>
          </w:p>
        </w:tc>
        <w:tc>
          <w:tcPr>
            <w:tcW w:w="829" w:type="dxa"/>
            <w:tcBorders>
              <w:top w:val="nil"/>
              <w:left w:val="nil"/>
              <w:bottom w:val="single" w:sz="4" w:space="0" w:color="auto"/>
              <w:right w:val="single" w:sz="4" w:space="0" w:color="auto"/>
            </w:tcBorders>
            <w:shd w:val="clear" w:color="auto" w:fill="auto"/>
            <w:noWrap/>
            <w:vAlign w:val="center"/>
            <w:hideMark/>
          </w:tcPr>
          <w:p w:rsidR="00A9706E" w:rsidRPr="0037057E" w:rsidRDefault="00A9706E" w:rsidP="00031B92">
            <w:pPr>
              <w:spacing w:after="0" w:line="240" w:lineRule="auto"/>
              <w:jc w:val="center"/>
              <w:rPr>
                <w:rFonts w:ascii="Calibri" w:eastAsia="Times New Roman" w:hAnsi="Calibri" w:cs="Times New Roman"/>
                <w:color w:val="000000"/>
                <w:lang w:eastAsia="en-GB"/>
              </w:rPr>
            </w:pPr>
            <w:r w:rsidRPr="0037057E">
              <w:rPr>
                <w:rFonts w:ascii="Calibri" w:eastAsia="Times New Roman" w:hAnsi="Calibri" w:cs="Times New Roman"/>
                <w:color w:val="000000"/>
                <w:lang w:eastAsia="en-GB"/>
              </w:rPr>
              <w:t>761</w:t>
            </w:r>
          </w:p>
        </w:tc>
      </w:tr>
      <w:tr w:rsidR="00A9706E" w:rsidRPr="0037057E" w:rsidTr="00031B92">
        <w:trPr>
          <w:trHeight w:val="300"/>
          <w:jc w:val="center"/>
        </w:trPr>
        <w:tc>
          <w:tcPr>
            <w:tcW w:w="2521" w:type="dxa"/>
            <w:tcBorders>
              <w:top w:val="nil"/>
              <w:left w:val="single" w:sz="4" w:space="0" w:color="auto"/>
              <w:bottom w:val="single" w:sz="4" w:space="0" w:color="auto"/>
              <w:right w:val="single" w:sz="4" w:space="0" w:color="auto"/>
            </w:tcBorders>
            <w:shd w:val="clear" w:color="auto" w:fill="auto"/>
            <w:noWrap/>
            <w:vAlign w:val="center"/>
            <w:hideMark/>
          </w:tcPr>
          <w:p w:rsidR="00A9706E" w:rsidRPr="0037057E" w:rsidRDefault="00A9706E" w:rsidP="00031B92">
            <w:pPr>
              <w:spacing w:after="0" w:line="240" w:lineRule="auto"/>
              <w:jc w:val="center"/>
              <w:rPr>
                <w:rFonts w:ascii="Calibri" w:eastAsia="Times New Roman" w:hAnsi="Calibri" w:cs="Times New Roman"/>
                <w:color w:val="000000"/>
                <w:lang w:eastAsia="en-GB"/>
              </w:rPr>
            </w:pPr>
            <w:r w:rsidRPr="0037057E">
              <w:rPr>
                <w:rFonts w:ascii="Calibri" w:eastAsia="Times New Roman" w:hAnsi="Calibri" w:cs="Times New Roman"/>
                <w:color w:val="000000"/>
                <w:lang w:eastAsia="en-GB"/>
              </w:rPr>
              <w:t>Antisocial personality disorder</w:t>
            </w:r>
          </w:p>
        </w:tc>
        <w:tc>
          <w:tcPr>
            <w:tcW w:w="982" w:type="dxa"/>
            <w:tcBorders>
              <w:top w:val="nil"/>
              <w:left w:val="nil"/>
              <w:bottom w:val="single" w:sz="4" w:space="0" w:color="auto"/>
              <w:right w:val="single" w:sz="4" w:space="0" w:color="auto"/>
            </w:tcBorders>
            <w:shd w:val="clear" w:color="auto" w:fill="auto"/>
            <w:noWrap/>
            <w:vAlign w:val="center"/>
            <w:hideMark/>
          </w:tcPr>
          <w:p w:rsidR="00A9706E" w:rsidRPr="0037057E" w:rsidRDefault="00A9706E" w:rsidP="00031B92">
            <w:pPr>
              <w:spacing w:after="0" w:line="240" w:lineRule="auto"/>
              <w:jc w:val="center"/>
              <w:rPr>
                <w:rFonts w:ascii="Calibri" w:eastAsia="Times New Roman" w:hAnsi="Calibri" w:cs="Times New Roman"/>
                <w:color w:val="000000"/>
                <w:lang w:eastAsia="en-GB"/>
              </w:rPr>
            </w:pPr>
            <w:r w:rsidRPr="0037057E">
              <w:rPr>
                <w:rFonts w:ascii="Calibri" w:eastAsia="Times New Roman" w:hAnsi="Calibri" w:cs="Times New Roman"/>
                <w:color w:val="000000"/>
                <w:lang w:eastAsia="en-GB"/>
              </w:rPr>
              <w:t>0.60%</w:t>
            </w:r>
          </w:p>
        </w:tc>
        <w:tc>
          <w:tcPr>
            <w:tcW w:w="968" w:type="dxa"/>
            <w:tcBorders>
              <w:top w:val="nil"/>
              <w:left w:val="nil"/>
              <w:bottom w:val="single" w:sz="4" w:space="0" w:color="auto"/>
              <w:right w:val="single" w:sz="4" w:space="0" w:color="auto"/>
            </w:tcBorders>
            <w:shd w:val="clear" w:color="auto" w:fill="auto"/>
            <w:noWrap/>
            <w:vAlign w:val="center"/>
            <w:hideMark/>
          </w:tcPr>
          <w:p w:rsidR="00A9706E" w:rsidRPr="0037057E" w:rsidRDefault="00A9706E" w:rsidP="00031B92">
            <w:pPr>
              <w:spacing w:after="0" w:line="240" w:lineRule="auto"/>
              <w:jc w:val="center"/>
              <w:rPr>
                <w:rFonts w:ascii="Calibri" w:eastAsia="Times New Roman" w:hAnsi="Calibri" w:cs="Times New Roman"/>
                <w:color w:val="000000"/>
                <w:lang w:eastAsia="en-GB"/>
              </w:rPr>
            </w:pPr>
            <w:r w:rsidRPr="0037057E">
              <w:rPr>
                <w:rFonts w:ascii="Calibri" w:eastAsia="Times New Roman" w:hAnsi="Calibri" w:cs="Times New Roman"/>
                <w:color w:val="000000"/>
                <w:lang w:eastAsia="en-GB"/>
              </w:rPr>
              <w:t>0.10%</w:t>
            </w:r>
          </w:p>
        </w:tc>
        <w:tc>
          <w:tcPr>
            <w:tcW w:w="829" w:type="dxa"/>
            <w:tcBorders>
              <w:top w:val="nil"/>
              <w:left w:val="nil"/>
              <w:bottom w:val="single" w:sz="4" w:space="0" w:color="auto"/>
              <w:right w:val="single" w:sz="4" w:space="0" w:color="auto"/>
            </w:tcBorders>
            <w:shd w:val="clear" w:color="auto" w:fill="auto"/>
            <w:noWrap/>
            <w:vAlign w:val="center"/>
            <w:hideMark/>
          </w:tcPr>
          <w:p w:rsidR="00A9706E" w:rsidRPr="0037057E" w:rsidRDefault="00A9706E" w:rsidP="00031B92">
            <w:pPr>
              <w:spacing w:after="0" w:line="240" w:lineRule="auto"/>
              <w:jc w:val="center"/>
              <w:rPr>
                <w:rFonts w:ascii="Calibri" w:eastAsia="Times New Roman" w:hAnsi="Calibri" w:cs="Times New Roman"/>
                <w:color w:val="000000"/>
                <w:lang w:eastAsia="en-GB"/>
              </w:rPr>
            </w:pPr>
            <w:r w:rsidRPr="0037057E">
              <w:rPr>
                <w:rFonts w:ascii="Calibri" w:eastAsia="Times New Roman" w:hAnsi="Calibri" w:cs="Times New Roman"/>
                <w:color w:val="000000"/>
                <w:lang w:eastAsia="en-GB"/>
              </w:rPr>
              <w:t>677</w:t>
            </w:r>
          </w:p>
        </w:tc>
        <w:tc>
          <w:tcPr>
            <w:tcW w:w="916" w:type="dxa"/>
            <w:tcBorders>
              <w:top w:val="nil"/>
              <w:left w:val="nil"/>
              <w:bottom w:val="single" w:sz="4" w:space="0" w:color="auto"/>
              <w:right w:val="single" w:sz="4" w:space="0" w:color="auto"/>
            </w:tcBorders>
            <w:shd w:val="clear" w:color="auto" w:fill="auto"/>
            <w:noWrap/>
            <w:vAlign w:val="center"/>
            <w:hideMark/>
          </w:tcPr>
          <w:p w:rsidR="00A9706E" w:rsidRPr="0037057E" w:rsidRDefault="00A9706E" w:rsidP="00031B92">
            <w:pPr>
              <w:spacing w:after="0" w:line="240" w:lineRule="auto"/>
              <w:jc w:val="center"/>
              <w:rPr>
                <w:rFonts w:ascii="Calibri" w:eastAsia="Times New Roman" w:hAnsi="Calibri" w:cs="Times New Roman"/>
                <w:color w:val="000000"/>
                <w:lang w:eastAsia="en-GB"/>
              </w:rPr>
            </w:pPr>
            <w:r w:rsidRPr="0037057E">
              <w:rPr>
                <w:rFonts w:ascii="Calibri" w:eastAsia="Times New Roman" w:hAnsi="Calibri" w:cs="Times New Roman"/>
                <w:color w:val="000000"/>
                <w:lang w:eastAsia="en-GB"/>
              </w:rPr>
              <w:t>717</w:t>
            </w:r>
          </w:p>
        </w:tc>
        <w:tc>
          <w:tcPr>
            <w:tcW w:w="829" w:type="dxa"/>
            <w:tcBorders>
              <w:top w:val="nil"/>
              <w:left w:val="nil"/>
              <w:bottom w:val="single" w:sz="4" w:space="0" w:color="auto"/>
              <w:right w:val="single" w:sz="4" w:space="0" w:color="auto"/>
            </w:tcBorders>
            <w:shd w:val="clear" w:color="auto" w:fill="auto"/>
            <w:noWrap/>
            <w:vAlign w:val="center"/>
            <w:hideMark/>
          </w:tcPr>
          <w:p w:rsidR="00A9706E" w:rsidRPr="0037057E" w:rsidRDefault="00A9706E" w:rsidP="00031B92">
            <w:pPr>
              <w:spacing w:after="0" w:line="240" w:lineRule="auto"/>
              <w:jc w:val="center"/>
              <w:rPr>
                <w:rFonts w:ascii="Calibri" w:eastAsia="Times New Roman" w:hAnsi="Calibri" w:cs="Times New Roman"/>
                <w:color w:val="000000"/>
                <w:lang w:eastAsia="en-GB"/>
              </w:rPr>
            </w:pPr>
            <w:r w:rsidRPr="0037057E">
              <w:rPr>
                <w:rFonts w:ascii="Calibri" w:eastAsia="Times New Roman" w:hAnsi="Calibri" w:cs="Times New Roman"/>
                <w:color w:val="000000"/>
                <w:lang w:eastAsia="en-GB"/>
              </w:rPr>
              <w:t>753</w:t>
            </w:r>
          </w:p>
        </w:tc>
        <w:tc>
          <w:tcPr>
            <w:tcW w:w="829" w:type="dxa"/>
            <w:tcBorders>
              <w:top w:val="nil"/>
              <w:left w:val="nil"/>
              <w:bottom w:val="single" w:sz="4" w:space="0" w:color="auto"/>
              <w:right w:val="single" w:sz="4" w:space="0" w:color="auto"/>
            </w:tcBorders>
            <w:shd w:val="clear" w:color="auto" w:fill="auto"/>
            <w:noWrap/>
            <w:vAlign w:val="center"/>
            <w:hideMark/>
          </w:tcPr>
          <w:p w:rsidR="00A9706E" w:rsidRPr="0037057E" w:rsidRDefault="00A9706E" w:rsidP="00031B92">
            <w:pPr>
              <w:spacing w:after="0" w:line="240" w:lineRule="auto"/>
              <w:jc w:val="center"/>
              <w:rPr>
                <w:rFonts w:ascii="Calibri" w:eastAsia="Times New Roman" w:hAnsi="Calibri" w:cs="Times New Roman"/>
                <w:color w:val="000000"/>
                <w:lang w:eastAsia="en-GB"/>
              </w:rPr>
            </w:pPr>
            <w:r w:rsidRPr="0037057E">
              <w:rPr>
                <w:rFonts w:ascii="Calibri" w:eastAsia="Times New Roman" w:hAnsi="Calibri" w:cs="Times New Roman"/>
                <w:color w:val="000000"/>
                <w:lang w:eastAsia="en-GB"/>
              </w:rPr>
              <w:t>117</w:t>
            </w:r>
          </w:p>
        </w:tc>
        <w:tc>
          <w:tcPr>
            <w:tcW w:w="829" w:type="dxa"/>
            <w:tcBorders>
              <w:top w:val="nil"/>
              <w:left w:val="nil"/>
              <w:bottom w:val="single" w:sz="4" w:space="0" w:color="auto"/>
              <w:right w:val="single" w:sz="4" w:space="0" w:color="auto"/>
            </w:tcBorders>
            <w:shd w:val="clear" w:color="auto" w:fill="auto"/>
            <w:noWrap/>
            <w:vAlign w:val="center"/>
            <w:hideMark/>
          </w:tcPr>
          <w:p w:rsidR="00A9706E" w:rsidRPr="0037057E" w:rsidRDefault="00A9706E" w:rsidP="00031B92">
            <w:pPr>
              <w:spacing w:after="0" w:line="240" w:lineRule="auto"/>
              <w:jc w:val="center"/>
              <w:rPr>
                <w:rFonts w:ascii="Calibri" w:eastAsia="Times New Roman" w:hAnsi="Calibri" w:cs="Times New Roman"/>
                <w:color w:val="000000"/>
                <w:lang w:eastAsia="en-GB"/>
              </w:rPr>
            </w:pPr>
            <w:r w:rsidRPr="0037057E">
              <w:rPr>
                <w:rFonts w:ascii="Calibri" w:eastAsia="Times New Roman" w:hAnsi="Calibri" w:cs="Times New Roman"/>
                <w:color w:val="000000"/>
                <w:lang w:eastAsia="en-GB"/>
              </w:rPr>
              <w:t>122</w:t>
            </w:r>
          </w:p>
        </w:tc>
        <w:tc>
          <w:tcPr>
            <w:tcW w:w="829" w:type="dxa"/>
            <w:tcBorders>
              <w:top w:val="nil"/>
              <w:left w:val="nil"/>
              <w:bottom w:val="single" w:sz="4" w:space="0" w:color="auto"/>
              <w:right w:val="single" w:sz="4" w:space="0" w:color="auto"/>
            </w:tcBorders>
            <w:shd w:val="clear" w:color="auto" w:fill="auto"/>
            <w:noWrap/>
            <w:vAlign w:val="center"/>
            <w:hideMark/>
          </w:tcPr>
          <w:p w:rsidR="00A9706E" w:rsidRPr="0037057E" w:rsidRDefault="00A9706E" w:rsidP="00031B92">
            <w:pPr>
              <w:spacing w:after="0" w:line="240" w:lineRule="auto"/>
              <w:jc w:val="center"/>
              <w:rPr>
                <w:rFonts w:ascii="Calibri" w:eastAsia="Times New Roman" w:hAnsi="Calibri" w:cs="Times New Roman"/>
                <w:color w:val="000000"/>
                <w:lang w:eastAsia="en-GB"/>
              </w:rPr>
            </w:pPr>
            <w:r w:rsidRPr="0037057E">
              <w:rPr>
                <w:rFonts w:ascii="Calibri" w:eastAsia="Times New Roman" w:hAnsi="Calibri" w:cs="Times New Roman"/>
                <w:color w:val="000000"/>
                <w:lang w:eastAsia="en-GB"/>
              </w:rPr>
              <w:t>127</w:t>
            </w:r>
          </w:p>
        </w:tc>
      </w:tr>
      <w:tr w:rsidR="00A9706E" w:rsidRPr="0037057E" w:rsidTr="00031B92">
        <w:trPr>
          <w:trHeight w:val="300"/>
          <w:jc w:val="center"/>
        </w:trPr>
        <w:tc>
          <w:tcPr>
            <w:tcW w:w="2521" w:type="dxa"/>
            <w:tcBorders>
              <w:top w:val="nil"/>
              <w:left w:val="single" w:sz="4" w:space="0" w:color="auto"/>
              <w:bottom w:val="single" w:sz="4" w:space="0" w:color="auto"/>
              <w:right w:val="single" w:sz="4" w:space="0" w:color="auto"/>
            </w:tcBorders>
            <w:shd w:val="clear" w:color="auto" w:fill="auto"/>
            <w:noWrap/>
            <w:vAlign w:val="center"/>
            <w:hideMark/>
          </w:tcPr>
          <w:p w:rsidR="00A9706E" w:rsidRPr="0037057E" w:rsidRDefault="00A9706E" w:rsidP="00031B92">
            <w:pPr>
              <w:spacing w:after="0" w:line="240" w:lineRule="auto"/>
              <w:jc w:val="center"/>
              <w:rPr>
                <w:rFonts w:ascii="Calibri" w:eastAsia="Times New Roman" w:hAnsi="Calibri" w:cs="Times New Roman"/>
                <w:color w:val="000000"/>
                <w:lang w:eastAsia="en-GB"/>
              </w:rPr>
            </w:pPr>
            <w:r w:rsidRPr="0037057E">
              <w:rPr>
                <w:rFonts w:ascii="Calibri" w:eastAsia="Times New Roman" w:hAnsi="Calibri" w:cs="Times New Roman"/>
                <w:color w:val="000000"/>
                <w:lang w:eastAsia="en-GB"/>
              </w:rPr>
              <w:t>Psychotic disorder</w:t>
            </w:r>
          </w:p>
        </w:tc>
        <w:tc>
          <w:tcPr>
            <w:tcW w:w="982" w:type="dxa"/>
            <w:tcBorders>
              <w:top w:val="nil"/>
              <w:left w:val="nil"/>
              <w:bottom w:val="single" w:sz="4" w:space="0" w:color="auto"/>
              <w:right w:val="single" w:sz="4" w:space="0" w:color="auto"/>
            </w:tcBorders>
            <w:shd w:val="clear" w:color="auto" w:fill="auto"/>
            <w:noWrap/>
            <w:vAlign w:val="center"/>
            <w:hideMark/>
          </w:tcPr>
          <w:p w:rsidR="00A9706E" w:rsidRPr="0037057E" w:rsidRDefault="00A9706E" w:rsidP="00031B92">
            <w:pPr>
              <w:spacing w:after="0" w:line="240" w:lineRule="auto"/>
              <w:jc w:val="center"/>
              <w:rPr>
                <w:rFonts w:ascii="Calibri" w:eastAsia="Times New Roman" w:hAnsi="Calibri" w:cs="Times New Roman"/>
                <w:color w:val="000000"/>
                <w:lang w:eastAsia="en-GB"/>
              </w:rPr>
            </w:pPr>
            <w:r w:rsidRPr="0037057E">
              <w:rPr>
                <w:rFonts w:ascii="Calibri" w:eastAsia="Times New Roman" w:hAnsi="Calibri" w:cs="Times New Roman"/>
                <w:color w:val="000000"/>
                <w:lang w:eastAsia="en-GB"/>
              </w:rPr>
              <w:t>0.30%</w:t>
            </w:r>
          </w:p>
        </w:tc>
        <w:tc>
          <w:tcPr>
            <w:tcW w:w="968" w:type="dxa"/>
            <w:tcBorders>
              <w:top w:val="nil"/>
              <w:left w:val="nil"/>
              <w:bottom w:val="single" w:sz="4" w:space="0" w:color="auto"/>
              <w:right w:val="single" w:sz="4" w:space="0" w:color="auto"/>
            </w:tcBorders>
            <w:shd w:val="clear" w:color="auto" w:fill="auto"/>
            <w:noWrap/>
            <w:vAlign w:val="center"/>
            <w:hideMark/>
          </w:tcPr>
          <w:p w:rsidR="00A9706E" w:rsidRPr="0037057E" w:rsidRDefault="00A9706E" w:rsidP="00031B92">
            <w:pPr>
              <w:spacing w:after="0" w:line="240" w:lineRule="auto"/>
              <w:jc w:val="center"/>
              <w:rPr>
                <w:rFonts w:ascii="Calibri" w:eastAsia="Times New Roman" w:hAnsi="Calibri" w:cs="Times New Roman"/>
                <w:color w:val="000000"/>
                <w:lang w:eastAsia="en-GB"/>
              </w:rPr>
            </w:pPr>
            <w:r w:rsidRPr="0037057E">
              <w:rPr>
                <w:rFonts w:ascii="Calibri" w:eastAsia="Times New Roman" w:hAnsi="Calibri" w:cs="Times New Roman"/>
                <w:color w:val="000000"/>
                <w:lang w:eastAsia="en-GB"/>
              </w:rPr>
              <w:t>0.50%</w:t>
            </w:r>
          </w:p>
        </w:tc>
        <w:tc>
          <w:tcPr>
            <w:tcW w:w="829" w:type="dxa"/>
            <w:tcBorders>
              <w:top w:val="nil"/>
              <w:left w:val="nil"/>
              <w:bottom w:val="single" w:sz="4" w:space="0" w:color="auto"/>
              <w:right w:val="single" w:sz="4" w:space="0" w:color="auto"/>
            </w:tcBorders>
            <w:shd w:val="clear" w:color="auto" w:fill="auto"/>
            <w:noWrap/>
            <w:vAlign w:val="center"/>
            <w:hideMark/>
          </w:tcPr>
          <w:p w:rsidR="00A9706E" w:rsidRPr="0037057E" w:rsidRDefault="00A9706E" w:rsidP="00031B92">
            <w:pPr>
              <w:spacing w:after="0" w:line="240" w:lineRule="auto"/>
              <w:jc w:val="center"/>
              <w:rPr>
                <w:rFonts w:ascii="Calibri" w:eastAsia="Times New Roman" w:hAnsi="Calibri" w:cs="Times New Roman"/>
                <w:color w:val="000000"/>
                <w:lang w:eastAsia="en-GB"/>
              </w:rPr>
            </w:pPr>
            <w:r w:rsidRPr="0037057E">
              <w:rPr>
                <w:rFonts w:ascii="Calibri" w:eastAsia="Times New Roman" w:hAnsi="Calibri" w:cs="Times New Roman"/>
                <w:color w:val="000000"/>
                <w:lang w:eastAsia="en-GB"/>
              </w:rPr>
              <w:t>338</w:t>
            </w:r>
          </w:p>
        </w:tc>
        <w:tc>
          <w:tcPr>
            <w:tcW w:w="916" w:type="dxa"/>
            <w:tcBorders>
              <w:top w:val="nil"/>
              <w:left w:val="nil"/>
              <w:bottom w:val="single" w:sz="4" w:space="0" w:color="auto"/>
              <w:right w:val="single" w:sz="4" w:space="0" w:color="auto"/>
            </w:tcBorders>
            <w:shd w:val="clear" w:color="auto" w:fill="auto"/>
            <w:noWrap/>
            <w:vAlign w:val="center"/>
            <w:hideMark/>
          </w:tcPr>
          <w:p w:rsidR="00A9706E" w:rsidRPr="0037057E" w:rsidRDefault="00A9706E" w:rsidP="00031B92">
            <w:pPr>
              <w:spacing w:after="0" w:line="240" w:lineRule="auto"/>
              <w:jc w:val="center"/>
              <w:rPr>
                <w:rFonts w:ascii="Calibri" w:eastAsia="Times New Roman" w:hAnsi="Calibri" w:cs="Times New Roman"/>
                <w:color w:val="000000"/>
                <w:lang w:eastAsia="en-GB"/>
              </w:rPr>
            </w:pPr>
            <w:r w:rsidRPr="0037057E">
              <w:rPr>
                <w:rFonts w:ascii="Calibri" w:eastAsia="Times New Roman" w:hAnsi="Calibri" w:cs="Times New Roman"/>
                <w:color w:val="000000"/>
                <w:lang w:eastAsia="en-GB"/>
              </w:rPr>
              <w:t>358</w:t>
            </w:r>
          </w:p>
        </w:tc>
        <w:tc>
          <w:tcPr>
            <w:tcW w:w="829" w:type="dxa"/>
            <w:tcBorders>
              <w:top w:val="nil"/>
              <w:left w:val="nil"/>
              <w:bottom w:val="single" w:sz="4" w:space="0" w:color="auto"/>
              <w:right w:val="single" w:sz="4" w:space="0" w:color="auto"/>
            </w:tcBorders>
            <w:shd w:val="clear" w:color="auto" w:fill="auto"/>
            <w:noWrap/>
            <w:vAlign w:val="center"/>
            <w:hideMark/>
          </w:tcPr>
          <w:p w:rsidR="00A9706E" w:rsidRPr="0037057E" w:rsidRDefault="00A9706E" w:rsidP="00031B92">
            <w:pPr>
              <w:spacing w:after="0" w:line="240" w:lineRule="auto"/>
              <w:jc w:val="center"/>
              <w:rPr>
                <w:rFonts w:ascii="Calibri" w:eastAsia="Times New Roman" w:hAnsi="Calibri" w:cs="Times New Roman"/>
                <w:color w:val="000000"/>
                <w:lang w:eastAsia="en-GB"/>
              </w:rPr>
            </w:pPr>
            <w:r w:rsidRPr="0037057E">
              <w:rPr>
                <w:rFonts w:ascii="Calibri" w:eastAsia="Times New Roman" w:hAnsi="Calibri" w:cs="Times New Roman"/>
                <w:color w:val="000000"/>
                <w:lang w:eastAsia="en-GB"/>
              </w:rPr>
              <w:t>376</w:t>
            </w:r>
          </w:p>
        </w:tc>
        <w:tc>
          <w:tcPr>
            <w:tcW w:w="829" w:type="dxa"/>
            <w:tcBorders>
              <w:top w:val="nil"/>
              <w:left w:val="nil"/>
              <w:bottom w:val="single" w:sz="4" w:space="0" w:color="auto"/>
              <w:right w:val="single" w:sz="4" w:space="0" w:color="auto"/>
            </w:tcBorders>
            <w:shd w:val="clear" w:color="auto" w:fill="auto"/>
            <w:noWrap/>
            <w:vAlign w:val="center"/>
            <w:hideMark/>
          </w:tcPr>
          <w:p w:rsidR="00A9706E" w:rsidRPr="0037057E" w:rsidRDefault="00A9706E" w:rsidP="00031B92">
            <w:pPr>
              <w:spacing w:after="0" w:line="240" w:lineRule="auto"/>
              <w:jc w:val="center"/>
              <w:rPr>
                <w:rFonts w:ascii="Calibri" w:eastAsia="Times New Roman" w:hAnsi="Calibri" w:cs="Times New Roman"/>
                <w:color w:val="000000"/>
                <w:lang w:eastAsia="en-GB"/>
              </w:rPr>
            </w:pPr>
            <w:r w:rsidRPr="0037057E">
              <w:rPr>
                <w:rFonts w:ascii="Calibri" w:eastAsia="Times New Roman" w:hAnsi="Calibri" w:cs="Times New Roman"/>
                <w:color w:val="000000"/>
                <w:lang w:eastAsia="en-GB"/>
              </w:rPr>
              <w:t>583</w:t>
            </w:r>
          </w:p>
        </w:tc>
        <w:tc>
          <w:tcPr>
            <w:tcW w:w="829" w:type="dxa"/>
            <w:tcBorders>
              <w:top w:val="nil"/>
              <w:left w:val="nil"/>
              <w:bottom w:val="single" w:sz="4" w:space="0" w:color="auto"/>
              <w:right w:val="single" w:sz="4" w:space="0" w:color="auto"/>
            </w:tcBorders>
            <w:shd w:val="clear" w:color="auto" w:fill="auto"/>
            <w:noWrap/>
            <w:vAlign w:val="center"/>
            <w:hideMark/>
          </w:tcPr>
          <w:p w:rsidR="00A9706E" w:rsidRPr="0037057E" w:rsidRDefault="00A9706E" w:rsidP="00031B92">
            <w:pPr>
              <w:spacing w:after="0" w:line="240" w:lineRule="auto"/>
              <w:jc w:val="center"/>
              <w:rPr>
                <w:rFonts w:ascii="Calibri" w:eastAsia="Times New Roman" w:hAnsi="Calibri" w:cs="Times New Roman"/>
                <w:color w:val="000000"/>
                <w:lang w:eastAsia="en-GB"/>
              </w:rPr>
            </w:pPr>
            <w:r w:rsidRPr="0037057E">
              <w:rPr>
                <w:rFonts w:ascii="Calibri" w:eastAsia="Times New Roman" w:hAnsi="Calibri" w:cs="Times New Roman"/>
                <w:color w:val="000000"/>
                <w:lang w:eastAsia="en-GB"/>
              </w:rPr>
              <w:t>610</w:t>
            </w:r>
          </w:p>
        </w:tc>
        <w:tc>
          <w:tcPr>
            <w:tcW w:w="829" w:type="dxa"/>
            <w:tcBorders>
              <w:top w:val="nil"/>
              <w:left w:val="nil"/>
              <w:bottom w:val="single" w:sz="4" w:space="0" w:color="auto"/>
              <w:right w:val="single" w:sz="4" w:space="0" w:color="auto"/>
            </w:tcBorders>
            <w:shd w:val="clear" w:color="auto" w:fill="auto"/>
            <w:noWrap/>
            <w:vAlign w:val="center"/>
            <w:hideMark/>
          </w:tcPr>
          <w:p w:rsidR="00A9706E" w:rsidRPr="0037057E" w:rsidRDefault="00A9706E" w:rsidP="00031B92">
            <w:pPr>
              <w:spacing w:after="0" w:line="240" w:lineRule="auto"/>
              <w:jc w:val="center"/>
              <w:rPr>
                <w:rFonts w:ascii="Calibri" w:eastAsia="Times New Roman" w:hAnsi="Calibri" w:cs="Times New Roman"/>
                <w:color w:val="000000"/>
                <w:lang w:eastAsia="en-GB"/>
              </w:rPr>
            </w:pPr>
            <w:r w:rsidRPr="0037057E">
              <w:rPr>
                <w:rFonts w:ascii="Calibri" w:eastAsia="Times New Roman" w:hAnsi="Calibri" w:cs="Times New Roman"/>
                <w:color w:val="000000"/>
                <w:lang w:eastAsia="en-GB"/>
              </w:rPr>
              <w:t>634</w:t>
            </w:r>
          </w:p>
        </w:tc>
      </w:tr>
      <w:tr w:rsidR="00A9706E" w:rsidRPr="0037057E" w:rsidTr="00031B92">
        <w:trPr>
          <w:trHeight w:val="300"/>
          <w:jc w:val="center"/>
        </w:trPr>
        <w:tc>
          <w:tcPr>
            <w:tcW w:w="2521" w:type="dxa"/>
            <w:tcBorders>
              <w:top w:val="nil"/>
              <w:left w:val="single" w:sz="4" w:space="0" w:color="auto"/>
              <w:bottom w:val="single" w:sz="4" w:space="0" w:color="auto"/>
              <w:right w:val="single" w:sz="4" w:space="0" w:color="auto"/>
            </w:tcBorders>
            <w:shd w:val="clear" w:color="auto" w:fill="auto"/>
            <w:noWrap/>
            <w:vAlign w:val="center"/>
            <w:hideMark/>
          </w:tcPr>
          <w:p w:rsidR="00A9706E" w:rsidRPr="0037057E" w:rsidRDefault="00A9706E" w:rsidP="00031B92">
            <w:pPr>
              <w:spacing w:after="0" w:line="240" w:lineRule="auto"/>
              <w:jc w:val="center"/>
              <w:rPr>
                <w:rFonts w:ascii="Calibri" w:eastAsia="Times New Roman" w:hAnsi="Calibri" w:cs="Times New Roman"/>
                <w:color w:val="000000"/>
                <w:lang w:eastAsia="en-GB"/>
              </w:rPr>
            </w:pPr>
            <w:r w:rsidRPr="0037057E">
              <w:rPr>
                <w:rFonts w:ascii="Calibri" w:eastAsia="Times New Roman" w:hAnsi="Calibri" w:cs="Times New Roman"/>
                <w:color w:val="000000"/>
                <w:lang w:eastAsia="en-GB"/>
              </w:rPr>
              <w:t>Two or more psychiatric disorders</w:t>
            </w:r>
          </w:p>
        </w:tc>
        <w:tc>
          <w:tcPr>
            <w:tcW w:w="982" w:type="dxa"/>
            <w:tcBorders>
              <w:top w:val="nil"/>
              <w:left w:val="nil"/>
              <w:bottom w:val="single" w:sz="4" w:space="0" w:color="auto"/>
              <w:right w:val="single" w:sz="4" w:space="0" w:color="auto"/>
            </w:tcBorders>
            <w:shd w:val="clear" w:color="auto" w:fill="auto"/>
            <w:noWrap/>
            <w:vAlign w:val="center"/>
            <w:hideMark/>
          </w:tcPr>
          <w:p w:rsidR="00A9706E" w:rsidRPr="0037057E" w:rsidRDefault="00A9706E" w:rsidP="00031B92">
            <w:pPr>
              <w:spacing w:after="0" w:line="240" w:lineRule="auto"/>
              <w:jc w:val="center"/>
              <w:rPr>
                <w:rFonts w:ascii="Calibri" w:eastAsia="Times New Roman" w:hAnsi="Calibri" w:cs="Times New Roman"/>
                <w:color w:val="000000"/>
                <w:lang w:eastAsia="en-GB"/>
              </w:rPr>
            </w:pPr>
            <w:r w:rsidRPr="0037057E">
              <w:rPr>
                <w:rFonts w:ascii="Calibri" w:eastAsia="Times New Roman" w:hAnsi="Calibri" w:cs="Times New Roman"/>
                <w:color w:val="000000"/>
                <w:lang w:eastAsia="en-GB"/>
              </w:rPr>
              <w:t>6.90%</w:t>
            </w:r>
          </w:p>
        </w:tc>
        <w:tc>
          <w:tcPr>
            <w:tcW w:w="968" w:type="dxa"/>
            <w:tcBorders>
              <w:top w:val="nil"/>
              <w:left w:val="nil"/>
              <w:bottom w:val="single" w:sz="4" w:space="0" w:color="auto"/>
              <w:right w:val="single" w:sz="4" w:space="0" w:color="auto"/>
            </w:tcBorders>
            <w:shd w:val="clear" w:color="auto" w:fill="auto"/>
            <w:noWrap/>
            <w:vAlign w:val="center"/>
            <w:hideMark/>
          </w:tcPr>
          <w:p w:rsidR="00A9706E" w:rsidRPr="0037057E" w:rsidRDefault="00A9706E" w:rsidP="00031B92">
            <w:pPr>
              <w:spacing w:after="0" w:line="240" w:lineRule="auto"/>
              <w:jc w:val="center"/>
              <w:rPr>
                <w:rFonts w:ascii="Calibri" w:eastAsia="Times New Roman" w:hAnsi="Calibri" w:cs="Times New Roman"/>
                <w:color w:val="000000"/>
                <w:lang w:eastAsia="en-GB"/>
              </w:rPr>
            </w:pPr>
            <w:r w:rsidRPr="0037057E">
              <w:rPr>
                <w:rFonts w:ascii="Calibri" w:eastAsia="Times New Roman" w:hAnsi="Calibri" w:cs="Times New Roman"/>
                <w:color w:val="000000"/>
                <w:lang w:eastAsia="en-GB"/>
              </w:rPr>
              <w:t>7.50%</w:t>
            </w:r>
          </w:p>
        </w:tc>
        <w:tc>
          <w:tcPr>
            <w:tcW w:w="829" w:type="dxa"/>
            <w:tcBorders>
              <w:top w:val="nil"/>
              <w:left w:val="nil"/>
              <w:bottom w:val="single" w:sz="4" w:space="0" w:color="auto"/>
              <w:right w:val="single" w:sz="4" w:space="0" w:color="auto"/>
            </w:tcBorders>
            <w:shd w:val="clear" w:color="auto" w:fill="auto"/>
            <w:noWrap/>
            <w:vAlign w:val="center"/>
            <w:hideMark/>
          </w:tcPr>
          <w:p w:rsidR="00A9706E" w:rsidRPr="0037057E" w:rsidRDefault="00A9706E" w:rsidP="00031B92">
            <w:pPr>
              <w:spacing w:after="0" w:line="240" w:lineRule="auto"/>
              <w:jc w:val="center"/>
              <w:rPr>
                <w:rFonts w:ascii="Calibri" w:eastAsia="Times New Roman" w:hAnsi="Calibri" w:cs="Times New Roman"/>
                <w:color w:val="000000"/>
                <w:lang w:eastAsia="en-GB"/>
              </w:rPr>
            </w:pPr>
            <w:r w:rsidRPr="0037057E">
              <w:rPr>
                <w:rFonts w:ascii="Calibri" w:eastAsia="Times New Roman" w:hAnsi="Calibri" w:cs="Times New Roman"/>
                <w:color w:val="000000"/>
                <w:lang w:eastAsia="en-GB"/>
              </w:rPr>
              <w:t>7</w:t>
            </w:r>
            <w:r>
              <w:rPr>
                <w:rFonts w:ascii="Calibri" w:eastAsia="Times New Roman" w:hAnsi="Calibri" w:cs="Times New Roman"/>
                <w:color w:val="000000"/>
                <w:lang w:eastAsia="en-GB"/>
              </w:rPr>
              <w:t>,</w:t>
            </w:r>
            <w:r w:rsidRPr="0037057E">
              <w:rPr>
                <w:rFonts w:ascii="Calibri" w:eastAsia="Times New Roman" w:hAnsi="Calibri" w:cs="Times New Roman"/>
                <w:color w:val="000000"/>
                <w:lang w:eastAsia="en-GB"/>
              </w:rPr>
              <w:t>782</w:t>
            </w:r>
          </w:p>
        </w:tc>
        <w:tc>
          <w:tcPr>
            <w:tcW w:w="916" w:type="dxa"/>
            <w:tcBorders>
              <w:top w:val="nil"/>
              <w:left w:val="nil"/>
              <w:bottom w:val="single" w:sz="4" w:space="0" w:color="auto"/>
              <w:right w:val="single" w:sz="4" w:space="0" w:color="auto"/>
            </w:tcBorders>
            <w:shd w:val="clear" w:color="auto" w:fill="auto"/>
            <w:noWrap/>
            <w:vAlign w:val="center"/>
            <w:hideMark/>
          </w:tcPr>
          <w:p w:rsidR="00A9706E" w:rsidRPr="0037057E" w:rsidRDefault="00A9706E" w:rsidP="00031B92">
            <w:pPr>
              <w:spacing w:after="0" w:line="240" w:lineRule="auto"/>
              <w:jc w:val="center"/>
              <w:rPr>
                <w:rFonts w:ascii="Calibri" w:eastAsia="Times New Roman" w:hAnsi="Calibri" w:cs="Times New Roman"/>
                <w:color w:val="000000"/>
                <w:lang w:eastAsia="en-GB"/>
              </w:rPr>
            </w:pPr>
            <w:r w:rsidRPr="0037057E">
              <w:rPr>
                <w:rFonts w:ascii="Calibri" w:eastAsia="Times New Roman" w:hAnsi="Calibri" w:cs="Times New Roman"/>
                <w:color w:val="000000"/>
                <w:lang w:eastAsia="en-GB"/>
              </w:rPr>
              <w:t>8</w:t>
            </w:r>
            <w:r>
              <w:rPr>
                <w:rFonts w:ascii="Calibri" w:eastAsia="Times New Roman" w:hAnsi="Calibri" w:cs="Times New Roman"/>
                <w:color w:val="000000"/>
                <w:lang w:eastAsia="en-GB"/>
              </w:rPr>
              <w:t>,</w:t>
            </w:r>
            <w:r w:rsidRPr="0037057E">
              <w:rPr>
                <w:rFonts w:ascii="Calibri" w:eastAsia="Times New Roman" w:hAnsi="Calibri" w:cs="Times New Roman"/>
                <w:color w:val="000000"/>
                <w:lang w:eastAsia="en-GB"/>
              </w:rPr>
              <w:t>240</w:t>
            </w:r>
          </w:p>
        </w:tc>
        <w:tc>
          <w:tcPr>
            <w:tcW w:w="829" w:type="dxa"/>
            <w:tcBorders>
              <w:top w:val="nil"/>
              <w:left w:val="nil"/>
              <w:bottom w:val="single" w:sz="4" w:space="0" w:color="auto"/>
              <w:right w:val="single" w:sz="4" w:space="0" w:color="auto"/>
            </w:tcBorders>
            <w:shd w:val="clear" w:color="auto" w:fill="auto"/>
            <w:noWrap/>
            <w:vAlign w:val="center"/>
            <w:hideMark/>
          </w:tcPr>
          <w:p w:rsidR="00A9706E" w:rsidRPr="0037057E" w:rsidRDefault="00A9706E" w:rsidP="00031B92">
            <w:pPr>
              <w:spacing w:after="0" w:line="240" w:lineRule="auto"/>
              <w:jc w:val="center"/>
              <w:rPr>
                <w:rFonts w:ascii="Calibri" w:eastAsia="Times New Roman" w:hAnsi="Calibri" w:cs="Times New Roman"/>
                <w:color w:val="000000"/>
                <w:lang w:eastAsia="en-GB"/>
              </w:rPr>
            </w:pPr>
            <w:r w:rsidRPr="0037057E">
              <w:rPr>
                <w:rFonts w:ascii="Calibri" w:eastAsia="Times New Roman" w:hAnsi="Calibri" w:cs="Times New Roman"/>
                <w:color w:val="000000"/>
                <w:lang w:eastAsia="en-GB"/>
              </w:rPr>
              <w:t>8</w:t>
            </w:r>
            <w:r>
              <w:rPr>
                <w:rFonts w:ascii="Calibri" w:eastAsia="Times New Roman" w:hAnsi="Calibri" w:cs="Times New Roman"/>
                <w:color w:val="000000"/>
                <w:lang w:eastAsia="en-GB"/>
              </w:rPr>
              <w:t>,</w:t>
            </w:r>
            <w:r w:rsidRPr="0037057E">
              <w:rPr>
                <w:rFonts w:ascii="Calibri" w:eastAsia="Times New Roman" w:hAnsi="Calibri" w:cs="Times New Roman"/>
                <w:color w:val="000000"/>
                <w:lang w:eastAsia="en-GB"/>
              </w:rPr>
              <w:t>656</w:t>
            </w:r>
          </w:p>
        </w:tc>
        <w:tc>
          <w:tcPr>
            <w:tcW w:w="829" w:type="dxa"/>
            <w:tcBorders>
              <w:top w:val="nil"/>
              <w:left w:val="nil"/>
              <w:bottom w:val="single" w:sz="4" w:space="0" w:color="auto"/>
              <w:right w:val="single" w:sz="4" w:space="0" w:color="auto"/>
            </w:tcBorders>
            <w:shd w:val="clear" w:color="auto" w:fill="auto"/>
            <w:noWrap/>
            <w:vAlign w:val="center"/>
            <w:hideMark/>
          </w:tcPr>
          <w:p w:rsidR="00A9706E" w:rsidRPr="0037057E" w:rsidRDefault="00A9706E" w:rsidP="00031B92">
            <w:pPr>
              <w:spacing w:after="0" w:line="240" w:lineRule="auto"/>
              <w:jc w:val="center"/>
              <w:rPr>
                <w:rFonts w:ascii="Calibri" w:eastAsia="Times New Roman" w:hAnsi="Calibri" w:cs="Times New Roman"/>
                <w:color w:val="000000"/>
                <w:lang w:eastAsia="en-GB"/>
              </w:rPr>
            </w:pPr>
            <w:r w:rsidRPr="0037057E">
              <w:rPr>
                <w:rFonts w:ascii="Calibri" w:eastAsia="Times New Roman" w:hAnsi="Calibri" w:cs="Times New Roman"/>
                <w:color w:val="000000"/>
                <w:lang w:eastAsia="en-GB"/>
              </w:rPr>
              <w:t>8</w:t>
            </w:r>
            <w:r>
              <w:rPr>
                <w:rFonts w:ascii="Calibri" w:eastAsia="Times New Roman" w:hAnsi="Calibri" w:cs="Times New Roman"/>
                <w:color w:val="000000"/>
                <w:lang w:eastAsia="en-GB"/>
              </w:rPr>
              <w:t>,</w:t>
            </w:r>
            <w:r w:rsidRPr="0037057E">
              <w:rPr>
                <w:rFonts w:ascii="Calibri" w:eastAsia="Times New Roman" w:hAnsi="Calibri" w:cs="Times New Roman"/>
                <w:color w:val="000000"/>
                <w:lang w:eastAsia="en-GB"/>
              </w:rPr>
              <w:t>741</w:t>
            </w:r>
          </w:p>
        </w:tc>
        <w:tc>
          <w:tcPr>
            <w:tcW w:w="829" w:type="dxa"/>
            <w:tcBorders>
              <w:top w:val="nil"/>
              <w:left w:val="nil"/>
              <w:bottom w:val="single" w:sz="4" w:space="0" w:color="auto"/>
              <w:right w:val="single" w:sz="4" w:space="0" w:color="auto"/>
            </w:tcBorders>
            <w:shd w:val="clear" w:color="auto" w:fill="auto"/>
            <w:noWrap/>
            <w:vAlign w:val="center"/>
            <w:hideMark/>
          </w:tcPr>
          <w:p w:rsidR="00A9706E" w:rsidRPr="0037057E" w:rsidRDefault="00A9706E" w:rsidP="00031B92">
            <w:pPr>
              <w:spacing w:after="0" w:line="240" w:lineRule="auto"/>
              <w:jc w:val="center"/>
              <w:rPr>
                <w:rFonts w:ascii="Calibri" w:eastAsia="Times New Roman" w:hAnsi="Calibri" w:cs="Times New Roman"/>
                <w:color w:val="000000"/>
                <w:lang w:eastAsia="en-GB"/>
              </w:rPr>
            </w:pPr>
            <w:r w:rsidRPr="0037057E">
              <w:rPr>
                <w:rFonts w:ascii="Calibri" w:eastAsia="Times New Roman" w:hAnsi="Calibri" w:cs="Times New Roman"/>
                <w:color w:val="000000"/>
                <w:lang w:eastAsia="en-GB"/>
              </w:rPr>
              <w:t>9</w:t>
            </w:r>
            <w:r>
              <w:rPr>
                <w:rFonts w:ascii="Calibri" w:eastAsia="Times New Roman" w:hAnsi="Calibri" w:cs="Times New Roman"/>
                <w:color w:val="000000"/>
                <w:lang w:eastAsia="en-GB"/>
              </w:rPr>
              <w:t>,</w:t>
            </w:r>
            <w:r w:rsidRPr="0037057E">
              <w:rPr>
                <w:rFonts w:ascii="Calibri" w:eastAsia="Times New Roman" w:hAnsi="Calibri" w:cs="Times New Roman"/>
                <w:color w:val="000000"/>
                <w:lang w:eastAsia="en-GB"/>
              </w:rPr>
              <w:t>154</w:t>
            </w:r>
          </w:p>
        </w:tc>
        <w:tc>
          <w:tcPr>
            <w:tcW w:w="829" w:type="dxa"/>
            <w:tcBorders>
              <w:top w:val="nil"/>
              <w:left w:val="nil"/>
              <w:bottom w:val="single" w:sz="4" w:space="0" w:color="auto"/>
              <w:right w:val="single" w:sz="4" w:space="0" w:color="auto"/>
            </w:tcBorders>
            <w:shd w:val="clear" w:color="auto" w:fill="auto"/>
            <w:noWrap/>
            <w:vAlign w:val="center"/>
            <w:hideMark/>
          </w:tcPr>
          <w:p w:rsidR="00A9706E" w:rsidRPr="0037057E" w:rsidRDefault="00A9706E" w:rsidP="00031B92">
            <w:pPr>
              <w:spacing w:after="0" w:line="240" w:lineRule="auto"/>
              <w:jc w:val="center"/>
              <w:rPr>
                <w:rFonts w:ascii="Calibri" w:eastAsia="Times New Roman" w:hAnsi="Calibri" w:cs="Times New Roman"/>
                <w:color w:val="000000"/>
                <w:lang w:eastAsia="en-GB"/>
              </w:rPr>
            </w:pPr>
            <w:r w:rsidRPr="0037057E">
              <w:rPr>
                <w:rFonts w:ascii="Calibri" w:eastAsia="Times New Roman" w:hAnsi="Calibri" w:cs="Times New Roman"/>
                <w:color w:val="000000"/>
                <w:lang w:eastAsia="en-GB"/>
              </w:rPr>
              <w:t>9</w:t>
            </w:r>
            <w:r>
              <w:rPr>
                <w:rFonts w:ascii="Calibri" w:eastAsia="Times New Roman" w:hAnsi="Calibri" w:cs="Times New Roman"/>
                <w:color w:val="000000"/>
                <w:lang w:eastAsia="en-GB"/>
              </w:rPr>
              <w:t>,</w:t>
            </w:r>
            <w:r w:rsidRPr="0037057E">
              <w:rPr>
                <w:rFonts w:ascii="Calibri" w:eastAsia="Times New Roman" w:hAnsi="Calibri" w:cs="Times New Roman"/>
                <w:color w:val="000000"/>
                <w:lang w:eastAsia="en-GB"/>
              </w:rPr>
              <w:t>515</w:t>
            </w:r>
          </w:p>
        </w:tc>
      </w:tr>
    </w:tbl>
    <w:p w:rsidR="00A9706E" w:rsidRPr="00B45B7D" w:rsidRDefault="00A9706E" w:rsidP="00A9706E">
      <w:pPr>
        <w:spacing w:after="0" w:line="240" w:lineRule="auto"/>
        <w:jc w:val="both"/>
        <w:rPr>
          <w:i/>
        </w:rPr>
      </w:pPr>
      <w:r w:rsidRPr="00CC38B2">
        <w:t>Source: Projecting</w:t>
      </w:r>
      <w:r w:rsidRPr="002B07BE">
        <w:t xml:space="preserve"> Adult Needs and Service Information</w:t>
      </w:r>
      <w:r>
        <w:t xml:space="preserve"> (PANSI)</w:t>
      </w:r>
    </w:p>
    <w:p w:rsidR="00A9706E" w:rsidRPr="0061446F" w:rsidRDefault="00A9706E" w:rsidP="00A9706E">
      <w:pPr>
        <w:spacing w:after="0" w:line="240" w:lineRule="auto"/>
        <w:jc w:val="both"/>
        <w:rPr>
          <w:b/>
          <w:i/>
        </w:rPr>
      </w:pPr>
    </w:p>
    <w:p w:rsidR="00A9706E" w:rsidRDefault="00A9706E" w:rsidP="00A9706E">
      <w:pPr>
        <w:pStyle w:val="ListParagraph"/>
        <w:numPr>
          <w:ilvl w:val="0"/>
          <w:numId w:val="19"/>
        </w:numPr>
      </w:pPr>
      <w:r>
        <w:t>Over 10% of men and almost 20% of women aged 18-64 have some form of common mental health disorder. Apart from antisocial personality disorders, women have a higher prevalence across all types of mental health disorder.</w:t>
      </w:r>
    </w:p>
    <w:p w:rsidR="00A9706E" w:rsidRDefault="00A9706E" w:rsidP="00A9706E">
      <w:pPr>
        <w:pStyle w:val="ListParagraph"/>
        <w:numPr>
          <w:ilvl w:val="0"/>
          <w:numId w:val="19"/>
        </w:numPr>
      </w:pPr>
      <w:r>
        <w:t xml:space="preserve">In comparison to learning and physical disabilities, only moderate physical disabilities among the 55 and over age group have a higher prevalence rate within the population. </w:t>
      </w:r>
    </w:p>
    <w:p w:rsidR="00A9706E" w:rsidRPr="003B20F1" w:rsidRDefault="00A9706E" w:rsidP="00A9706E">
      <w:pPr>
        <w:pStyle w:val="Heading3"/>
      </w:pPr>
      <w:r w:rsidRPr="003B20F1">
        <w:lastRenderedPageBreak/>
        <w:t>Disability and Employment</w:t>
      </w:r>
    </w:p>
    <w:p w:rsidR="00A9706E" w:rsidRDefault="00A9706E" w:rsidP="00A9706E">
      <w:pPr>
        <w:jc w:val="both"/>
        <w:rPr>
          <w:rFonts w:ascii="Calibri" w:hAnsi="Calibri" w:cs="Calibri"/>
        </w:rPr>
      </w:pPr>
      <w:r w:rsidRPr="009014F2">
        <w:rPr>
          <w:rFonts w:ascii="Calibri" w:hAnsi="Calibri" w:cs="Calibri"/>
        </w:rPr>
        <w:t xml:space="preserve">The </w:t>
      </w:r>
      <w:r>
        <w:rPr>
          <w:rFonts w:ascii="Calibri" w:hAnsi="Calibri" w:cs="Calibri"/>
        </w:rPr>
        <w:t xml:space="preserve">Office of National Statistics’ </w:t>
      </w:r>
      <w:r w:rsidRPr="009014F2">
        <w:rPr>
          <w:rFonts w:ascii="Calibri" w:hAnsi="Calibri" w:cs="Calibri"/>
        </w:rPr>
        <w:t>Annual Population Survey provides data on the working age population (aged 16 – 64) who are disabled. This includes people who are either disabled under the disability discrimination act (DDA) or who have a work-limiting disability, as a percentage of all people aged 16-64 years.</w:t>
      </w:r>
    </w:p>
    <w:p w:rsidR="00A9706E" w:rsidRDefault="00A9706E" w:rsidP="00A9706E">
      <w:pPr>
        <w:pStyle w:val="Caption"/>
        <w:rPr>
          <w:rFonts w:ascii="Arial" w:eastAsia="Times New Roman" w:hAnsi="Arial" w:cs="Arial"/>
          <w:b w:val="0"/>
          <w:bCs w:val="0"/>
          <w:sz w:val="20"/>
          <w:szCs w:val="20"/>
          <w:lang w:eastAsia="en-GB"/>
        </w:rPr>
      </w:pPr>
      <w:r>
        <w:t xml:space="preserve">Figure </w:t>
      </w:r>
      <w:fldSimple w:instr=" STYLEREF 1 \s ">
        <w:r w:rsidR="001663C2">
          <w:rPr>
            <w:noProof/>
          </w:rPr>
          <w:t>2</w:t>
        </w:r>
      </w:fldSimple>
      <w:r w:rsidR="00943DC2">
        <w:noBreakHyphen/>
      </w:r>
      <w:fldSimple w:instr=" SEQ Figure \* ARABIC \s 1 ">
        <w:r w:rsidR="001663C2">
          <w:rPr>
            <w:noProof/>
          </w:rPr>
          <w:t>18</w:t>
        </w:r>
      </w:fldSimple>
      <w:r w:rsidRPr="00B217DD">
        <w:rPr>
          <w:rFonts w:cs="Calibri"/>
        </w:rPr>
        <w:t xml:space="preserve">: % aged 16-64 who are EA core </w:t>
      </w:r>
      <w:r>
        <w:rPr>
          <w:rFonts w:cs="Calibri"/>
        </w:rPr>
        <w:t>disabled</w:t>
      </w:r>
      <w:r>
        <w:rPr>
          <w:rStyle w:val="FootnoteReference"/>
          <w:rFonts w:cs="Calibri"/>
        </w:rPr>
        <w:footnoteReference w:id="4"/>
      </w:r>
      <w:r>
        <w:rPr>
          <w:rFonts w:cs="Calibri"/>
        </w:rPr>
        <w:t xml:space="preserve"> </w:t>
      </w:r>
      <w:r w:rsidRPr="00B217DD">
        <w:rPr>
          <w:rFonts w:cs="Calibri"/>
        </w:rPr>
        <w:t>or work-limiting disabled (Barnet and Statistical neighbours)</w:t>
      </w:r>
    </w:p>
    <w:p w:rsidR="00A9706E" w:rsidRDefault="00A9706E" w:rsidP="000120BC">
      <w:pPr>
        <w:spacing w:after="0" w:line="240" w:lineRule="auto"/>
        <w:ind w:hanging="284"/>
        <w:jc w:val="center"/>
        <w:rPr>
          <w:rFonts w:ascii="Calibri" w:hAnsi="Calibri" w:cs="Calibri"/>
        </w:rPr>
      </w:pPr>
      <w:r>
        <w:rPr>
          <w:noProof/>
          <w:lang w:eastAsia="en-GB"/>
        </w:rPr>
        <w:drawing>
          <wp:inline distT="0" distB="0" distL="0" distR="0" wp14:anchorId="2EA95212" wp14:editId="30BE48E4">
            <wp:extent cx="6124353" cy="1956391"/>
            <wp:effectExtent l="0" t="0" r="10160" b="25400"/>
            <wp:docPr id="43032" name="Chart 4303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A9706E" w:rsidRDefault="00A9706E" w:rsidP="000120BC">
      <w:pPr>
        <w:spacing w:after="0" w:line="240" w:lineRule="auto"/>
        <w:jc w:val="both"/>
        <w:rPr>
          <w:rFonts w:ascii="Calibri" w:hAnsi="Calibri" w:cs="Calibri"/>
        </w:rPr>
      </w:pPr>
      <w:r>
        <w:rPr>
          <w:rFonts w:ascii="Calibri" w:hAnsi="Calibri" w:cs="Calibri"/>
        </w:rPr>
        <w:t xml:space="preserve">Source: ONS, </w:t>
      </w:r>
      <w:r w:rsidRPr="00CB3B0A">
        <w:rPr>
          <w:rFonts w:ascii="Calibri" w:hAnsi="Calibri" w:cs="Calibri"/>
        </w:rPr>
        <w:t xml:space="preserve">Annual Population Survey </w:t>
      </w:r>
      <w:r>
        <w:rPr>
          <w:rFonts w:ascii="Calibri" w:hAnsi="Calibri" w:cs="Calibri"/>
        </w:rPr>
        <w:t xml:space="preserve">- </w:t>
      </w:r>
      <w:r w:rsidRPr="00F71046">
        <w:rPr>
          <w:rFonts w:ascii="Calibri" w:eastAsia="Times New Roman" w:hAnsi="Calibri" w:cs="Times New Roman"/>
          <w:color w:val="000000"/>
          <w:lang w:eastAsia="en-GB"/>
        </w:rPr>
        <w:t>Labour Force Survey (October 2013 – September 2014)</w:t>
      </w:r>
    </w:p>
    <w:p w:rsidR="00A9706E" w:rsidRDefault="00A9706E" w:rsidP="00A9706E">
      <w:pPr>
        <w:spacing w:after="0" w:line="240" w:lineRule="auto"/>
        <w:ind w:hanging="567"/>
        <w:jc w:val="both"/>
        <w:rPr>
          <w:rFonts w:ascii="Calibri" w:hAnsi="Calibri" w:cs="Calibri"/>
        </w:rPr>
      </w:pPr>
    </w:p>
    <w:p w:rsidR="00A9706E" w:rsidRPr="00DF4120" w:rsidRDefault="00A9706E" w:rsidP="00A9706E">
      <w:pPr>
        <w:pStyle w:val="ListParagraph"/>
        <w:numPr>
          <w:ilvl w:val="0"/>
          <w:numId w:val="2"/>
        </w:numPr>
        <w:jc w:val="both"/>
        <w:rPr>
          <w:rFonts w:ascii="Calibri" w:hAnsi="Calibri" w:cs="Calibri"/>
        </w:rPr>
      </w:pPr>
      <w:r w:rsidRPr="00DF4120">
        <w:rPr>
          <w:rFonts w:ascii="Calibri" w:hAnsi="Calibri" w:cs="Calibri"/>
        </w:rPr>
        <w:t>In comparison to statistical neighbours, Barnet performs well on the proportion of the people of working age with a disability, with the lowest rate</w:t>
      </w:r>
      <w:r>
        <w:rPr>
          <w:rFonts w:ascii="Calibri" w:hAnsi="Calibri" w:cs="Calibri"/>
        </w:rPr>
        <w:t xml:space="preserve"> of</w:t>
      </w:r>
      <w:r w:rsidRPr="00DF4120">
        <w:rPr>
          <w:rFonts w:ascii="Calibri" w:hAnsi="Calibri" w:cs="Calibri"/>
        </w:rPr>
        <w:t xml:space="preserve"> 12.5%. Barnet also performs well compared to the average Outer London rate of 16.1% and the UK rate of 19.0%. </w:t>
      </w:r>
    </w:p>
    <w:p w:rsidR="00A9706E" w:rsidRPr="009B5BFD" w:rsidRDefault="00A9706E" w:rsidP="00A9706E">
      <w:pPr>
        <w:pStyle w:val="Caption"/>
        <w:rPr>
          <w:rFonts w:eastAsia="Times New Roman" w:cs="Arial"/>
          <w:b w:val="0"/>
          <w:bCs w:val="0"/>
          <w:i/>
          <w:lang w:eastAsia="en-GB"/>
        </w:rPr>
      </w:pPr>
      <w:r>
        <w:t xml:space="preserve">Figure </w:t>
      </w:r>
      <w:fldSimple w:instr=" STYLEREF 1 \s ">
        <w:r w:rsidR="001663C2">
          <w:rPr>
            <w:noProof/>
          </w:rPr>
          <w:t>2</w:t>
        </w:r>
      </w:fldSimple>
      <w:r w:rsidR="00943DC2">
        <w:noBreakHyphen/>
      </w:r>
      <w:fldSimple w:instr=" SEQ Figure \* ARABIC \s 1 ">
        <w:r w:rsidR="001663C2">
          <w:rPr>
            <w:noProof/>
          </w:rPr>
          <w:t>19</w:t>
        </w:r>
      </w:fldSimple>
      <w:r w:rsidRPr="00B217DD">
        <w:rPr>
          <w:rFonts w:cs="Calibri"/>
        </w:rPr>
        <w:t>: % aged 16-64 who are EA core or work-limiting disabled, by gender (Barnet and Statistical neighbours)</w:t>
      </w:r>
    </w:p>
    <w:p w:rsidR="00A9706E" w:rsidRDefault="00A9706E" w:rsidP="000120BC">
      <w:pPr>
        <w:spacing w:after="0" w:line="240" w:lineRule="auto"/>
        <w:jc w:val="center"/>
        <w:rPr>
          <w:rFonts w:ascii="Calibri" w:hAnsi="Calibri" w:cs="Calibri"/>
        </w:rPr>
      </w:pPr>
      <w:r>
        <w:rPr>
          <w:noProof/>
          <w:lang w:eastAsia="en-GB"/>
        </w:rPr>
        <w:drawing>
          <wp:inline distT="0" distB="0" distL="0" distR="0" wp14:anchorId="0EFF3031" wp14:editId="6EE887B6">
            <wp:extent cx="5348177" cy="2530549"/>
            <wp:effectExtent l="0" t="0" r="24130" b="22225"/>
            <wp:docPr id="43033" name="Chart 43033"/>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A9706E" w:rsidRDefault="00A9706E" w:rsidP="00093568">
      <w:pPr>
        <w:spacing w:after="0" w:line="240" w:lineRule="auto"/>
        <w:jc w:val="both"/>
        <w:rPr>
          <w:rFonts w:ascii="Calibri" w:hAnsi="Calibri" w:cs="Calibri"/>
        </w:rPr>
      </w:pPr>
      <w:r w:rsidRPr="00545CCC">
        <w:rPr>
          <w:rFonts w:ascii="Calibri" w:eastAsia="Times New Roman" w:hAnsi="Calibri" w:cs="Times New Roman"/>
          <w:color w:val="000000"/>
          <w:lang w:eastAsia="en-GB"/>
        </w:rPr>
        <w:t xml:space="preserve">Source: </w:t>
      </w:r>
      <w:r>
        <w:rPr>
          <w:rFonts w:ascii="Calibri" w:hAnsi="Calibri" w:cs="Calibri"/>
        </w:rPr>
        <w:t xml:space="preserve">ONS, </w:t>
      </w:r>
      <w:r w:rsidRPr="00CB3B0A">
        <w:rPr>
          <w:rFonts w:ascii="Calibri" w:hAnsi="Calibri" w:cs="Calibri"/>
        </w:rPr>
        <w:t>Annual Population Survey</w:t>
      </w:r>
      <w:r>
        <w:rPr>
          <w:rFonts w:ascii="Calibri" w:hAnsi="Calibri" w:cs="Calibri"/>
        </w:rPr>
        <w:t xml:space="preserve"> - </w:t>
      </w:r>
      <w:r w:rsidRPr="00F71046">
        <w:rPr>
          <w:rFonts w:ascii="Calibri" w:eastAsia="Times New Roman" w:hAnsi="Calibri" w:cs="Times New Roman"/>
          <w:color w:val="000000"/>
          <w:lang w:eastAsia="en-GB"/>
        </w:rPr>
        <w:t>Labour Force Survey (October 2013 – September 2014)</w:t>
      </w:r>
    </w:p>
    <w:p w:rsidR="00A9706E" w:rsidRDefault="00A9706E" w:rsidP="00A9706E">
      <w:pPr>
        <w:spacing w:after="0" w:line="240" w:lineRule="auto"/>
        <w:jc w:val="both"/>
        <w:rPr>
          <w:rFonts w:ascii="Calibri" w:eastAsia="Times New Roman" w:hAnsi="Calibri" w:cs="Times New Roman"/>
          <w:color w:val="000000"/>
          <w:lang w:eastAsia="en-GB"/>
        </w:rPr>
      </w:pPr>
    </w:p>
    <w:p w:rsidR="00A9706E" w:rsidRDefault="00A9706E" w:rsidP="00A9706E">
      <w:pPr>
        <w:pStyle w:val="ListParagraph"/>
        <w:numPr>
          <w:ilvl w:val="0"/>
          <w:numId w:val="14"/>
        </w:numPr>
        <w:jc w:val="both"/>
        <w:rPr>
          <w:rFonts w:ascii="Calibri" w:hAnsi="Calibri" w:cs="Calibri"/>
        </w:rPr>
      </w:pPr>
      <w:r w:rsidRPr="003B0038">
        <w:rPr>
          <w:rFonts w:ascii="Calibri" w:hAnsi="Calibri" w:cs="Calibri"/>
        </w:rPr>
        <w:t>By gender, Barnet has a higher rate of working age women (16.1%) who are disabled, compared to men (8.80%).  Although this is in line with national and regional trends, the difference between genders is significantly higher in Barnet than in many other areas, with 83% more disabled women of working age, than men.</w:t>
      </w:r>
    </w:p>
    <w:p w:rsidR="00A9706E" w:rsidRPr="009B5BFD" w:rsidRDefault="00A9706E" w:rsidP="00A9706E">
      <w:pPr>
        <w:pStyle w:val="Caption"/>
        <w:rPr>
          <w:rFonts w:eastAsia="Times New Roman" w:cs="Arial"/>
          <w:b w:val="0"/>
          <w:bCs w:val="0"/>
          <w:lang w:eastAsia="en-GB"/>
        </w:rPr>
      </w:pPr>
      <w:r>
        <w:lastRenderedPageBreak/>
        <w:t xml:space="preserve">Table </w:t>
      </w:r>
      <w:fldSimple w:instr=" STYLEREF 1 \s ">
        <w:r w:rsidR="001663C2">
          <w:rPr>
            <w:noProof/>
          </w:rPr>
          <w:t>2</w:t>
        </w:r>
      </w:fldSimple>
      <w:r>
        <w:noBreakHyphen/>
      </w:r>
      <w:fldSimple w:instr=" SEQ Table \* ARABIC \s 1 ">
        <w:r w:rsidR="001663C2">
          <w:rPr>
            <w:noProof/>
          </w:rPr>
          <w:t>18</w:t>
        </w:r>
      </w:fldSimple>
      <w:r w:rsidRPr="00B217DD">
        <w:rPr>
          <w:rFonts w:cs="Calibri"/>
        </w:rPr>
        <w:t>: % of Population Aged 16-64 who are EA Core or Work-limiting Disabled</w:t>
      </w:r>
    </w:p>
    <w:tbl>
      <w:tblPr>
        <w:tblStyle w:val="TableGrid"/>
        <w:tblW w:w="7406" w:type="dxa"/>
        <w:jc w:val="center"/>
        <w:tblInd w:w="-606" w:type="dxa"/>
        <w:tblLook w:val="04A0" w:firstRow="1" w:lastRow="0" w:firstColumn="1" w:lastColumn="0" w:noHBand="0" w:noVBand="1"/>
      </w:tblPr>
      <w:tblGrid>
        <w:gridCol w:w="2706"/>
        <w:gridCol w:w="1580"/>
        <w:gridCol w:w="1580"/>
        <w:gridCol w:w="1540"/>
      </w:tblGrid>
      <w:tr w:rsidR="00A9706E" w:rsidRPr="00990B74" w:rsidTr="00031B92">
        <w:trPr>
          <w:trHeight w:val="271"/>
          <w:jc w:val="center"/>
        </w:trPr>
        <w:tc>
          <w:tcPr>
            <w:tcW w:w="2706" w:type="dxa"/>
            <w:shd w:val="clear" w:color="auto" w:fill="BFBFBF" w:themeFill="background1" w:themeFillShade="BF"/>
            <w:noWrap/>
            <w:vAlign w:val="center"/>
            <w:hideMark/>
          </w:tcPr>
          <w:p w:rsidR="00A9706E" w:rsidRPr="00990B74" w:rsidRDefault="00A9706E" w:rsidP="00031B92">
            <w:pPr>
              <w:jc w:val="both"/>
              <w:rPr>
                <w:rFonts w:eastAsia="Times New Roman" w:cs="Times New Roman"/>
                <w:b/>
                <w:color w:val="000000"/>
                <w:lang w:eastAsia="en-GB"/>
              </w:rPr>
            </w:pPr>
          </w:p>
        </w:tc>
        <w:tc>
          <w:tcPr>
            <w:tcW w:w="1580" w:type="dxa"/>
            <w:shd w:val="clear" w:color="auto" w:fill="BFBFBF" w:themeFill="background1" w:themeFillShade="BF"/>
            <w:noWrap/>
            <w:vAlign w:val="center"/>
            <w:hideMark/>
          </w:tcPr>
          <w:p w:rsidR="00A9706E" w:rsidRPr="00990B74" w:rsidRDefault="00A9706E" w:rsidP="00031B92">
            <w:pPr>
              <w:jc w:val="center"/>
              <w:rPr>
                <w:rFonts w:eastAsia="Times New Roman" w:cs="Times New Roman"/>
                <w:b/>
                <w:color w:val="000000"/>
                <w:lang w:eastAsia="en-GB"/>
              </w:rPr>
            </w:pPr>
            <w:r w:rsidRPr="00990B74">
              <w:rPr>
                <w:rFonts w:eastAsia="Times New Roman" w:cs="Times New Roman"/>
                <w:b/>
                <w:color w:val="000000"/>
                <w:lang w:eastAsia="en-GB"/>
              </w:rPr>
              <w:t>Men</w:t>
            </w:r>
          </w:p>
        </w:tc>
        <w:tc>
          <w:tcPr>
            <w:tcW w:w="1580" w:type="dxa"/>
            <w:shd w:val="clear" w:color="auto" w:fill="BFBFBF" w:themeFill="background1" w:themeFillShade="BF"/>
            <w:noWrap/>
            <w:vAlign w:val="center"/>
            <w:hideMark/>
          </w:tcPr>
          <w:p w:rsidR="00A9706E" w:rsidRPr="00990B74" w:rsidRDefault="00A9706E" w:rsidP="00031B92">
            <w:pPr>
              <w:jc w:val="center"/>
              <w:rPr>
                <w:rFonts w:eastAsia="Times New Roman" w:cs="Times New Roman"/>
                <w:b/>
                <w:color w:val="000000"/>
                <w:lang w:eastAsia="en-GB"/>
              </w:rPr>
            </w:pPr>
            <w:r w:rsidRPr="00990B74">
              <w:rPr>
                <w:rFonts w:eastAsia="Times New Roman" w:cs="Times New Roman"/>
                <w:b/>
                <w:color w:val="000000"/>
                <w:lang w:eastAsia="en-GB"/>
              </w:rPr>
              <w:t>Women</w:t>
            </w:r>
          </w:p>
        </w:tc>
        <w:tc>
          <w:tcPr>
            <w:tcW w:w="1540" w:type="dxa"/>
            <w:shd w:val="clear" w:color="auto" w:fill="BFBFBF" w:themeFill="background1" w:themeFillShade="BF"/>
            <w:noWrap/>
            <w:vAlign w:val="center"/>
            <w:hideMark/>
          </w:tcPr>
          <w:p w:rsidR="00A9706E" w:rsidRPr="00990B74" w:rsidRDefault="00A9706E" w:rsidP="00031B92">
            <w:pPr>
              <w:jc w:val="center"/>
              <w:rPr>
                <w:rFonts w:eastAsia="Times New Roman" w:cs="Times New Roman"/>
                <w:b/>
                <w:color w:val="000000"/>
                <w:lang w:eastAsia="en-GB"/>
              </w:rPr>
            </w:pPr>
            <w:r w:rsidRPr="00990B74">
              <w:rPr>
                <w:rFonts w:eastAsia="Times New Roman" w:cs="Times New Roman"/>
                <w:b/>
                <w:color w:val="000000"/>
                <w:lang w:eastAsia="en-GB"/>
              </w:rPr>
              <w:t>% Difference</w:t>
            </w:r>
          </w:p>
        </w:tc>
      </w:tr>
      <w:tr w:rsidR="00A9706E" w:rsidRPr="00990B74" w:rsidTr="00031B92">
        <w:trPr>
          <w:trHeight w:val="255"/>
          <w:jc w:val="center"/>
        </w:trPr>
        <w:tc>
          <w:tcPr>
            <w:tcW w:w="2706" w:type="dxa"/>
            <w:noWrap/>
            <w:vAlign w:val="center"/>
            <w:hideMark/>
          </w:tcPr>
          <w:p w:rsidR="00A9706E" w:rsidRPr="00990B74" w:rsidRDefault="00A9706E" w:rsidP="00031B92">
            <w:pPr>
              <w:jc w:val="both"/>
              <w:rPr>
                <w:rFonts w:eastAsia="Times New Roman" w:cs="Arial"/>
                <w:b/>
                <w:lang w:eastAsia="en-GB"/>
              </w:rPr>
            </w:pPr>
            <w:r w:rsidRPr="00990B74">
              <w:rPr>
                <w:rFonts w:eastAsia="Times New Roman" w:cs="Arial"/>
                <w:b/>
                <w:lang w:eastAsia="en-GB"/>
              </w:rPr>
              <w:t>Barnet</w:t>
            </w:r>
          </w:p>
        </w:tc>
        <w:tc>
          <w:tcPr>
            <w:tcW w:w="1580" w:type="dxa"/>
            <w:noWrap/>
            <w:vAlign w:val="center"/>
            <w:hideMark/>
          </w:tcPr>
          <w:p w:rsidR="00A9706E" w:rsidRPr="00990B74" w:rsidRDefault="00A9706E" w:rsidP="00031B92">
            <w:pPr>
              <w:jc w:val="center"/>
              <w:rPr>
                <w:rFonts w:eastAsia="Times New Roman" w:cs="Arial"/>
                <w:b/>
                <w:lang w:eastAsia="en-GB"/>
              </w:rPr>
            </w:pPr>
            <w:r w:rsidRPr="00990B74">
              <w:rPr>
                <w:rFonts w:eastAsia="Times New Roman" w:cs="Arial"/>
                <w:b/>
                <w:lang w:eastAsia="en-GB"/>
              </w:rPr>
              <w:t>8.8%</w:t>
            </w:r>
          </w:p>
        </w:tc>
        <w:tc>
          <w:tcPr>
            <w:tcW w:w="1580" w:type="dxa"/>
            <w:noWrap/>
            <w:vAlign w:val="center"/>
            <w:hideMark/>
          </w:tcPr>
          <w:p w:rsidR="00A9706E" w:rsidRPr="00990B74" w:rsidRDefault="00A9706E" w:rsidP="00031B92">
            <w:pPr>
              <w:jc w:val="center"/>
              <w:rPr>
                <w:rFonts w:eastAsia="Times New Roman" w:cs="Arial"/>
                <w:b/>
                <w:lang w:eastAsia="en-GB"/>
              </w:rPr>
            </w:pPr>
            <w:r w:rsidRPr="00990B74">
              <w:rPr>
                <w:rFonts w:eastAsia="Times New Roman" w:cs="Arial"/>
                <w:b/>
                <w:lang w:eastAsia="en-GB"/>
              </w:rPr>
              <w:t>16.1%</w:t>
            </w:r>
          </w:p>
        </w:tc>
        <w:tc>
          <w:tcPr>
            <w:tcW w:w="1540" w:type="dxa"/>
            <w:noWrap/>
            <w:vAlign w:val="center"/>
            <w:hideMark/>
          </w:tcPr>
          <w:p w:rsidR="00A9706E" w:rsidRPr="00990B74" w:rsidRDefault="00A9706E" w:rsidP="00031B92">
            <w:pPr>
              <w:jc w:val="center"/>
              <w:rPr>
                <w:rFonts w:eastAsia="Times New Roman" w:cs="Arial"/>
                <w:b/>
                <w:lang w:eastAsia="en-GB"/>
              </w:rPr>
            </w:pPr>
            <w:r w:rsidRPr="00990B74">
              <w:rPr>
                <w:rFonts w:eastAsia="Times New Roman" w:cs="Arial"/>
                <w:b/>
                <w:lang w:eastAsia="en-GB"/>
              </w:rPr>
              <w:t>83.0%</w:t>
            </w:r>
          </w:p>
        </w:tc>
      </w:tr>
      <w:tr w:rsidR="00A9706E" w:rsidRPr="00990B74" w:rsidTr="00031B92">
        <w:trPr>
          <w:trHeight w:val="255"/>
          <w:jc w:val="center"/>
        </w:trPr>
        <w:tc>
          <w:tcPr>
            <w:tcW w:w="2706" w:type="dxa"/>
            <w:noWrap/>
            <w:vAlign w:val="center"/>
            <w:hideMark/>
          </w:tcPr>
          <w:p w:rsidR="00A9706E" w:rsidRPr="00990B74" w:rsidRDefault="00A9706E" w:rsidP="00031B92">
            <w:pPr>
              <w:jc w:val="both"/>
              <w:rPr>
                <w:rFonts w:eastAsia="Times New Roman" w:cs="Arial"/>
                <w:lang w:eastAsia="en-GB"/>
              </w:rPr>
            </w:pPr>
            <w:r w:rsidRPr="00990B74">
              <w:rPr>
                <w:rFonts w:eastAsia="Times New Roman" w:cs="Arial"/>
                <w:lang w:eastAsia="en-GB"/>
              </w:rPr>
              <w:t>Sutton</w:t>
            </w:r>
          </w:p>
        </w:tc>
        <w:tc>
          <w:tcPr>
            <w:tcW w:w="1580" w:type="dxa"/>
            <w:noWrap/>
            <w:vAlign w:val="center"/>
            <w:hideMark/>
          </w:tcPr>
          <w:p w:rsidR="00A9706E" w:rsidRPr="00990B74" w:rsidRDefault="00A9706E" w:rsidP="00031B92">
            <w:pPr>
              <w:jc w:val="center"/>
              <w:rPr>
                <w:rFonts w:eastAsia="Times New Roman" w:cs="Arial"/>
                <w:lang w:eastAsia="en-GB"/>
              </w:rPr>
            </w:pPr>
            <w:r w:rsidRPr="00990B74">
              <w:rPr>
                <w:rFonts w:eastAsia="Times New Roman" w:cs="Arial"/>
                <w:lang w:eastAsia="en-GB"/>
              </w:rPr>
              <w:t>10.0%</w:t>
            </w:r>
          </w:p>
        </w:tc>
        <w:tc>
          <w:tcPr>
            <w:tcW w:w="1580" w:type="dxa"/>
            <w:noWrap/>
            <w:vAlign w:val="center"/>
            <w:hideMark/>
          </w:tcPr>
          <w:p w:rsidR="00A9706E" w:rsidRPr="00990B74" w:rsidRDefault="00A9706E" w:rsidP="00031B92">
            <w:pPr>
              <w:jc w:val="center"/>
              <w:rPr>
                <w:rFonts w:eastAsia="Times New Roman" w:cs="Arial"/>
                <w:lang w:eastAsia="en-GB"/>
              </w:rPr>
            </w:pPr>
            <w:r w:rsidRPr="00990B74">
              <w:rPr>
                <w:rFonts w:eastAsia="Times New Roman" w:cs="Arial"/>
                <w:lang w:eastAsia="en-GB"/>
              </w:rPr>
              <w:t>17.7%</w:t>
            </w:r>
          </w:p>
        </w:tc>
        <w:tc>
          <w:tcPr>
            <w:tcW w:w="1540" w:type="dxa"/>
            <w:noWrap/>
            <w:vAlign w:val="center"/>
            <w:hideMark/>
          </w:tcPr>
          <w:p w:rsidR="00A9706E" w:rsidRPr="00990B74" w:rsidRDefault="00A9706E" w:rsidP="00031B92">
            <w:pPr>
              <w:jc w:val="center"/>
              <w:rPr>
                <w:rFonts w:eastAsia="Times New Roman" w:cs="Arial"/>
                <w:lang w:eastAsia="en-GB"/>
              </w:rPr>
            </w:pPr>
            <w:r w:rsidRPr="00990B74">
              <w:rPr>
                <w:rFonts w:eastAsia="Times New Roman" w:cs="Arial"/>
                <w:lang w:eastAsia="en-GB"/>
              </w:rPr>
              <w:t>77.0%</w:t>
            </w:r>
          </w:p>
        </w:tc>
      </w:tr>
      <w:tr w:rsidR="00A9706E" w:rsidRPr="00990B74" w:rsidTr="00031B92">
        <w:trPr>
          <w:trHeight w:val="255"/>
          <w:jc w:val="center"/>
        </w:trPr>
        <w:tc>
          <w:tcPr>
            <w:tcW w:w="2706" w:type="dxa"/>
            <w:noWrap/>
            <w:vAlign w:val="center"/>
            <w:hideMark/>
          </w:tcPr>
          <w:p w:rsidR="00A9706E" w:rsidRPr="00990B74" w:rsidRDefault="00A9706E" w:rsidP="00031B92">
            <w:pPr>
              <w:jc w:val="both"/>
              <w:rPr>
                <w:rFonts w:eastAsia="Times New Roman" w:cs="Arial"/>
                <w:lang w:eastAsia="en-GB"/>
              </w:rPr>
            </w:pPr>
            <w:r w:rsidRPr="00990B74">
              <w:rPr>
                <w:rFonts w:eastAsia="Times New Roman" w:cs="Arial"/>
                <w:lang w:eastAsia="en-GB"/>
              </w:rPr>
              <w:t>Ealing</w:t>
            </w:r>
          </w:p>
        </w:tc>
        <w:tc>
          <w:tcPr>
            <w:tcW w:w="1580" w:type="dxa"/>
            <w:noWrap/>
            <w:vAlign w:val="center"/>
            <w:hideMark/>
          </w:tcPr>
          <w:p w:rsidR="00A9706E" w:rsidRPr="00990B74" w:rsidRDefault="00A9706E" w:rsidP="00031B92">
            <w:pPr>
              <w:jc w:val="center"/>
              <w:rPr>
                <w:rFonts w:eastAsia="Times New Roman" w:cs="Arial"/>
                <w:lang w:eastAsia="en-GB"/>
              </w:rPr>
            </w:pPr>
            <w:r w:rsidRPr="00990B74">
              <w:rPr>
                <w:rFonts w:eastAsia="Times New Roman" w:cs="Arial"/>
                <w:lang w:eastAsia="en-GB"/>
              </w:rPr>
              <w:t>14.3%</w:t>
            </w:r>
          </w:p>
        </w:tc>
        <w:tc>
          <w:tcPr>
            <w:tcW w:w="1580" w:type="dxa"/>
            <w:noWrap/>
            <w:vAlign w:val="center"/>
            <w:hideMark/>
          </w:tcPr>
          <w:p w:rsidR="00A9706E" w:rsidRPr="00990B74" w:rsidRDefault="00A9706E" w:rsidP="00031B92">
            <w:pPr>
              <w:jc w:val="center"/>
              <w:rPr>
                <w:rFonts w:eastAsia="Times New Roman" w:cs="Arial"/>
                <w:lang w:eastAsia="en-GB"/>
              </w:rPr>
            </w:pPr>
            <w:r w:rsidRPr="00990B74">
              <w:rPr>
                <w:rFonts w:eastAsia="Times New Roman" w:cs="Arial"/>
                <w:lang w:eastAsia="en-GB"/>
              </w:rPr>
              <w:t>21.0%</w:t>
            </w:r>
          </w:p>
        </w:tc>
        <w:tc>
          <w:tcPr>
            <w:tcW w:w="1540" w:type="dxa"/>
            <w:noWrap/>
            <w:vAlign w:val="center"/>
            <w:hideMark/>
          </w:tcPr>
          <w:p w:rsidR="00A9706E" w:rsidRPr="00990B74" w:rsidRDefault="00A9706E" w:rsidP="00031B92">
            <w:pPr>
              <w:jc w:val="center"/>
              <w:rPr>
                <w:rFonts w:eastAsia="Times New Roman" w:cs="Arial"/>
                <w:lang w:eastAsia="en-GB"/>
              </w:rPr>
            </w:pPr>
            <w:r w:rsidRPr="00990B74">
              <w:rPr>
                <w:rFonts w:eastAsia="Times New Roman" w:cs="Arial"/>
                <w:lang w:eastAsia="en-GB"/>
              </w:rPr>
              <w:t>46.9%</w:t>
            </w:r>
          </w:p>
        </w:tc>
      </w:tr>
      <w:tr w:rsidR="00A9706E" w:rsidRPr="00990B74" w:rsidTr="00031B92">
        <w:trPr>
          <w:trHeight w:val="255"/>
          <w:jc w:val="center"/>
        </w:trPr>
        <w:tc>
          <w:tcPr>
            <w:tcW w:w="2706" w:type="dxa"/>
            <w:noWrap/>
            <w:vAlign w:val="center"/>
            <w:hideMark/>
          </w:tcPr>
          <w:p w:rsidR="00A9706E" w:rsidRPr="00990B74" w:rsidRDefault="00A9706E" w:rsidP="00031B92">
            <w:pPr>
              <w:jc w:val="both"/>
              <w:rPr>
                <w:rFonts w:eastAsia="Times New Roman" w:cs="Arial"/>
                <w:lang w:eastAsia="en-GB"/>
              </w:rPr>
            </w:pPr>
            <w:r w:rsidRPr="00990B74">
              <w:rPr>
                <w:rFonts w:eastAsia="Times New Roman" w:cs="Arial"/>
                <w:lang w:eastAsia="en-GB"/>
              </w:rPr>
              <w:t>Hounslow</w:t>
            </w:r>
          </w:p>
        </w:tc>
        <w:tc>
          <w:tcPr>
            <w:tcW w:w="1580" w:type="dxa"/>
            <w:noWrap/>
            <w:vAlign w:val="center"/>
            <w:hideMark/>
          </w:tcPr>
          <w:p w:rsidR="00A9706E" w:rsidRPr="00990B74" w:rsidRDefault="00A9706E" w:rsidP="00031B92">
            <w:pPr>
              <w:jc w:val="center"/>
              <w:rPr>
                <w:rFonts w:eastAsia="Times New Roman" w:cs="Arial"/>
                <w:lang w:eastAsia="en-GB"/>
              </w:rPr>
            </w:pPr>
            <w:r w:rsidRPr="00990B74">
              <w:rPr>
                <w:rFonts w:eastAsia="Times New Roman" w:cs="Arial"/>
                <w:lang w:eastAsia="en-GB"/>
              </w:rPr>
              <w:t>12.3%</w:t>
            </w:r>
          </w:p>
        </w:tc>
        <w:tc>
          <w:tcPr>
            <w:tcW w:w="1580" w:type="dxa"/>
            <w:noWrap/>
            <w:vAlign w:val="center"/>
            <w:hideMark/>
          </w:tcPr>
          <w:p w:rsidR="00A9706E" w:rsidRPr="00990B74" w:rsidRDefault="00A9706E" w:rsidP="00031B92">
            <w:pPr>
              <w:jc w:val="center"/>
              <w:rPr>
                <w:rFonts w:eastAsia="Times New Roman" w:cs="Arial"/>
                <w:lang w:eastAsia="en-GB"/>
              </w:rPr>
            </w:pPr>
            <w:r w:rsidRPr="00990B74">
              <w:rPr>
                <w:rFonts w:eastAsia="Times New Roman" w:cs="Arial"/>
                <w:lang w:eastAsia="en-GB"/>
              </w:rPr>
              <w:t>17.1%</w:t>
            </w:r>
          </w:p>
        </w:tc>
        <w:tc>
          <w:tcPr>
            <w:tcW w:w="1540" w:type="dxa"/>
            <w:noWrap/>
            <w:vAlign w:val="center"/>
            <w:hideMark/>
          </w:tcPr>
          <w:p w:rsidR="00A9706E" w:rsidRPr="00990B74" w:rsidRDefault="00A9706E" w:rsidP="00031B92">
            <w:pPr>
              <w:jc w:val="center"/>
              <w:rPr>
                <w:rFonts w:eastAsia="Times New Roman" w:cs="Arial"/>
                <w:lang w:eastAsia="en-GB"/>
              </w:rPr>
            </w:pPr>
            <w:r w:rsidRPr="00990B74">
              <w:rPr>
                <w:rFonts w:eastAsia="Times New Roman" w:cs="Arial"/>
                <w:lang w:eastAsia="en-GB"/>
              </w:rPr>
              <w:t>39.0%</w:t>
            </w:r>
          </w:p>
        </w:tc>
      </w:tr>
      <w:tr w:rsidR="00A9706E" w:rsidRPr="00990B74" w:rsidTr="00031B92">
        <w:trPr>
          <w:trHeight w:val="255"/>
          <w:jc w:val="center"/>
        </w:trPr>
        <w:tc>
          <w:tcPr>
            <w:tcW w:w="2706" w:type="dxa"/>
            <w:noWrap/>
            <w:vAlign w:val="center"/>
            <w:hideMark/>
          </w:tcPr>
          <w:p w:rsidR="00A9706E" w:rsidRPr="00990B74" w:rsidRDefault="00A9706E" w:rsidP="00031B92">
            <w:pPr>
              <w:jc w:val="both"/>
              <w:rPr>
                <w:rFonts w:eastAsia="Times New Roman" w:cs="Arial"/>
                <w:lang w:eastAsia="en-GB"/>
              </w:rPr>
            </w:pPr>
            <w:r w:rsidRPr="00990B74">
              <w:rPr>
                <w:rFonts w:eastAsia="Times New Roman" w:cs="Arial"/>
                <w:lang w:eastAsia="en-GB"/>
              </w:rPr>
              <w:t>Reading</w:t>
            </w:r>
          </w:p>
        </w:tc>
        <w:tc>
          <w:tcPr>
            <w:tcW w:w="1580" w:type="dxa"/>
            <w:noWrap/>
            <w:vAlign w:val="center"/>
            <w:hideMark/>
          </w:tcPr>
          <w:p w:rsidR="00A9706E" w:rsidRPr="00990B74" w:rsidRDefault="00A9706E" w:rsidP="00031B92">
            <w:pPr>
              <w:jc w:val="center"/>
              <w:rPr>
                <w:rFonts w:eastAsia="Times New Roman" w:cs="Arial"/>
                <w:lang w:eastAsia="en-GB"/>
              </w:rPr>
            </w:pPr>
            <w:r w:rsidRPr="00990B74">
              <w:rPr>
                <w:rFonts w:eastAsia="Times New Roman" w:cs="Arial"/>
                <w:lang w:eastAsia="en-GB"/>
              </w:rPr>
              <w:t>11.1%</w:t>
            </w:r>
          </w:p>
        </w:tc>
        <w:tc>
          <w:tcPr>
            <w:tcW w:w="1580" w:type="dxa"/>
            <w:noWrap/>
            <w:vAlign w:val="center"/>
            <w:hideMark/>
          </w:tcPr>
          <w:p w:rsidR="00A9706E" w:rsidRPr="00990B74" w:rsidRDefault="00A9706E" w:rsidP="00031B92">
            <w:pPr>
              <w:jc w:val="center"/>
              <w:rPr>
                <w:rFonts w:eastAsia="Times New Roman" w:cs="Arial"/>
                <w:lang w:eastAsia="en-GB"/>
              </w:rPr>
            </w:pPr>
            <w:r w:rsidRPr="00990B74">
              <w:rPr>
                <w:rFonts w:eastAsia="Times New Roman" w:cs="Arial"/>
                <w:lang w:eastAsia="en-GB"/>
              </w:rPr>
              <w:t>15.2%</w:t>
            </w:r>
          </w:p>
        </w:tc>
        <w:tc>
          <w:tcPr>
            <w:tcW w:w="1540" w:type="dxa"/>
            <w:noWrap/>
            <w:vAlign w:val="center"/>
            <w:hideMark/>
          </w:tcPr>
          <w:p w:rsidR="00A9706E" w:rsidRPr="00990B74" w:rsidRDefault="00A9706E" w:rsidP="00031B92">
            <w:pPr>
              <w:jc w:val="center"/>
              <w:rPr>
                <w:rFonts w:eastAsia="Times New Roman" w:cs="Arial"/>
                <w:lang w:eastAsia="en-GB"/>
              </w:rPr>
            </w:pPr>
            <w:r w:rsidRPr="00990B74">
              <w:rPr>
                <w:rFonts w:eastAsia="Times New Roman" w:cs="Arial"/>
                <w:lang w:eastAsia="en-GB"/>
              </w:rPr>
              <w:t>36.9%</w:t>
            </w:r>
          </w:p>
        </w:tc>
      </w:tr>
      <w:tr w:rsidR="00A9706E" w:rsidRPr="00990B74" w:rsidTr="00031B92">
        <w:trPr>
          <w:trHeight w:val="255"/>
          <w:jc w:val="center"/>
        </w:trPr>
        <w:tc>
          <w:tcPr>
            <w:tcW w:w="2706" w:type="dxa"/>
            <w:noWrap/>
            <w:vAlign w:val="center"/>
            <w:hideMark/>
          </w:tcPr>
          <w:p w:rsidR="00A9706E" w:rsidRPr="00990B74" w:rsidRDefault="00A9706E" w:rsidP="00031B92">
            <w:pPr>
              <w:jc w:val="both"/>
              <w:rPr>
                <w:rFonts w:eastAsia="Times New Roman" w:cs="Arial"/>
                <w:lang w:eastAsia="en-GB"/>
              </w:rPr>
            </w:pPr>
            <w:r w:rsidRPr="00990B74">
              <w:rPr>
                <w:rFonts w:eastAsia="Times New Roman" w:cs="Arial"/>
                <w:lang w:eastAsia="en-GB"/>
              </w:rPr>
              <w:t>Redbridge</w:t>
            </w:r>
          </w:p>
        </w:tc>
        <w:tc>
          <w:tcPr>
            <w:tcW w:w="1580" w:type="dxa"/>
            <w:noWrap/>
            <w:vAlign w:val="center"/>
            <w:hideMark/>
          </w:tcPr>
          <w:p w:rsidR="00A9706E" w:rsidRPr="00990B74" w:rsidRDefault="00A9706E" w:rsidP="00031B92">
            <w:pPr>
              <w:jc w:val="center"/>
              <w:rPr>
                <w:rFonts w:eastAsia="Times New Roman" w:cs="Arial"/>
                <w:lang w:eastAsia="en-GB"/>
              </w:rPr>
            </w:pPr>
            <w:r w:rsidRPr="00990B74">
              <w:rPr>
                <w:rFonts w:eastAsia="Times New Roman" w:cs="Arial"/>
                <w:lang w:eastAsia="en-GB"/>
              </w:rPr>
              <w:t>15.0%</w:t>
            </w:r>
          </w:p>
        </w:tc>
        <w:tc>
          <w:tcPr>
            <w:tcW w:w="1580" w:type="dxa"/>
            <w:noWrap/>
            <w:vAlign w:val="center"/>
            <w:hideMark/>
          </w:tcPr>
          <w:p w:rsidR="00A9706E" w:rsidRPr="00990B74" w:rsidRDefault="00A9706E" w:rsidP="00031B92">
            <w:pPr>
              <w:jc w:val="center"/>
              <w:rPr>
                <w:rFonts w:eastAsia="Times New Roman" w:cs="Arial"/>
                <w:lang w:eastAsia="en-GB"/>
              </w:rPr>
            </w:pPr>
            <w:r w:rsidRPr="00990B74">
              <w:rPr>
                <w:rFonts w:eastAsia="Times New Roman" w:cs="Arial"/>
                <w:lang w:eastAsia="en-GB"/>
              </w:rPr>
              <w:t>20.4%</w:t>
            </w:r>
          </w:p>
        </w:tc>
        <w:tc>
          <w:tcPr>
            <w:tcW w:w="1540" w:type="dxa"/>
            <w:noWrap/>
            <w:vAlign w:val="center"/>
            <w:hideMark/>
          </w:tcPr>
          <w:p w:rsidR="00A9706E" w:rsidRPr="00990B74" w:rsidRDefault="00A9706E" w:rsidP="00031B92">
            <w:pPr>
              <w:jc w:val="center"/>
              <w:rPr>
                <w:rFonts w:eastAsia="Times New Roman" w:cs="Arial"/>
                <w:lang w:eastAsia="en-GB"/>
              </w:rPr>
            </w:pPr>
            <w:r w:rsidRPr="00990B74">
              <w:rPr>
                <w:rFonts w:eastAsia="Times New Roman" w:cs="Arial"/>
                <w:lang w:eastAsia="en-GB"/>
              </w:rPr>
              <w:t>36.0%</w:t>
            </w:r>
          </w:p>
        </w:tc>
      </w:tr>
      <w:tr w:rsidR="00A9706E" w:rsidRPr="00990B74" w:rsidTr="00031B92">
        <w:trPr>
          <w:trHeight w:val="255"/>
          <w:jc w:val="center"/>
        </w:trPr>
        <w:tc>
          <w:tcPr>
            <w:tcW w:w="2706" w:type="dxa"/>
            <w:noWrap/>
            <w:vAlign w:val="center"/>
            <w:hideMark/>
          </w:tcPr>
          <w:p w:rsidR="00A9706E" w:rsidRPr="00990B74" w:rsidRDefault="00A9706E" w:rsidP="00031B92">
            <w:pPr>
              <w:jc w:val="both"/>
              <w:rPr>
                <w:rFonts w:eastAsia="Times New Roman" w:cs="Arial"/>
                <w:lang w:eastAsia="en-GB"/>
              </w:rPr>
            </w:pPr>
            <w:r w:rsidRPr="00990B74">
              <w:rPr>
                <w:rFonts w:eastAsia="Times New Roman" w:cs="Arial"/>
                <w:lang w:eastAsia="en-GB"/>
              </w:rPr>
              <w:t>Outer London</w:t>
            </w:r>
          </w:p>
        </w:tc>
        <w:tc>
          <w:tcPr>
            <w:tcW w:w="1580" w:type="dxa"/>
            <w:noWrap/>
            <w:vAlign w:val="center"/>
            <w:hideMark/>
          </w:tcPr>
          <w:p w:rsidR="00A9706E" w:rsidRPr="00990B74" w:rsidRDefault="00A9706E" w:rsidP="00031B92">
            <w:pPr>
              <w:jc w:val="center"/>
              <w:rPr>
                <w:rFonts w:eastAsia="Times New Roman" w:cs="Arial"/>
                <w:lang w:eastAsia="en-GB"/>
              </w:rPr>
            </w:pPr>
            <w:r w:rsidRPr="00990B74">
              <w:rPr>
                <w:rFonts w:eastAsia="Times New Roman" w:cs="Arial"/>
                <w:lang w:eastAsia="en-GB"/>
              </w:rPr>
              <w:t>14.1%</w:t>
            </w:r>
          </w:p>
        </w:tc>
        <w:tc>
          <w:tcPr>
            <w:tcW w:w="1580" w:type="dxa"/>
            <w:noWrap/>
            <w:vAlign w:val="center"/>
            <w:hideMark/>
          </w:tcPr>
          <w:p w:rsidR="00A9706E" w:rsidRPr="00990B74" w:rsidRDefault="00A9706E" w:rsidP="00031B92">
            <w:pPr>
              <w:jc w:val="center"/>
              <w:rPr>
                <w:rFonts w:eastAsia="Times New Roman" w:cs="Arial"/>
                <w:lang w:eastAsia="en-GB"/>
              </w:rPr>
            </w:pPr>
            <w:r w:rsidRPr="00990B74">
              <w:rPr>
                <w:rFonts w:eastAsia="Times New Roman" w:cs="Arial"/>
                <w:lang w:eastAsia="en-GB"/>
              </w:rPr>
              <w:t>18.2%</w:t>
            </w:r>
          </w:p>
        </w:tc>
        <w:tc>
          <w:tcPr>
            <w:tcW w:w="1540" w:type="dxa"/>
            <w:noWrap/>
            <w:vAlign w:val="center"/>
            <w:hideMark/>
          </w:tcPr>
          <w:p w:rsidR="00A9706E" w:rsidRPr="00990B74" w:rsidRDefault="00A9706E" w:rsidP="00031B92">
            <w:pPr>
              <w:jc w:val="center"/>
              <w:rPr>
                <w:rFonts w:eastAsia="Times New Roman" w:cs="Arial"/>
                <w:lang w:eastAsia="en-GB"/>
              </w:rPr>
            </w:pPr>
            <w:r w:rsidRPr="00990B74">
              <w:rPr>
                <w:rFonts w:eastAsia="Times New Roman" w:cs="Arial"/>
                <w:lang w:eastAsia="en-GB"/>
              </w:rPr>
              <w:t>29.1%</w:t>
            </w:r>
          </w:p>
        </w:tc>
      </w:tr>
      <w:tr w:rsidR="00A9706E" w:rsidRPr="00990B74" w:rsidTr="00031B92">
        <w:trPr>
          <w:trHeight w:val="255"/>
          <w:jc w:val="center"/>
        </w:trPr>
        <w:tc>
          <w:tcPr>
            <w:tcW w:w="2706" w:type="dxa"/>
            <w:noWrap/>
            <w:vAlign w:val="center"/>
            <w:hideMark/>
          </w:tcPr>
          <w:p w:rsidR="00A9706E" w:rsidRPr="00990B74" w:rsidRDefault="00A9706E" w:rsidP="00031B92">
            <w:pPr>
              <w:jc w:val="both"/>
              <w:rPr>
                <w:rFonts w:eastAsia="Times New Roman" w:cs="Arial"/>
                <w:lang w:eastAsia="en-GB"/>
              </w:rPr>
            </w:pPr>
            <w:r w:rsidRPr="00990B74">
              <w:rPr>
                <w:rFonts w:eastAsia="Times New Roman" w:cs="Arial"/>
                <w:lang w:eastAsia="en-GB"/>
              </w:rPr>
              <w:t>Milton Keynes</w:t>
            </w:r>
          </w:p>
        </w:tc>
        <w:tc>
          <w:tcPr>
            <w:tcW w:w="1580" w:type="dxa"/>
            <w:noWrap/>
            <w:vAlign w:val="center"/>
            <w:hideMark/>
          </w:tcPr>
          <w:p w:rsidR="00A9706E" w:rsidRPr="00990B74" w:rsidRDefault="00A9706E" w:rsidP="00031B92">
            <w:pPr>
              <w:jc w:val="center"/>
              <w:rPr>
                <w:rFonts w:eastAsia="Times New Roman" w:cs="Arial"/>
                <w:lang w:eastAsia="en-GB"/>
              </w:rPr>
            </w:pPr>
            <w:r w:rsidRPr="00990B74">
              <w:rPr>
                <w:rFonts w:eastAsia="Times New Roman" w:cs="Arial"/>
                <w:lang w:eastAsia="en-GB"/>
              </w:rPr>
              <w:t>15.8%</w:t>
            </w:r>
          </w:p>
        </w:tc>
        <w:tc>
          <w:tcPr>
            <w:tcW w:w="1580" w:type="dxa"/>
            <w:noWrap/>
            <w:vAlign w:val="center"/>
            <w:hideMark/>
          </w:tcPr>
          <w:p w:rsidR="00A9706E" w:rsidRPr="00990B74" w:rsidRDefault="00A9706E" w:rsidP="00031B92">
            <w:pPr>
              <w:jc w:val="center"/>
              <w:rPr>
                <w:rFonts w:eastAsia="Times New Roman" w:cs="Arial"/>
                <w:lang w:eastAsia="en-GB"/>
              </w:rPr>
            </w:pPr>
            <w:r w:rsidRPr="00990B74">
              <w:rPr>
                <w:rFonts w:eastAsia="Times New Roman" w:cs="Arial"/>
                <w:lang w:eastAsia="en-GB"/>
              </w:rPr>
              <w:t>19.3%</w:t>
            </w:r>
          </w:p>
        </w:tc>
        <w:tc>
          <w:tcPr>
            <w:tcW w:w="1540" w:type="dxa"/>
            <w:noWrap/>
            <w:vAlign w:val="center"/>
            <w:hideMark/>
          </w:tcPr>
          <w:p w:rsidR="00A9706E" w:rsidRPr="00990B74" w:rsidRDefault="00A9706E" w:rsidP="00031B92">
            <w:pPr>
              <w:jc w:val="center"/>
              <w:rPr>
                <w:rFonts w:eastAsia="Times New Roman" w:cs="Arial"/>
                <w:lang w:eastAsia="en-GB"/>
              </w:rPr>
            </w:pPr>
            <w:r w:rsidRPr="00990B74">
              <w:rPr>
                <w:rFonts w:eastAsia="Times New Roman" w:cs="Arial"/>
                <w:lang w:eastAsia="en-GB"/>
              </w:rPr>
              <w:t>22.2%</w:t>
            </w:r>
          </w:p>
        </w:tc>
      </w:tr>
      <w:tr w:rsidR="00A9706E" w:rsidRPr="00990B74" w:rsidTr="00031B92">
        <w:trPr>
          <w:trHeight w:val="255"/>
          <w:jc w:val="center"/>
        </w:trPr>
        <w:tc>
          <w:tcPr>
            <w:tcW w:w="2706" w:type="dxa"/>
            <w:noWrap/>
            <w:vAlign w:val="center"/>
            <w:hideMark/>
          </w:tcPr>
          <w:p w:rsidR="00A9706E" w:rsidRPr="00990B74" w:rsidRDefault="00A9706E" w:rsidP="00031B92">
            <w:pPr>
              <w:jc w:val="both"/>
              <w:rPr>
                <w:rFonts w:eastAsia="Times New Roman" w:cs="Arial"/>
                <w:lang w:eastAsia="en-GB"/>
              </w:rPr>
            </w:pPr>
            <w:r w:rsidRPr="00990B74">
              <w:rPr>
                <w:rFonts w:eastAsia="Times New Roman" w:cs="Arial"/>
                <w:lang w:eastAsia="en-GB"/>
              </w:rPr>
              <w:t>United Kingdom</w:t>
            </w:r>
          </w:p>
        </w:tc>
        <w:tc>
          <w:tcPr>
            <w:tcW w:w="1580" w:type="dxa"/>
            <w:noWrap/>
            <w:vAlign w:val="center"/>
            <w:hideMark/>
          </w:tcPr>
          <w:p w:rsidR="00A9706E" w:rsidRPr="00990B74" w:rsidRDefault="00A9706E" w:rsidP="00031B92">
            <w:pPr>
              <w:jc w:val="center"/>
              <w:rPr>
                <w:rFonts w:eastAsia="Times New Roman" w:cs="Arial"/>
                <w:lang w:eastAsia="en-GB"/>
              </w:rPr>
            </w:pPr>
            <w:r w:rsidRPr="00990B74">
              <w:rPr>
                <w:rFonts w:eastAsia="Times New Roman" w:cs="Arial"/>
                <w:lang w:eastAsia="en-GB"/>
              </w:rPr>
              <w:t>17.6%</w:t>
            </w:r>
          </w:p>
        </w:tc>
        <w:tc>
          <w:tcPr>
            <w:tcW w:w="1580" w:type="dxa"/>
            <w:noWrap/>
            <w:vAlign w:val="center"/>
            <w:hideMark/>
          </w:tcPr>
          <w:p w:rsidR="00A9706E" w:rsidRPr="00990B74" w:rsidRDefault="00A9706E" w:rsidP="00031B92">
            <w:pPr>
              <w:jc w:val="center"/>
              <w:rPr>
                <w:rFonts w:eastAsia="Times New Roman" w:cs="Arial"/>
                <w:lang w:eastAsia="en-GB"/>
              </w:rPr>
            </w:pPr>
            <w:r w:rsidRPr="00990B74">
              <w:rPr>
                <w:rFonts w:eastAsia="Times New Roman" w:cs="Arial"/>
                <w:lang w:eastAsia="en-GB"/>
              </w:rPr>
              <w:t>20.4%</w:t>
            </w:r>
          </w:p>
        </w:tc>
        <w:tc>
          <w:tcPr>
            <w:tcW w:w="1540" w:type="dxa"/>
            <w:noWrap/>
            <w:vAlign w:val="center"/>
            <w:hideMark/>
          </w:tcPr>
          <w:p w:rsidR="00A9706E" w:rsidRPr="00990B74" w:rsidRDefault="00A9706E" w:rsidP="00031B92">
            <w:pPr>
              <w:jc w:val="center"/>
              <w:rPr>
                <w:rFonts w:eastAsia="Times New Roman" w:cs="Arial"/>
                <w:lang w:eastAsia="en-GB"/>
              </w:rPr>
            </w:pPr>
            <w:r w:rsidRPr="00990B74">
              <w:rPr>
                <w:rFonts w:eastAsia="Times New Roman" w:cs="Arial"/>
                <w:lang w:eastAsia="en-GB"/>
              </w:rPr>
              <w:t>15.9%</w:t>
            </w:r>
          </w:p>
        </w:tc>
      </w:tr>
      <w:tr w:rsidR="00A9706E" w:rsidRPr="00990B74" w:rsidTr="00031B92">
        <w:trPr>
          <w:trHeight w:val="255"/>
          <w:jc w:val="center"/>
        </w:trPr>
        <w:tc>
          <w:tcPr>
            <w:tcW w:w="2706" w:type="dxa"/>
            <w:noWrap/>
            <w:vAlign w:val="center"/>
            <w:hideMark/>
          </w:tcPr>
          <w:p w:rsidR="00A9706E" w:rsidRPr="00990B74" w:rsidRDefault="00A9706E" w:rsidP="00031B92">
            <w:pPr>
              <w:jc w:val="both"/>
              <w:rPr>
                <w:rFonts w:eastAsia="Times New Roman" w:cs="Arial"/>
                <w:lang w:eastAsia="en-GB"/>
              </w:rPr>
            </w:pPr>
            <w:r w:rsidRPr="00990B74">
              <w:rPr>
                <w:rFonts w:eastAsia="Times New Roman" w:cs="Arial"/>
                <w:lang w:eastAsia="en-GB"/>
              </w:rPr>
              <w:t>Hillingdon</w:t>
            </w:r>
          </w:p>
        </w:tc>
        <w:tc>
          <w:tcPr>
            <w:tcW w:w="1580" w:type="dxa"/>
            <w:noWrap/>
            <w:vAlign w:val="center"/>
            <w:hideMark/>
          </w:tcPr>
          <w:p w:rsidR="00A9706E" w:rsidRPr="00990B74" w:rsidRDefault="00A9706E" w:rsidP="00031B92">
            <w:pPr>
              <w:jc w:val="center"/>
              <w:rPr>
                <w:rFonts w:eastAsia="Times New Roman" w:cs="Arial"/>
                <w:lang w:eastAsia="en-GB"/>
              </w:rPr>
            </w:pPr>
            <w:r w:rsidRPr="00990B74">
              <w:rPr>
                <w:rFonts w:eastAsia="Times New Roman" w:cs="Arial"/>
                <w:lang w:eastAsia="en-GB"/>
              </w:rPr>
              <w:t>15.6%</w:t>
            </w:r>
          </w:p>
        </w:tc>
        <w:tc>
          <w:tcPr>
            <w:tcW w:w="1580" w:type="dxa"/>
            <w:noWrap/>
            <w:vAlign w:val="center"/>
            <w:hideMark/>
          </w:tcPr>
          <w:p w:rsidR="00A9706E" w:rsidRPr="00990B74" w:rsidRDefault="00A9706E" w:rsidP="00031B92">
            <w:pPr>
              <w:jc w:val="center"/>
              <w:rPr>
                <w:rFonts w:eastAsia="Times New Roman" w:cs="Arial"/>
                <w:lang w:eastAsia="en-GB"/>
              </w:rPr>
            </w:pPr>
            <w:r w:rsidRPr="00990B74">
              <w:rPr>
                <w:rFonts w:eastAsia="Times New Roman" w:cs="Arial"/>
                <w:lang w:eastAsia="en-GB"/>
              </w:rPr>
              <w:t>16.6%</w:t>
            </w:r>
          </w:p>
        </w:tc>
        <w:tc>
          <w:tcPr>
            <w:tcW w:w="1540" w:type="dxa"/>
            <w:noWrap/>
            <w:vAlign w:val="center"/>
            <w:hideMark/>
          </w:tcPr>
          <w:p w:rsidR="00A9706E" w:rsidRPr="00990B74" w:rsidRDefault="00A9706E" w:rsidP="00031B92">
            <w:pPr>
              <w:jc w:val="center"/>
              <w:rPr>
                <w:rFonts w:eastAsia="Times New Roman" w:cs="Arial"/>
                <w:lang w:eastAsia="en-GB"/>
              </w:rPr>
            </w:pPr>
            <w:r w:rsidRPr="00990B74">
              <w:rPr>
                <w:rFonts w:eastAsia="Times New Roman" w:cs="Arial"/>
                <w:lang w:eastAsia="en-GB"/>
              </w:rPr>
              <w:t>6.4%</w:t>
            </w:r>
          </w:p>
        </w:tc>
      </w:tr>
      <w:tr w:rsidR="00A9706E" w:rsidRPr="00990B74" w:rsidTr="00031B92">
        <w:trPr>
          <w:trHeight w:val="255"/>
          <w:jc w:val="center"/>
        </w:trPr>
        <w:tc>
          <w:tcPr>
            <w:tcW w:w="2706" w:type="dxa"/>
            <w:noWrap/>
            <w:vAlign w:val="center"/>
            <w:hideMark/>
          </w:tcPr>
          <w:p w:rsidR="00A9706E" w:rsidRPr="00990B74" w:rsidRDefault="00A9706E" w:rsidP="00031B92">
            <w:pPr>
              <w:jc w:val="both"/>
              <w:rPr>
                <w:rFonts w:eastAsia="Times New Roman" w:cs="Arial"/>
                <w:lang w:eastAsia="en-GB"/>
              </w:rPr>
            </w:pPr>
            <w:r w:rsidRPr="00990B74">
              <w:rPr>
                <w:rFonts w:eastAsia="Times New Roman" w:cs="Arial"/>
                <w:lang w:eastAsia="en-GB"/>
              </w:rPr>
              <w:t>Kingston upon Thames</w:t>
            </w:r>
          </w:p>
        </w:tc>
        <w:tc>
          <w:tcPr>
            <w:tcW w:w="1580" w:type="dxa"/>
            <w:noWrap/>
            <w:vAlign w:val="center"/>
            <w:hideMark/>
          </w:tcPr>
          <w:p w:rsidR="00A9706E" w:rsidRPr="00990B74" w:rsidRDefault="00A9706E" w:rsidP="00031B92">
            <w:pPr>
              <w:jc w:val="center"/>
              <w:rPr>
                <w:rFonts w:eastAsia="Times New Roman" w:cs="Arial"/>
                <w:lang w:eastAsia="en-GB"/>
              </w:rPr>
            </w:pPr>
            <w:r w:rsidRPr="00990B74">
              <w:rPr>
                <w:rFonts w:eastAsia="Times New Roman" w:cs="Arial"/>
                <w:lang w:eastAsia="en-GB"/>
              </w:rPr>
              <w:t>13.1%</w:t>
            </w:r>
          </w:p>
        </w:tc>
        <w:tc>
          <w:tcPr>
            <w:tcW w:w="1580" w:type="dxa"/>
            <w:noWrap/>
            <w:vAlign w:val="center"/>
            <w:hideMark/>
          </w:tcPr>
          <w:p w:rsidR="00A9706E" w:rsidRPr="00990B74" w:rsidRDefault="00A9706E" w:rsidP="00031B92">
            <w:pPr>
              <w:jc w:val="center"/>
              <w:rPr>
                <w:rFonts w:eastAsia="Times New Roman" w:cs="Arial"/>
                <w:lang w:eastAsia="en-GB"/>
              </w:rPr>
            </w:pPr>
            <w:r w:rsidRPr="00990B74">
              <w:rPr>
                <w:rFonts w:eastAsia="Times New Roman" w:cs="Arial"/>
                <w:lang w:eastAsia="en-GB"/>
              </w:rPr>
              <w:t>13.4%</w:t>
            </w:r>
          </w:p>
        </w:tc>
        <w:tc>
          <w:tcPr>
            <w:tcW w:w="1540" w:type="dxa"/>
            <w:noWrap/>
            <w:vAlign w:val="center"/>
            <w:hideMark/>
          </w:tcPr>
          <w:p w:rsidR="00A9706E" w:rsidRPr="00990B74" w:rsidRDefault="00A9706E" w:rsidP="00031B92">
            <w:pPr>
              <w:jc w:val="center"/>
              <w:rPr>
                <w:rFonts w:eastAsia="Times New Roman" w:cs="Arial"/>
                <w:lang w:eastAsia="en-GB"/>
              </w:rPr>
            </w:pPr>
            <w:r w:rsidRPr="00990B74">
              <w:rPr>
                <w:rFonts w:eastAsia="Times New Roman" w:cs="Arial"/>
                <w:lang w:eastAsia="en-GB"/>
              </w:rPr>
              <w:t>2.3%</w:t>
            </w:r>
          </w:p>
        </w:tc>
      </w:tr>
      <w:tr w:rsidR="00A9706E" w:rsidRPr="00990B74" w:rsidTr="00031B92">
        <w:trPr>
          <w:trHeight w:val="255"/>
          <w:jc w:val="center"/>
        </w:trPr>
        <w:tc>
          <w:tcPr>
            <w:tcW w:w="2706" w:type="dxa"/>
            <w:noWrap/>
            <w:vAlign w:val="center"/>
            <w:hideMark/>
          </w:tcPr>
          <w:p w:rsidR="00A9706E" w:rsidRPr="00990B74" w:rsidRDefault="00A9706E" w:rsidP="00031B92">
            <w:pPr>
              <w:jc w:val="both"/>
              <w:rPr>
                <w:rFonts w:eastAsia="Times New Roman" w:cs="Arial"/>
                <w:lang w:eastAsia="en-GB"/>
              </w:rPr>
            </w:pPr>
            <w:r w:rsidRPr="00990B74">
              <w:rPr>
                <w:rFonts w:eastAsia="Times New Roman" w:cs="Arial"/>
                <w:lang w:eastAsia="en-GB"/>
              </w:rPr>
              <w:t>Merton</w:t>
            </w:r>
          </w:p>
        </w:tc>
        <w:tc>
          <w:tcPr>
            <w:tcW w:w="1580" w:type="dxa"/>
            <w:noWrap/>
            <w:vAlign w:val="center"/>
            <w:hideMark/>
          </w:tcPr>
          <w:p w:rsidR="00A9706E" w:rsidRPr="00990B74" w:rsidRDefault="00A9706E" w:rsidP="00031B92">
            <w:pPr>
              <w:jc w:val="center"/>
              <w:rPr>
                <w:rFonts w:eastAsia="Times New Roman" w:cs="Arial"/>
                <w:lang w:eastAsia="en-GB"/>
              </w:rPr>
            </w:pPr>
            <w:r w:rsidRPr="00990B74">
              <w:rPr>
                <w:rFonts w:eastAsia="Times New Roman" w:cs="Arial"/>
                <w:lang w:eastAsia="en-GB"/>
              </w:rPr>
              <w:t>13.0%</w:t>
            </w:r>
          </w:p>
        </w:tc>
        <w:tc>
          <w:tcPr>
            <w:tcW w:w="1580" w:type="dxa"/>
            <w:noWrap/>
            <w:vAlign w:val="center"/>
            <w:hideMark/>
          </w:tcPr>
          <w:p w:rsidR="00A9706E" w:rsidRPr="00990B74" w:rsidRDefault="00A9706E" w:rsidP="00031B92">
            <w:pPr>
              <w:jc w:val="center"/>
              <w:rPr>
                <w:rFonts w:eastAsia="Times New Roman" w:cs="Arial"/>
                <w:lang w:eastAsia="en-GB"/>
              </w:rPr>
            </w:pPr>
            <w:r w:rsidRPr="00990B74">
              <w:rPr>
                <w:rFonts w:eastAsia="Times New Roman" w:cs="Arial"/>
                <w:lang w:eastAsia="en-GB"/>
              </w:rPr>
              <w:t>12.4%</w:t>
            </w:r>
          </w:p>
        </w:tc>
        <w:tc>
          <w:tcPr>
            <w:tcW w:w="1540" w:type="dxa"/>
            <w:noWrap/>
            <w:vAlign w:val="center"/>
            <w:hideMark/>
          </w:tcPr>
          <w:p w:rsidR="00A9706E" w:rsidRPr="00990B74" w:rsidRDefault="00A9706E" w:rsidP="00031B92">
            <w:pPr>
              <w:jc w:val="center"/>
              <w:rPr>
                <w:rFonts w:eastAsia="Times New Roman" w:cs="Arial"/>
                <w:lang w:eastAsia="en-GB"/>
              </w:rPr>
            </w:pPr>
            <w:r w:rsidRPr="00990B74">
              <w:rPr>
                <w:rFonts w:eastAsia="Times New Roman" w:cs="Arial"/>
                <w:lang w:eastAsia="en-GB"/>
              </w:rPr>
              <w:t>-4.6%</w:t>
            </w:r>
          </w:p>
        </w:tc>
      </w:tr>
      <w:tr w:rsidR="00A9706E" w:rsidRPr="00990B74" w:rsidTr="00031B92">
        <w:trPr>
          <w:trHeight w:val="255"/>
          <w:jc w:val="center"/>
        </w:trPr>
        <w:tc>
          <w:tcPr>
            <w:tcW w:w="2706" w:type="dxa"/>
            <w:noWrap/>
            <w:vAlign w:val="center"/>
            <w:hideMark/>
          </w:tcPr>
          <w:p w:rsidR="00A9706E" w:rsidRPr="00990B74" w:rsidRDefault="00A9706E" w:rsidP="00031B92">
            <w:pPr>
              <w:jc w:val="both"/>
              <w:rPr>
                <w:rFonts w:eastAsia="Times New Roman" w:cs="Arial"/>
                <w:lang w:eastAsia="en-GB"/>
              </w:rPr>
            </w:pPr>
            <w:r w:rsidRPr="00990B74">
              <w:rPr>
                <w:rFonts w:eastAsia="Times New Roman" w:cs="Arial"/>
                <w:lang w:eastAsia="en-GB"/>
              </w:rPr>
              <w:t>Bromley</w:t>
            </w:r>
          </w:p>
        </w:tc>
        <w:tc>
          <w:tcPr>
            <w:tcW w:w="1580" w:type="dxa"/>
            <w:noWrap/>
            <w:vAlign w:val="center"/>
            <w:hideMark/>
          </w:tcPr>
          <w:p w:rsidR="00A9706E" w:rsidRPr="00990B74" w:rsidRDefault="00A9706E" w:rsidP="00031B92">
            <w:pPr>
              <w:jc w:val="center"/>
              <w:rPr>
                <w:rFonts w:eastAsia="Times New Roman" w:cs="Arial"/>
                <w:lang w:eastAsia="en-GB"/>
              </w:rPr>
            </w:pPr>
            <w:r w:rsidRPr="00990B74">
              <w:rPr>
                <w:rFonts w:eastAsia="Times New Roman" w:cs="Arial"/>
                <w:lang w:eastAsia="en-GB"/>
              </w:rPr>
              <w:t>16.2%</w:t>
            </w:r>
          </w:p>
        </w:tc>
        <w:tc>
          <w:tcPr>
            <w:tcW w:w="1580" w:type="dxa"/>
            <w:noWrap/>
            <w:vAlign w:val="center"/>
            <w:hideMark/>
          </w:tcPr>
          <w:p w:rsidR="00A9706E" w:rsidRPr="00990B74" w:rsidRDefault="00A9706E" w:rsidP="00031B92">
            <w:pPr>
              <w:jc w:val="center"/>
              <w:rPr>
                <w:rFonts w:eastAsia="Times New Roman" w:cs="Arial"/>
                <w:lang w:eastAsia="en-GB"/>
              </w:rPr>
            </w:pPr>
            <w:r w:rsidRPr="00990B74">
              <w:rPr>
                <w:rFonts w:eastAsia="Times New Roman" w:cs="Arial"/>
                <w:lang w:eastAsia="en-GB"/>
              </w:rPr>
              <w:t>14.1%</w:t>
            </w:r>
          </w:p>
        </w:tc>
        <w:tc>
          <w:tcPr>
            <w:tcW w:w="1540" w:type="dxa"/>
            <w:noWrap/>
            <w:vAlign w:val="center"/>
            <w:hideMark/>
          </w:tcPr>
          <w:p w:rsidR="00A9706E" w:rsidRPr="00990B74" w:rsidRDefault="00A9706E" w:rsidP="00031B92">
            <w:pPr>
              <w:jc w:val="center"/>
              <w:rPr>
                <w:rFonts w:eastAsia="Times New Roman" w:cs="Arial"/>
                <w:lang w:eastAsia="en-GB"/>
              </w:rPr>
            </w:pPr>
            <w:r w:rsidRPr="00990B74">
              <w:rPr>
                <w:rFonts w:eastAsia="Times New Roman" w:cs="Arial"/>
                <w:lang w:eastAsia="en-GB"/>
              </w:rPr>
              <w:t>-13.0%</w:t>
            </w:r>
          </w:p>
        </w:tc>
      </w:tr>
    </w:tbl>
    <w:p w:rsidR="00A9706E" w:rsidRDefault="00A9706E" w:rsidP="00093568">
      <w:pPr>
        <w:spacing w:after="0" w:line="240" w:lineRule="auto"/>
        <w:jc w:val="both"/>
        <w:rPr>
          <w:rFonts w:ascii="Calibri" w:hAnsi="Calibri" w:cs="Calibri"/>
        </w:rPr>
      </w:pPr>
      <w:r w:rsidRPr="00545CCC">
        <w:rPr>
          <w:rFonts w:ascii="Calibri" w:eastAsia="Times New Roman" w:hAnsi="Calibri" w:cs="Times New Roman"/>
          <w:color w:val="000000"/>
          <w:lang w:eastAsia="en-GB"/>
        </w:rPr>
        <w:t xml:space="preserve">Source: </w:t>
      </w:r>
      <w:r>
        <w:rPr>
          <w:rFonts w:ascii="Calibri" w:hAnsi="Calibri" w:cs="Calibri"/>
        </w:rPr>
        <w:t xml:space="preserve">ONS, </w:t>
      </w:r>
      <w:r w:rsidRPr="00CB3B0A">
        <w:rPr>
          <w:rFonts w:ascii="Calibri" w:hAnsi="Calibri" w:cs="Calibri"/>
        </w:rPr>
        <w:t xml:space="preserve">Annual Population Survey </w:t>
      </w:r>
      <w:r>
        <w:rPr>
          <w:rFonts w:ascii="Calibri" w:hAnsi="Calibri" w:cs="Calibri"/>
        </w:rPr>
        <w:t xml:space="preserve">- </w:t>
      </w:r>
      <w:r w:rsidRPr="00F71046">
        <w:rPr>
          <w:rFonts w:ascii="Calibri" w:eastAsia="Times New Roman" w:hAnsi="Calibri" w:cs="Times New Roman"/>
          <w:color w:val="000000"/>
          <w:lang w:eastAsia="en-GB"/>
        </w:rPr>
        <w:t>Labour Force Survey (October 2013 – September 2014)</w:t>
      </w:r>
    </w:p>
    <w:p w:rsidR="00A9706E" w:rsidRDefault="00A9706E" w:rsidP="00A9706E">
      <w:pPr>
        <w:pStyle w:val="Heading2"/>
      </w:pPr>
      <w:bookmarkStart w:id="417" w:name="_Toc426723303"/>
      <w:bookmarkStart w:id="418" w:name="_Toc431225130"/>
      <w:r>
        <w:t>Life Expectancy</w:t>
      </w:r>
      <w:bookmarkEnd w:id="417"/>
      <w:bookmarkEnd w:id="418"/>
    </w:p>
    <w:p w:rsidR="00A9706E" w:rsidRDefault="00A9706E" w:rsidP="00A9706E">
      <w:pPr>
        <w:jc w:val="both"/>
        <w:rPr>
          <w:rFonts w:ascii="Calibri" w:hAnsi="Calibri" w:cs="Calibri"/>
        </w:rPr>
      </w:pPr>
      <w:r>
        <w:rPr>
          <w:rFonts w:ascii="Calibri" w:hAnsi="Calibri" w:cs="Calibri"/>
        </w:rPr>
        <w:t>Life expectancy is a good measure of the overall health of a population. People in Barnet continue to enjoy a better health experience than the national average and this is reflected in their life expectancy.</w:t>
      </w:r>
    </w:p>
    <w:p w:rsidR="00A9706E" w:rsidRDefault="00A9706E" w:rsidP="00A9706E">
      <w:pPr>
        <w:jc w:val="both"/>
        <w:rPr>
          <w:rFonts w:ascii="Calibri" w:hAnsi="Calibri" w:cs="Calibri"/>
        </w:rPr>
      </w:pPr>
      <w:r>
        <w:rPr>
          <w:rFonts w:ascii="Calibri" w:hAnsi="Calibri" w:cs="Calibri"/>
        </w:rPr>
        <w:t>Fig</w:t>
      </w:r>
      <w:r w:rsidR="00C52CEE">
        <w:rPr>
          <w:rFonts w:ascii="Calibri" w:hAnsi="Calibri" w:cs="Calibri"/>
        </w:rPr>
        <w:t>ure 2-20</w:t>
      </w:r>
      <w:r>
        <w:rPr>
          <w:rFonts w:ascii="Calibri" w:hAnsi="Calibri" w:cs="Calibri"/>
        </w:rPr>
        <w:t xml:space="preserve"> displays the life expectancy from birth for men and women within Barnet for the period 1991 – 2013. In Barnet, as in the rest of the country, Women have a higher average life expectancy than. However,</w:t>
      </w:r>
      <w:r w:rsidR="00C52CEE">
        <w:rPr>
          <w:rFonts w:ascii="Calibri" w:hAnsi="Calibri" w:cs="Calibri"/>
        </w:rPr>
        <w:t xml:space="preserve"> as you can see from Figure 2-20</w:t>
      </w:r>
      <w:r>
        <w:rPr>
          <w:rFonts w:ascii="Calibri" w:hAnsi="Calibri" w:cs="Calibri"/>
        </w:rPr>
        <w:t>, the life expectancy of men has increased at a higher rate than for women, reducing the life expectancy gap between genders from 5.1 years to 3.1 years.</w:t>
      </w:r>
    </w:p>
    <w:p w:rsidR="00A9706E" w:rsidRDefault="00A9706E" w:rsidP="00A9706E">
      <w:pPr>
        <w:jc w:val="both"/>
        <w:rPr>
          <w:rFonts w:ascii="Calibri" w:hAnsi="Calibri" w:cs="Calibri"/>
        </w:rPr>
      </w:pPr>
      <w:r>
        <w:rPr>
          <w:rFonts w:ascii="Calibri" w:hAnsi="Calibri" w:cs="Calibri"/>
        </w:rPr>
        <w:t xml:space="preserve">Furthermore, the difference in healthy life expectancy between men and women is much smaller; 68.0 years for men and 68.8 years for women. This indicates that although women are living (on average) longer than men, a larger proportion of their life is spent unhealthy; 19.1% (16.2 years) for women and 17.0% (13.9 years) for men. </w:t>
      </w:r>
    </w:p>
    <w:p w:rsidR="00A9706E" w:rsidRPr="009B5BFD" w:rsidRDefault="00A9706E" w:rsidP="00A9706E">
      <w:pPr>
        <w:pStyle w:val="Caption"/>
        <w:rPr>
          <w:rFonts w:cs="Calibri"/>
          <w:b w:val="0"/>
          <w:i/>
        </w:rPr>
      </w:pPr>
      <w:r>
        <w:t xml:space="preserve">Figure </w:t>
      </w:r>
      <w:fldSimple w:instr=" STYLEREF 1 \s ">
        <w:r w:rsidR="001663C2">
          <w:rPr>
            <w:noProof/>
          </w:rPr>
          <w:t>2</w:t>
        </w:r>
      </w:fldSimple>
      <w:r w:rsidR="00943DC2">
        <w:noBreakHyphen/>
      </w:r>
      <w:fldSimple w:instr=" SEQ Figure \* ARABIC \s 1 ">
        <w:r w:rsidR="001663C2">
          <w:rPr>
            <w:noProof/>
          </w:rPr>
          <w:t>20</w:t>
        </w:r>
      </w:fldSimple>
      <w:r w:rsidRPr="00B217DD">
        <w:rPr>
          <w:rFonts w:cs="Calibri"/>
        </w:rPr>
        <w:t>: Life Expectancy at Birth within Barnet by Gender, 1991-2013</w:t>
      </w:r>
    </w:p>
    <w:p w:rsidR="00A9706E" w:rsidRDefault="00A9706E" w:rsidP="00A9706E">
      <w:pPr>
        <w:spacing w:after="0" w:line="240" w:lineRule="auto"/>
        <w:jc w:val="both"/>
        <w:rPr>
          <w:rFonts w:ascii="Calibri" w:hAnsi="Calibri" w:cs="Calibri"/>
        </w:rPr>
      </w:pPr>
      <w:r>
        <w:rPr>
          <w:noProof/>
          <w:lang w:eastAsia="en-GB"/>
        </w:rPr>
        <w:drawing>
          <wp:inline distT="0" distB="0" distL="0" distR="0" wp14:anchorId="3341312E" wp14:editId="67086DE0">
            <wp:extent cx="5686425" cy="2076450"/>
            <wp:effectExtent l="0" t="0" r="9525" b="19050"/>
            <wp:docPr id="43034" name="Chart 430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A9706E" w:rsidRDefault="00A9706E" w:rsidP="00A9706E">
      <w:pPr>
        <w:spacing w:after="0" w:line="240" w:lineRule="auto"/>
        <w:jc w:val="both"/>
        <w:rPr>
          <w:rFonts w:ascii="Calibri" w:hAnsi="Calibri" w:cs="Calibri"/>
        </w:rPr>
      </w:pPr>
      <w:r>
        <w:rPr>
          <w:rFonts w:ascii="Calibri" w:hAnsi="Calibri" w:cs="Calibri"/>
        </w:rPr>
        <w:t>Source: ONS 2013, Life Expectancy at Birth</w:t>
      </w:r>
    </w:p>
    <w:p w:rsidR="00A9706E" w:rsidRDefault="00A9706E" w:rsidP="00A9706E">
      <w:pPr>
        <w:spacing w:after="0" w:line="240" w:lineRule="auto"/>
        <w:jc w:val="both"/>
        <w:rPr>
          <w:rFonts w:ascii="Calibri" w:hAnsi="Calibri" w:cs="Calibri"/>
        </w:rPr>
      </w:pPr>
    </w:p>
    <w:p w:rsidR="00A9706E" w:rsidRDefault="00A9706E" w:rsidP="00A9706E">
      <w:pPr>
        <w:spacing w:after="0" w:line="240" w:lineRule="auto"/>
        <w:jc w:val="both"/>
        <w:rPr>
          <w:rFonts w:ascii="Calibri" w:hAnsi="Calibri" w:cs="Calibri"/>
        </w:rPr>
      </w:pPr>
      <w:r>
        <w:rPr>
          <w:rFonts w:ascii="Calibri" w:hAnsi="Calibri" w:cs="Calibri"/>
        </w:rPr>
        <w:t xml:space="preserve">Life expectancy can be measured </w:t>
      </w:r>
      <w:r w:rsidRPr="0072521B">
        <w:rPr>
          <w:rFonts w:ascii="Calibri" w:hAnsi="Calibri" w:cs="Calibri"/>
        </w:rPr>
        <w:t xml:space="preserve">in two ways; from birth and from age 65. </w:t>
      </w:r>
      <w:r>
        <w:rPr>
          <w:rFonts w:ascii="Calibri" w:hAnsi="Calibri" w:cs="Calibri"/>
        </w:rPr>
        <w:t xml:space="preserve">Against regional land national comparators, Barnet is performing well across all these measures of life expectancy. </w:t>
      </w:r>
      <w:r>
        <w:rPr>
          <w:rFonts w:ascii="Calibri" w:hAnsi="Calibri" w:cs="Calibri"/>
        </w:rPr>
        <w:lastRenderedPageBreak/>
        <w:t xml:space="preserve">However, this </w:t>
      </w:r>
      <w:r w:rsidRPr="00E5179B">
        <w:rPr>
          <w:rFonts w:ascii="Calibri" w:hAnsi="Calibri" w:cs="Calibri"/>
        </w:rPr>
        <w:t xml:space="preserve">strong performance in life expectancy when compared to other areas masks the inequalities that exist between areas within </w:t>
      </w:r>
      <w:r>
        <w:rPr>
          <w:rFonts w:ascii="Calibri" w:hAnsi="Calibri" w:cs="Calibri"/>
        </w:rPr>
        <w:t>Barnet.</w:t>
      </w:r>
    </w:p>
    <w:p w:rsidR="00A9706E" w:rsidRDefault="00A9706E" w:rsidP="00A9706E">
      <w:pPr>
        <w:spacing w:after="0" w:line="240" w:lineRule="auto"/>
        <w:jc w:val="both"/>
        <w:rPr>
          <w:rFonts w:ascii="Calibri" w:hAnsi="Calibri" w:cs="Calibri"/>
        </w:rPr>
      </w:pPr>
    </w:p>
    <w:p w:rsidR="00A9706E" w:rsidRDefault="00A9706E" w:rsidP="00A9706E">
      <w:pPr>
        <w:jc w:val="both"/>
        <w:rPr>
          <w:rFonts w:ascii="Calibri" w:hAnsi="Calibri" w:cs="Calibri"/>
        </w:rPr>
      </w:pPr>
      <w:r w:rsidRPr="00914FC4">
        <w:rPr>
          <w:rFonts w:ascii="Calibri" w:hAnsi="Calibri" w:cs="Calibri"/>
        </w:rPr>
        <w:t>From 2009/2010 the London Health Observatory introduce</w:t>
      </w:r>
      <w:r>
        <w:rPr>
          <w:rFonts w:ascii="Calibri" w:hAnsi="Calibri" w:cs="Calibri"/>
        </w:rPr>
        <w:t xml:space="preserve">d </w:t>
      </w:r>
      <w:r w:rsidRPr="00914FC4">
        <w:rPr>
          <w:rFonts w:ascii="Calibri" w:hAnsi="Calibri" w:cs="Calibri"/>
        </w:rPr>
        <w:t xml:space="preserve">the “Slope Index” of inequality. This is a single score which represents the gap in years of life expectancy between the least deprived and most deprived within a </w:t>
      </w:r>
      <w:r>
        <w:rPr>
          <w:rFonts w:ascii="Calibri" w:hAnsi="Calibri" w:cs="Calibri"/>
        </w:rPr>
        <w:t>Borough</w:t>
      </w:r>
      <w:r w:rsidRPr="00914FC4">
        <w:rPr>
          <w:rFonts w:ascii="Calibri" w:hAnsi="Calibri" w:cs="Calibri"/>
        </w:rPr>
        <w:t>, based on a statistical analysis of the relationship between life expectancy and deprivation scores.</w:t>
      </w:r>
      <w:r>
        <w:rPr>
          <w:rFonts w:ascii="Calibri" w:hAnsi="Calibri" w:cs="Calibri"/>
        </w:rPr>
        <w:t xml:space="preserve"> The latest data from the London Health Observatory indicates that: </w:t>
      </w:r>
    </w:p>
    <w:p w:rsidR="00A9706E" w:rsidRDefault="00A9706E" w:rsidP="00A9706E">
      <w:pPr>
        <w:pStyle w:val="ListParagraph"/>
        <w:numPr>
          <w:ilvl w:val="0"/>
          <w:numId w:val="5"/>
        </w:numPr>
        <w:jc w:val="both"/>
        <w:rPr>
          <w:rFonts w:ascii="Calibri" w:hAnsi="Calibri" w:cs="Calibri"/>
        </w:rPr>
      </w:pPr>
      <w:r w:rsidRPr="00A405C6">
        <w:rPr>
          <w:rFonts w:ascii="Calibri" w:hAnsi="Calibri" w:cs="Calibri"/>
        </w:rPr>
        <w:t xml:space="preserve">On </w:t>
      </w:r>
      <w:r>
        <w:rPr>
          <w:rFonts w:ascii="Calibri" w:hAnsi="Calibri" w:cs="Calibri"/>
        </w:rPr>
        <w:t xml:space="preserve">average men who live in the 10% most deprived areas </w:t>
      </w:r>
      <w:r w:rsidRPr="00A405C6">
        <w:rPr>
          <w:rFonts w:ascii="Calibri" w:hAnsi="Calibri" w:cs="Calibri"/>
        </w:rPr>
        <w:t>live 7.6 years le</w:t>
      </w:r>
      <w:r>
        <w:rPr>
          <w:rFonts w:ascii="Calibri" w:hAnsi="Calibri" w:cs="Calibri"/>
        </w:rPr>
        <w:t xml:space="preserve">ss than those living in the least deprived </w:t>
      </w:r>
      <w:proofErr w:type="spellStart"/>
      <w:r>
        <w:rPr>
          <w:rFonts w:ascii="Calibri" w:hAnsi="Calibri" w:cs="Calibri"/>
        </w:rPr>
        <w:t>decile</w:t>
      </w:r>
      <w:proofErr w:type="spellEnd"/>
      <w:r>
        <w:rPr>
          <w:rFonts w:ascii="Calibri" w:hAnsi="Calibri" w:cs="Calibri"/>
        </w:rPr>
        <w:t xml:space="preserve">. </w:t>
      </w:r>
      <w:r w:rsidRPr="00A405C6">
        <w:rPr>
          <w:rFonts w:ascii="Calibri" w:hAnsi="Calibri" w:cs="Calibri"/>
        </w:rPr>
        <w:t xml:space="preserve">And for men who are disabled this is even worse, with life expectancies reducing by 9.2 years. </w:t>
      </w:r>
    </w:p>
    <w:p w:rsidR="00A9706E" w:rsidRPr="00A405C6" w:rsidRDefault="00A9706E" w:rsidP="00A9706E">
      <w:pPr>
        <w:pStyle w:val="ListParagraph"/>
        <w:numPr>
          <w:ilvl w:val="0"/>
          <w:numId w:val="5"/>
        </w:numPr>
        <w:jc w:val="both"/>
        <w:rPr>
          <w:rFonts w:ascii="Calibri" w:hAnsi="Calibri" w:cs="Calibri"/>
        </w:rPr>
      </w:pPr>
      <w:r>
        <w:rPr>
          <w:rFonts w:ascii="Calibri" w:hAnsi="Calibri" w:cs="Calibri"/>
        </w:rPr>
        <w:t xml:space="preserve">Whereas, women who live in the 10% most deprived areas most live on average 4.7 years less than those living in the least deprived </w:t>
      </w:r>
      <w:proofErr w:type="spellStart"/>
      <w:r>
        <w:rPr>
          <w:rFonts w:ascii="Calibri" w:hAnsi="Calibri" w:cs="Calibri"/>
        </w:rPr>
        <w:t>decile</w:t>
      </w:r>
      <w:proofErr w:type="spellEnd"/>
      <w:r>
        <w:rPr>
          <w:rFonts w:ascii="Calibri" w:hAnsi="Calibri" w:cs="Calibri"/>
        </w:rPr>
        <w:t>. And disabled women will live 8.1 years, on average, less than a woman who isn’t disabled</w:t>
      </w:r>
    </w:p>
    <w:p w:rsidR="00A9706E" w:rsidRDefault="00A9706E" w:rsidP="00A9706E">
      <w:pPr>
        <w:jc w:val="both"/>
        <w:rPr>
          <w:rFonts w:ascii="Calibri" w:hAnsi="Calibri" w:cs="Calibri"/>
        </w:rPr>
      </w:pPr>
      <w:r w:rsidRPr="008D3DEB">
        <w:rPr>
          <w:rFonts w:ascii="Calibri" w:hAnsi="Calibri" w:cs="Calibri"/>
        </w:rPr>
        <w:t xml:space="preserve">The ONS provides pooled figures on the life expectancy rates by Ward. </w:t>
      </w:r>
      <w:r>
        <w:rPr>
          <w:rFonts w:ascii="Calibri" w:hAnsi="Calibri" w:cs="Calibri"/>
        </w:rPr>
        <w:t>Table 2-19 and Figure 2-2</w:t>
      </w:r>
      <w:r w:rsidR="00C52CEE">
        <w:rPr>
          <w:rFonts w:ascii="Calibri" w:hAnsi="Calibri" w:cs="Calibri"/>
        </w:rPr>
        <w:t>1</w:t>
      </w:r>
      <w:r w:rsidRPr="008D3DEB">
        <w:rPr>
          <w:rFonts w:ascii="Calibri" w:hAnsi="Calibri" w:cs="Calibri"/>
        </w:rPr>
        <w:t xml:space="preserve"> displ</w:t>
      </w:r>
      <w:r>
        <w:rPr>
          <w:rFonts w:ascii="Calibri" w:hAnsi="Calibri" w:cs="Calibri"/>
        </w:rPr>
        <w:t>ay</w:t>
      </w:r>
      <w:r w:rsidRPr="008D3DEB">
        <w:rPr>
          <w:rFonts w:ascii="Calibri" w:hAnsi="Calibri" w:cs="Calibri"/>
        </w:rPr>
        <w:t xml:space="preserve"> the latest figures for Barnet. Although many of the Wards have life expectancies close to the </w:t>
      </w:r>
      <w:r>
        <w:rPr>
          <w:rFonts w:ascii="Calibri" w:hAnsi="Calibri" w:cs="Calibri"/>
        </w:rPr>
        <w:t>Borough</w:t>
      </w:r>
      <w:r w:rsidRPr="008D3DEB">
        <w:rPr>
          <w:rFonts w:ascii="Calibri" w:hAnsi="Calibri" w:cs="Calibri"/>
        </w:rPr>
        <w:t xml:space="preserve"> average, there are some significant outliers.</w:t>
      </w:r>
    </w:p>
    <w:p w:rsidR="00A9706E" w:rsidRDefault="00A9706E" w:rsidP="00A9706E">
      <w:pPr>
        <w:pStyle w:val="ListParagraph"/>
        <w:numPr>
          <w:ilvl w:val="0"/>
          <w:numId w:val="7"/>
        </w:numPr>
        <w:jc w:val="both"/>
        <w:rPr>
          <w:rFonts w:ascii="Calibri" w:hAnsi="Calibri" w:cs="Calibri"/>
        </w:rPr>
      </w:pPr>
      <w:r>
        <w:rPr>
          <w:rFonts w:ascii="Calibri" w:hAnsi="Calibri" w:cs="Calibri"/>
        </w:rPr>
        <w:t xml:space="preserve">Burnt Oak </w:t>
      </w:r>
      <w:r w:rsidRPr="008D3DEB">
        <w:rPr>
          <w:rFonts w:ascii="Calibri" w:hAnsi="Calibri" w:cs="Calibri"/>
        </w:rPr>
        <w:t>has the lowest life expectanc</w:t>
      </w:r>
      <w:r>
        <w:rPr>
          <w:rFonts w:ascii="Calibri" w:hAnsi="Calibri" w:cs="Calibri"/>
        </w:rPr>
        <w:t>y from birth, 78.8.  This is 4.2</w:t>
      </w:r>
      <w:r w:rsidRPr="008D3DEB">
        <w:rPr>
          <w:rFonts w:ascii="Calibri" w:hAnsi="Calibri" w:cs="Calibri"/>
        </w:rPr>
        <w:t xml:space="preserve"> years behind the Barnet average and 8.3 years behind </w:t>
      </w:r>
      <w:r>
        <w:rPr>
          <w:rFonts w:ascii="Calibri" w:hAnsi="Calibri" w:cs="Calibri"/>
        </w:rPr>
        <w:t>Garden Suburb</w:t>
      </w:r>
      <w:r w:rsidRPr="008D3DEB">
        <w:rPr>
          <w:rFonts w:ascii="Calibri" w:hAnsi="Calibri" w:cs="Calibri"/>
        </w:rPr>
        <w:t xml:space="preserve">, which has the highest age of 87.1. </w:t>
      </w:r>
    </w:p>
    <w:p w:rsidR="00A9706E" w:rsidRPr="009F567A" w:rsidRDefault="00A9706E" w:rsidP="00A9706E">
      <w:pPr>
        <w:pStyle w:val="ListParagraph"/>
        <w:numPr>
          <w:ilvl w:val="0"/>
          <w:numId w:val="7"/>
        </w:numPr>
        <w:jc w:val="both"/>
        <w:rPr>
          <w:rFonts w:ascii="Calibri" w:hAnsi="Calibri" w:cs="Calibri"/>
        </w:rPr>
      </w:pPr>
      <w:r w:rsidRPr="009F567A">
        <w:rPr>
          <w:rFonts w:ascii="Calibri" w:hAnsi="Calibri" w:cs="Calibri"/>
        </w:rPr>
        <w:t>Whereas, Coppetts has the lowest life expectancy at 65, 18.0. This is 3.1 years below the Barnet average of 21.1 and 6.3 years below Edgware, which has the highest age of 24.3.</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4"/>
        <w:gridCol w:w="5448"/>
      </w:tblGrid>
      <w:tr w:rsidR="00A9706E" w:rsidTr="00031B92">
        <w:tc>
          <w:tcPr>
            <w:tcW w:w="3794" w:type="dxa"/>
          </w:tcPr>
          <w:p w:rsidR="00A9706E" w:rsidRPr="00B217DD" w:rsidRDefault="00A9706E" w:rsidP="00031B92">
            <w:pPr>
              <w:pStyle w:val="Caption"/>
              <w:keepNext/>
              <w:rPr>
                <w:rFonts w:cs="Calibri"/>
              </w:rPr>
            </w:pPr>
            <w:r>
              <w:t xml:space="preserve">Table </w:t>
            </w:r>
            <w:fldSimple w:instr=" STYLEREF 1 \s ">
              <w:r w:rsidR="001663C2">
                <w:rPr>
                  <w:noProof/>
                </w:rPr>
                <w:t>2</w:t>
              </w:r>
            </w:fldSimple>
            <w:r>
              <w:noBreakHyphen/>
            </w:r>
            <w:fldSimple w:instr=" SEQ Table \* ARABIC \s 1 ">
              <w:r w:rsidR="001663C2">
                <w:rPr>
                  <w:noProof/>
                </w:rPr>
                <w:t>19</w:t>
              </w:r>
            </w:fldSimple>
            <w:r>
              <w:rPr>
                <w:rFonts w:ascii="Calibri" w:hAnsi="Calibri" w:cs="Calibri"/>
                <w:b w:val="0"/>
                <w:i/>
              </w:rPr>
              <w:t xml:space="preserve">: </w:t>
            </w:r>
            <w:r w:rsidRPr="00B217DD">
              <w:rPr>
                <w:rFonts w:cs="Calibri"/>
              </w:rPr>
              <w:t xml:space="preserve">Life Expectancy </w:t>
            </w:r>
          </w:p>
          <w:p w:rsidR="00A9706E" w:rsidRDefault="00A9706E" w:rsidP="00031B92">
            <w:pPr>
              <w:pStyle w:val="Caption"/>
              <w:keepNext/>
              <w:rPr>
                <w:rFonts w:ascii="Calibri" w:hAnsi="Calibri" w:cs="Calibri"/>
                <w:b w:val="0"/>
                <w:i/>
              </w:rPr>
            </w:pPr>
            <w:r w:rsidRPr="0050388B">
              <w:rPr>
                <w:rFonts w:cs="Calibri"/>
              </w:rPr>
              <w:t>within Barnet by Ward, 2009-2013</w:t>
            </w:r>
          </w:p>
        </w:tc>
        <w:tc>
          <w:tcPr>
            <w:tcW w:w="5448" w:type="dxa"/>
          </w:tcPr>
          <w:p w:rsidR="00A9706E" w:rsidRDefault="00A9706E" w:rsidP="00031B92">
            <w:pPr>
              <w:pStyle w:val="Caption"/>
              <w:keepNext/>
              <w:rPr>
                <w:rFonts w:ascii="Calibri" w:hAnsi="Calibri" w:cs="Calibri"/>
                <w:b w:val="0"/>
                <w:i/>
              </w:rPr>
            </w:pPr>
            <w:r>
              <w:t xml:space="preserve">Figure </w:t>
            </w:r>
            <w:fldSimple w:instr=" STYLEREF 1 \s ">
              <w:r w:rsidR="001663C2">
                <w:rPr>
                  <w:noProof/>
                </w:rPr>
                <w:t>2</w:t>
              </w:r>
            </w:fldSimple>
            <w:r w:rsidR="00943DC2">
              <w:noBreakHyphen/>
            </w:r>
            <w:fldSimple w:instr=" SEQ Figure \* ARABIC \s 1 ">
              <w:r w:rsidR="001663C2">
                <w:rPr>
                  <w:noProof/>
                </w:rPr>
                <w:t>21</w:t>
              </w:r>
            </w:fldSimple>
            <w:r>
              <w:rPr>
                <w:rFonts w:ascii="Calibri" w:hAnsi="Calibri" w:cs="Calibri"/>
                <w:b w:val="0"/>
                <w:i/>
              </w:rPr>
              <w:t xml:space="preserve">: </w:t>
            </w:r>
            <w:r w:rsidRPr="00B217DD">
              <w:rPr>
                <w:rFonts w:cs="Calibri"/>
              </w:rPr>
              <w:t>Life Expectancy at Birth within Barnet by Ward, 2009-2013</w:t>
            </w:r>
          </w:p>
        </w:tc>
      </w:tr>
    </w:tbl>
    <w:p w:rsidR="00A9706E" w:rsidRPr="009E1DCF" w:rsidRDefault="00A9706E" w:rsidP="00A9706E">
      <w:pPr>
        <w:spacing w:after="0" w:line="240" w:lineRule="auto"/>
        <w:jc w:val="center"/>
        <w:rPr>
          <w:rFonts w:ascii="Calibri" w:hAnsi="Calibri" w:cs="Calibri"/>
          <w:b/>
          <w:i/>
        </w:rPr>
      </w:pPr>
      <w:r>
        <w:rPr>
          <w:rFonts w:ascii="Calibri" w:hAnsi="Calibri" w:cs="Calibri"/>
          <w:b/>
          <w:i/>
          <w:noProof/>
          <w:lang w:eastAsia="en-GB"/>
        </w:rPr>
        <w:drawing>
          <wp:inline distT="0" distB="0" distL="0" distR="0" wp14:anchorId="496C251B" wp14:editId="54D86AE1">
            <wp:extent cx="5236234" cy="3000661"/>
            <wp:effectExtent l="0" t="0" r="2540" b="9525"/>
            <wp:docPr id="43035" name="Picture 43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b="1020"/>
                    <a:stretch/>
                  </pic:blipFill>
                  <pic:spPr bwMode="auto">
                    <a:xfrm>
                      <a:off x="0" y="0"/>
                      <a:ext cx="5264394" cy="3016798"/>
                    </a:xfrm>
                    <a:prstGeom prst="rect">
                      <a:avLst/>
                    </a:prstGeom>
                    <a:noFill/>
                    <a:ln>
                      <a:noFill/>
                    </a:ln>
                    <a:extLst>
                      <a:ext uri="{53640926-AAD7-44D8-BBD7-CCE9431645EC}">
                        <a14:shadowObscured xmlns:a14="http://schemas.microsoft.com/office/drawing/2010/main"/>
                      </a:ext>
                    </a:extLst>
                  </pic:spPr>
                </pic:pic>
              </a:graphicData>
            </a:graphic>
          </wp:inline>
        </w:drawing>
      </w:r>
    </w:p>
    <w:p w:rsidR="00A9706E" w:rsidRDefault="00A9706E" w:rsidP="00A9706E">
      <w:pPr>
        <w:spacing w:after="0" w:line="240" w:lineRule="auto"/>
        <w:jc w:val="both"/>
        <w:rPr>
          <w:rFonts w:ascii="Calibri" w:hAnsi="Calibri" w:cs="Calibri"/>
        </w:rPr>
      </w:pPr>
      <w:r>
        <w:rPr>
          <w:rFonts w:ascii="Calibri" w:hAnsi="Calibri" w:cs="Calibri"/>
        </w:rPr>
        <w:t xml:space="preserve">Source: ONS 2013, </w:t>
      </w:r>
      <w:r w:rsidRPr="007464F5">
        <w:rPr>
          <w:rFonts w:ascii="Calibri" w:hAnsi="Calibri" w:cs="Calibri"/>
        </w:rPr>
        <w:t>Life expectancy at birth by ward</w:t>
      </w:r>
    </w:p>
    <w:p w:rsidR="00A9706E" w:rsidRDefault="00A9706E" w:rsidP="00A9706E">
      <w:pPr>
        <w:pStyle w:val="Heading2"/>
      </w:pPr>
      <w:bookmarkStart w:id="419" w:name="_Toc426723304"/>
      <w:bookmarkStart w:id="420" w:name="_Toc431225131"/>
      <w:r>
        <w:lastRenderedPageBreak/>
        <w:t>Indices of Deprivation</w:t>
      </w:r>
      <w:bookmarkEnd w:id="419"/>
      <w:bookmarkEnd w:id="420"/>
    </w:p>
    <w:p w:rsidR="00A9706E" w:rsidRPr="00A4188D" w:rsidRDefault="00A9706E" w:rsidP="00A9706E">
      <w:pPr>
        <w:jc w:val="both"/>
        <w:rPr>
          <w:rFonts w:ascii="Calibri" w:hAnsi="Calibri" w:cs="Calibri"/>
        </w:rPr>
      </w:pPr>
      <w:r w:rsidRPr="00A4188D">
        <w:rPr>
          <w:rFonts w:ascii="Calibri" w:hAnsi="Calibri" w:cs="Calibri"/>
        </w:rPr>
        <w:t xml:space="preserve">The Index of Multiple Deprivation (IMD 2010) is the primary source for measuring deprivation in England and Wales. The Index is made up of seven categories known as ‘indices’, each for a distinct type or ‘domain’ of deprivation. These domains relate to income, employment, health and disability, education, skills and training, barriers to housing and services, living environment and crime, reflecting the broad range of deprivation that people can experience. </w:t>
      </w:r>
    </w:p>
    <w:p w:rsidR="00A9706E" w:rsidRDefault="00A9706E" w:rsidP="00A9706E">
      <w:pPr>
        <w:pStyle w:val="ListParagraph"/>
        <w:numPr>
          <w:ilvl w:val="0"/>
          <w:numId w:val="15"/>
        </w:numPr>
        <w:jc w:val="both"/>
        <w:rPr>
          <w:rFonts w:ascii="Calibri" w:hAnsi="Calibri" w:cs="Calibri"/>
        </w:rPr>
      </w:pPr>
      <w:r w:rsidRPr="004573C9">
        <w:rPr>
          <w:rFonts w:ascii="Calibri" w:hAnsi="Calibri" w:cs="Calibri"/>
        </w:rPr>
        <w:t xml:space="preserve">The 2010 update to the Index of Multiple Deprivation, ranks Barnet  176th out of the 326 local authorities in England and Wales for deprivation – just slightly below the average (163; the authority ranked 1 is the most deprived). This is 48 places higher than 2007 (128th) and 17 places lower than 2004 (193rd). </w:t>
      </w:r>
    </w:p>
    <w:p w:rsidR="00A9706E" w:rsidRDefault="00A9706E" w:rsidP="00A9706E">
      <w:pPr>
        <w:pStyle w:val="ListParagraph"/>
        <w:numPr>
          <w:ilvl w:val="0"/>
          <w:numId w:val="15"/>
        </w:numPr>
        <w:jc w:val="both"/>
        <w:rPr>
          <w:rFonts w:ascii="Calibri" w:hAnsi="Calibri" w:cs="Calibri"/>
        </w:rPr>
      </w:pPr>
      <w:r w:rsidRPr="004573C9">
        <w:rPr>
          <w:rFonts w:ascii="Calibri" w:hAnsi="Calibri" w:cs="Calibri"/>
        </w:rPr>
        <w:t xml:space="preserve">Relative to other London </w:t>
      </w:r>
      <w:r>
        <w:rPr>
          <w:rFonts w:ascii="Calibri" w:hAnsi="Calibri" w:cs="Calibri"/>
        </w:rPr>
        <w:t>Borough</w:t>
      </w:r>
      <w:r w:rsidRPr="004573C9">
        <w:rPr>
          <w:rFonts w:ascii="Calibri" w:hAnsi="Calibri" w:cs="Calibri"/>
        </w:rPr>
        <w:t>s, Barnet is ranked 25th out of 33 local authorities. This is four places</w:t>
      </w:r>
      <w:r>
        <w:rPr>
          <w:rFonts w:ascii="Calibri" w:hAnsi="Calibri" w:cs="Calibri"/>
        </w:rPr>
        <w:t xml:space="preserve"> less deprived t</w:t>
      </w:r>
      <w:r w:rsidRPr="004573C9">
        <w:rPr>
          <w:rFonts w:ascii="Calibri" w:hAnsi="Calibri" w:cs="Calibri"/>
        </w:rPr>
        <w:t>han 2007 (21st) and one</w:t>
      </w:r>
      <w:r>
        <w:rPr>
          <w:rFonts w:ascii="Calibri" w:hAnsi="Calibri" w:cs="Calibri"/>
        </w:rPr>
        <w:t xml:space="preserve"> place higher than 2004 (23rd).</w:t>
      </w:r>
    </w:p>
    <w:p w:rsidR="00A9706E" w:rsidRPr="004573C9" w:rsidRDefault="00A9706E" w:rsidP="00A9706E">
      <w:pPr>
        <w:pStyle w:val="ListParagraph"/>
        <w:numPr>
          <w:ilvl w:val="0"/>
          <w:numId w:val="15"/>
        </w:numPr>
        <w:jc w:val="both"/>
        <w:rPr>
          <w:rFonts w:ascii="Calibri" w:hAnsi="Calibri" w:cs="Calibri"/>
        </w:rPr>
      </w:pPr>
      <w:r w:rsidRPr="004573C9">
        <w:rPr>
          <w:rFonts w:ascii="Calibri" w:hAnsi="Calibri" w:cs="Calibri"/>
        </w:rPr>
        <w:t>Nearly all of the LSOAs in Barnet have become less deprived relative to the rest of London since 2007.  </w:t>
      </w:r>
    </w:p>
    <w:p w:rsidR="00A9706E" w:rsidRDefault="00A9706E" w:rsidP="00A9706E">
      <w:pPr>
        <w:pStyle w:val="Caption"/>
        <w:keepNext/>
        <w:rPr>
          <w:rFonts w:cs="Calibri"/>
          <w:b w:val="0"/>
          <w:i/>
        </w:rPr>
      </w:pPr>
      <w:r>
        <w:t xml:space="preserve">Figure </w:t>
      </w:r>
      <w:fldSimple w:instr=" STYLEREF 1 \s ">
        <w:r w:rsidR="001663C2">
          <w:rPr>
            <w:noProof/>
          </w:rPr>
          <w:t>2</w:t>
        </w:r>
      </w:fldSimple>
      <w:r w:rsidR="00943DC2">
        <w:noBreakHyphen/>
      </w:r>
      <w:fldSimple w:instr=" SEQ Figure \* ARABIC \s 1 ">
        <w:r w:rsidR="001663C2">
          <w:rPr>
            <w:noProof/>
          </w:rPr>
          <w:t>22</w:t>
        </w:r>
      </w:fldSimple>
      <w:r w:rsidRPr="00B217DD">
        <w:rPr>
          <w:rFonts w:cs="Calibri"/>
        </w:rPr>
        <w:t>: National Rank of IMD 2010 Scores for London Local Authorities</w:t>
      </w:r>
    </w:p>
    <w:p w:rsidR="00A9706E" w:rsidRDefault="00A9706E" w:rsidP="00A9706E">
      <w:pPr>
        <w:spacing w:after="0" w:line="240" w:lineRule="auto"/>
        <w:jc w:val="center"/>
        <w:rPr>
          <w:rFonts w:cs="Calibri"/>
          <w:b/>
          <w:i/>
        </w:rPr>
      </w:pPr>
      <w:r>
        <w:rPr>
          <w:rFonts w:cs="Calibri"/>
          <w:b/>
          <w:i/>
          <w:noProof/>
          <w:lang w:eastAsia="en-GB"/>
        </w:rPr>
        <w:drawing>
          <wp:inline distT="0" distB="0" distL="0" distR="0" wp14:anchorId="0D890D10" wp14:editId="5DC6D1B0">
            <wp:extent cx="5521216" cy="3296093"/>
            <wp:effectExtent l="0" t="0" r="3810" b="0"/>
            <wp:docPr id="43036" name="Picture 43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4">
                      <a:extLst>
                        <a:ext uri="{28A0092B-C50C-407E-A947-70E740481C1C}">
                          <a14:useLocalDpi xmlns:a14="http://schemas.microsoft.com/office/drawing/2010/main" val="0"/>
                        </a:ext>
                      </a:extLst>
                    </a:blip>
                    <a:srcRect b="8265"/>
                    <a:stretch/>
                  </pic:blipFill>
                  <pic:spPr bwMode="auto">
                    <a:xfrm>
                      <a:off x="0" y="0"/>
                      <a:ext cx="5527703" cy="3299966"/>
                    </a:xfrm>
                    <a:prstGeom prst="rect">
                      <a:avLst/>
                    </a:prstGeom>
                    <a:noFill/>
                    <a:ln>
                      <a:noFill/>
                    </a:ln>
                    <a:extLst>
                      <a:ext uri="{53640926-AAD7-44D8-BBD7-CCE9431645EC}">
                        <a14:shadowObscured xmlns:a14="http://schemas.microsoft.com/office/drawing/2010/main"/>
                      </a:ext>
                    </a:extLst>
                  </pic:spPr>
                </pic:pic>
              </a:graphicData>
            </a:graphic>
          </wp:inline>
        </w:drawing>
      </w:r>
    </w:p>
    <w:p w:rsidR="00A9706E" w:rsidRDefault="00A9706E" w:rsidP="00A9706E">
      <w:pPr>
        <w:spacing w:after="0" w:line="240" w:lineRule="auto"/>
        <w:jc w:val="both"/>
        <w:rPr>
          <w:rFonts w:ascii="Calibri" w:hAnsi="Calibri" w:cs="Calibri"/>
        </w:rPr>
      </w:pPr>
      <w:r>
        <w:rPr>
          <w:rFonts w:ascii="Calibri" w:hAnsi="Calibri" w:cs="Calibri"/>
        </w:rPr>
        <w:t>Source: ONS LA ID 2010</w:t>
      </w:r>
    </w:p>
    <w:p w:rsidR="00A9706E" w:rsidRDefault="00A9706E" w:rsidP="00A9706E">
      <w:pPr>
        <w:spacing w:after="0" w:line="240" w:lineRule="auto"/>
        <w:jc w:val="both"/>
        <w:rPr>
          <w:rFonts w:ascii="Calibri" w:hAnsi="Calibri" w:cs="Calibri"/>
        </w:rPr>
      </w:pPr>
    </w:p>
    <w:p w:rsidR="00A9706E" w:rsidRPr="00C50055" w:rsidRDefault="00A9706E" w:rsidP="00A9706E">
      <w:pPr>
        <w:jc w:val="both"/>
        <w:rPr>
          <w:rFonts w:cs="Calibri"/>
        </w:rPr>
      </w:pPr>
      <w:r w:rsidRPr="00C50055">
        <w:rPr>
          <w:rFonts w:cs="Calibri"/>
        </w:rPr>
        <w:t xml:space="preserve">Within Barnet, the 2010 figures show the west of the </w:t>
      </w:r>
      <w:r>
        <w:rPr>
          <w:rFonts w:cs="Calibri"/>
        </w:rPr>
        <w:t>Borough</w:t>
      </w:r>
      <w:r w:rsidRPr="00C50055">
        <w:rPr>
          <w:rFonts w:cs="Calibri"/>
        </w:rPr>
        <w:t xml:space="preserve"> has higher levels of deprivation in Colindale, West Hendon and Burnt Oak.  These areas also include large scale regeneration projects.  Under this index the Strawberry Vale estate in East Finchley is identified as the most deprived area of the </w:t>
      </w:r>
      <w:r>
        <w:rPr>
          <w:rFonts w:cs="Calibri"/>
        </w:rPr>
        <w:t>Borough</w:t>
      </w:r>
      <w:r w:rsidRPr="00C50055">
        <w:rPr>
          <w:rFonts w:cs="Calibri"/>
        </w:rPr>
        <w:t xml:space="preserve"> and falls within the 11% most deprived in the country.</w:t>
      </w:r>
    </w:p>
    <w:p w:rsidR="00093568" w:rsidRDefault="00093568" w:rsidP="00A9706E">
      <w:pPr>
        <w:pStyle w:val="Caption"/>
      </w:pPr>
    </w:p>
    <w:p w:rsidR="00093568" w:rsidRDefault="00093568" w:rsidP="00A9706E">
      <w:pPr>
        <w:pStyle w:val="Caption"/>
      </w:pPr>
    </w:p>
    <w:p w:rsidR="00093568" w:rsidRDefault="00093568" w:rsidP="00A9706E">
      <w:pPr>
        <w:pStyle w:val="Caption"/>
      </w:pPr>
    </w:p>
    <w:p w:rsidR="00093568" w:rsidRDefault="00093568" w:rsidP="00A9706E">
      <w:pPr>
        <w:pStyle w:val="Caption"/>
      </w:pPr>
    </w:p>
    <w:p w:rsidR="00093568" w:rsidRDefault="00093568" w:rsidP="00A9706E">
      <w:pPr>
        <w:pStyle w:val="Caption"/>
      </w:pPr>
    </w:p>
    <w:p w:rsidR="00A9706E" w:rsidRPr="004573C9" w:rsidRDefault="00A9706E" w:rsidP="00A9706E">
      <w:pPr>
        <w:pStyle w:val="Caption"/>
        <w:rPr>
          <w:rFonts w:cs="Calibri"/>
          <w:b w:val="0"/>
          <w:i/>
        </w:rPr>
      </w:pPr>
      <w:r>
        <w:lastRenderedPageBreak/>
        <w:t xml:space="preserve">Figure </w:t>
      </w:r>
      <w:fldSimple w:instr=" STYLEREF 1 \s ">
        <w:r w:rsidR="001663C2">
          <w:rPr>
            <w:noProof/>
          </w:rPr>
          <w:t>2</w:t>
        </w:r>
      </w:fldSimple>
      <w:r w:rsidR="00943DC2">
        <w:noBreakHyphen/>
      </w:r>
      <w:fldSimple w:instr=" SEQ Figure \* ARABIC \s 1 ">
        <w:r w:rsidR="001663C2">
          <w:rPr>
            <w:noProof/>
          </w:rPr>
          <w:t>23</w:t>
        </w:r>
      </w:fldSimple>
      <w:r w:rsidRPr="00B217DD">
        <w:rPr>
          <w:rFonts w:cs="Calibri"/>
        </w:rPr>
        <w:t>: IMD 2010 Scores for 2010 by LSOA</w:t>
      </w:r>
    </w:p>
    <w:p w:rsidR="00A9706E" w:rsidRDefault="00A9706E" w:rsidP="00A9706E">
      <w:pPr>
        <w:spacing w:after="0" w:line="240" w:lineRule="auto"/>
        <w:jc w:val="center"/>
        <w:rPr>
          <w:rFonts w:ascii="Calibri" w:hAnsi="Calibri" w:cs="Calibri"/>
        </w:rPr>
      </w:pPr>
      <w:r>
        <w:rPr>
          <w:rFonts w:cs="Calibri"/>
          <w:noProof/>
          <w:sz w:val="24"/>
          <w:szCs w:val="24"/>
          <w:lang w:eastAsia="en-GB"/>
        </w:rPr>
        <w:drawing>
          <wp:inline distT="0" distB="0" distL="0" distR="0" wp14:anchorId="2F673397" wp14:editId="2532FBDA">
            <wp:extent cx="3530009" cy="3736502"/>
            <wp:effectExtent l="0" t="0" r="0" b="0"/>
            <wp:docPr id="43037" name="Picture 43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531617" cy="3738204"/>
                    </a:xfrm>
                    <a:prstGeom prst="rect">
                      <a:avLst/>
                    </a:prstGeom>
                    <a:noFill/>
                  </pic:spPr>
                </pic:pic>
              </a:graphicData>
            </a:graphic>
          </wp:inline>
        </w:drawing>
      </w:r>
    </w:p>
    <w:p w:rsidR="00A9706E" w:rsidRDefault="00A9706E" w:rsidP="00A9706E">
      <w:r>
        <w:t>By domain overall Barnet performed well in comparison to other areas.  However there are certain areas within the Borough that experience high levels of deprivation.</w:t>
      </w:r>
    </w:p>
    <w:p w:rsidR="00A9706E" w:rsidRPr="00E92FC0" w:rsidRDefault="00A9706E" w:rsidP="00A9706E">
      <w:pPr>
        <w:pStyle w:val="ListParagraph"/>
        <w:numPr>
          <w:ilvl w:val="0"/>
          <w:numId w:val="21"/>
        </w:numPr>
      </w:pPr>
      <w:r w:rsidRPr="00E92FC0">
        <w:t>13 of Barnet</w:t>
      </w:r>
      <w:r>
        <w:t>’s</w:t>
      </w:r>
      <w:r w:rsidRPr="00E92FC0">
        <w:t xml:space="preserve"> LSOAs rank within the 10% most income deprived nationally and eight </w:t>
      </w:r>
      <w:proofErr w:type="gramStart"/>
      <w:r w:rsidRPr="00E92FC0">
        <w:t>fall</w:t>
      </w:r>
      <w:proofErr w:type="gramEnd"/>
      <w:r w:rsidRPr="00E92FC0">
        <w:t xml:space="preserve"> within London’s 10% most deprived. These areas are found within Colindale, Edgware, Burnt Oak and East Finchley. </w:t>
      </w:r>
    </w:p>
    <w:p w:rsidR="00A9706E" w:rsidRPr="00E92FC0" w:rsidRDefault="00A9706E" w:rsidP="00A9706E">
      <w:pPr>
        <w:pStyle w:val="ListParagraph"/>
        <w:numPr>
          <w:ilvl w:val="0"/>
          <w:numId w:val="16"/>
        </w:numPr>
      </w:pPr>
      <w:proofErr w:type="spellStart"/>
      <w:r>
        <w:t>Stonegrove</w:t>
      </w:r>
      <w:proofErr w:type="spellEnd"/>
      <w:r>
        <w:t xml:space="preserve"> in Edgware and Graha</w:t>
      </w:r>
      <w:r w:rsidRPr="00E92FC0">
        <w:t xml:space="preserve">me Park in Colindale fall into the 10% most deprived nationally for employment. </w:t>
      </w:r>
    </w:p>
    <w:p w:rsidR="00A9706E" w:rsidRPr="00E92FC0" w:rsidRDefault="00A9706E" w:rsidP="00A9706E">
      <w:pPr>
        <w:pStyle w:val="ListParagraph"/>
        <w:numPr>
          <w:ilvl w:val="0"/>
          <w:numId w:val="16"/>
        </w:numPr>
      </w:pPr>
      <w:r>
        <w:t xml:space="preserve">Regionally, two LSOAs within the Dollis Valley estate in Underhill fall within </w:t>
      </w:r>
      <w:r w:rsidRPr="00E92FC0">
        <w:t>t</w:t>
      </w:r>
      <w:r>
        <w:t xml:space="preserve">he 10% most deprived areas for education, skills and training. </w:t>
      </w:r>
      <w:r w:rsidRPr="00E92FC0">
        <w:t xml:space="preserve"> </w:t>
      </w:r>
    </w:p>
    <w:p w:rsidR="00A9706E" w:rsidRPr="00E92FC0" w:rsidRDefault="00A9706E" w:rsidP="00A9706E">
      <w:pPr>
        <w:pStyle w:val="ListParagraph"/>
        <w:numPr>
          <w:ilvl w:val="0"/>
          <w:numId w:val="16"/>
        </w:numPr>
      </w:pPr>
      <w:r w:rsidRPr="00E92FC0">
        <w:t xml:space="preserve"> The area around Cricklewood Station in Childs Hill, the area around Hendon </w:t>
      </w:r>
      <w:proofErr w:type="spellStart"/>
      <w:r w:rsidRPr="00E92FC0">
        <w:t>Thameslink</w:t>
      </w:r>
      <w:proofErr w:type="spellEnd"/>
      <w:r w:rsidRPr="00E92FC0">
        <w:t xml:space="preserve"> Station and the West Hendon estate </w:t>
      </w:r>
      <w:r>
        <w:t xml:space="preserve">all </w:t>
      </w:r>
      <w:r w:rsidRPr="00E92FC0">
        <w:t xml:space="preserve">fall within the 10% most deprived LSOAs nationally for the living environment domain. </w:t>
      </w:r>
    </w:p>
    <w:p w:rsidR="00A9706E" w:rsidRPr="00E92FC0" w:rsidRDefault="00A9706E" w:rsidP="00A9706E">
      <w:pPr>
        <w:pStyle w:val="ListParagraph"/>
        <w:numPr>
          <w:ilvl w:val="0"/>
          <w:numId w:val="16"/>
        </w:numPr>
      </w:pPr>
      <w:r w:rsidRPr="00E92FC0">
        <w:t xml:space="preserve">The area around Cricklewood Station in Childs Hill is the 71st most deprived area in London for crime and disorder. This places it within the 1.5% most deprived across the capital and Barnet’s most deprived result on any domain. </w:t>
      </w:r>
    </w:p>
    <w:p w:rsidR="00A9706E" w:rsidRPr="00735F84" w:rsidRDefault="00A9706E" w:rsidP="00A9706E">
      <w:pPr>
        <w:pStyle w:val="Heading2"/>
      </w:pPr>
      <w:bookmarkStart w:id="421" w:name="_Toc426723305"/>
      <w:bookmarkStart w:id="422" w:name="_Toc431225132"/>
      <w:r>
        <w:t>Wellbeing</w:t>
      </w:r>
      <w:bookmarkEnd w:id="421"/>
      <w:bookmarkEnd w:id="422"/>
    </w:p>
    <w:p w:rsidR="00A9706E" w:rsidRPr="00932E7A" w:rsidRDefault="00A9706E" w:rsidP="00A9706E">
      <w:pPr>
        <w:jc w:val="both"/>
        <w:rPr>
          <w:rFonts w:cs="Calibri"/>
        </w:rPr>
      </w:pPr>
      <w:r w:rsidRPr="00932E7A">
        <w:rPr>
          <w:rFonts w:cs="Calibri"/>
        </w:rPr>
        <w:t xml:space="preserve">People with higher levels of wellbeing are likely to live longer, healthier and happier lives.  They are also likely to have lower levels of </w:t>
      </w:r>
      <w:r>
        <w:rPr>
          <w:rFonts w:cs="Calibri"/>
        </w:rPr>
        <w:t>i</w:t>
      </w:r>
      <w:r w:rsidRPr="00932E7A">
        <w:rPr>
          <w:rFonts w:cs="Calibri"/>
        </w:rPr>
        <w:t xml:space="preserve">ll health and recover quicker and for longer and have better physical and mental health </w:t>
      </w:r>
      <w:sdt>
        <w:sdtPr>
          <w:rPr>
            <w:rFonts w:cs="Calibri"/>
          </w:rPr>
          <w:id w:val="-1261823443"/>
          <w:citation/>
        </w:sdtPr>
        <w:sdtEndPr/>
        <w:sdtContent>
          <w:r w:rsidRPr="00932E7A">
            <w:rPr>
              <w:rFonts w:cs="Calibri"/>
            </w:rPr>
            <w:fldChar w:fldCharType="begin"/>
          </w:r>
          <w:r w:rsidRPr="00932E7A">
            <w:rPr>
              <w:rFonts w:cs="Calibri"/>
            </w:rPr>
            <w:instrText xml:space="preserve"> CITATION HMG10 \l 2057 </w:instrText>
          </w:r>
          <w:r w:rsidRPr="00932E7A">
            <w:rPr>
              <w:rFonts w:cs="Calibri"/>
            </w:rPr>
            <w:fldChar w:fldCharType="separate"/>
          </w:r>
          <w:r w:rsidRPr="00932E7A">
            <w:rPr>
              <w:rFonts w:cs="Calibri"/>
            </w:rPr>
            <w:t>(HM Government, 2010)</w:t>
          </w:r>
          <w:r w:rsidRPr="00932E7A">
            <w:rPr>
              <w:rFonts w:cs="Calibri"/>
            </w:rPr>
            <w:fldChar w:fldCharType="end"/>
          </w:r>
        </w:sdtContent>
      </w:sdt>
      <w:r w:rsidRPr="00932E7A">
        <w:rPr>
          <w:rFonts w:cs="Calibri"/>
        </w:rPr>
        <w:t>.</w:t>
      </w:r>
    </w:p>
    <w:p w:rsidR="00A9706E" w:rsidRPr="00932E7A" w:rsidRDefault="00A9706E" w:rsidP="00A9706E">
      <w:pPr>
        <w:jc w:val="both"/>
        <w:rPr>
          <w:rFonts w:cs="Calibri"/>
        </w:rPr>
      </w:pPr>
      <w:r w:rsidRPr="00932E7A">
        <w:rPr>
          <w:rFonts w:cs="Calibri"/>
        </w:rPr>
        <w:t xml:space="preserve">Using data from the Annual Population Survey, the ONS measure personal </w:t>
      </w:r>
      <w:r>
        <w:rPr>
          <w:rFonts w:cs="Calibri"/>
        </w:rPr>
        <w:t>wellbeing</w:t>
      </w:r>
      <w:r w:rsidRPr="00932E7A">
        <w:rPr>
          <w:rFonts w:cs="Calibri"/>
        </w:rPr>
        <w:t xml:space="preserve"> across four variables: life satisfaction; worthwhileness; happiness and anxiety. Each variable is scored out of 10. The highest levels of life satisfaction, worthwhileness and happiness include ratings of 9 or 10 out of </w:t>
      </w:r>
      <w:r w:rsidRPr="00932E7A">
        <w:rPr>
          <w:rFonts w:cs="Calibri"/>
        </w:rPr>
        <w:lastRenderedPageBreak/>
        <w:t xml:space="preserve">10. For anxiety, ratings of 0 or 1 out of 10 indicate the lowest levels of anxiety and therefore the highest </w:t>
      </w:r>
      <w:r>
        <w:rPr>
          <w:rFonts w:cs="Calibri"/>
        </w:rPr>
        <w:t>wellbeing</w:t>
      </w:r>
      <w:r w:rsidRPr="00932E7A">
        <w:rPr>
          <w:rFonts w:cs="Calibri"/>
        </w:rPr>
        <w:t>.</w:t>
      </w:r>
    </w:p>
    <w:p w:rsidR="00A9706E" w:rsidRPr="00932E7A" w:rsidRDefault="00A9706E" w:rsidP="00A9706E">
      <w:pPr>
        <w:pStyle w:val="ListParagraph"/>
        <w:numPr>
          <w:ilvl w:val="0"/>
          <w:numId w:val="4"/>
        </w:numPr>
        <w:jc w:val="both"/>
        <w:rPr>
          <w:color w:val="000000"/>
        </w:rPr>
      </w:pPr>
      <w:r w:rsidRPr="00932E7A">
        <w:rPr>
          <w:color w:val="000000"/>
        </w:rPr>
        <w:t>In 2013</w:t>
      </w:r>
      <w:r w:rsidR="00270AEE">
        <w:rPr>
          <w:color w:val="000000"/>
        </w:rPr>
        <w:t>/</w:t>
      </w:r>
      <w:r w:rsidRPr="00932E7A">
        <w:rPr>
          <w:color w:val="000000"/>
        </w:rPr>
        <w:t xml:space="preserve">2014 Barnet residents compared favourably to other London </w:t>
      </w:r>
      <w:r>
        <w:rPr>
          <w:color w:val="000000"/>
        </w:rPr>
        <w:t>Borough</w:t>
      </w:r>
      <w:r w:rsidRPr="00932E7A">
        <w:rPr>
          <w:color w:val="000000"/>
        </w:rPr>
        <w:t>s in happiness and anxiety. It scored on average 7.53 for happiness (ranked 4</w:t>
      </w:r>
      <w:r w:rsidRPr="00932E7A">
        <w:rPr>
          <w:color w:val="000000"/>
          <w:vertAlign w:val="superscript"/>
        </w:rPr>
        <w:t>th</w:t>
      </w:r>
      <w:r w:rsidRPr="00932E7A">
        <w:rPr>
          <w:color w:val="000000"/>
        </w:rPr>
        <w:t xml:space="preserve"> out of all London </w:t>
      </w:r>
      <w:r>
        <w:rPr>
          <w:color w:val="000000"/>
        </w:rPr>
        <w:t>Borough</w:t>
      </w:r>
      <w:r w:rsidRPr="00932E7A">
        <w:rPr>
          <w:color w:val="000000"/>
        </w:rPr>
        <w:t>s) and 2.61 for anxiety (ranked 2nd).</w:t>
      </w:r>
    </w:p>
    <w:p w:rsidR="00A9706E" w:rsidRPr="00932E7A" w:rsidRDefault="00A9706E" w:rsidP="00A9706E">
      <w:pPr>
        <w:pStyle w:val="ListParagraph"/>
        <w:numPr>
          <w:ilvl w:val="0"/>
          <w:numId w:val="4"/>
        </w:numPr>
        <w:jc w:val="both"/>
        <w:rPr>
          <w:color w:val="000000"/>
        </w:rPr>
      </w:pPr>
      <w:r w:rsidRPr="00932E7A">
        <w:rPr>
          <w:color w:val="000000"/>
        </w:rPr>
        <w:t xml:space="preserve">The life satisfaction and worthwhileness scores weren’t as positive, with Barnet scoring 7.39 for life satisfaction (ranked 16th out of all London </w:t>
      </w:r>
      <w:r>
        <w:rPr>
          <w:color w:val="000000"/>
        </w:rPr>
        <w:t>Borough</w:t>
      </w:r>
      <w:r w:rsidRPr="00932E7A">
        <w:rPr>
          <w:color w:val="000000"/>
        </w:rPr>
        <w:t>s) and 7.69 for worthwhileness (ranked 14</w:t>
      </w:r>
      <w:r w:rsidRPr="00932E7A">
        <w:rPr>
          <w:color w:val="000000"/>
          <w:vertAlign w:val="superscript"/>
        </w:rPr>
        <w:t>th</w:t>
      </w:r>
      <w:r w:rsidRPr="00932E7A">
        <w:rPr>
          <w:color w:val="000000"/>
        </w:rPr>
        <w:t xml:space="preserve">). Both of these variables ‘have experienced declining scores since 2011. </w:t>
      </w:r>
    </w:p>
    <w:p w:rsidR="00A9706E" w:rsidRPr="00932E7A" w:rsidRDefault="00A9706E" w:rsidP="00A9706E">
      <w:pPr>
        <w:pStyle w:val="Caption"/>
        <w:rPr>
          <w:rFonts w:cs="Calibri"/>
          <w:b w:val="0"/>
          <w:i/>
        </w:rPr>
      </w:pPr>
      <w:r>
        <w:t xml:space="preserve">Table </w:t>
      </w:r>
      <w:fldSimple w:instr=" STYLEREF 1 \s ">
        <w:r w:rsidR="001663C2">
          <w:rPr>
            <w:noProof/>
          </w:rPr>
          <w:t>2</w:t>
        </w:r>
      </w:fldSimple>
      <w:r>
        <w:noBreakHyphen/>
      </w:r>
      <w:fldSimple w:instr=" SEQ Table \* ARABIC \s 1 ">
        <w:r w:rsidR="001663C2">
          <w:rPr>
            <w:noProof/>
          </w:rPr>
          <w:t>20</w:t>
        </w:r>
      </w:fldSimple>
      <w:r w:rsidRPr="00B217DD">
        <w:rPr>
          <w:rFonts w:cs="Calibri"/>
        </w:rPr>
        <w:t xml:space="preserve">: </w:t>
      </w:r>
      <w:r>
        <w:rPr>
          <w:rFonts w:cs="Calibri"/>
        </w:rPr>
        <w:t>Wellbeing</w:t>
      </w:r>
      <w:r w:rsidRPr="00B217DD">
        <w:rPr>
          <w:rFonts w:cs="Calibri"/>
        </w:rPr>
        <w:t xml:space="preserve"> Scores 2011-2014 (Barnet)</w:t>
      </w:r>
    </w:p>
    <w:tbl>
      <w:tblPr>
        <w:tblW w:w="5410" w:type="dxa"/>
        <w:jc w:val="center"/>
        <w:tblInd w:w="-689" w:type="dxa"/>
        <w:tblLook w:val="04A0" w:firstRow="1" w:lastRow="0" w:firstColumn="1" w:lastColumn="0" w:noHBand="0" w:noVBand="1"/>
      </w:tblPr>
      <w:tblGrid>
        <w:gridCol w:w="2530"/>
        <w:gridCol w:w="960"/>
        <w:gridCol w:w="960"/>
        <w:gridCol w:w="960"/>
      </w:tblGrid>
      <w:tr w:rsidR="00A9706E" w:rsidRPr="00800AB9" w:rsidTr="00031B92">
        <w:trPr>
          <w:trHeight w:val="300"/>
          <w:jc w:val="center"/>
        </w:trPr>
        <w:tc>
          <w:tcPr>
            <w:tcW w:w="2530"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hideMark/>
          </w:tcPr>
          <w:p w:rsidR="00A9706E" w:rsidRPr="00800AB9" w:rsidRDefault="00A9706E" w:rsidP="00031B92">
            <w:pPr>
              <w:spacing w:after="0" w:line="240" w:lineRule="auto"/>
              <w:jc w:val="both"/>
              <w:rPr>
                <w:rFonts w:eastAsia="Times New Roman" w:cs="Arial"/>
                <w:lang w:eastAsia="en-GB"/>
              </w:rPr>
            </w:pPr>
            <w:r w:rsidRPr="00800AB9">
              <w:rPr>
                <w:rFonts w:eastAsia="Times New Roman" w:cs="Arial"/>
                <w:lang w:eastAsia="en-GB"/>
              </w:rPr>
              <w:t> </w:t>
            </w:r>
          </w:p>
        </w:tc>
        <w:tc>
          <w:tcPr>
            <w:tcW w:w="960" w:type="dxa"/>
            <w:tcBorders>
              <w:top w:val="single" w:sz="4" w:space="0" w:color="auto"/>
              <w:left w:val="nil"/>
              <w:bottom w:val="single" w:sz="4" w:space="0" w:color="auto"/>
              <w:right w:val="single" w:sz="4" w:space="0" w:color="auto"/>
            </w:tcBorders>
            <w:shd w:val="clear" w:color="auto" w:fill="BFBFBF" w:themeFill="background1" w:themeFillShade="BF"/>
            <w:noWrap/>
            <w:hideMark/>
          </w:tcPr>
          <w:p w:rsidR="00A9706E" w:rsidRPr="00800AB9" w:rsidRDefault="00A9706E" w:rsidP="00031B92">
            <w:pPr>
              <w:spacing w:after="0" w:line="240" w:lineRule="auto"/>
              <w:jc w:val="both"/>
              <w:rPr>
                <w:rFonts w:eastAsia="Times New Roman" w:cs="Arial"/>
                <w:b/>
                <w:bCs/>
                <w:color w:val="000000"/>
                <w:lang w:eastAsia="en-GB"/>
              </w:rPr>
            </w:pPr>
            <w:r w:rsidRPr="00800AB9">
              <w:rPr>
                <w:rFonts w:eastAsia="Times New Roman" w:cs="Arial"/>
                <w:b/>
                <w:bCs/>
                <w:color w:val="000000"/>
                <w:lang w:eastAsia="en-GB"/>
              </w:rPr>
              <w:t>2011-12</w:t>
            </w:r>
          </w:p>
        </w:tc>
        <w:tc>
          <w:tcPr>
            <w:tcW w:w="960" w:type="dxa"/>
            <w:tcBorders>
              <w:top w:val="single" w:sz="4" w:space="0" w:color="auto"/>
              <w:left w:val="nil"/>
              <w:bottom w:val="single" w:sz="4" w:space="0" w:color="auto"/>
              <w:right w:val="single" w:sz="4" w:space="0" w:color="auto"/>
            </w:tcBorders>
            <w:shd w:val="clear" w:color="auto" w:fill="BFBFBF" w:themeFill="background1" w:themeFillShade="BF"/>
            <w:noWrap/>
            <w:hideMark/>
          </w:tcPr>
          <w:p w:rsidR="00A9706E" w:rsidRPr="00800AB9" w:rsidRDefault="00A9706E" w:rsidP="00031B92">
            <w:pPr>
              <w:spacing w:after="0" w:line="240" w:lineRule="auto"/>
              <w:jc w:val="both"/>
              <w:rPr>
                <w:rFonts w:eastAsia="Times New Roman" w:cs="Arial"/>
                <w:b/>
                <w:bCs/>
                <w:color w:val="000000"/>
                <w:lang w:eastAsia="en-GB"/>
              </w:rPr>
            </w:pPr>
            <w:r w:rsidRPr="00800AB9">
              <w:rPr>
                <w:rFonts w:eastAsia="Times New Roman" w:cs="Arial"/>
                <w:b/>
                <w:bCs/>
                <w:color w:val="000000"/>
                <w:lang w:eastAsia="en-GB"/>
              </w:rPr>
              <w:t>2012-13</w:t>
            </w:r>
          </w:p>
        </w:tc>
        <w:tc>
          <w:tcPr>
            <w:tcW w:w="960" w:type="dxa"/>
            <w:tcBorders>
              <w:top w:val="single" w:sz="4" w:space="0" w:color="auto"/>
              <w:left w:val="nil"/>
              <w:bottom w:val="single" w:sz="4" w:space="0" w:color="auto"/>
              <w:right w:val="single" w:sz="4" w:space="0" w:color="auto"/>
            </w:tcBorders>
            <w:shd w:val="clear" w:color="auto" w:fill="BFBFBF" w:themeFill="background1" w:themeFillShade="BF"/>
            <w:noWrap/>
            <w:hideMark/>
          </w:tcPr>
          <w:p w:rsidR="00A9706E" w:rsidRPr="00800AB9" w:rsidRDefault="00A9706E" w:rsidP="00031B92">
            <w:pPr>
              <w:spacing w:after="0" w:line="240" w:lineRule="auto"/>
              <w:jc w:val="both"/>
              <w:rPr>
                <w:rFonts w:eastAsia="Times New Roman" w:cs="Arial"/>
                <w:b/>
                <w:bCs/>
                <w:color w:val="000000"/>
                <w:lang w:eastAsia="en-GB"/>
              </w:rPr>
            </w:pPr>
            <w:r w:rsidRPr="00800AB9">
              <w:rPr>
                <w:rFonts w:eastAsia="Times New Roman" w:cs="Arial"/>
                <w:b/>
                <w:bCs/>
                <w:color w:val="000000"/>
                <w:lang w:eastAsia="en-GB"/>
              </w:rPr>
              <w:t>2013-14</w:t>
            </w:r>
          </w:p>
        </w:tc>
      </w:tr>
      <w:tr w:rsidR="00A9706E" w:rsidRPr="00800AB9" w:rsidTr="00800AB9">
        <w:trPr>
          <w:trHeight w:val="300"/>
          <w:jc w:val="center"/>
        </w:trPr>
        <w:tc>
          <w:tcPr>
            <w:tcW w:w="2530" w:type="dxa"/>
            <w:tcBorders>
              <w:top w:val="nil"/>
              <w:left w:val="single" w:sz="4" w:space="0" w:color="auto"/>
              <w:bottom w:val="single" w:sz="4" w:space="0" w:color="auto"/>
              <w:right w:val="single" w:sz="4" w:space="0" w:color="auto"/>
            </w:tcBorders>
            <w:shd w:val="clear" w:color="auto" w:fill="auto"/>
            <w:noWrap/>
            <w:vAlign w:val="center"/>
            <w:hideMark/>
          </w:tcPr>
          <w:p w:rsidR="00A9706E" w:rsidRPr="00800AB9" w:rsidRDefault="00A9706E" w:rsidP="00800AB9">
            <w:pPr>
              <w:spacing w:after="0" w:line="240" w:lineRule="auto"/>
              <w:rPr>
                <w:rFonts w:eastAsia="Times New Roman" w:cs="Arial"/>
                <w:bCs/>
                <w:lang w:eastAsia="en-GB"/>
              </w:rPr>
            </w:pPr>
            <w:r w:rsidRPr="00800AB9">
              <w:rPr>
                <w:rFonts w:eastAsia="Times New Roman" w:cs="Arial"/>
                <w:bCs/>
                <w:lang w:eastAsia="en-GB"/>
              </w:rPr>
              <w:t>Life Satisfaction</w:t>
            </w:r>
          </w:p>
        </w:tc>
        <w:tc>
          <w:tcPr>
            <w:tcW w:w="960" w:type="dxa"/>
            <w:tcBorders>
              <w:top w:val="nil"/>
              <w:left w:val="nil"/>
              <w:bottom w:val="single" w:sz="4" w:space="0" w:color="auto"/>
              <w:right w:val="single" w:sz="4" w:space="0" w:color="auto"/>
            </w:tcBorders>
            <w:shd w:val="clear" w:color="auto" w:fill="auto"/>
            <w:noWrap/>
            <w:hideMark/>
          </w:tcPr>
          <w:p w:rsidR="00A9706E" w:rsidRPr="00800AB9" w:rsidRDefault="00A9706E" w:rsidP="00031B92">
            <w:pPr>
              <w:spacing w:after="0" w:line="240" w:lineRule="auto"/>
              <w:jc w:val="center"/>
              <w:rPr>
                <w:rFonts w:eastAsia="Times New Roman" w:cs="Arial"/>
                <w:color w:val="000000"/>
                <w:lang w:eastAsia="en-GB"/>
              </w:rPr>
            </w:pPr>
            <w:r w:rsidRPr="00800AB9">
              <w:rPr>
                <w:rFonts w:eastAsia="Times New Roman" w:cs="Arial"/>
                <w:color w:val="000000"/>
                <w:lang w:eastAsia="en-GB"/>
              </w:rPr>
              <w:t>7.45</w:t>
            </w:r>
          </w:p>
        </w:tc>
        <w:tc>
          <w:tcPr>
            <w:tcW w:w="960" w:type="dxa"/>
            <w:tcBorders>
              <w:top w:val="nil"/>
              <w:left w:val="nil"/>
              <w:bottom w:val="single" w:sz="4" w:space="0" w:color="auto"/>
              <w:right w:val="single" w:sz="4" w:space="0" w:color="auto"/>
            </w:tcBorders>
            <w:shd w:val="clear" w:color="auto" w:fill="auto"/>
            <w:noWrap/>
            <w:hideMark/>
          </w:tcPr>
          <w:p w:rsidR="00A9706E" w:rsidRPr="00800AB9" w:rsidRDefault="00A9706E" w:rsidP="00031B92">
            <w:pPr>
              <w:spacing w:after="0" w:line="240" w:lineRule="auto"/>
              <w:jc w:val="center"/>
              <w:rPr>
                <w:rFonts w:eastAsia="Times New Roman" w:cs="Arial"/>
                <w:color w:val="000000"/>
                <w:lang w:eastAsia="en-GB"/>
              </w:rPr>
            </w:pPr>
            <w:r w:rsidRPr="00800AB9">
              <w:rPr>
                <w:rFonts w:eastAsia="Times New Roman" w:cs="Arial"/>
                <w:color w:val="000000"/>
                <w:lang w:eastAsia="en-GB"/>
              </w:rPr>
              <w:t>7.35</w:t>
            </w:r>
          </w:p>
        </w:tc>
        <w:tc>
          <w:tcPr>
            <w:tcW w:w="960" w:type="dxa"/>
            <w:tcBorders>
              <w:top w:val="nil"/>
              <w:left w:val="nil"/>
              <w:bottom w:val="single" w:sz="4" w:space="0" w:color="auto"/>
              <w:right w:val="single" w:sz="4" w:space="0" w:color="auto"/>
            </w:tcBorders>
            <w:shd w:val="clear" w:color="auto" w:fill="auto"/>
            <w:noWrap/>
            <w:hideMark/>
          </w:tcPr>
          <w:p w:rsidR="00A9706E" w:rsidRPr="00800AB9" w:rsidRDefault="00A9706E" w:rsidP="00031B92">
            <w:pPr>
              <w:spacing w:after="0" w:line="240" w:lineRule="auto"/>
              <w:jc w:val="center"/>
              <w:rPr>
                <w:rFonts w:eastAsia="Times New Roman" w:cs="Arial"/>
                <w:color w:val="000000"/>
                <w:lang w:eastAsia="en-GB"/>
              </w:rPr>
            </w:pPr>
            <w:r w:rsidRPr="00800AB9">
              <w:rPr>
                <w:rFonts w:eastAsia="Times New Roman" w:cs="Arial"/>
                <w:color w:val="000000"/>
                <w:lang w:eastAsia="en-GB"/>
              </w:rPr>
              <w:t>7.39</w:t>
            </w:r>
          </w:p>
        </w:tc>
      </w:tr>
      <w:tr w:rsidR="00A9706E" w:rsidRPr="00800AB9" w:rsidTr="00800AB9">
        <w:trPr>
          <w:trHeight w:val="300"/>
          <w:jc w:val="center"/>
        </w:trPr>
        <w:tc>
          <w:tcPr>
            <w:tcW w:w="2530" w:type="dxa"/>
            <w:tcBorders>
              <w:top w:val="nil"/>
              <w:left w:val="single" w:sz="4" w:space="0" w:color="auto"/>
              <w:bottom w:val="single" w:sz="4" w:space="0" w:color="auto"/>
              <w:right w:val="single" w:sz="4" w:space="0" w:color="auto"/>
            </w:tcBorders>
            <w:shd w:val="clear" w:color="auto" w:fill="auto"/>
            <w:noWrap/>
            <w:vAlign w:val="center"/>
            <w:hideMark/>
          </w:tcPr>
          <w:p w:rsidR="00A9706E" w:rsidRPr="00800AB9" w:rsidRDefault="00A9706E" w:rsidP="00800AB9">
            <w:pPr>
              <w:spacing w:after="0" w:line="240" w:lineRule="auto"/>
              <w:rPr>
                <w:rFonts w:eastAsia="Times New Roman" w:cs="Arial"/>
                <w:bCs/>
                <w:lang w:eastAsia="en-GB"/>
              </w:rPr>
            </w:pPr>
            <w:r w:rsidRPr="00800AB9">
              <w:rPr>
                <w:rFonts w:eastAsia="Times New Roman" w:cs="Arial"/>
                <w:bCs/>
                <w:lang w:eastAsia="en-GB"/>
              </w:rPr>
              <w:t>Worthwhileness</w:t>
            </w:r>
          </w:p>
        </w:tc>
        <w:tc>
          <w:tcPr>
            <w:tcW w:w="960" w:type="dxa"/>
            <w:tcBorders>
              <w:top w:val="nil"/>
              <w:left w:val="nil"/>
              <w:bottom w:val="single" w:sz="4" w:space="0" w:color="auto"/>
              <w:right w:val="single" w:sz="4" w:space="0" w:color="auto"/>
            </w:tcBorders>
            <w:shd w:val="clear" w:color="auto" w:fill="auto"/>
            <w:noWrap/>
            <w:hideMark/>
          </w:tcPr>
          <w:p w:rsidR="00A9706E" w:rsidRPr="00800AB9" w:rsidRDefault="00A9706E" w:rsidP="00031B92">
            <w:pPr>
              <w:spacing w:after="0" w:line="240" w:lineRule="auto"/>
              <w:jc w:val="center"/>
              <w:rPr>
                <w:rFonts w:eastAsia="Times New Roman" w:cs="Arial"/>
                <w:color w:val="000000"/>
                <w:lang w:eastAsia="en-GB"/>
              </w:rPr>
            </w:pPr>
            <w:r w:rsidRPr="00800AB9">
              <w:rPr>
                <w:rFonts w:eastAsia="Times New Roman" w:cs="Arial"/>
                <w:color w:val="000000"/>
                <w:lang w:eastAsia="en-GB"/>
              </w:rPr>
              <w:t>7.72</w:t>
            </w:r>
          </w:p>
        </w:tc>
        <w:tc>
          <w:tcPr>
            <w:tcW w:w="960" w:type="dxa"/>
            <w:tcBorders>
              <w:top w:val="nil"/>
              <w:left w:val="nil"/>
              <w:bottom w:val="single" w:sz="4" w:space="0" w:color="auto"/>
              <w:right w:val="single" w:sz="4" w:space="0" w:color="auto"/>
            </w:tcBorders>
            <w:shd w:val="clear" w:color="auto" w:fill="auto"/>
            <w:noWrap/>
            <w:hideMark/>
          </w:tcPr>
          <w:p w:rsidR="00A9706E" w:rsidRPr="00800AB9" w:rsidRDefault="00A9706E" w:rsidP="00031B92">
            <w:pPr>
              <w:spacing w:after="0" w:line="240" w:lineRule="auto"/>
              <w:jc w:val="center"/>
              <w:rPr>
                <w:rFonts w:eastAsia="Times New Roman" w:cs="Arial"/>
                <w:color w:val="000000"/>
                <w:lang w:eastAsia="en-GB"/>
              </w:rPr>
            </w:pPr>
            <w:r w:rsidRPr="00800AB9">
              <w:rPr>
                <w:rFonts w:eastAsia="Times New Roman" w:cs="Arial"/>
                <w:color w:val="000000"/>
                <w:lang w:eastAsia="en-GB"/>
              </w:rPr>
              <w:t>7.79</w:t>
            </w:r>
          </w:p>
        </w:tc>
        <w:tc>
          <w:tcPr>
            <w:tcW w:w="960" w:type="dxa"/>
            <w:tcBorders>
              <w:top w:val="nil"/>
              <w:left w:val="nil"/>
              <w:bottom w:val="single" w:sz="4" w:space="0" w:color="auto"/>
              <w:right w:val="single" w:sz="4" w:space="0" w:color="auto"/>
            </w:tcBorders>
            <w:shd w:val="clear" w:color="auto" w:fill="auto"/>
            <w:noWrap/>
            <w:hideMark/>
          </w:tcPr>
          <w:p w:rsidR="00A9706E" w:rsidRPr="00800AB9" w:rsidRDefault="00A9706E" w:rsidP="00031B92">
            <w:pPr>
              <w:spacing w:after="0" w:line="240" w:lineRule="auto"/>
              <w:jc w:val="center"/>
              <w:rPr>
                <w:rFonts w:eastAsia="Times New Roman" w:cs="Arial"/>
                <w:color w:val="000000"/>
                <w:lang w:eastAsia="en-GB"/>
              </w:rPr>
            </w:pPr>
            <w:r w:rsidRPr="00800AB9">
              <w:rPr>
                <w:rFonts w:eastAsia="Times New Roman" w:cs="Arial"/>
                <w:color w:val="000000"/>
                <w:lang w:eastAsia="en-GB"/>
              </w:rPr>
              <w:t>7.69</w:t>
            </w:r>
          </w:p>
        </w:tc>
      </w:tr>
      <w:tr w:rsidR="00A9706E" w:rsidRPr="00800AB9" w:rsidTr="00800AB9">
        <w:trPr>
          <w:trHeight w:val="300"/>
          <w:jc w:val="center"/>
        </w:trPr>
        <w:tc>
          <w:tcPr>
            <w:tcW w:w="2530" w:type="dxa"/>
            <w:tcBorders>
              <w:top w:val="nil"/>
              <w:left w:val="single" w:sz="4" w:space="0" w:color="auto"/>
              <w:bottom w:val="single" w:sz="4" w:space="0" w:color="auto"/>
              <w:right w:val="single" w:sz="4" w:space="0" w:color="auto"/>
            </w:tcBorders>
            <w:shd w:val="clear" w:color="auto" w:fill="auto"/>
            <w:noWrap/>
            <w:vAlign w:val="center"/>
            <w:hideMark/>
          </w:tcPr>
          <w:p w:rsidR="00A9706E" w:rsidRPr="00800AB9" w:rsidRDefault="00A9706E" w:rsidP="00800AB9">
            <w:pPr>
              <w:spacing w:after="0" w:line="240" w:lineRule="auto"/>
              <w:rPr>
                <w:rFonts w:eastAsia="Times New Roman" w:cs="Arial"/>
                <w:bCs/>
                <w:lang w:eastAsia="en-GB"/>
              </w:rPr>
            </w:pPr>
            <w:r w:rsidRPr="00800AB9">
              <w:rPr>
                <w:rFonts w:eastAsia="Times New Roman" w:cs="Arial"/>
                <w:bCs/>
                <w:lang w:eastAsia="en-GB"/>
              </w:rPr>
              <w:t>Happiness</w:t>
            </w:r>
          </w:p>
        </w:tc>
        <w:tc>
          <w:tcPr>
            <w:tcW w:w="960" w:type="dxa"/>
            <w:tcBorders>
              <w:top w:val="nil"/>
              <w:left w:val="nil"/>
              <w:bottom w:val="single" w:sz="4" w:space="0" w:color="auto"/>
              <w:right w:val="single" w:sz="4" w:space="0" w:color="auto"/>
            </w:tcBorders>
            <w:shd w:val="clear" w:color="auto" w:fill="auto"/>
            <w:noWrap/>
            <w:hideMark/>
          </w:tcPr>
          <w:p w:rsidR="00A9706E" w:rsidRPr="00800AB9" w:rsidRDefault="00A9706E" w:rsidP="00031B92">
            <w:pPr>
              <w:spacing w:after="0" w:line="240" w:lineRule="auto"/>
              <w:jc w:val="center"/>
              <w:rPr>
                <w:rFonts w:eastAsia="Times New Roman" w:cs="Arial"/>
                <w:color w:val="000000"/>
                <w:lang w:eastAsia="en-GB"/>
              </w:rPr>
            </w:pPr>
            <w:r w:rsidRPr="00800AB9">
              <w:rPr>
                <w:rFonts w:eastAsia="Times New Roman" w:cs="Arial"/>
                <w:color w:val="000000"/>
                <w:lang w:eastAsia="en-GB"/>
              </w:rPr>
              <w:t>7.26</w:t>
            </w:r>
          </w:p>
        </w:tc>
        <w:tc>
          <w:tcPr>
            <w:tcW w:w="960" w:type="dxa"/>
            <w:tcBorders>
              <w:top w:val="nil"/>
              <w:left w:val="nil"/>
              <w:bottom w:val="single" w:sz="4" w:space="0" w:color="auto"/>
              <w:right w:val="single" w:sz="4" w:space="0" w:color="auto"/>
            </w:tcBorders>
            <w:shd w:val="clear" w:color="auto" w:fill="auto"/>
            <w:noWrap/>
            <w:hideMark/>
          </w:tcPr>
          <w:p w:rsidR="00A9706E" w:rsidRPr="00800AB9" w:rsidRDefault="00A9706E" w:rsidP="00031B92">
            <w:pPr>
              <w:spacing w:after="0" w:line="240" w:lineRule="auto"/>
              <w:jc w:val="center"/>
              <w:rPr>
                <w:rFonts w:eastAsia="Times New Roman" w:cs="Arial"/>
                <w:color w:val="000000"/>
                <w:lang w:eastAsia="en-GB"/>
              </w:rPr>
            </w:pPr>
            <w:r w:rsidRPr="00800AB9">
              <w:rPr>
                <w:rFonts w:eastAsia="Times New Roman" w:cs="Arial"/>
                <w:color w:val="000000"/>
                <w:lang w:eastAsia="en-GB"/>
              </w:rPr>
              <w:t>7.27</w:t>
            </w:r>
          </w:p>
        </w:tc>
        <w:tc>
          <w:tcPr>
            <w:tcW w:w="960" w:type="dxa"/>
            <w:tcBorders>
              <w:top w:val="nil"/>
              <w:left w:val="nil"/>
              <w:bottom w:val="single" w:sz="4" w:space="0" w:color="auto"/>
              <w:right w:val="single" w:sz="4" w:space="0" w:color="auto"/>
            </w:tcBorders>
            <w:shd w:val="clear" w:color="auto" w:fill="auto"/>
            <w:noWrap/>
            <w:hideMark/>
          </w:tcPr>
          <w:p w:rsidR="00A9706E" w:rsidRPr="00800AB9" w:rsidRDefault="00A9706E" w:rsidP="00031B92">
            <w:pPr>
              <w:spacing w:after="0" w:line="240" w:lineRule="auto"/>
              <w:jc w:val="center"/>
              <w:rPr>
                <w:rFonts w:eastAsia="Times New Roman" w:cs="Arial"/>
                <w:color w:val="000000"/>
                <w:lang w:eastAsia="en-GB"/>
              </w:rPr>
            </w:pPr>
            <w:r w:rsidRPr="00800AB9">
              <w:rPr>
                <w:rFonts w:eastAsia="Times New Roman" w:cs="Arial"/>
                <w:color w:val="000000"/>
                <w:lang w:eastAsia="en-GB"/>
              </w:rPr>
              <w:t>7.53</w:t>
            </w:r>
          </w:p>
        </w:tc>
      </w:tr>
      <w:tr w:rsidR="00A9706E" w:rsidRPr="00800AB9" w:rsidTr="00800AB9">
        <w:trPr>
          <w:trHeight w:val="300"/>
          <w:jc w:val="center"/>
        </w:trPr>
        <w:tc>
          <w:tcPr>
            <w:tcW w:w="2530" w:type="dxa"/>
            <w:tcBorders>
              <w:top w:val="nil"/>
              <w:left w:val="single" w:sz="4" w:space="0" w:color="auto"/>
              <w:bottom w:val="single" w:sz="4" w:space="0" w:color="auto"/>
              <w:right w:val="single" w:sz="4" w:space="0" w:color="auto"/>
            </w:tcBorders>
            <w:shd w:val="clear" w:color="auto" w:fill="auto"/>
            <w:noWrap/>
            <w:vAlign w:val="center"/>
            <w:hideMark/>
          </w:tcPr>
          <w:p w:rsidR="00A9706E" w:rsidRPr="00800AB9" w:rsidRDefault="00A9706E" w:rsidP="00800AB9">
            <w:pPr>
              <w:spacing w:after="0" w:line="240" w:lineRule="auto"/>
              <w:rPr>
                <w:rFonts w:eastAsia="Times New Roman" w:cs="Arial"/>
                <w:bCs/>
                <w:lang w:eastAsia="en-GB"/>
              </w:rPr>
            </w:pPr>
            <w:r w:rsidRPr="00800AB9">
              <w:rPr>
                <w:rFonts w:eastAsia="Times New Roman" w:cs="Arial"/>
                <w:bCs/>
                <w:lang w:eastAsia="en-GB"/>
              </w:rPr>
              <w:t>Anxiety</w:t>
            </w:r>
          </w:p>
        </w:tc>
        <w:tc>
          <w:tcPr>
            <w:tcW w:w="960" w:type="dxa"/>
            <w:tcBorders>
              <w:top w:val="nil"/>
              <w:left w:val="nil"/>
              <w:bottom w:val="single" w:sz="4" w:space="0" w:color="auto"/>
              <w:right w:val="single" w:sz="4" w:space="0" w:color="auto"/>
            </w:tcBorders>
            <w:shd w:val="clear" w:color="auto" w:fill="auto"/>
            <w:noWrap/>
            <w:hideMark/>
          </w:tcPr>
          <w:p w:rsidR="00A9706E" w:rsidRPr="00800AB9" w:rsidRDefault="00A9706E" w:rsidP="00031B92">
            <w:pPr>
              <w:spacing w:after="0" w:line="240" w:lineRule="auto"/>
              <w:jc w:val="center"/>
              <w:rPr>
                <w:rFonts w:eastAsia="Times New Roman" w:cs="Arial"/>
                <w:color w:val="000000"/>
                <w:lang w:eastAsia="en-GB"/>
              </w:rPr>
            </w:pPr>
            <w:r w:rsidRPr="00800AB9">
              <w:rPr>
                <w:rFonts w:eastAsia="Times New Roman" w:cs="Arial"/>
                <w:color w:val="000000"/>
                <w:lang w:eastAsia="en-GB"/>
              </w:rPr>
              <w:t>3.33</w:t>
            </w:r>
          </w:p>
        </w:tc>
        <w:tc>
          <w:tcPr>
            <w:tcW w:w="960" w:type="dxa"/>
            <w:tcBorders>
              <w:top w:val="nil"/>
              <w:left w:val="nil"/>
              <w:bottom w:val="single" w:sz="4" w:space="0" w:color="auto"/>
              <w:right w:val="single" w:sz="4" w:space="0" w:color="auto"/>
            </w:tcBorders>
            <w:shd w:val="clear" w:color="auto" w:fill="auto"/>
            <w:noWrap/>
            <w:hideMark/>
          </w:tcPr>
          <w:p w:rsidR="00A9706E" w:rsidRPr="00800AB9" w:rsidRDefault="00A9706E" w:rsidP="00031B92">
            <w:pPr>
              <w:spacing w:after="0" w:line="240" w:lineRule="auto"/>
              <w:jc w:val="center"/>
              <w:rPr>
                <w:rFonts w:eastAsia="Times New Roman" w:cs="Arial"/>
                <w:color w:val="000000"/>
                <w:lang w:eastAsia="en-GB"/>
              </w:rPr>
            </w:pPr>
            <w:r w:rsidRPr="00800AB9">
              <w:rPr>
                <w:rFonts w:eastAsia="Times New Roman" w:cs="Arial"/>
                <w:color w:val="000000"/>
                <w:lang w:eastAsia="en-GB"/>
              </w:rPr>
              <w:t>2.63</w:t>
            </w:r>
          </w:p>
        </w:tc>
        <w:tc>
          <w:tcPr>
            <w:tcW w:w="960" w:type="dxa"/>
            <w:tcBorders>
              <w:top w:val="nil"/>
              <w:left w:val="nil"/>
              <w:bottom w:val="single" w:sz="4" w:space="0" w:color="auto"/>
              <w:right w:val="single" w:sz="4" w:space="0" w:color="auto"/>
            </w:tcBorders>
            <w:shd w:val="clear" w:color="auto" w:fill="auto"/>
            <w:noWrap/>
            <w:hideMark/>
          </w:tcPr>
          <w:p w:rsidR="00A9706E" w:rsidRPr="00800AB9" w:rsidRDefault="00A9706E" w:rsidP="00031B92">
            <w:pPr>
              <w:spacing w:after="0" w:line="240" w:lineRule="auto"/>
              <w:jc w:val="center"/>
              <w:rPr>
                <w:rFonts w:eastAsia="Times New Roman" w:cs="Arial"/>
                <w:color w:val="000000"/>
                <w:lang w:eastAsia="en-GB"/>
              </w:rPr>
            </w:pPr>
            <w:r w:rsidRPr="00800AB9">
              <w:rPr>
                <w:rFonts w:eastAsia="Times New Roman" w:cs="Arial"/>
                <w:color w:val="000000"/>
                <w:lang w:eastAsia="en-GB"/>
              </w:rPr>
              <w:t>2.61</w:t>
            </w:r>
          </w:p>
        </w:tc>
      </w:tr>
    </w:tbl>
    <w:p w:rsidR="00A9706E" w:rsidRPr="00800AB9" w:rsidRDefault="00A9706E" w:rsidP="00A9706E">
      <w:r w:rsidRPr="00800AB9">
        <w:t>Source: ONS Annual Population Survey 2011 - 2014</w:t>
      </w:r>
    </w:p>
    <w:p w:rsidR="00A9706E" w:rsidRDefault="00702B67" w:rsidP="00A9706E">
      <w:pPr>
        <w:jc w:val="both"/>
      </w:pPr>
      <w:r>
        <w:t>There isn’t a breakdown of each wellbeing variable b</w:t>
      </w:r>
      <w:r w:rsidR="00A9706E" w:rsidRPr="00932E7A">
        <w:t xml:space="preserve">y </w:t>
      </w:r>
      <w:r w:rsidR="00DD3A76" w:rsidRPr="00932E7A">
        <w:t>ward;</w:t>
      </w:r>
      <w:r w:rsidR="00A9706E" w:rsidRPr="00932E7A">
        <w:t xml:space="preserve"> however the ONS does provide </w:t>
      </w:r>
      <w:r>
        <w:t xml:space="preserve">an </w:t>
      </w:r>
      <w:r w:rsidR="00A9706E" w:rsidRPr="00932E7A">
        <w:t>aggregated score, which is comprised of a combination of all four variables.</w:t>
      </w:r>
    </w:p>
    <w:p w:rsidR="00A9706E" w:rsidRPr="00932E7A" w:rsidRDefault="00A9706E" w:rsidP="00A9706E">
      <w:pPr>
        <w:pStyle w:val="Caption"/>
        <w:rPr>
          <w:rFonts w:cs="Calibri"/>
          <w:b w:val="0"/>
          <w:i/>
        </w:rPr>
      </w:pPr>
      <w:r>
        <w:t xml:space="preserve">Figure </w:t>
      </w:r>
      <w:fldSimple w:instr=" STYLEREF 1 \s ">
        <w:r w:rsidR="001663C2">
          <w:rPr>
            <w:noProof/>
          </w:rPr>
          <w:t>2</w:t>
        </w:r>
      </w:fldSimple>
      <w:r w:rsidR="00943DC2">
        <w:noBreakHyphen/>
      </w:r>
      <w:fldSimple w:instr=" SEQ Figure \* ARABIC \s 1 ">
        <w:r w:rsidR="001663C2">
          <w:rPr>
            <w:noProof/>
          </w:rPr>
          <w:t>24</w:t>
        </w:r>
      </w:fldSimple>
      <w:r w:rsidRPr="00B217DD">
        <w:rPr>
          <w:rFonts w:cs="Calibri"/>
        </w:rPr>
        <w:t xml:space="preserve">: </w:t>
      </w:r>
      <w:r>
        <w:rPr>
          <w:rFonts w:cs="Calibri"/>
        </w:rPr>
        <w:t>Wellbeing</w:t>
      </w:r>
      <w:r w:rsidRPr="00B217DD">
        <w:rPr>
          <w:rFonts w:cs="Calibri"/>
        </w:rPr>
        <w:t xml:space="preserve"> Score by Ward</w:t>
      </w:r>
    </w:p>
    <w:p w:rsidR="00A9706E" w:rsidRDefault="00A9706E" w:rsidP="00A9706E">
      <w:pPr>
        <w:spacing w:after="0" w:line="240" w:lineRule="auto"/>
        <w:jc w:val="center"/>
        <w:rPr>
          <w:sz w:val="24"/>
          <w:szCs w:val="24"/>
        </w:rPr>
      </w:pPr>
      <w:r>
        <w:rPr>
          <w:noProof/>
          <w:lang w:eastAsia="en-GB"/>
        </w:rPr>
        <w:drawing>
          <wp:inline distT="0" distB="0" distL="0" distR="0" wp14:anchorId="71EB14FC" wp14:editId="6290F790">
            <wp:extent cx="3284795" cy="3242931"/>
            <wp:effectExtent l="0" t="0" r="0" b="0"/>
            <wp:docPr id="43038" name="Picture 43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extLst>
                        <a:ext uri="{28A0092B-C50C-407E-A947-70E740481C1C}">
                          <a14:useLocalDpi xmlns:a14="http://schemas.microsoft.com/office/drawing/2010/main" val="0"/>
                        </a:ext>
                      </a:extLst>
                    </a:blip>
                    <a:srcRect l="10967" t="13861" r="45725" b="13110"/>
                    <a:stretch/>
                  </pic:blipFill>
                  <pic:spPr bwMode="auto">
                    <a:xfrm>
                      <a:off x="0" y="0"/>
                      <a:ext cx="3284885" cy="3243020"/>
                    </a:xfrm>
                    <a:prstGeom prst="rect">
                      <a:avLst/>
                    </a:prstGeom>
                    <a:ln>
                      <a:noFill/>
                    </a:ln>
                    <a:extLst>
                      <a:ext uri="{53640926-AAD7-44D8-BBD7-CCE9431645EC}">
                        <a14:shadowObscured xmlns:a14="http://schemas.microsoft.com/office/drawing/2010/main"/>
                      </a:ext>
                    </a:extLst>
                  </pic:spPr>
                </pic:pic>
              </a:graphicData>
            </a:graphic>
          </wp:inline>
        </w:drawing>
      </w:r>
    </w:p>
    <w:p w:rsidR="00A9706E" w:rsidRPr="00455CC9" w:rsidRDefault="00A9706E" w:rsidP="00A9706E">
      <w:pPr>
        <w:jc w:val="both"/>
      </w:pPr>
      <w:r w:rsidRPr="00455CC9">
        <w:t>Source: ONS Annual Population Survey</w:t>
      </w:r>
    </w:p>
    <w:p w:rsidR="00A9706E" w:rsidRDefault="00A9706E" w:rsidP="00A9706E">
      <w:pPr>
        <w:pStyle w:val="ListParagraph"/>
        <w:numPr>
          <w:ilvl w:val="0"/>
          <w:numId w:val="20"/>
        </w:numPr>
        <w:jc w:val="both"/>
      </w:pPr>
      <w:r w:rsidRPr="00932E7A">
        <w:t xml:space="preserve">Within Barnet, the Wards that reported the highest levels of </w:t>
      </w:r>
      <w:r>
        <w:t>wellbeing</w:t>
      </w:r>
      <w:r w:rsidRPr="00932E7A">
        <w:t xml:space="preserve"> are Woodhouse (7.9); High Barnet (7.7); and Garden Suburb (7.6).</w:t>
      </w:r>
    </w:p>
    <w:p w:rsidR="00A9706E" w:rsidRDefault="00A9706E" w:rsidP="00A9706E">
      <w:pPr>
        <w:pStyle w:val="ListParagraph"/>
        <w:numPr>
          <w:ilvl w:val="0"/>
          <w:numId w:val="20"/>
        </w:numPr>
        <w:jc w:val="both"/>
      </w:pPr>
      <w:r w:rsidRPr="00932E7A">
        <w:t xml:space="preserve">Whereas the lowest rated areas based on </w:t>
      </w:r>
      <w:r>
        <w:t>wellbeing</w:t>
      </w:r>
      <w:r w:rsidRPr="00932E7A">
        <w:t xml:space="preserve"> are found within Hendon (7.0); Hale (7.1); Coppetts (7.1); Colindale (7.1); and West Finchley (7.1).</w:t>
      </w:r>
    </w:p>
    <w:p w:rsidR="00A9706E" w:rsidRDefault="00A9706E" w:rsidP="00A9706E">
      <w:pPr>
        <w:pStyle w:val="ListParagraph"/>
        <w:numPr>
          <w:ilvl w:val="0"/>
          <w:numId w:val="20"/>
        </w:numPr>
        <w:jc w:val="both"/>
      </w:pPr>
      <w:r w:rsidRPr="00932E7A">
        <w:t xml:space="preserve">Overall, it appears that the areas of low </w:t>
      </w:r>
      <w:r>
        <w:t>wellbeing</w:t>
      </w:r>
      <w:r w:rsidRPr="00932E7A">
        <w:t xml:space="preserve"> appear to be in the similar localities to the areas that had the highest levels of deprivation in the 2010 IMD figures. </w:t>
      </w:r>
    </w:p>
    <w:p w:rsidR="007547D4" w:rsidRPr="006F2BD9" w:rsidRDefault="00B90E68" w:rsidP="007547D4">
      <w:pPr>
        <w:pStyle w:val="Heading1"/>
      </w:pPr>
      <w:bookmarkStart w:id="423" w:name="_Toc431225133"/>
      <w:r w:rsidRPr="006F2BD9">
        <w:lastRenderedPageBreak/>
        <w:t>Socio-Economic and Environmental Context</w:t>
      </w:r>
      <w:bookmarkEnd w:id="423"/>
    </w:p>
    <w:bookmarkStart w:id="424" w:name="_Toc424133442"/>
    <w:bookmarkStart w:id="425" w:name="_Toc424217292"/>
    <w:bookmarkStart w:id="426" w:name="_Toc424217465"/>
    <w:bookmarkStart w:id="427" w:name="_Toc424217629"/>
    <w:bookmarkStart w:id="428" w:name="_Toc424217970"/>
    <w:bookmarkStart w:id="429" w:name="_Toc424288995"/>
    <w:bookmarkStart w:id="430" w:name="_Toc424290283"/>
    <w:bookmarkStart w:id="431" w:name="_Toc424290442"/>
    <w:bookmarkStart w:id="432" w:name="_Toc424290791"/>
    <w:bookmarkStart w:id="433" w:name="_Toc424290954"/>
    <w:bookmarkStart w:id="434" w:name="_Toc424291600"/>
    <w:bookmarkStart w:id="435" w:name="_Toc424291761"/>
    <w:bookmarkStart w:id="436" w:name="_Toc424291923"/>
    <w:bookmarkStart w:id="437" w:name="_Toc425235599"/>
    <w:bookmarkStart w:id="438" w:name="_Toc425246634"/>
    <w:bookmarkStart w:id="439" w:name="_Toc425255162"/>
    <w:bookmarkStart w:id="440" w:name="_Toc426377274"/>
    <w:bookmarkStart w:id="441" w:name="_Toc426384930"/>
    <w:bookmarkStart w:id="442" w:name="_Toc426632792"/>
    <w:bookmarkStart w:id="443" w:name="_Toc426633574"/>
    <w:bookmarkStart w:id="444" w:name="_Toc426723307"/>
    <w:bookmarkStart w:id="445" w:name="_Toc427324161"/>
    <w:bookmarkStart w:id="446" w:name="_Toc427327379"/>
    <w:bookmarkStart w:id="447" w:name="_Toc427676595"/>
    <w:bookmarkStart w:id="448" w:name="_Toc427738550"/>
    <w:bookmarkStart w:id="449" w:name="_Toc428344128"/>
    <w:bookmarkStart w:id="450" w:name="_Toc430871156"/>
    <w:bookmarkStart w:id="451" w:name="_Toc431198857"/>
    <w:bookmarkStart w:id="452" w:name="_Toc431225134"/>
    <w:bookmarkEnd w:id="424"/>
    <w:bookmarkEnd w:id="425"/>
    <w:bookmarkEnd w:id="426"/>
    <w:bookmarkEnd w:id="427"/>
    <w:bookmarkEnd w:id="428"/>
    <w:bookmarkEnd w:id="429"/>
    <w:bookmarkEnd w:id="430"/>
    <w:bookmarkEnd w:id="431"/>
    <w:bookmarkEnd w:id="432"/>
    <w:bookmarkEnd w:id="433"/>
    <w:bookmarkEnd w:id="434"/>
    <w:bookmarkEnd w:id="435"/>
    <w:bookmarkEnd w:id="436"/>
    <w:p w:rsidR="007547D4" w:rsidRPr="001221C6" w:rsidRDefault="007547D4" w:rsidP="007547D4">
      <w:pPr>
        <w:pStyle w:val="ListParagraph"/>
        <w:keepNext/>
        <w:keepLines/>
        <w:numPr>
          <w:ilvl w:val="0"/>
          <w:numId w:val="138"/>
        </w:numPr>
        <w:spacing w:before="200" w:after="0"/>
        <w:contextualSpacing w:val="0"/>
        <w:outlineLvl w:val="1"/>
        <w:rPr>
          <w:rFonts w:asciiTheme="majorHAnsi" w:eastAsiaTheme="majorEastAsia" w:hAnsiTheme="majorHAnsi" w:cstheme="majorBidi"/>
          <w:b/>
          <w:bCs/>
          <w:vanish/>
          <w:color w:val="4F81BD" w:themeColor="accent1"/>
          <w:sz w:val="26"/>
          <w:szCs w:val="26"/>
        </w:rPr>
      </w:pPr>
      <w:r>
        <w:rPr>
          <w:noProof/>
          <w:lang w:eastAsia="en-GB"/>
        </w:rPr>
        <mc:AlternateContent>
          <mc:Choice Requires="wps">
            <w:drawing>
              <wp:anchor distT="0" distB="0" distL="114300" distR="114300" simplePos="0" relativeHeight="251866112" behindDoc="1" locked="0" layoutInCell="1" allowOverlap="1" wp14:anchorId="6E763E6E" wp14:editId="4945EA1C">
                <wp:simplePos x="0" y="0"/>
                <wp:positionH relativeFrom="column">
                  <wp:posOffset>-116338</wp:posOffset>
                </wp:positionH>
                <wp:positionV relativeFrom="paragraph">
                  <wp:posOffset>46990</wp:posOffset>
                </wp:positionV>
                <wp:extent cx="6038850" cy="3487479"/>
                <wp:effectExtent l="0" t="0" r="0" b="0"/>
                <wp:wrapNone/>
                <wp:docPr id="4115" name="Rectangle 4115"/>
                <wp:cNvGraphicFramePr/>
                <a:graphic xmlns:a="http://schemas.openxmlformats.org/drawingml/2006/main">
                  <a:graphicData uri="http://schemas.microsoft.com/office/word/2010/wordprocessingShape">
                    <wps:wsp>
                      <wps:cNvSpPr/>
                      <wps:spPr>
                        <a:xfrm>
                          <a:off x="0" y="0"/>
                          <a:ext cx="6038850" cy="3487479"/>
                        </a:xfrm>
                        <a:prstGeom prst="rect">
                          <a:avLst/>
                        </a:prstGeom>
                        <a:solidFill>
                          <a:srgbClr val="4F81BD">
                            <a:lumMod val="20000"/>
                            <a:lumOff val="80000"/>
                            <a:alpha val="7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115" o:spid="_x0000_s1026" style="position:absolute;margin-left:-9.15pt;margin-top:3.7pt;width:475.5pt;height:274.6pt;z-index:-25145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" fillcolor="#dce6f2" stroked="f" strokeweight="2pt">
                <v:fill opacity="46003f"/>
              </v:rect>
            </w:pict>
          </mc:Fallback>
        </mc:AlternateContent>
      </w:r>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p>
    <w:p w:rsidR="007547D4" w:rsidRPr="001221C6" w:rsidRDefault="007547D4" w:rsidP="007547D4">
      <w:pPr>
        <w:pStyle w:val="ListParagraph"/>
        <w:keepNext/>
        <w:keepLines/>
        <w:numPr>
          <w:ilvl w:val="0"/>
          <w:numId w:val="138"/>
        </w:numPr>
        <w:spacing w:before="200" w:after="0"/>
        <w:contextualSpacing w:val="0"/>
        <w:outlineLvl w:val="1"/>
        <w:rPr>
          <w:rFonts w:asciiTheme="majorHAnsi" w:eastAsiaTheme="majorEastAsia" w:hAnsiTheme="majorHAnsi" w:cstheme="majorBidi"/>
          <w:b/>
          <w:bCs/>
          <w:vanish/>
          <w:color w:val="4F81BD" w:themeColor="accent1"/>
          <w:sz w:val="26"/>
          <w:szCs w:val="26"/>
        </w:rPr>
      </w:pPr>
      <w:bookmarkStart w:id="453" w:name="_Toc424133443"/>
      <w:bookmarkStart w:id="454" w:name="_Toc424217293"/>
      <w:bookmarkStart w:id="455" w:name="_Toc424217466"/>
      <w:bookmarkStart w:id="456" w:name="_Toc424217630"/>
      <w:bookmarkStart w:id="457" w:name="_Toc424217971"/>
      <w:bookmarkStart w:id="458" w:name="_Toc424288996"/>
      <w:bookmarkStart w:id="459" w:name="_Toc424290284"/>
      <w:bookmarkStart w:id="460" w:name="_Toc424290443"/>
      <w:bookmarkStart w:id="461" w:name="_Toc424290792"/>
      <w:bookmarkStart w:id="462" w:name="_Toc424290955"/>
      <w:bookmarkStart w:id="463" w:name="_Toc424291601"/>
      <w:bookmarkStart w:id="464" w:name="_Toc424291762"/>
      <w:bookmarkStart w:id="465" w:name="_Toc424291924"/>
      <w:bookmarkStart w:id="466" w:name="_Toc425235600"/>
      <w:bookmarkStart w:id="467" w:name="_Toc425246475"/>
      <w:bookmarkStart w:id="468" w:name="_Toc425246635"/>
      <w:bookmarkStart w:id="469" w:name="_Toc425255163"/>
      <w:bookmarkStart w:id="470" w:name="_Toc426377275"/>
      <w:bookmarkStart w:id="471" w:name="_Toc426384931"/>
      <w:bookmarkStart w:id="472" w:name="_Toc426632600"/>
      <w:bookmarkStart w:id="473" w:name="_Toc426632793"/>
      <w:bookmarkStart w:id="474" w:name="_Toc426633408"/>
      <w:bookmarkStart w:id="475" w:name="_Toc426633575"/>
      <w:bookmarkStart w:id="476" w:name="_Toc426723308"/>
      <w:bookmarkStart w:id="477" w:name="_Toc427323177"/>
      <w:bookmarkStart w:id="478" w:name="_Toc427323361"/>
      <w:bookmarkStart w:id="479" w:name="_Toc427323857"/>
      <w:bookmarkStart w:id="480" w:name="_Toc427324162"/>
      <w:bookmarkStart w:id="481" w:name="_Toc427327380"/>
      <w:bookmarkStart w:id="482" w:name="_Toc427676412"/>
      <w:bookmarkStart w:id="483" w:name="_Toc427676596"/>
      <w:bookmarkStart w:id="484" w:name="_Toc427738551"/>
      <w:bookmarkStart w:id="485" w:name="_Toc427763002"/>
      <w:bookmarkStart w:id="486" w:name="_Toc427763197"/>
      <w:bookmarkStart w:id="487" w:name="_Toc427830195"/>
      <w:bookmarkStart w:id="488" w:name="_Toc427830390"/>
      <w:bookmarkStart w:id="489" w:name="_Toc428344129"/>
      <w:bookmarkStart w:id="490" w:name="_Toc430871157"/>
      <w:bookmarkStart w:id="491" w:name="_Toc431198858"/>
      <w:bookmarkStart w:id="492" w:name="_Toc431225135"/>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p>
    <w:p w:rsidR="007547D4" w:rsidRPr="001221C6" w:rsidRDefault="007547D4" w:rsidP="007547D4">
      <w:pPr>
        <w:pStyle w:val="ListParagraph"/>
        <w:keepNext/>
        <w:keepLines/>
        <w:numPr>
          <w:ilvl w:val="0"/>
          <w:numId w:val="138"/>
        </w:numPr>
        <w:spacing w:before="200" w:after="0"/>
        <w:contextualSpacing w:val="0"/>
        <w:outlineLvl w:val="1"/>
        <w:rPr>
          <w:rFonts w:asciiTheme="majorHAnsi" w:eastAsiaTheme="majorEastAsia" w:hAnsiTheme="majorHAnsi" w:cstheme="majorBidi"/>
          <w:b/>
          <w:bCs/>
          <w:vanish/>
          <w:color w:val="4F81BD" w:themeColor="accent1"/>
          <w:sz w:val="26"/>
          <w:szCs w:val="26"/>
        </w:rPr>
      </w:pPr>
      <w:bookmarkStart w:id="493" w:name="_Toc424133444"/>
      <w:bookmarkStart w:id="494" w:name="_Toc424217294"/>
      <w:bookmarkStart w:id="495" w:name="_Toc424217467"/>
      <w:bookmarkStart w:id="496" w:name="_Toc424217631"/>
      <w:bookmarkStart w:id="497" w:name="_Toc424217972"/>
      <w:bookmarkStart w:id="498" w:name="_Toc424288997"/>
      <w:bookmarkStart w:id="499" w:name="_Toc424290285"/>
      <w:bookmarkStart w:id="500" w:name="_Toc424290444"/>
      <w:bookmarkStart w:id="501" w:name="_Toc424290793"/>
      <w:bookmarkStart w:id="502" w:name="_Toc424290956"/>
      <w:bookmarkStart w:id="503" w:name="_Toc424291602"/>
      <w:bookmarkStart w:id="504" w:name="_Toc424291763"/>
      <w:bookmarkStart w:id="505" w:name="_Toc424291925"/>
      <w:bookmarkStart w:id="506" w:name="_Toc425235601"/>
      <w:bookmarkStart w:id="507" w:name="_Toc425246476"/>
      <w:bookmarkStart w:id="508" w:name="_Toc425246636"/>
      <w:bookmarkStart w:id="509" w:name="_Toc425255164"/>
      <w:bookmarkStart w:id="510" w:name="_Toc426377276"/>
      <w:bookmarkStart w:id="511" w:name="_Toc426384932"/>
      <w:bookmarkStart w:id="512" w:name="_Toc426632601"/>
      <w:bookmarkStart w:id="513" w:name="_Toc426632794"/>
      <w:bookmarkStart w:id="514" w:name="_Toc426633409"/>
      <w:bookmarkStart w:id="515" w:name="_Toc426633576"/>
      <w:bookmarkStart w:id="516" w:name="_Toc426723309"/>
      <w:bookmarkStart w:id="517" w:name="_Toc427323178"/>
      <w:bookmarkStart w:id="518" w:name="_Toc427323362"/>
      <w:bookmarkStart w:id="519" w:name="_Toc427323858"/>
      <w:bookmarkStart w:id="520" w:name="_Toc427324163"/>
      <w:bookmarkStart w:id="521" w:name="_Toc427327381"/>
      <w:bookmarkStart w:id="522" w:name="_Toc427676413"/>
      <w:bookmarkStart w:id="523" w:name="_Toc427676597"/>
      <w:bookmarkStart w:id="524" w:name="_Toc427738552"/>
      <w:bookmarkStart w:id="525" w:name="_Toc427763003"/>
      <w:bookmarkStart w:id="526" w:name="_Toc427763198"/>
      <w:bookmarkStart w:id="527" w:name="_Toc427830196"/>
      <w:bookmarkStart w:id="528" w:name="_Toc427830391"/>
      <w:bookmarkStart w:id="529" w:name="_Toc428344130"/>
      <w:bookmarkStart w:id="530" w:name="_Toc430871158"/>
      <w:bookmarkStart w:id="531" w:name="_Toc431198859"/>
      <w:bookmarkStart w:id="532" w:name="_Toc431225136"/>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p>
    <w:p w:rsidR="007547D4" w:rsidRDefault="007547D4" w:rsidP="007547D4">
      <w:pPr>
        <w:pStyle w:val="Heading2"/>
        <w:numPr>
          <w:ilvl w:val="1"/>
          <w:numId w:val="138"/>
        </w:numPr>
      </w:pPr>
      <w:bookmarkStart w:id="533" w:name="_Toc426723310"/>
      <w:bookmarkStart w:id="534" w:name="_Toc431225137"/>
      <w:r w:rsidRPr="006F2BD9">
        <w:t>Key Facts</w:t>
      </w:r>
      <w:bookmarkEnd w:id="533"/>
      <w:bookmarkEnd w:id="534"/>
    </w:p>
    <w:p w:rsidR="007547D4" w:rsidRPr="00DF0E04" w:rsidRDefault="007547D4" w:rsidP="007547D4">
      <w:pPr>
        <w:pStyle w:val="ListParagraph"/>
        <w:numPr>
          <w:ilvl w:val="0"/>
          <w:numId w:val="23"/>
        </w:numPr>
        <w:spacing w:after="0" w:line="240" w:lineRule="auto"/>
        <w:jc w:val="both"/>
      </w:pPr>
      <w:r w:rsidRPr="00DF0E04">
        <w:t xml:space="preserve">At the time of the 2011 Census there were 135,916 households in Barnet. 58% of households were owner-occupied, 14% socially rented and 26% privately rented. In 2013, the GLA estimated that the number of households had increased to 141,386. </w:t>
      </w:r>
    </w:p>
    <w:p w:rsidR="007547D4" w:rsidRPr="00AC5BF3" w:rsidRDefault="007547D4" w:rsidP="007547D4">
      <w:pPr>
        <w:pStyle w:val="ListParagraph"/>
        <w:numPr>
          <w:ilvl w:val="0"/>
          <w:numId w:val="23"/>
        </w:numPr>
        <w:jc w:val="both"/>
      </w:pPr>
      <w:r w:rsidRPr="00CE4BBC">
        <w:t>Barnet is an expensive place in which</w:t>
      </w:r>
      <w:r>
        <w:t xml:space="preserve"> to live with a</w:t>
      </w:r>
      <w:r w:rsidRPr="00CE4BBC">
        <w:t>verage ho</w:t>
      </w:r>
      <w:r>
        <w:t>use prices in December 2014 at</w:t>
      </w:r>
      <w:r w:rsidRPr="00CE4BBC">
        <w:t xml:space="preserve"> </w:t>
      </w:r>
      <w:r w:rsidRPr="00CE4BBC">
        <w:rPr>
          <w:rFonts w:eastAsiaTheme="minorEastAsia"/>
          <w:bCs/>
          <w:color w:val="080808"/>
          <w:kern w:val="24"/>
          <w:lang w:eastAsia="en-GB"/>
        </w:rPr>
        <w:t>£451,231</w:t>
      </w:r>
      <w:r>
        <w:rPr>
          <w:rFonts w:eastAsiaTheme="minorEastAsia"/>
          <w:color w:val="080808"/>
          <w:kern w:val="24"/>
          <w:lang w:eastAsia="en-GB"/>
        </w:rPr>
        <w:t>.</w:t>
      </w:r>
    </w:p>
    <w:p w:rsidR="007547D4" w:rsidRDefault="007547D4" w:rsidP="007547D4">
      <w:pPr>
        <w:pStyle w:val="ListParagraph"/>
        <w:numPr>
          <w:ilvl w:val="0"/>
          <w:numId w:val="23"/>
        </w:numPr>
        <w:jc w:val="both"/>
      </w:pPr>
      <w:r w:rsidRPr="006F2BD9">
        <w:t xml:space="preserve">Between 2009 and 2012 Barnet’s business population increased by 5.3%, to a total of 18,920 business units, a greater increase than for Greater London (4.6%). </w:t>
      </w:r>
    </w:p>
    <w:p w:rsidR="007547D4" w:rsidRPr="006F2BD9" w:rsidRDefault="007547D4" w:rsidP="007547D4">
      <w:pPr>
        <w:pStyle w:val="ListParagraph"/>
        <w:numPr>
          <w:ilvl w:val="0"/>
          <w:numId w:val="25"/>
        </w:numPr>
        <w:jc w:val="both"/>
      </w:pPr>
      <w:r>
        <w:t xml:space="preserve">In September 2014, Barnet’s employment rate was </w:t>
      </w:r>
      <w:r w:rsidRPr="006F2BD9">
        <w:t xml:space="preserve">70.9%, versus 71.5% for Outer London and 72.1% for the UK. </w:t>
      </w:r>
    </w:p>
    <w:p w:rsidR="007547D4" w:rsidRPr="006F2BD9" w:rsidRDefault="007547D4" w:rsidP="007547D4">
      <w:pPr>
        <w:pStyle w:val="ListParagraph"/>
        <w:numPr>
          <w:ilvl w:val="0"/>
          <w:numId w:val="25"/>
        </w:numPr>
        <w:jc w:val="both"/>
      </w:pPr>
      <w:r w:rsidRPr="006F2BD9">
        <w:t>In August 2014 there were 22,410 people claiming out-of-work benefits in Barnet, 9.5</w:t>
      </w:r>
      <w:r>
        <w:t xml:space="preserve">% of the total 16-64 population. </w:t>
      </w:r>
      <w:r w:rsidRPr="006F2BD9">
        <w:t>This is below the Outer London and UK rates of 10.9% and 12.6% respectively.</w:t>
      </w:r>
    </w:p>
    <w:p w:rsidR="007547D4" w:rsidRPr="00B570A2" w:rsidRDefault="007547D4" w:rsidP="007547D4">
      <w:pPr>
        <w:pStyle w:val="ListParagraph"/>
        <w:numPr>
          <w:ilvl w:val="0"/>
          <w:numId w:val="25"/>
        </w:numPr>
        <w:jc w:val="both"/>
        <w:rPr>
          <w:rFonts w:cs="Arial"/>
        </w:rPr>
      </w:pPr>
      <w:r w:rsidRPr="00B570A2">
        <w:rPr>
          <w:rFonts w:cs="Arial"/>
        </w:rPr>
        <w:t>Barnet’s average raw household income in 2015 was £41,658; this was 44.5% higher than the Great Britain average of £28,696.</w:t>
      </w:r>
    </w:p>
    <w:p w:rsidR="007547D4" w:rsidRDefault="007547D4" w:rsidP="007547D4">
      <w:pPr>
        <w:pStyle w:val="ListParagraph"/>
        <w:numPr>
          <w:ilvl w:val="0"/>
          <w:numId w:val="25"/>
        </w:numPr>
        <w:jc w:val="both"/>
        <w:rPr>
          <w:rFonts w:cs="Arial"/>
        </w:rPr>
      </w:pPr>
      <w:r w:rsidRPr="00C32EF9">
        <w:rPr>
          <w:rFonts w:cs="Arial"/>
        </w:rPr>
        <w:t>Between 2012 and 2015 Barnet’s average household income increased by 17.6%, compared to the Great Britain average which increased by 1.0%.</w:t>
      </w:r>
    </w:p>
    <w:p w:rsidR="007547D4" w:rsidRDefault="007547D4" w:rsidP="007547D4">
      <w:pPr>
        <w:pStyle w:val="Heading2"/>
        <w:numPr>
          <w:ilvl w:val="1"/>
          <w:numId w:val="138"/>
        </w:numPr>
      </w:pPr>
      <w:bookmarkStart w:id="535" w:name="_Toc426723311"/>
      <w:bookmarkStart w:id="536" w:name="_Toc431225138"/>
      <w:r>
        <w:t>Strategic Needs</w:t>
      </w:r>
      <w:bookmarkEnd w:id="535"/>
      <w:bookmarkEnd w:id="536"/>
    </w:p>
    <w:p w:rsidR="007547D4" w:rsidRPr="004D228F" w:rsidRDefault="007547D4" w:rsidP="007547D4">
      <w:pPr>
        <w:pStyle w:val="ListParagraph"/>
        <w:numPr>
          <w:ilvl w:val="0"/>
          <w:numId w:val="23"/>
        </w:numPr>
        <w:jc w:val="both"/>
      </w:pPr>
      <w:r w:rsidRPr="004D228F">
        <w:t xml:space="preserve">There is a long term </w:t>
      </w:r>
      <w:r w:rsidRPr="004D228F">
        <w:rPr>
          <w:b/>
        </w:rPr>
        <w:t xml:space="preserve">shift in housing tenure towards renting and away from owner </w:t>
      </w:r>
      <w:r>
        <w:rPr>
          <w:b/>
        </w:rPr>
        <w:t>occupancy</w:t>
      </w:r>
      <w:r w:rsidRPr="004D228F">
        <w:t xml:space="preserve"> (either outright or with a mortgage) reflecting a sustained reduction in housing affordability</w:t>
      </w:r>
      <w:r>
        <w:t xml:space="preserve"> and an imbalance between housing demand and supply</w:t>
      </w:r>
      <w:r w:rsidRPr="004D228F">
        <w:t>.</w:t>
      </w:r>
    </w:p>
    <w:p w:rsidR="007547D4" w:rsidRDefault="007547D4" w:rsidP="007547D4">
      <w:pPr>
        <w:pStyle w:val="ListParagraph"/>
        <w:numPr>
          <w:ilvl w:val="0"/>
          <w:numId w:val="23"/>
        </w:numPr>
        <w:jc w:val="both"/>
      </w:pPr>
      <w:r w:rsidRPr="004D228F">
        <w:rPr>
          <w:b/>
        </w:rPr>
        <w:t xml:space="preserve">Housing affordability </w:t>
      </w:r>
      <w:r>
        <w:rPr>
          <w:b/>
        </w:rPr>
        <w:t xml:space="preserve">is the second highest </w:t>
      </w:r>
      <w:r w:rsidRPr="004D228F">
        <w:rPr>
          <w:b/>
        </w:rPr>
        <w:t>concern for residents</w:t>
      </w:r>
      <w:r w:rsidRPr="004D228F">
        <w:t xml:space="preserve"> according to the 2015 Residents’ Perception Survey. Only the condition of roads and pavements is a higher concern.</w:t>
      </w:r>
    </w:p>
    <w:p w:rsidR="007547D4" w:rsidRPr="004D228F" w:rsidRDefault="007547D4" w:rsidP="007547D4">
      <w:pPr>
        <w:pStyle w:val="ListParagraph"/>
        <w:numPr>
          <w:ilvl w:val="0"/>
          <w:numId w:val="23"/>
        </w:numPr>
        <w:jc w:val="both"/>
      </w:pPr>
      <w:r>
        <w:t xml:space="preserve">Currently the large majority of older residents own their own home and use the equity they have built up to fund the care they may need later in life. </w:t>
      </w:r>
      <w:r w:rsidRPr="004D228F">
        <w:rPr>
          <w:b/>
        </w:rPr>
        <w:t xml:space="preserve">Over the coming </w:t>
      </w:r>
      <w:r>
        <w:rPr>
          <w:b/>
        </w:rPr>
        <w:t>years</w:t>
      </w:r>
      <w:r w:rsidRPr="004D228F">
        <w:rPr>
          <w:b/>
        </w:rPr>
        <w:t xml:space="preserve"> a declining proportion of the growing older population will own their own home</w:t>
      </w:r>
      <w:r>
        <w:t>, having important implications for how the health and care system works and is paid for in the Borough.</w:t>
      </w:r>
    </w:p>
    <w:p w:rsidR="007547D4" w:rsidRDefault="007547D4" w:rsidP="007547D4">
      <w:pPr>
        <w:pStyle w:val="ListParagraph"/>
        <w:numPr>
          <w:ilvl w:val="0"/>
          <w:numId w:val="23"/>
        </w:numPr>
        <w:jc w:val="both"/>
      </w:pPr>
      <w:r w:rsidRPr="00F4796C">
        <w:t>Social isolation is an important driver of demand for health and care se</w:t>
      </w:r>
      <w:r>
        <w:t>rvices. I</w:t>
      </w:r>
      <w:r w:rsidRPr="00F4796C">
        <w:t>n Barnet</w:t>
      </w:r>
      <w:r>
        <w:t xml:space="preserve"> </w:t>
      </w:r>
      <w:r w:rsidRPr="003119AB">
        <w:rPr>
          <w:b/>
        </w:rPr>
        <w:t>social isolation is associated with areas of higher affluence and lower population density</w:t>
      </w:r>
      <w:r>
        <w:rPr>
          <w:b/>
        </w:rPr>
        <w:t>,</w:t>
      </w:r>
      <w:r w:rsidRPr="00F4796C">
        <w:t xml:space="preserve"> as people in </w:t>
      </w:r>
      <w:r>
        <w:t>these</w:t>
      </w:r>
      <w:r w:rsidRPr="00F4796C">
        <w:t xml:space="preserve"> areas tend to have weaker</w:t>
      </w:r>
      <w:r>
        <w:t>,</w:t>
      </w:r>
      <w:r w:rsidRPr="00F4796C">
        <w:t xml:space="preserve"> </w:t>
      </w:r>
      <w:r>
        <w:t>less established, local</w:t>
      </w:r>
      <w:r w:rsidRPr="00F4796C">
        <w:t xml:space="preserve"> community and family networks.</w:t>
      </w:r>
    </w:p>
    <w:p w:rsidR="007547D4" w:rsidRPr="00B570A2" w:rsidRDefault="007547D4" w:rsidP="007547D4">
      <w:pPr>
        <w:pStyle w:val="ListParagraph"/>
        <w:numPr>
          <w:ilvl w:val="0"/>
          <w:numId w:val="23"/>
        </w:numPr>
        <w:jc w:val="both"/>
      </w:pPr>
      <w:r w:rsidRPr="00B570A2">
        <w:rPr>
          <w:b/>
        </w:rPr>
        <w:t>Average income is rising in Barnet, however this growth is driven predominantly by more affluent wards, with wage growth in other areas stagnating and even falling in real terms,</w:t>
      </w:r>
      <w:r w:rsidRPr="00B570A2">
        <w:t xml:space="preserve"> resulting in higher income inequality between different areas in Barnet. More work is needed to understand what is driving this divide and its implications.</w:t>
      </w:r>
    </w:p>
    <w:p w:rsidR="007547D4" w:rsidRDefault="007547D4" w:rsidP="007547D4">
      <w:pPr>
        <w:pStyle w:val="ListParagraph"/>
        <w:numPr>
          <w:ilvl w:val="0"/>
          <w:numId w:val="23"/>
        </w:numPr>
        <w:jc w:val="both"/>
      </w:pPr>
      <w:r w:rsidRPr="003119AB">
        <w:t xml:space="preserve">There are </w:t>
      </w:r>
      <w:r w:rsidRPr="003119AB">
        <w:rPr>
          <w:b/>
        </w:rPr>
        <w:t>significant differences in the proportion of working</w:t>
      </w:r>
      <w:r>
        <w:rPr>
          <w:b/>
        </w:rPr>
        <w:t>-age</w:t>
      </w:r>
      <w:r w:rsidRPr="003119AB">
        <w:rPr>
          <w:b/>
        </w:rPr>
        <w:t xml:space="preserve"> people receiving Job Seekers Allowance in different </w:t>
      </w:r>
      <w:r>
        <w:rPr>
          <w:b/>
        </w:rPr>
        <w:t>wards</w:t>
      </w:r>
      <w:r w:rsidRPr="003119AB">
        <w:t xml:space="preserve">, the </w:t>
      </w:r>
      <w:r>
        <w:t xml:space="preserve">areas with the highest proportions </w:t>
      </w:r>
      <w:r w:rsidRPr="003119AB">
        <w:t>being in Burnt Oak, Childs Hill and Underhill.</w:t>
      </w:r>
    </w:p>
    <w:p w:rsidR="007547D4" w:rsidRDefault="007547D4" w:rsidP="007547D4">
      <w:pPr>
        <w:pStyle w:val="ListParagraph"/>
        <w:numPr>
          <w:ilvl w:val="0"/>
          <w:numId w:val="23"/>
        </w:numPr>
        <w:jc w:val="both"/>
      </w:pPr>
      <w:r>
        <w:t xml:space="preserve">Employers in Barnet say </w:t>
      </w:r>
      <w:r w:rsidRPr="004C469A">
        <w:rPr>
          <w:b/>
        </w:rPr>
        <w:t xml:space="preserve">they </w:t>
      </w:r>
      <w:r>
        <w:rPr>
          <w:b/>
        </w:rPr>
        <w:t xml:space="preserve">can </w:t>
      </w:r>
      <w:r w:rsidRPr="004C469A">
        <w:rPr>
          <w:b/>
        </w:rPr>
        <w:t>find it difficult to find people with</w:t>
      </w:r>
      <w:r>
        <w:rPr>
          <w:b/>
        </w:rPr>
        <w:t xml:space="preserve"> the right employability skills, </w:t>
      </w:r>
      <w:r>
        <w:t xml:space="preserve">particularly in relation to having the right attitude, motivation and numeracy/literacy amongst candidates. </w:t>
      </w:r>
    </w:p>
    <w:p w:rsidR="007547D4" w:rsidRDefault="007547D4" w:rsidP="007547D4">
      <w:pPr>
        <w:pStyle w:val="ListParagraph"/>
        <w:numPr>
          <w:ilvl w:val="0"/>
          <w:numId w:val="23"/>
        </w:numPr>
        <w:jc w:val="both"/>
      </w:pPr>
      <w:r w:rsidRPr="004C469A">
        <w:rPr>
          <w:b/>
        </w:rPr>
        <w:lastRenderedPageBreak/>
        <w:t xml:space="preserve">There are shortages of people available to fill vacancies in the caring, leisure and services </w:t>
      </w:r>
      <w:r>
        <w:rPr>
          <w:b/>
        </w:rPr>
        <w:t>sectors</w:t>
      </w:r>
      <w:r w:rsidRPr="004C469A">
        <w:rPr>
          <w:b/>
        </w:rPr>
        <w:t>, associate professionals sector</w:t>
      </w:r>
      <w:r>
        <w:rPr>
          <w:b/>
        </w:rPr>
        <w:t>s</w:t>
      </w:r>
      <w:r w:rsidRPr="004C469A">
        <w:rPr>
          <w:b/>
        </w:rPr>
        <w:t>, and skilled trades</w:t>
      </w:r>
      <w:r>
        <w:rPr>
          <w:b/>
        </w:rPr>
        <w:t xml:space="preserve"> sector</w:t>
      </w:r>
      <w:r w:rsidRPr="004C469A">
        <w:rPr>
          <w:b/>
        </w:rPr>
        <w:t xml:space="preserve"> in Barnet</w:t>
      </w:r>
      <w:r>
        <w:t>. Future careers advice and education/training offers could focus on filling these.</w:t>
      </w:r>
    </w:p>
    <w:p w:rsidR="007547D4" w:rsidRDefault="007547D4" w:rsidP="007547D4">
      <w:pPr>
        <w:pStyle w:val="ListParagraph"/>
        <w:numPr>
          <w:ilvl w:val="0"/>
          <w:numId w:val="23"/>
        </w:numPr>
        <w:jc w:val="both"/>
      </w:pPr>
      <w:r w:rsidRPr="00473CC1">
        <w:t xml:space="preserve">Barnet has a very low proportion of people with learning disabilities and mental health conditions in employment compared with similar </w:t>
      </w:r>
      <w:r>
        <w:t>Borough</w:t>
      </w:r>
      <w:r w:rsidRPr="00473CC1">
        <w:t>s.</w:t>
      </w:r>
    </w:p>
    <w:p w:rsidR="007547D4" w:rsidRDefault="007547D4" w:rsidP="007547D4">
      <w:pPr>
        <w:pStyle w:val="ListParagraph"/>
        <w:numPr>
          <w:ilvl w:val="0"/>
          <w:numId w:val="23"/>
        </w:numPr>
        <w:jc w:val="both"/>
      </w:pPr>
      <w:r>
        <w:rPr>
          <w:b/>
        </w:rPr>
        <w:t xml:space="preserve">Pollution levels are higher along arterial routes, </w:t>
      </w:r>
      <w:r w:rsidRPr="004C469A">
        <w:t>particularly the North Circular, M1, A1 and A5.</w:t>
      </w:r>
    </w:p>
    <w:p w:rsidR="007547D4" w:rsidRPr="00473CC1" w:rsidRDefault="007547D4" w:rsidP="007547D4">
      <w:pPr>
        <w:pStyle w:val="ListParagraph"/>
        <w:numPr>
          <w:ilvl w:val="0"/>
          <w:numId w:val="23"/>
        </w:numPr>
        <w:jc w:val="both"/>
      </w:pPr>
      <w:r w:rsidRPr="00473CC1">
        <w:t>The majority of people visiting town centre</w:t>
      </w:r>
      <w:r>
        <w:t>s</w:t>
      </w:r>
      <w:r w:rsidRPr="00473CC1">
        <w:t xml:space="preserve"> in Barnet do so by foot, bicycle or public transport. Encouraging this, particularly in less healthy areas, could drive good lifestyle behaviours and reduced demand for health and social care services.</w:t>
      </w:r>
    </w:p>
    <w:p w:rsidR="007547D4" w:rsidRDefault="007547D4" w:rsidP="007547D4">
      <w:pPr>
        <w:pStyle w:val="Heading2"/>
        <w:numPr>
          <w:ilvl w:val="1"/>
          <w:numId w:val="138"/>
        </w:numPr>
      </w:pPr>
      <w:bookmarkStart w:id="537" w:name="_Toc426723312"/>
      <w:bookmarkStart w:id="538" w:name="_Toc431225139"/>
      <w:r w:rsidRPr="006F2BD9">
        <w:t>Housing</w:t>
      </w:r>
      <w:bookmarkEnd w:id="537"/>
      <w:bookmarkEnd w:id="538"/>
    </w:p>
    <w:p w:rsidR="007547D4" w:rsidRDefault="007547D4" w:rsidP="007547D4">
      <w:pPr>
        <w:pStyle w:val="Heading3"/>
        <w:numPr>
          <w:ilvl w:val="2"/>
          <w:numId w:val="138"/>
        </w:numPr>
      </w:pPr>
      <w:r>
        <w:t>Housing Profile</w:t>
      </w:r>
    </w:p>
    <w:p w:rsidR="007547D4" w:rsidRDefault="007547D4" w:rsidP="007547D4">
      <w:pPr>
        <w:spacing w:after="0" w:line="240" w:lineRule="auto"/>
        <w:jc w:val="both"/>
      </w:pPr>
      <w:r w:rsidRPr="008D0B66">
        <w:t xml:space="preserve">At the time of the 2011 Census there were 135,916 households in Barnet. 58% of households were owner-occupied, 14% socially rented and 26% privately rented. In 2013, the GLA estimated that the number of households had </w:t>
      </w:r>
      <w:r>
        <w:t>increased to 141,386.</w:t>
      </w:r>
    </w:p>
    <w:p w:rsidR="007547D4" w:rsidRPr="008D0B66" w:rsidRDefault="007547D4" w:rsidP="007547D4">
      <w:pPr>
        <w:spacing w:after="0" w:line="240" w:lineRule="auto"/>
        <w:jc w:val="both"/>
      </w:pPr>
    </w:p>
    <w:p w:rsidR="007547D4" w:rsidRDefault="007547D4" w:rsidP="007547D4">
      <w:pPr>
        <w:jc w:val="both"/>
      </w:pPr>
      <w:r w:rsidRPr="00CE4BBC">
        <w:t>28% are one-person households, 6% contain only people aged 65 or more, 32% contain married or civil partnership couples with or without children, 7% cohabiting couples with or without children, 12% lone parents and 14% other household types.</w:t>
      </w:r>
    </w:p>
    <w:p w:rsidR="007547D4" w:rsidRPr="00CE4BBC" w:rsidRDefault="007547D4" w:rsidP="007547D4">
      <w:pPr>
        <w:jc w:val="both"/>
      </w:pPr>
      <w:r>
        <w:t>Data from the last census indicates that in 2011 t</w:t>
      </w:r>
      <w:r w:rsidRPr="00CE4BBC">
        <w:t>he average household</w:t>
      </w:r>
      <w:r>
        <w:t xml:space="preserve"> in Barnet consisted</w:t>
      </w:r>
      <w:r w:rsidRPr="00CE4BBC">
        <w:t xml:space="preserve"> of 2.6 persons and 2.7 bedrooms.</w:t>
      </w:r>
    </w:p>
    <w:p w:rsidR="007547D4" w:rsidRPr="00CE4BBC" w:rsidRDefault="007547D4" w:rsidP="007547D4">
      <w:pPr>
        <w:jc w:val="both"/>
      </w:pPr>
      <w:r w:rsidRPr="00CE4BBC">
        <w:t>Following the 2008 economic downturn, mortgage repossessions</w:t>
      </w:r>
      <w:r>
        <w:t xml:space="preserve"> in Barnet</w:t>
      </w:r>
      <w:r w:rsidRPr="00CE4BBC">
        <w:t xml:space="preserve"> increased significantly peaking at over 56 repossessions per quarter in 2008.  This figure has now significantly reduced, with repossessions per quarter in single figures for the</w:t>
      </w:r>
      <w:r>
        <w:t xml:space="preserve"> first three quarters of 2014.</w:t>
      </w:r>
    </w:p>
    <w:p w:rsidR="007547D4" w:rsidRPr="00DA683F" w:rsidRDefault="007547D4" w:rsidP="007547D4">
      <w:pPr>
        <w:pStyle w:val="Heading3"/>
        <w:numPr>
          <w:ilvl w:val="2"/>
          <w:numId w:val="138"/>
        </w:numPr>
      </w:pPr>
      <w:r w:rsidRPr="00DA683F">
        <w:t>Tenure</w:t>
      </w:r>
    </w:p>
    <w:p w:rsidR="007547D4" w:rsidRPr="006F2BD9" w:rsidRDefault="007547D4" w:rsidP="007547D4">
      <w:pPr>
        <w:contextualSpacing/>
        <w:jc w:val="both"/>
      </w:pPr>
      <w:r w:rsidRPr="006F2BD9">
        <w:t xml:space="preserve">Over the last 10 years there has been a marked change in the tenure pattern of households living in Barnet as there has been across London. Figure </w:t>
      </w:r>
      <w:r>
        <w:t>3-</w:t>
      </w:r>
      <w:r w:rsidRPr="006F2BD9">
        <w:t>1 below compares the results of the censuses in 2001 and 2011 for Barnet. Owner occupation reduced by 8% between 2001 and 2011, while there was a 9% increase in private renting over the same period. There was only a 1% increase in council or housing association renting.</w:t>
      </w:r>
    </w:p>
    <w:p w:rsidR="007547D4" w:rsidRDefault="007547D4" w:rsidP="007547D4">
      <w:pPr>
        <w:contextualSpacing/>
        <w:jc w:val="both"/>
        <w:rPr>
          <w:sz w:val="24"/>
          <w:szCs w:val="24"/>
        </w:rPr>
      </w:pPr>
    </w:p>
    <w:p w:rsidR="007547D4" w:rsidRDefault="007547D4" w:rsidP="007547D4">
      <w:pPr>
        <w:contextualSpacing/>
        <w:jc w:val="both"/>
        <w:rPr>
          <w:sz w:val="24"/>
          <w:szCs w:val="24"/>
        </w:rPr>
      </w:pPr>
    </w:p>
    <w:p w:rsidR="007547D4" w:rsidRDefault="007547D4" w:rsidP="007547D4">
      <w:pPr>
        <w:contextualSpacing/>
        <w:jc w:val="both"/>
        <w:rPr>
          <w:sz w:val="24"/>
          <w:szCs w:val="24"/>
        </w:rPr>
      </w:pPr>
    </w:p>
    <w:p w:rsidR="007547D4" w:rsidRDefault="007547D4" w:rsidP="007547D4">
      <w:pPr>
        <w:contextualSpacing/>
        <w:jc w:val="both"/>
        <w:rPr>
          <w:sz w:val="24"/>
          <w:szCs w:val="24"/>
        </w:rPr>
      </w:pPr>
    </w:p>
    <w:p w:rsidR="007547D4" w:rsidRDefault="007547D4" w:rsidP="007547D4">
      <w:pPr>
        <w:contextualSpacing/>
        <w:jc w:val="both"/>
        <w:rPr>
          <w:sz w:val="24"/>
          <w:szCs w:val="24"/>
        </w:rPr>
      </w:pPr>
    </w:p>
    <w:p w:rsidR="007547D4" w:rsidRDefault="007547D4" w:rsidP="007547D4">
      <w:pPr>
        <w:contextualSpacing/>
        <w:jc w:val="both"/>
        <w:rPr>
          <w:sz w:val="24"/>
          <w:szCs w:val="24"/>
        </w:rPr>
      </w:pPr>
    </w:p>
    <w:p w:rsidR="007547D4" w:rsidRDefault="007547D4" w:rsidP="007547D4">
      <w:pPr>
        <w:contextualSpacing/>
        <w:jc w:val="both"/>
        <w:rPr>
          <w:sz w:val="24"/>
          <w:szCs w:val="24"/>
        </w:rPr>
      </w:pPr>
    </w:p>
    <w:p w:rsidR="007547D4" w:rsidRDefault="007547D4" w:rsidP="007547D4">
      <w:pPr>
        <w:contextualSpacing/>
        <w:jc w:val="both"/>
        <w:rPr>
          <w:sz w:val="24"/>
          <w:szCs w:val="24"/>
        </w:rPr>
      </w:pPr>
    </w:p>
    <w:p w:rsidR="007547D4" w:rsidRPr="006F2BD9" w:rsidRDefault="007547D4" w:rsidP="007547D4">
      <w:pPr>
        <w:contextualSpacing/>
        <w:jc w:val="both"/>
        <w:rPr>
          <w:sz w:val="24"/>
          <w:szCs w:val="24"/>
        </w:rPr>
      </w:pPr>
    </w:p>
    <w:p w:rsidR="007547D4" w:rsidRPr="00897DBB" w:rsidRDefault="007547D4" w:rsidP="007547D4">
      <w:pPr>
        <w:pStyle w:val="Caption"/>
        <w:keepNext/>
      </w:pPr>
      <w:r>
        <w:lastRenderedPageBreak/>
        <w:t xml:space="preserve">Figure </w:t>
      </w:r>
      <w:fldSimple w:instr=" STYLEREF 1 \s ">
        <w:r w:rsidR="001663C2">
          <w:rPr>
            <w:noProof/>
          </w:rPr>
          <w:t>3</w:t>
        </w:r>
      </w:fldSimple>
      <w:r w:rsidR="00943DC2">
        <w:noBreakHyphen/>
      </w:r>
      <w:fldSimple w:instr=" SEQ Figure \* ARABIC \s 1 ">
        <w:r w:rsidR="001663C2">
          <w:rPr>
            <w:noProof/>
          </w:rPr>
          <w:t>1</w:t>
        </w:r>
      </w:fldSimple>
      <w:r w:rsidRPr="00897DBB">
        <w:rPr>
          <w:bCs w:val="0"/>
        </w:rPr>
        <w:t>: Housing Tenure in Barnet, 2001 and 2011</w:t>
      </w:r>
    </w:p>
    <w:p w:rsidR="007547D4" w:rsidRPr="006F2BD9" w:rsidRDefault="007547D4" w:rsidP="007547D4">
      <w:pPr>
        <w:spacing w:after="0" w:line="240" w:lineRule="auto"/>
        <w:contextualSpacing/>
        <w:jc w:val="center"/>
        <w:rPr>
          <w:sz w:val="24"/>
          <w:szCs w:val="24"/>
        </w:rPr>
      </w:pPr>
      <w:r w:rsidRPr="006F2BD9">
        <w:rPr>
          <w:noProof/>
          <w:lang w:eastAsia="en-GB"/>
        </w:rPr>
        <w:drawing>
          <wp:inline distT="0" distB="0" distL="0" distR="0" wp14:anchorId="1A332072" wp14:editId="36707AF3">
            <wp:extent cx="5805377" cy="1977656"/>
            <wp:effectExtent l="0" t="0" r="24130" b="2286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7547D4" w:rsidRDefault="005E38B7" w:rsidP="007547D4">
      <w:pPr>
        <w:spacing w:after="0" w:line="240" w:lineRule="auto"/>
        <w:jc w:val="both"/>
        <w:rPr>
          <w:rFonts w:cs="Calibri"/>
        </w:rPr>
      </w:pPr>
      <w:r>
        <w:rPr>
          <w:rFonts w:cs="Calibri"/>
        </w:rPr>
        <w:t xml:space="preserve">Source: Census </w:t>
      </w:r>
      <w:r w:rsidR="007547D4" w:rsidRPr="006F2BD9">
        <w:rPr>
          <w:rFonts w:cs="Calibri"/>
        </w:rPr>
        <w:t>2011</w:t>
      </w:r>
      <w:r>
        <w:rPr>
          <w:rFonts w:cs="Calibri"/>
        </w:rPr>
        <w:t xml:space="preserve"> &amp; Census 2001</w:t>
      </w:r>
    </w:p>
    <w:p w:rsidR="007547D4" w:rsidRPr="006F2BD9" w:rsidRDefault="007547D4" w:rsidP="007547D4">
      <w:pPr>
        <w:spacing w:after="0" w:line="240" w:lineRule="auto"/>
        <w:jc w:val="both"/>
        <w:rPr>
          <w:rFonts w:cs="Calibri"/>
        </w:rPr>
      </w:pPr>
    </w:p>
    <w:p w:rsidR="007547D4" w:rsidRPr="00EE4B75" w:rsidRDefault="007547D4" w:rsidP="007547D4">
      <w:pPr>
        <w:contextualSpacing/>
        <w:jc w:val="both"/>
      </w:pPr>
      <w:r w:rsidRPr="006F2BD9">
        <w:t xml:space="preserve">Barnet now has a lower percentage of owner occupiers than the average for Outer London and more private renters than the average Outer London </w:t>
      </w:r>
      <w:r>
        <w:t>Borough</w:t>
      </w:r>
      <w:r w:rsidRPr="006F2BD9">
        <w:t>.</w:t>
      </w:r>
    </w:p>
    <w:p w:rsidR="007547D4" w:rsidRDefault="007547D4" w:rsidP="007547D4">
      <w:pPr>
        <w:spacing w:after="0" w:line="240" w:lineRule="auto"/>
        <w:jc w:val="both"/>
        <w:rPr>
          <w:rFonts w:cs="Calibri"/>
          <w:b/>
          <w:i/>
        </w:rPr>
      </w:pPr>
    </w:p>
    <w:p w:rsidR="007547D4" w:rsidRPr="006F2BD9" w:rsidRDefault="007547D4" w:rsidP="007547D4">
      <w:pPr>
        <w:pStyle w:val="Caption"/>
        <w:keepNext/>
        <w:rPr>
          <w:rFonts w:cs="Calibri"/>
          <w:b w:val="0"/>
          <w:i/>
        </w:rPr>
      </w:pPr>
      <w:r>
        <w:t xml:space="preserve">Figure </w:t>
      </w:r>
      <w:fldSimple w:instr=" STYLEREF 1 \s ">
        <w:r w:rsidR="001663C2">
          <w:rPr>
            <w:noProof/>
          </w:rPr>
          <w:t>3</w:t>
        </w:r>
      </w:fldSimple>
      <w:r w:rsidR="00943DC2">
        <w:noBreakHyphen/>
      </w:r>
      <w:fldSimple w:instr=" SEQ Figure \* ARABIC \s 1 ">
        <w:r w:rsidR="001663C2">
          <w:rPr>
            <w:noProof/>
          </w:rPr>
          <w:t>2</w:t>
        </w:r>
      </w:fldSimple>
      <w:r w:rsidRPr="00897DBB">
        <w:t xml:space="preserve">: Housing Tenure by </w:t>
      </w:r>
      <w:r>
        <w:t>Borough</w:t>
      </w:r>
      <w:r w:rsidRPr="00897DBB">
        <w:t>, 2011</w:t>
      </w:r>
    </w:p>
    <w:p w:rsidR="007547D4" w:rsidRPr="006F2BD9" w:rsidRDefault="007547D4" w:rsidP="007547D4">
      <w:pPr>
        <w:spacing w:after="0" w:line="240" w:lineRule="auto"/>
        <w:ind w:left="720" w:hanging="720"/>
        <w:contextualSpacing/>
        <w:jc w:val="center"/>
        <w:rPr>
          <w:sz w:val="24"/>
          <w:szCs w:val="24"/>
        </w:rPr>
      </w:pPr>
      <w:r w:rsidRPr="006F2BD9">
        <w:rPr>
          <w:noProof/>
          <w:lang w:eastAsia="en-GB"/>
        </w:rPr>
        <w:drawing>
          <wp:inline distT="0" distB="0" distL="0" distR="0" wp14:anchorId="14298556" wp14:editId="17ECEB8B">
            <wp:extent cx="5648325" cy="1876425"/>
            <wp:effectExtent l="0" t="0" r="9525" b="9525"/>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7547D4" w:rsidRDefault="007547D4" w:rsidP="007547D4">
      <w:pPr>
        <w:spacing w:after="0" w:line="240" w:lineRule="auto"/>
        <w:jc w:val="both"/>
        <w:rPr>
          <w:rFonts w:cs="Calibri"/>
        </w:rPr>
      </w:pPr>
      <w:r w:rsidRPr="006F2BD9">
        <w:rPr>
          <w:rFonts w:cs="Calibri"/>
        </w:rPr>
        <w:t xml:space="preserve">Source: </w:t>
      </w:r>
      <w:r w:rsidR="005E38B7">
        <w:rPr>
          <w:rFonts w:cs="Calibri"/>
        </w:rPr>
        <w:t>Census 2011</w:t>
      </w:r>
    </w:p>
    <w:p w:rsidR="007547D4" w:rsidRPr="006F2BD9" w:rsidRDefault="007547D4" w:rsidP="007547D4">
      <w:pPr>
        <w:spacing w:after="0" w:line="240" w:lineRule="auto"/>
        <w:jc w:val="both"/>
        <w:rPr>
          <w:rFonts w:cs="Calibri"/>
        </w:rPr>
      </w:pPr>
    </w:p>
    <w:p w:rsidR="007547D4" w:rsidRPr="006F2BD9" w:rsidRDefault="007547D4" w:rsidP="007547D4">
      <w:pPr>
        <w:contextualSpacing/>
        <w:jc w:val="both"/>
        <w:rPr>
          <w:rFonts w:eastAsiaTheme="minorEastAsia"/>
          <w:color w:val="080808"/>
          <w:kern w:val="24"/>
          <w:lang w:eastAsia="en-GB"/>
        </w:rPr>
      </w:pPr>
      <w:r w:rsidRPr="006F2BD9">
        <w:rPr>
          <w:rFonts w:eastAsia="Times New Roman" w:cs="Times New Roman"/>
          <w:lang w:eastAsia="en-GB"/>
        </w:rPr>
        <w:t>The shift in housing tenure has largely been driven by affordability issues. Home ownership is very expensive in Barnet.</w:t>
      </w:r>
      <w:r w:rsidRPr="006F2BD9">
        <w:rPr>
          <w:rFonts w:eastAsiaTheme="minorEastAsia" w:cs="Times New Roman"/>
          <w:color w:val="080808"/>
          <w:kern w:val="24"/>
          <w:lang w:eastAsia="en-GB"/>
        </w:rPr>
        <w:t xml:space="preserve"> </w:t>
      </w:r>
      <w:r w:rsidRPr="006F2BD9">
        <w:rPr>
          <w:rFonts w:eastAsiaTheme="minorEastAsia"/>
          <w:color w:val="080808"/>
          <w:kern w:val="24"/>
          <w:lang w:eastAsia="en-GB"/>
        </w:rPr>
        <w:t>Median house price</w:t>
      </w:r>
      <w:r>
        <w:rPr>
          <w:rFonts w:eastAsiaTheme="minorEastAsia"/>
          <w:color w:val="080808"/>
          <w:kern w:val="24"/>
          <w:lang w:eastAsia="en-GB"/>
        </w:rPr>
        <w:t>s</w:t>
      </w:r>
      <w:r w:rsidRPr="006F2BD9">
        <w:rPr>
          <w:rFonts w:eastAsiaTheme="minorEastAsia"/>
          <w:color w:val="080808"/>
          <w:kern w:val="24"/>
          <w:lang w:eastAsia="en-GB"/>
        </w:rPr>
        <w:t xml:space="preserve"> in Barnet rose by </w:t>
      </w:r>
      <w:r w:rsidRPr="006F2BD9">
        <w:rPr>
          <w:rFonts w:eastAsiaTheme="minorEastAsia"/>
          <w:b/>
          <w:bCs/>
          <w:color w:val="080808"/>
          <w:kern w:val="24"/>
          <w:lang w:eastAsia="en-GB"/>
        </w:rPr>
        <w:t xml:space="preserve">16% </w:t>
      </w:r>
      <w:r w:rsidRPr="006F2BD9">
        <w:rPr>
          <w:rFonts w:eastAsiaTheme="minorEastAsia"/>
          <w:color w:val="080808"/>
          <w:kern w:val="24"/>
          <w:lang w:eastAsia="en-GB"/>
        </w:rPr>
        <w:t xml:space="preserve">during the year to December 2014. The Barnet average house price in December 2014, </w:t>
      </w:r>
      <w:r w:rsidRPr="006F2BD9">
        <w:rPr>
          <w:rFonts w:eastAsiaTheme="minorEastAsia"/>
          <w:b/>
          <w:bCs/>
          <w:color w:val="080808"/>
          <w:kern w:val="24"/>
          <w:lang w:eastAsia="en-GB"/>
        </w:rPr>
        <w:t>£451,231</w:t>
      </w:r>
      <w:r w:rsidRPr="006F2BD9">
        <w:rPr>
          <w:rFonts w:eastAsiaTheme="minorEastAsia"/>
          <w:color w:val="080808"/>
          <w:kern w:val="24"/>
          <w:lang w:eastAsia="en-GB"/>
        </w:rPr>
        <w:t xml:space="preserve"> is over </w:t>
      </w:r>
      <w:r w:rsidRPr="006F2BD9">
        <w:rPr>
          <w:rFonts w:eastAsiaTheme="minorEastAsia"/>
          <w:b/>
          <w:bCs/>
          <w:color w:val="080808"/>
          <w:kern w:val="24"/>
          <w:lang w:eastAsia="en-GB"/>
        </w:rPr>
        <w:t xml:space="preserve">10X </w:t>
      </w:r>
      <w:r w:rsidRPr="006F2BD9">
        <w:rPr>
          <w:rFonts w:eastAsiaTheme="minorEastAsia"/>
          <w:color w:val="080808"/>
          <w:kern w:val="24"/>
          <w:lang w:eastAsia="en-GB"/>
        </w:rPr>
        <w:t>the Barnet average income meaning that for many households home ownership is an unaffordable aspiration.</w:t>
      </w:r>
    </w:p>
    <w:p w:rsidR="007547D4" w:rsidRDefault="007547D4" w:rsidP="007547D4">
      <w:pPr>
        <w:spacing w:after="0" w:line="240" w:lineRule="auto"/>
        <w:jc w:val="both"/>
        <w:rPr>
          <w:rFonts w:cs="Calibri"/>
          <w:b/>
          <w:i/>
        </w:rPr>
      </w:pPr>
    </w:p>
    <w:p w:rsidR="007547D4" w:rsidRPr="00897DBB" w:rsidRDefault="007547D4" w:rsidP="007547D4">
      <w:pPr>
        <w:pStyle w:val="Caption"/>
        <w:keepNext/>
      </w:pPr>
      <w:r>
        <w:t xml:space="preserve">Figure </w:t>
      </w:r>
      <w:fldSimple w:instr=" STYLEREF 1 \s ">
        <w:r w:rsidR="001663C2">
          <w:rPr>
            <w:noProof/>
          </w:rPr>
          <w:t>3</w:t>
        </w:r>
      </w:fldSimple>
      <w:r w:rsidR="00943DC2">
        <w:noBreakHyphen/>
      </w:r>
      <w:fldSimple w:instr=" SEQ Figure \* ARABIC \s 1 ">
        <w:r w:rsidR="001663C2">
          <w:rPr>
            <w:noProof/>
          </w:rPr>
          <w:t>3</w:t>
        </w:r>
      </w:fldSimple>
      <w:r>
        <w:t xml:space="preserve"> </w:t>
      </w:r>
      <w:r w:rsidRPr="00897DBB">
        <w:t>Average House Prices in Barnet, January 2001 – December 2014</w:t>
      </w:r>
    </w:p>
    <w:p w:rsidR="007547D4" w:rsidRPr="006F2BD9" w:rsidRDefault="007547D4" w:rsidP="007547D4">
      <w:pPr>
        <w:spacing w:after="0" w:line="240" w:lineRule="auto"/>
        <w:contextualSpacing/>
        <w:jc w:val="both"/>
        <w:rPr>
          <w:rFonts w:eastAsiaTheme="minorEastAsia"/>
          <w:color w:val="080808"/>
          <w:kern w:val="24"/>
          <w:sz w:val="24"/>
          <w:szCs w:val="24"/>
          <w:lang w:eastAsia="en-GB"/>
        </w:rPr>
      </w:pPr>
      <w:r w:rsidRPr="006F2BD9">
        <w:rPr>
          <w:noProof/>
          <w:lang w:eastAsia="en-GB"/>
        </w:rPr>
        <w:drawing>
          <wp:inline distT="0" distB="0" distL="0" distR="0" wp14:anchorId="7714E8EB" wp14:editId="78386CC3">
            <wp:extent cx="5867400" cy="1866900"/>
            <wp:effectExtent l="0" t="0" r="19050" b="1905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7547D4" w:rsidRDefault="007547D4" w:rsidP="007547D4">
      <w:pPr>
        <w:spacing w:after="0" w:line="240" w:lineRule="auto"/>
        <w:jc w:val="both"/>
        <w:rPr>
          <w:rFonts w:cs="Calibri"/>
        </w:rPr>
      </w:pPr>
      <w:r w:rsidRPr="006F2BD9">
        <w:rPr>
          <w:rFonts w:cs="Calibri"/>
        </w:rPr>
        <w:t>Source: Land Registry House Price Index</w:t>
      </w:r>
      <w:r>
        <w:rPr>
          <w:rFonts w:cs="Calibri"/>
        </w:rPr>
        <w:t xml:space="preserve"> 2015</w:t>
      </w:r>
    </w:p>
    <w:p w:rsidR="007547D4" w:rsidRPr="006F2BD9" w:rsidRDefault="007547D4" w:rsidP="007547D4">
      <w:pPr>
        <w:spacing w:after="0" w:line="240" w:lineRule="auto"/>
        <w:jc w:val="both"/>
        <w:rPr>
          <w:rFonts w:cs="Calibri"/>
        </w:rPr>
      </w:pPr>
    </w:p>
    <w:p w:rsidR="007547D4" w:rsidRPr="006F2BD9" w:rsidRDefault="007547D4" w:rsidP="007547D4">
      <w:pPr>
        <w:jc w:val="both"/>
      </w:pPr>
      <w:r w:rsidRPr="006F2BD9">
        <w:t xml:space="preserve">Private renting has also become more expensive in Barnet as can be seen in the chart below. Barnet lower quartile private rents have increased by £351 between June 2011 and September 2014. Barnet was below the average for Outer London and is now the 4th most expensive Outer London </w:t>
      </w:r>
      <w:r>
        <w:t>Borough</w:t>
      </w:r>
      <w:r w:rsidRPr="006F2BD9">
        <w:t xml:space="preserve">. </w:t>
      </w:r>
    </w:p>
    <w:p w:rsidR="007547D4" w:rsidRPr="00897DBB" w:rsidRDefault="007547D4" w:rsidP="007547D4">
      <w:pPr>
        <w:pStyle w:val="Caption"/>
        <w:keepNext/>
      </w:pPr>
      <w:r>
        <w:t xml:space="preserve">Figure </w:t>
      </w:r>
      <w:fldSimple w:instr=" STYLEREF 1 \s ">
        <w:r w:rsidR="001663C2">
          <w:rPr>
            <w:noProof/>
          </w:rPr>
          <w:t>3</w:t>
        </w:r>
      </w:fldSimple>
      <w:r w:rsidR="00943DC2">
        <w:noBreakHyphen/>
      </w:r>
      <w:fldSimple w:instr=" SEQ Figure \* ARABIC \s 1 ">
        <w:r w:rsidR="001663C2">
          <w:rPr>
            <w:noProof/>
          </w:rPr>
          <w:t>4</w:t>
        </w:r>
      </w:fldSimple>
      <w:r w:rsidRPr="00897DBB">
        <w:t>:</w:t>
      </w:r>
      <w:r w:rsidRPr="006F2BD9">
        <w:rPr>
          <w:rFonts w:cs="Calibri"/>
          <w:i/>
        </w:rPr>
        <w:t xml:space="preserve"> </w:t>
      </w:r>
      <w:r w:rsidRPr="00897DBB">
        <w:t>Lower Quartile Monthly Rents, 2011 – 2014 (Regional)</w:t>
      </w:r>
    </w:p>
    <w:p w:rsidR="007547D4" w:rsidRPr="006F2BD9" w:rsidRDefault="007547D4" w:rsidP="007547D4">
      <w:pPr>
        <w:spacing w:after="0" w:line="240" w:lineRule="auto"/>
        <w:jc w:val="both"/>
        <w:rPr>
          <w:sz w:val="24"/>
          <w:szCs w:val="24"/>
        </w:rPr>
      </w:pPr>
      <w:r w:rsidRPr="006F2BD9">
        <w:rPr>
          <w:noProof/>
          <w:sz w:val="24"/>
          <w:szCs w:val="24"/>
          <w:lang w:eastAsia="en-GB"/>
        </w:rPr>
        <w:drawing>
          <wp:inline distT="0" distB="0" distL="0" distR="0" wp14:anchorId="27B17C89" wp14:editId="5F036BCF">
            <wp:extent cx="5676900" cy="2028825"/>
            <wp:effectExtent l="0" t="0" r="19050" b="9525"/>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7547D4" w:rsidRDefault="007547D4" w:rsidP="007547D4">
      <w:pPr>
        <w:spacing w:after="0" w:line="240" w:lineRule="auto"/>
        <w:jc w:val="both"/>
        <w:rPr>
          <w:rFonts w:cs="Calibri"/>
        </w:rPr>
      </w:pPr>
      <w:r w:rsidRPr="006F2BD9">
        <w:rPr>
          <w:rFonts w:cs="Calibri"/>
        </w:rPr>
        <w:t>Source: Valuation Office Agency</w:t>
      </w:r>
      <w:r>
        <w:rPr>
          <w:rFonts w:cs="Calibri"/>
        </w:rPr>
        <w:t xml:space="preserve"> 2015</w:t>
      </w:r>
    </w:p>
    <w:p w:rsidR="007547D4" w:rsidRDefault="007547D4" w:rsidP="007547D4">
      <w:pPr>
        <w:spacing w:after="0" w:line="240" w:lineRule="auto"/>
        <w:jc w:val="both"/>
      </w:pPr>
    </w:p>
    <w:p w:rsidR="007547D4" w:rsidRPr="00153211" w:rsidRDefault="007547D4" w:rsidP="007547D4">
      <w:pPr>
        <w:contextualSpacing/>
        <w:jc w:val="both"/>
        <w:rPr>
          <w:rFonts w:eastAsiaTheme="minorEastAsia"/>
          <w:color w:val="080808"/>
          <w:kern w:val="24"/>
          <w:lang w:eastAsia="en-GB"/>
        </w:rPr>
      </w:pPr>
      <w:r w:rsidRPr="00153211">
        <w:rPr>
          <w:rFonts w:eastAsiaTheme="minorEastAsia"/>
          <w:color w:val="080808"/>
          <w:kern w:val="24"/>
          <w:lang w:eastAsia="en-GB"/>
        </w:rPr>
        <w:t xml:space="preserve">Given the fact that Barnet is set to become London’s most populous </w:t>
      </w:r>
      <w:r>
        <w:rPr>
          <w:rFonts w:eastAsiaTheme="minorEastAsia"/>
          <w:color w:val="080808"/>
          <w:kern w:val="24"/>
          <w:lang w:eastAsia="en-GB"/>
        </w:rPr>
        <w:t>Borough</w:t>
      </w:r>
      <w:r w:rsidRPr="00153211">
        <w:rPr>
          <w:rFonts w:eastAsiaTheme="minorEastAsia"/>
          <w:color w:val="080808"/>
          <w:kern w:val="24"/>
          <w:lang w:eastAsia="en-GB"/>
        </w:rPr>
        <w:t xml:space="preserve"> in 2015 and that the population is projected to continue to increase</w:t>
      </w:r>
      <w:r>
        <w:rPr>
          <w:rFonts w:eastAsiaTheme="minorEastAsia"/>
          <w:color w:val="080808"/>
          <w:kern w:val="24"/>
          <w:lang w:eastAsia="en-GB"/>
        </w:rPr>
        <w:t>,</w:t>
      </w:r>
      <w:r w:rsidRPr="00153211">
        <w:rPr>
          <w:rFonts w:eastAsiaTheme="minorEastAsia"/>
          <w:color w:val="080808"/>
          <w:kern w:val="24"/>
          <w:lang w:eastAsia="en-GB"/>
        </w:rPr>
        <w:t xml:space="preserve"> more homes will need to be built across the housing tenures. </w:t>
      </w:r>
      <w:r>
        <w:rPr>
          <w:rFonts w:eastAsiaTheme="minorEastAsia"/>
          <w:color w:val="080808"/>
          <w:kern w:val="24"/>
          <w:lang w:eastAsia="en-GB"/>
        </w:rPr>
        <w:t xml:space="preserve">Most of the new housing will come from small private developments that collectively play a significant contribution to alleviating demand. </w:t>
      </w:r>
    </w:p>
    <w:p w:rsidR="007547D4" w:rsidRPr="006F2BD9" w:rsidRDefault="007547D4" w:rsidP="007547D4">
      <w:pPr>
        <w:pStyle w:val="Heading3"/>
        <w:numPr>
          <w:ilvl w:val="2"/>
          <w:numId w:val="138"/>
        </w:numPr>
      </w:pPr>
      <w:r w:rsidRPr="006F2BD9">
        <w:t>Overcrowding</w:t>
      </w:r>
    </w:p>
    <w:p w:rsidR="007547D4" w:rsidRPr="006F2BD9" w:rsidRDefault="007547D4" w:rsidP="007547D4">
      <w:pPr>
        <w:jc w:val="both"/>
      </w:pPr>
      <w:r w:rsidRPr="006F2BD9">
        <w:t>According to the Integrated Household Survey from ONS</w:t>
      </w:r>
      <w:r>
        <w:t>,</w:t>
      </w:r>
      <w:r w:rsidRPr="006F2BD9">
        <w:t xml:space="preserve"> in 2010 there were 6.7% overcrowded households in Barnet</w:t>
      </w:r>
      <w:r>
        <w:t>; this</w:t>
      </w:r>
      <w:r w:rsidRPr="006F2BD9">
        <w:t xml:space="preserve"> is less than the London average of 7.5%. Given the high demand for housing in the </w:t>
      </w:r>
      <w:r>
        <w:t>Borough</w:t>
      </w:r>
      <w:r w:rsidRPr="006F2BD9">
        <w:t xml:space="preserve">, overcrowding </w:t>
      </w:r>
      <w:r>
        <w:t>in</w:t>
      </w:r>
      <w:r w:rsidRPr="006F2BD9">
        <w:t xml:space="preserve"> itself is unlikely to enable a household to be rehoused by the council</w:t>
      </w:r>
      <w:r>
        <w:t>,</w:t>
      </w:r>
      <w:r w:rsidRPr="006F2BD9">
        <w:t xml:space="preserve"> unless there is severe overcrowding- at least 3 bedrooms short.</w:t>
      </w:r>
    </w:p>
    <w:p w:rsidR="007547D4" w:rsidRPr="006F2BD9" w:rsidRDefault="007547D4" w:rsidP="007547D4">
      <w:pPr>
        <w:jc w:val="both"/>
        <w:rPr>
          <w:highlight w:val="lightGray"/>
        </w:rPr>
      </w:pPr>
      <w:r w:rsidRPr="006F2BD9">
        <w:rPr>
          <w:rFonts w:eastAsia="Times New Roman" w:cs="Arial"/>
          <w:lang w:eastAsia="en-GB"/>
        </w:rPr>
        <w:t>The 2006</w:t>
      </w:r>
      <w:r>
        <w:rPr>
          <w:rFonts w:eastAsia="Times New Roman" w:cs="Arial"/>
          <w:lang w:eastAsia="en-GB"/>
        </w:rPr>
        <w:t xml:space="preserve"> Barnet</w:t>
      </w:r>
      <w:r w:rsidRPr="006F2BD9">
        <w:rPr>
          <w:rFonts w:eastAsia="Times New Roman" w:cs="Arial"/>
          <w:lang w:eastAsia="en-GB"/>
        </w:rPr>
        <w:t xml:space="preserve"> Housing </w:t>
      </w:r>
      <w:r>
        <w:rPr>
          <w:rFonts w:eastAsia="Times New Roman" w:cs="Arial"/>
          <w:lang w:eastAsia="en-GB"/>
        </w:rPr>
        <w:t>N</w:t>
      </w:r>
      <w:r w:rsidRPr="006F2BD9">
        <w:rPr>
          <w:rFonts w:eastAsia="Times New Roman" w:cs="Arial"/>
          <w:lang w:eastAsia="en-GB"/>
        </w:rPr>
        <w:t xml:space="preserve">eeds </w:t>
      </w:r>
      <w:r>
        <w:rPr>
          <w:rFonts w:eastAsia="Times New Roman" w:cs="Arial"/>
          <w:lang w:eastAsia="en-GB"/>
        </w:rPr>
        <w:t>S</w:t>
      </w:r>
      <w:r w:rsidRPr="006F2BD9">
        <w:rPr>
          <w:rFonts w:eastAsia="Times New Roman" w:cs="Arial"/>
          <w:lang w:eastAsia="en-GB"/>
        </w:rPr>
        <w:t>urvey estimated that there are an estimated 38,000 households who are under occupying larger properties – many of whom are older people whose families have grown up. By ensuring that new homes meet the Lifetime Homes standard</w:t>
      </w:r>
      <w:r w:rsidRPr="006F2BD9">
        <w:rPr>
          <w:rFonts w:eastAsia="Times New Roman" w:cs="Arial"/>
          <w:vertAlign w:val="superscript"/>
          <w:lang w:eastAsia="en-GB"/>
        </w:rPr>
        <w:footnoteReference w:id="5"/>
      </w:r>
      <w:r w:rsidRPr="006F2BD9">
        <w:rPr>
          <w:rFonts w:eastAsia="Times New Roman" w:cs="Arial"/>
          <w:lang w:eastAsia="en-GB"/>
        </w:rPr>
        <w:t xml:space="preserve"> and increasing the housing choic</w:t>
      </w:r>
      <w:r w:rsidR="009850F5">
        <w:rPr>
          <w:rFonts w:eastAsia="Times New Roman" w:cs="Arial"/>
          <w:lang w:eastAsia="en-GB"/>
        </w:rPr>
        <w:t xml:space="preserve">es available for the elderly, it is expected </w:t>
      </w:r>
      <w:r w:rsidRPr="006F2BD9">
        <w:rPr>
          <w:rFonts w:eastAsia="Times New Roman" w:cs="Arial"/>
          <w:lang w:eastAsia="en-GB"/>
        </w:rPr>
        <w:t xml:space="preserve">that some older owner occupiers will opt to move into smaller more manageable accommodation, freeing up larger properties. In addition, Barnet Homes operate a successful </w:t>
      </w:r>
      <w:r w:rsidRPr="006F2BD9">
        <w:rPr>
          <w:rFonts w:eastAsia="Times New Roman" w:cs="Arial"/>
          <w:i/>
          <w:lang w:eastAsia="en-GB"/>
        </w:rPr>
        <w:t>trade down</w:t>
      </w:r>
      <w:r w:rsidRPr="006F2BD9">
        <w:rPr>
          <w:rFonts w:eastAsia="Times New Roman" w:cs="Arial"/>
          <w:lang w:eastAsia="en-GB"/>
        </w:rPr>
        <w:t xml:space="preserve"> scheme to help council tenants under-occupying larger units move to smaller flats freeing up homes for larger families who need them.</w:t>
      </w:r>
    </w:p>
    <w:p w:rsidR="007547D4" w:rsidRDefault="007547D4" w:rsidP="007547D4">
      <w:pPr>
        <w:jc w:val="both"/>
      </w:pPr>
      <w:r w:rsidRPr="006F2BD9">
        <w:t>There continues to be a need to work to ensure that the best use is made of council housing by operating a trade down scheme and ensuring that those affected by the under-occupancy charge are given the opportunity to move into homes that meet their bedroom requirements.</w:t>
      </w:r>
    </w:p>
    <w:p w:rsidR="007547D4" w:rsidRPr="006F2BD9" w:rsidRDefault="007547D4" w:rsidP="007547D4">
      <w:pPr>
        <w:pStyle w:val="Heading3"/>
        <w:numPr>
          <w:ilvl w:val="2"/>
          <w:numId w:val="138"/>
        </w:numPr>
      </w:pPr>
      <w:r w:rsidRPr="006F2BD9">
        <w:lastRenderedPageBreak/>
        <w:t>Temporary Accommodation and Reducing Homelessness</w:t>
      </w:r>
    </w:p>
    <w:p w:rsidR="007547D4" w:rsidRPr="006F2BD9" w:rsidRDefault="007547D4" w:rsidP="007547D4">
      <w:pPr>
        <w:jc w:val="both"/>
      </w:pPr>
      <w:r w:rsidRPr="006F2BD9">
        <w:t>The number of households presenting as homeless and the number of households being accepted as homeless ha</w:t>
      </w:r>
      <w:r>
        <w:t>ve</w:t>
      </w:r>
      <w:r w:rsidRPr="006F2BD9">
        <w:t xml:space="preserve"> increased significantly over the past five years. The number of new temporary accommodation admissions has also risen. </w:t>
      </w:r>
    </w:p>
    <w:p w:rsidR="007547D4" w:rsidRPr="006F2BD9" w:rsidRDefault="007547D4" w:rsidP="007547D4">
      <w:r w:rsidRPr="006F2BD9">
        <w:t>The key reasons for the increased demand on services include:</w:t>
      </w:r>
    </w:p>
    <w:p w:rsidR="007547D4" w:rsidRPr="006F2BD9" w:rsidRDefault="007547D4" w:rsidP="007547D4">
      <w:pPr>
        <w:pStyle w:val="ListParagraph"/>
        <w:numPr>
          <w:ilvl w:val="2"/>
          <w:numId w:val="22"/>
        </w:numPr>
        <w:ind w:left="720"/>
        <w:jc w:val="both"/>
        <w:rPr>
          <w:rFonts w:cs="Arial"/>
        </w:rPr>
      </w:pPr>
      <w:r w:rsidRPr="006F2BD9">
        <w:rPr>
          <w:rFonts w:cs="Arial"/>
        </w:rPr>
        <w:t>Increased housing costs</w:t>
      </w:r>
      <w:r>
        <w:rPr>
          <w:rFonts w:cs="Arial"/>
        </w:rPr>
        <w:t>,</w:t>
      </w:r>
      <w:r w:rsidRPr="006F2BD9">
        <w:rPr>
          <w:rFonts w:cs="Arial"/>
        </w:rPr>
        <w:t xml:space="preserve"> combined with restrictions on housing benefit</w:t>
      </w:r>
      <w:r>
        <w:rPr>
          <w:rFonts w:cs="Arial"/>
        </w:rPr>
        <w:t>,</w:t>
      </w:r>
      <w:r w:rsidRPr="006F2BD9">
        <w:rPr>
          <w:rFonts w:cs="Arial"/>
        </w:rPr>
        <w:t xml:space="preserve"> </w:t>
      </w:r>
      <w:proofErr w:type="gramStart"/>
      <w:r w:rsidRPr="006F2BD9">
        <w:rPr>
          <w:rFonts w:cs="Arial"/>
        </w:rPr>
        <w:t>has</w:t>
      </w:r>
      <w:proofErr w:type="gramEnd"/>
      <w:r w:rsidRPr="006F2BD9">
        <w:rPr>
          <w:rFonts w:cs="Arial"/>
        </w:rPr>
        <w:t xml:space="preserve"> resulted in more households moving out of Central London to Outer London </w:t>
      </w:r>
      <w:r>
        <w:rPr>
          <w:rFonts w:cs="Arial"/>
        </w:rPr>
        <w:t>Borough</w:t>
      </w:r>
      <w:r w:rsidRPr="006F2BD9">
        <w:rPr>
          <w:rFonts w:cs="Arial"/>
        </w:rPr>
        <w:t>s, including Barnet. This is evidenced by a significant increase in the number of households claiming housing benefit in Barnet and a fall in housing benefit claims in Central London.</w:t>
      </w:r>
    </w:p>
    <w:p w:rsidR="007547D4" w:rsidRPr="006F2BD9" w:rsidRDefault="007547D4" w:rsidP="007547D4">
      <w:pPr>
        <w:pStyle w:val="ListParagraph"/>
        <w:numPr>
          <w:ilvl w:val="2"/>
          <w:numId w:val="22"/>
        </w:numPr>
        <w:ind w:left="720"/>
        <w:jc w:val="both"/>
        <w:rPr>
          <w:rFonts w:cs="Arial"/>
        </w:rPr>
      </w:pPr>
      <w:r w:rsidRPr="006F2BD9">
        <w:rPr>
          <w:rFonts w:cs="Arial"/>
        </w:rPr>
        <w:t>Other welfare reforms, particularly the overall benefit cap</w:t>
      </w:r>
      <w:r>
        <w:rPr>
          <w:rFonts w:cs="Arial"/>
        </w:rPr>
        <w:t>,</w:t>
      </w:r>
      <w:r w:rsidRPr="006F2BD9">
        <w:rPr>
          <w:rFonts w:cs="Arial"/>
        </w:rPr>
        <w:t xml:space="preserve"> have resulted in the Council and its partners working proactively with affected households living in the private sector to assist them into work or move into more affordable accommodation.</w:t>
      </w:r>
    </w:p>
    <w:p w:rsidR="007547D4" w:rsidRPr="006F2BD9" w:rsidRDefault="007547D4" w:rsidP="007547D4">
      <w:pPr>
        <w:pStyle w:val="ListParagraph"/>
        <w:numPr>
          <w:ilvl w:val="2"/>
          <w:numId w:val="22"/>
        </w:numPr>
        <w:ind w:left="720"/>
        <w:jc w:val="both"/>
        <w:rPr>
          <w:rFonts w:cs="Arial"/>
        </w:rPr>
      </w:pPr>
      <w:r w:rsidRPr="006F2BD9">
        <w:rPr>
          <w:rFonts w:cs="Arial"/>
        </w:rPr>
        <w:t xml:space="preserve">The number of households seeking help with their housing has been increasing throughout London because of the high cost of owning or renting a home. </w:t>
      </w:r>
    </w:p>
    <w:p w:rsidR="007547D4" w:rsidRPr="006F2BD9" w:rsidRDefault="007547D4" w:rsidP="007547D4">
      <w:pPr>
        <w:pStyle w:val="ListParagraph"/>
        <w:numPr>
          <w:ilvl w:val="2"/>
          <w:numId w:val="22"/>
        </w:numPr>
        <w:ind w:left="720"/>
        <w:jc w:val="both"/>
        <w:rPr>
          <w:rFonts w:cs="Arial"/>
          <w:bCs/>
          <w:iCs/>
        </w:rPr>
      </w:pPr>
      <w:r w:rsidRPr="006F2BD9">
        <w:rPr>
          <w:rFonts w:cs="Arial"/>
        </w:rPr>
        <w:t>Private sector rents have increased faster in Barnet than in other parts of Lo</w:t>
      </w:r>
      <w:r w:rsidRPr="006F2BD9">
        <w:rPr>
          <w:rFonts w:cs="Arial"/>
          <w:iCs/>
          <w:color w:val="080808"/>
          <w:lang w:eastAsia="en-GB"/>
        </w:rPr>
        <w:t>ndon and they are the 4</w:t>
      </w:r>
      <w:r w:rsidRPr="006F2BD9">
        <w:rPr>
          <w:rFonts w:cs="Arial"/>
          <w:iCs/>
          <w:color w:val="080808"/>
          <w:vertAlign w:val="superscript"/>
          <w:lang w:eastAsia="en-GB"/>
        </w:rPr>
        <w:t>th</w:t>
      </w:r>
      <w:r w:rsidRPr="006F2BD9">
        <w:rPr>
          <w:rFonts w:cs="Arial"/>
          <w:iCs/>
          <w:color w:val="080808"/>
          <w:lang w:eastAsia="en-GB"/>
        </w:rPr>
        <w:t xml:space="preserve"> highest out of 16 Outer London </w:t>
      </w:r>
      <w:r>
        <w:rPr>
          <w:rFonts w:cs="Arial"/>
          <w:iCs/>
          <w:color w:val="080808"/>
          <w:lang w:eastAsia="en-GB"/>
        </w:rPr>
        <w:t>Borough</w:t>
      </w:r>
      <w:r w:rsidRPr="006F2BD9">
        <w:rPr>
          <w:rFonts w:cs="Arial"/>
          <w:iCs/>
          <w:color w:val="080808"/>
          <w:lang w:eastAsia="en-GB"/>
        </w:rPr>
        <w:t>s, meaning that more low-income households may approach the Council for assistance with their housing.</w:t>
      </w:r>
    </w:p>
    <w:p w:rsidR="007547D4" w:rsidRPr="00897DBB" w:rsidRDefault="007547D4" w:rsidP="007547D4">
      <w:pPr>
        <w:pStyle w:val="Caption"/>
        <w:keepNext/>
      </w:pPr>
      <w:r>
        <w:t xml:space="preserve">Figure </w:t>
      </w:r>
      <w:fldSimple w:instr=" STYLEREF 1 \s ">
        <w:r w:rsidR="001663C2">
          <w:rPr>
            <w:noProof/>
          </w:rPr>
          <w:t>3</w:t>
        </w:r>
      </w:fldSimple>
      <w:r w:rsidR="00943DC2">
        <w:noBreakHyphen/>
      </w:r>
      <w:fldSimple w:instr=" SEQ Figure \* ARABIC \s 1 ">
        <w:r w:rsidR="001663C2">
          <w:rPr>
            <w:noProof/>
          </w:rPr>
          <w:t>5</w:t>
        </w:r>
      </w:fldSimple>
      <w:r w:rsidRPr="006F2BD9">
        <w:rPr>
          <w:rFonts w:cs="Calibri"/>
          <w:i/>
        </w:rPr>
        <w:t xml:space="preserve">: </w:t>
      </w:r>
      <w:r w:rsidRPr="00897DBB">
        <w:rPr>
          <w:bCs w:val="0"/>
        </w:rPr>
        <w:t>Increased demand for housing within Barnet, 2009-2014</w:t>
      </w:r>
    </w:p>
    <w:p w:rsidR="007547D4" w:rsidRDefault="007547D4" w:rsidP="007547D4">
      <w:r w:rsidRPr="006F2BD9">
        <w:rPr>
          <w:noProof/>
          <w:lang w:eastAsia="en-GB"/>
        </w:rPr>
        <w:drawing>
          <wp:inline distT="0" distB="0" distL="0" distR="0" wp14:anchorId="214BCE73" wp14:editId="743BDAFB">
            <wp:extent cx="5869172" cy="2052084"/>
            <wp:effectExtent l="0" t="0" r="17780" b="24765"/>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r w:rsidRPr="006F2BD9">
        <w:t>Source: Barnet Council Data</w:t>
      </w:r>
    </w:p>
    <w:p w:rsidR="007547D4" w:rsidRPr="005F64A9" w:rsidRDefault="007547D4" w:rsidP="007547D4">
      <w:pPr>
        <w:jc w:val="both"/>
      </w:pPr>
      <w:r w:rsidRPr="005F64A9">
        <w:t xml:space="preserve">Housing supply has not kept up with increased demand for housing services. As can be seen from Figure </w:t>
      </w:r>
      <w:r>
        <w:t>3-6</w:t>
      </w:r>
      <w:r w:rsidRPr="005F64A9">
        <w:t xml:space="preserve">, below, the number of properties available for the Council to allocate reduced from 2009/10. This has </w:t>
      </w:r>
      <w:r>
        <w:t>particularly been</w:t>
      </w:r>
      <w:r w:rsidRPr="005F64A9">
        <w:t xml:space="preserve"> the case for private rented sector homes. As a result of better services and incentives introduced through the Let2Barnet service at Barnet Homes, the number of private rented properties available has increased significantly since 2012. This has resulted in more households being rehoused in 2013/14 than in the previous two years.</w:t>
      </w:r>
    </w:p>
    <w:p w:rsidR="007547D4" w:rsidRDefault="007547D4" w:rsidP="007547D4">
      <w:pPr>
        <w:pStyle w:val="Caption"/>
      </w:pPr>
    </w:p>
    <w:p w:rsidR="007547D4" w:rsidRDefault="007547D4" w:rsidP="007547D4">
      <w:pPr>
        <w:pStyle w:val="Caption"/>
      </w:pPr>
    </w:p>
    <w:p w:rsidR="007547D4" w:rsidRDefault="007547D4" w:rsidP="007547D4">
      <w:pPr>
        <w:pStyle w:val="Caption"/>
      </w:pPr>
    </w:p>
    <w:p w:rsidR="007547D4" w:rsidRDefault="007547D4" w:rsidP="007547D4">
      <w:pPr>
        <w:pStyle w:val="Caption"/>
      </w:pPr>
    </w:p>
    <w:p w:rsidR="005067E0" w:rsidRPr="005067E0" w:rsidRDefault="005067E0" w:rsidP="005067E0"/>
    <w:p w:rsidR="007547D4" w:rsidRDefault="007547D4" w:rsidP="007547D4">
      <w:pPr>
        <w:pStyle w:val="Caption"/>
      </w:pPr>
    </w:p>
    <w:p w:rsidR="007547D4" w:rsidRPr="004A7EA5" w:rsidRDefault="007547D4" w:rsidP="007547D4">
      <w:pPr>
        <w:pStyle w:val="Caption"/>
        <w:rPr>
          <w:rFonts w:cs="Calibri"/>
          <w:b w:val="0"/>
          <w:i/>
        </w:rPr>
      </w:pPr>
      <w:r>
        <w:t xml:space="preserve">Figure </w:t>
      </w:r>
      <w:fldSimple w:instr=" STYLEREF 1 \s ">
        <w:r w:rsidR="001663C2">
          <w:rPr>
            <w:noProof/>
          </w:rPr>
          <w:t>3</w:t>
        </w:r>
      </w:fldSimple>
      <w:r w:rsidR="00943DC2">
        <w:noBreakHyphen/>
      </w:r>
      <w:fldSimple w:instr=" SEQ Figure \* ARABIC \s 1 ">
        <w:r w:rsidR="001663C2">
          <w:rPr>
            <w:noProof/>
          </w:rPr>
          <w:t>6</w:t>
        </w:r>
      </w:fldSimple>
      <w:r w:rsidRPr="00897DBB">
        <w:t>: Reduced supply of accommodation within Barnet, 2009-2014</w:t>
      </w:r>
    </w:p>
    <w:p w:rsidR="007547D4" w:rsidRPr="006F2BD9" w:rsidRDefault="007547D4" w:rsidP="007547D4">
      <w:r w:rsidRPr="006F2BD9">
        <w:rPr>
          <w:noProof/>
          <w:lang w:eastAsia="en-GB"/>
        </w:rPr>
        <w:drawing>
          <wp:inline distT="0" distB="0" distL="0" distR="0" wp14:anchorId="374CBAC8" wp14:editId="15A65E34">
            <wp:extent cx="5816009" cy="1796902"/>
            <wp:effectExtent l="0" t="0" r="13335" b="13335"/>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r w:rsidRPr="006F2BD9">
        <w:t>Source: Barnet Council Data</w:t>
      </w:r>
    </w:p>
    <w:p w:rsidR="007547D4" w:rsidRDefault="007547D4" w:rsidP="007547D4">
      <w:r w:rsidRPr="006F2BD9">
        <w:t xml:space="preserve">It is likely that there will continue to be a high demand for housing in the </w:t>
      </w:r>
      <w:r>
        <w:t>Borough</w:t>
      </w:r>
      <w:r w:rsidRPr="006F2BD9">
        <w:t xml:space="preserve"> as housing costs are expected to remain high. This will mean that the Council and Barnet Homes will need to maximise the supply of accommodation available for housing applicants including in the private rented sector.</w:t>
      </w:r>
    </w:p>
    <w:p w:rsidR="007547D4" w:rsidRPr="006F2BD9" w:rsidRDefault="007547D4" w:rsidP="007547D4">
      <w:pPr>
        <w:pStyle w:val="Heading3"/>
        <w:numPr>
          <w:ilvl w:val="2"/>
          <w:numId w:val="138"/>
        </w:numPr>
      </w:pPr>
      <w:r w:rsidRPr="006F2BD9">
        <w:t>Social Isolation</w:t>
      </w:r>
    </w:p>
    <w:p w:rsidR="007547D4" w:rsidRPr="00EE4B75" w:rsidRDefault="007547D4" w:rsidP="007547D4">
      <w:pPr>
        <w:pStyle w:val="NormalWeb"/>
        <w:spacing w:before="0" w:beforeAutospacing="0" w:after="200" w:afterAutospacing="0" w:line="276" w:lineRule="auto"/>
        <w:jc w:val="both"/>
        <w:textAlignment w:val="baseline"/>
        <w:rPr>
          <w:rFonts w:asciiTheme="minorHAnsi" w:eastAsiaTheme="minorEastAsia" w:hAnsiTheme="minorHAnsi" w:cs="Arial"/>
          <w:color w:val="31849B" w:themeColor="accent5" w:themeShade="BF"/>
          <w:kern w:val="24"/>
          <w:sz w:val="22"/>
          <w:szCs w:val="22"/>
        </w:rPr>
      </w:pPr>
      <w:r w:rsidRPr="006F2BD9">
        <w:rPr>
          <w:rFonts w:asciiTheme="minorHAnsi" w:eastAsiaTheme="minorEastAsia" w:hAnsiTheme="minorHAnsi"/>
          <w:sz w:val="22"/>
          <w:szCs w:val="22"/>
        </w:rPr>
        <w:t>The majority of older people own their own home but 12% of the over 75s live in the private rented sector.</w:t>
      </w:r>
      <w:r w:rsidRPr="006F2BD9">
        <w:rPr>
          <w:rFonts w:asciiTheme="minorHAnsi" w:eastAsiaTheme="minorEastAsia" w:hAnsiTheme="minorHAnsi" w:cs="Arial"/>
          <w:color w:val="31849B" w:themeColor="accent5" w:themeShade="BF"/>
          <w:kern w:val="24"/>
          <w:sz w:val="22"/>
          <w:szCs w:val="22"/>
        </w:rPr>
        <w:t xml:space="preserve"> </w:t>
      </w:r>
    </w:p>
    <w:p w:rsidR="007547D4" w:rsidRPr="006F2BD9" w:rsidRDefault="007547D4" w:rsidP="007547D4">
      <w:pPr>
        <w:pStyle w:val="Caption"/>
        <w:rPr>
          <w:rFonts w:cs="Calibri"/>
          <w:b w:val="0"/>
          <w:i/>
        </w:rPr>
      </w:pPr>
      <w:r>
        <w:t xml:space="preserve">Figure </w:t>
      </w:r>
      <w:fldSimple w:instr=" STYLEREF 1 \s ">
        <w:r w:rsidR="001663C2">
          <w:rPr>
            <w:noProof/>
          </w:rPr>
          <w:t>3</w:t>
        </w:r>
      </w:fldSimple>
      <w:r w:rsidR="00943DC2">
        <w:noBreakHyphen/>
      </w:r>
      <w:fldSimple w:instr=" SEQ Figure \* ARABIC \s 1 ">
        <w:r w:rsidR="001663C2">
          <w:rPr>
            <w:noProof/>
          </w:rPr>
          <w:t>7</w:t>
        </w:r>
      </w:fldSimple>
      <w:r w:rsidRPr="00897DBB">
        <w:t>: Older People and Housing Tenure, 2011</w:t>
      </w:r>
    </w:p>
    <w:p w:rsidR="007547D4" w:rsidRPr="006F2BD9" w:rsidRDefault="007547D4" w:rsidP="007547D4">
      <w:pPr>
        <w:pStyle w:val="NormalWeb"/>
        <w:spacing w:before="0" w:beforeAutospacing="0" w:after="0" w:afterAutospacing="0"/>
        <w:jc w:val="both"/>
        <w:textAlignment w:val="baseline"/>
        <w:rPr>
          <w:rFonts w:asciiTheme="minorHAnsi" w:eastAsiaTheme="minorEastAsia" w:hAnsiTheme="minorHAnsi" w:cs="Arial"/>
          <w:color w:val="31849B" w:themeColor="accent5" w:themeShade="BF"/>
          <w:kern w:val="24"/>
          <w:sz w:val="44"/>
          <w:szCs w:val="44"/>
        </w:rPr>
      </w:pPr>
      <w:r w:rsidRPr="006F2BD9">
        <w:rPr>
          <w:rFonts w:asciiTheme="minorHAnsi" w:hAnsiTheme="minorHAnsi"/>
          <w:noProof/>
        </w:rPr>
        <w:drawing>
          <wp:inline distT="0" distB="0" distL="0" distR="0" wp14:anchorId="2A78B8AC" wp14:editId="745178C5">
            <wp:extent cx="5943600" cy="1850065"/>
            <wp:effectExtent l="0" t="0" r="19050" b="17145"/>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7547D4" w:rsidRDefault="007547D4" w:rsidP="007547D4">
      <w:pPr>
        <w:spacing w:after="0" w:line="240" w:lineRule="auto"/>
        <w:jc w:val="both"/>
      </w:pPr>
      <w:r w:rsidRPr="006F2BD9">
        <w:t xml:space="preserve">Source: GLA 2013 Projections </w:t>
      </w:r>
      <w:r w:rsidR="005E38B7">
        <w:t xml:space="preserve">(Borough Preferred Option) </w:t>
      </w:r>
      <w:r w:rsidRPr="006F2BD9">
        <w:t>&amp; 2011 Census</w:t>
      </w:r>
    </w:p>
    <w:p w:rsidR="007547D4" w:rsidRDefault="007547D4" w:rsidP="007547D4">
      <w:pPr>
        <w:spacing w:after="0" w:line="240" w:lineRule="auto"/>
        <w:jc w:val="both"/>
      </w:pPr>
    </w:p>
    <w:p w:rsidR="007547D4" w:rsidRPr="006F2BD9" w:rsidRDefault="007547D4" w:rsidP="007547D4">
      <w:pPr>
        <w:pStyle w:val="NormalWeb"/>
        <w:spacing w:before="0" w:beforeAutospacing="0" w:after="200" w:afterAutospacing="0" w:line="276" w:lineRule="auto"/>
        <w:jc w:val="both"/>
        <w:textAlignment w:val="baseline"/>
        <w:rPr>
          <w:rFonts w:asciiTheme="minorHAnsi" w:eastAsiaTheme="minorEastAsia" w:hAnsiTheme="minorHAnsi" w:cs="Arial"/>
          <w:kern w:val="24"/>
          <w:sz w:val="22"/>
          <w:szCs w:val="22"/>
        </w:rPr>
      </w:pPr>
      <w:r w:rsidRPr="006F2BD9">
        <w:rPr>
          <w:rFonts w:asciiTheme="minorHAnsi" w:eastAsiaTheme="minorEastAsia" w:hAnsiTheme="minorHAnsi" w:cs="Arial"/>
          <w:kern w:val="24"/>
          <w:sz w:val="22"/>
          <w:szCs w:val="22"/>
        </w:rPr>
        <w:t>The number of older people living alone in the future is projected to increase, including those with a long term limited illness.</w:t>
      </w:r>
    </w:p>
    <w:p w:rsidR="005E38B7" w:rsidRDefault="005E38B7" w:rsidP="007547D4">
      <w:pPr>
        <w:pStyle w:val="Caption"/>
      </w:pPr>
    </w:p>
    <w:p w:rsidR="005E38B7" w:rsidRDefault="005E38B7" w:rsidP="007547D4">
      <w:pPr>
        <w:pStyle w:val="Caption"/>
      </w:pPr>
    </w:p>
    <w:p w:rsidR="005E38B7" w:rsidRDefault="005E38B7" w:rsidP="007547D4">
      <w:pPr>
        <w:pStyle w:val="Caption"/>
      </w:pPr>
    </w:p>
    <w:p w:rsidR="005E38B7" w:rsidRDefault="005E38B7" w:rsidP="007547D4">
      <w:pPr>
        <w:pStyle w:val="Caption"/>
      </w:pPr>
    </w:p>
    <w:p w:rsidR="005E38B7" w:rsidRDefault="005E38B7" w:rsidP="007547D4">
      <w:pPr>
        <w:pStyle w:val="Caption"/>
      </w:pPr>
    </w:p>
    <w:p w:rsidR="005E38B7" w:rsidRDefault="005E38B7" w:rsidP="007547D4">
      <w:pPr>
        <w:pStyle w:val="Caption"/>
      </w:pPr>
    </w:p>
    <w:p w:rsidR="005E38B7" w:rsidRDefault="005E38B7" w:rsidP="007547D4">
      <w:pPr>
        <w:pStyle w:val="Caption"/>
      </w:pPr>
    </w:p>
    <w:p w:rsidR="005E38B7" w:rsidRDefault="005E38B7" w:rsidP="007547D4">
      <w:pPr>
        <w:pStyle w:val="Caption"/>
      </w:pPr>
    </w:p>
    <w:p w:rsidR="005E38B7" w:rsidRDefault="005E38B7" w:rsidP="007547D4">
      <w:pPr>
        <w:pStyle w:val="Caption"/>
      </w:pPr>
    </w:p>
    <w:p w:rsidR="007547D4" w:rsidRDefault="007547D4" w:rsidP="007547D4">
      <w:pPr>
        <w:pStyle w:val="Caption"/>
      </w:pPr>
      <w:r>
        <w:t xml:space="preserve">Figure </w:t>
      </w:r>
      <w:fldSimple w:instr=" STYLEREF 1 \s ">
        <w:r w:rsidR="001663C2">
          <w:rPr>
            <w:noProof/>
          </w:rPr>
          <w:t>3</w:t>
        </w:r>
      </w:fldSimple>
      <w:r w:rsidR="00943DC2">
        <w:noBreakHyphen/>
      </w:r>
      <w:fldSimple w:instr=" SEQ Figure \* ARABIC \s 1 ">
        <w:r w:rsidR="001663C2">
          <w:rPr>
            <w:noProof/>
          </w:rPr>
          <w:t>8</w:t>
        </w:r>
      </w:fldSimple>
      <w:r w:rsidRPr="00897DBB">
        <w:t>: Number of people aged over 75 projected to be living alone in Barnet, 2012-2030</w:t>
      </w:r>
    </w:p>
    <w:p w:rsidR="007547D4" w:rsidRPr="003A56D6" w:rsidRDefault="007547D4" w:rsidP="007547D4">
      <w:pPr>
        <w:spacing w:after="0" w:line="240" w:lineRule="auto"/>
      </w:pPr>
      <w:r>
        <w:rPr>
          <w:noProof/>
          <w:lang w:eastAsia="en-GB"/>
        </w:rPr>
        <w:drawing>
          <wp:inline distT="0" distB="0" distL="0" distR="0" wp14:anchorId="7493190C" wp14:editId="4A34C863">
            <wp:extent cx="5656521" cy="2073349"/>
            <wp:effectExtent l="0" t="0" r="20955" b="22225"/>
            <wp:docPr id="44" name="Chart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7547D4" w:rsidRPr="006F2BD9" w:rsidRDefault="007547D4" w:rsidP="007547D4">
      <w:pPr>
        <w:spacing w:after="0" w:line="240" w:lineRule="auto"/>
        <w:jc w:val="both"/>
      </w:pPr>
      <w:r w:rsidRPr="006F2BD9">
        <w:t xml:space="preserve">Source: </w:t>
      </w:r>
      <w:r w:rsidR="005E38B7" w:rsidRPr="006F2BD9">
        <w:t xml:space="preserve">GLA 2013 Projections </w:t>
      </w:r>
      <w:r w:rsidR="005E38B7">
        <w:t xml:space="preserve">(Borough Preferred Option) </w:t>
      </w:r>
      <w:r w:rsidR="005E38B7" w:rsidRPr="006F2BD9">
        <w:t>&amp; 2011 Census</w:t>
      </w:r>
    </w:p>
    <w:p w:rsidR="007547D4" w:rsidRDefault="007547D4" w:rsidP="007547D4">
      <w:pPr>
        <w:spacing w:after="0" w:line="240" w:lineRule="auto"/>
        <w:jc w:val="both"/>
        <w:rPr>
          <w:rFonts w:cs="Arial"/>
          <w:iCs/>
          <w:lang w:eastAsia="en-GB"/>
        </w:rPr>
      </w:pPr>
    </w:p>
    <w:p w:rsidR="007547D4" w:rsidRDefault="009850F5" w:rsidP="007547D4">
      <w:pPr>
        <w:spacing w:after="0" w:line="240" w:lineRule="auto"/>
        <w:jc w:val="both"/>
        <w:rPr>
          <w:rFonts w:cs="Arial"/>
          <w:iCs/>
          <w:lang w:eastAsia="en-GB"/>
        </w:rPr>
      </w:pPr>
      <w:r>
        <w:rPr>
          <w:rFonts w:cs="Arial"/>
          <w:iCs/>
          <w:lang w:eastAsia="en-GB"/>
        </w:rPr>
        <w:t>T</w:t>
      </w:r>
      <w:r w:rsidR="007547D4" w:rsidRPr="006F2BD9">
        <w:rPr>
          <w:rFonts w:cs="Arial"/>
          <w:iCs/>
          <w:lang w:eastAsia="en-GB"/>
        </w:rPr>
        <w:t xml:space="preserve">he older population in Barnet is set to increase significantly over the next 30 years. However, older people should not be viewed as a homogenous group and a variety of housing options will be needed to meet their needs and expectations. </w:t>
      </w:r>
    </w:p>
    <w:p w:rsidR="007547D4" w:rsidRPr="006F2BD9" w:rsidRDefault="007547D4" w:rsidP="007547D4">
      <w:pPr>
        <w:spacing w:after="0" w:line="240" w:lineRule="auto"/>
        <w:jc w:val="both"/>
        <w:rPr>
          <w:rFonts w:cs="Arial"/>
          <w:iCs/>
          <w:lang w:eastAsia="en-GB"/>
        </w:rPr>
      </w:pPr>
    </w:p>
    <w:p w:rsidR="007547D4" w:rsidRDefault="00DD3A76" w:rsidP="007547D4">
      <w:pPr>
        <w:jc w:val="both"/>
      </w:pPr>
      <w:r w:rsidRPr="006F2BD9">
        <w:t>Whilst many older people will remain independent for longer, it is inevitable th</w:t>
      </w:r>
      <w:r>
        <w:t>at as the older population grows,</w:t>
      </w:r>
      <w:r w:rsidRPr="006F2BD9">
        <w:t xml:space="preserve"> the number of people requiring care will also increase, particularly amongst those that live beyond the age of 85</w:t>
      </w:r>
      <w:r>
        <w:t>.</w:t>
      </w:r>
      <w:r w:rsidRPr="006F2BD9">
        <w:t xml:space="preserve"> </w:t>
      </w:r>
    </w:p>
    <w:p w:rsidR="00E33715" w:rsidRDefault="00E33715" w:rsidP="00E33715">
      <w:pPr>
        <w:tabs>
          <w:tab w:val="left" w:pos="9072"/>
        </w:tabs>
        <w:spacing w:after="0"/>
        <w:jc w:val="both"/>
      </w:pPr>
      <w:r w:rsidRPr="00915363">
        <w:t>At presen</w:t>
      </w:r>
      <w:r w:rsidR="005350A4">
        <w:t xml:space="preserve">t there are an estimated 24,162 </w:t>
      </w:r>
      <w:r w:rsidRPr="00915363">
        <w:t>people aged 65 or over with a limiting long term illness. The Projecting Older People Population Information (POPPI) system projects these figures to increase by more than</w:t>
      </w:r>
      <w:r w:rsidR="005350A4">
        <w:t xml:space="preserve"> 12</w:t>
      </w:r>
      <w:r w:rsidRPr="00915363">
        <w:t>%</w:t>
      </w:r>
      <w:r w:rsidR="005350A4">
        <w:t xml:space="preserve"> by 2020.</w:t>
      </w:r>
    </w:p>
    <w:p w:rsidR="005350A4" w:rsidRPr="00915363" w:rsidRDefault="005350A4" w:rsidP="00E33715">
      <w:pPr>
        <w:tabs>
          <w:tab w:val="left" w:pos="9072"/>
        </w:tabs>
        <w:spacing w:after="0"/>
        <w:jc w:val="both"/>
      </w:pPr>
    </w:p>
    <w:p w:rsidR="007547D4" w:rsidRPr="006F2BD9" w:rsidRDefault="007547D4" w:rsidP="007547D4">
      <w:pPr>
        <w:pStyle w:val="Caption"/>
        <w:rPr>
          <w:rFonts w:cs="Calibri"/>
          <w:b w:val="0"/>
          <w:i/>
        </w:rPr>
      </w:pPr>
      <w:r>
        <w:t xml:space="preserve">Table </w:t>
      </w:r>
      <w:fldSimple w:instr=" STYLEREF 1 \s ">
        <w:r w:rsidR="001663C2">
          <w:rPr>
            <w:noProof/>
          </w:rPr>
          <w:t>3</w:t>
        </w:r>
      </w:fldSimple>
      <w:r>
        <w:noBreakHyphen/>
      </w:r>
      <w:fldSimple w:instr=" SEQ Table \* ARABIC \s 1 ">
        <w:r w:rsidR="001663C2">
          <w:rPr>
            <w:noProof/>
          </w:rPr>
          <w:t>1</w:t>
        </w:r>
      </w:fldSimple>
      <w:r w:rsidRPr="001221C6">
        <w:rPr>
          <w:rFonts w:cs="Calibri"/>
        </w:rPr>
        <w:t>: Projected Number of Older People with a Limiting L</w:t>
      </w:r>
      <w:r w:rsidR="0028189F">
        <w:rPr>
          <w:rFonts w:cs="Calibri"/>
        </w:rPr>
        <w:t>ong Term Illness in Barnet, 2015</w:t>
      </w:r>
      <w:r w:rsidRPr="001221C6">
        <w:rPr>
          <w:rFonts w:cs="Calibri"/>
        </w:rPr>
        <w:t>-2020</w:t>
      </w:r>
    </w:p>
    <w:tbl>
      <w:tblPr>
        <w:tblW w:w="5688" w:type="dxa"/>
        <w:jc w:val="center"/>
        <w:tblLook w:val="04A0" w:firstRow="1" w:lastRow="0" w:firstColumn="1" w:lastColumn="0" w:noHBand="0" w:noVBand="1"/>
      </w:tblPr>
      <w:tblGrid>
        <w:gridCol w:w="1588"/>
        <w:gridCol w:w="960"/>
        <w:gridCol w:w="960"/>
        <w:gridCol w:w="890"/>
        <w:gridCol w:w="1290"/>
      </w:tblGrid>
      <w:tr w:rsidR="0028189F" w:rsidRPr="0028189F" w:rsidTr="0028189F">
        <w:trPr>
          <w:trHeight w:val="300"/>
          <w:jc w:val="center"/>
        </w:trPr>
        <w:tc>
          <w:tcPr>
            <w:tcW w:w="1588" w:type="dxa"/>
            <w:vMerge w:val="restart"/>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28189F" w:rsidRPr="0028189F" w:rsidRDefault="0028189F" w:rsidP="0028189F">
            <w:pPr>
              <w:spacing w:after="0" w:line="240" w:lineRule="auto"/>
              <w:jc w:val="center"/>
              <w:rPr>
                <w:rFonts w:ascii="Calibri" w:eastAsia="Times New Roman" w:hAnsi="Calibri" w:cs="Times New Roman"/>
                <w:b/>
                <w:bCs/>
                <w:color w:val="000000"/>
                <w:lang w:eastAsia="en-GB"/>
              </w:rPr>
            </w:pPr>
            <w:r w:rsidRPr="0028189F">
              <w:rPr>
                <w:rFonts w:ascii="Calibri" w:eastAsia="Times New Roman" w:hAnsi="Calibri" w:cs="Times New Roman"/>
                <w:b/>
                <w:bCs/>
                <w:color w:val="000000"/>
                <w:lang w:eastAsia="en-GB"/>
              </w:rPr>
              <w:t>Age</w:t>
            </w:r>
          </w:p>
        </w:tc>
        <w:tc>
          <w:tcPr>
            <w:tcW w:w="960" w:type="dxa"/>
            <w:vMerge w:val="restart"/>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28189F" w:rsidRPr="0028189F" w:rsidRDefault="0028189F" w:rsidP="0028189F">
            <w:pPr>
              <w:spacing w:after="0" w:line="240" w:lineRule="auto"/>
              <w:jc w:val="center"/>
              <w:rPr>
                <w:rFonts w:ascii="Calibri" w:eastAsia="Times New Roman" w:hAnsi="Calibri" w:cs="Times New Roman"/>
                <w:b/>
                <w:bCs/>
                <w:color w:val="000000"/>
                <w:lang w:eastAsia="en-GB"/>
              </w:rPr>
            </w:pPr>
            <w:r w:rsidRPr="0028189F">
              <w:rPr>
                <w:rFonts w:ascii="Calibri" w:eastAsia="Times New Roman" w:hAnsi="Calibri" w:cs="Times New Roman"/>
                <w:b/>
                <w:bCs/>
                <w:color w:val="000000"/>
                <w:lang w:eastAsia="en-GB"/>
              </w:rPr>
              <w:t>2015</w:t>
            </w:r>
          </w:p>
        </w:tc>
        <w:tc>
          <w:tcPr>
            <w:tcW w:w="960" w:type="dxa"/>
            <w:vMerge w:val="restart"/>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28189F" w:rsidRPr="0028189F" w:rsidRDefault="0028189F" w:rsidP="0028189F">
            <w:pPr>
              <w:spacing w:after="0" w:line="240" w:lineRule="auto"/>
              <w:jc w:val="center"/>
              <w:rPr>
                <w:rFonts w:ascii="Calibri" w:eastAsia="Times New Roman" w:hAnsi="Calibri" w:cs="Times New Roman"/>
                <w:b/>
                <w:bCs/>
                <w:color w:val="000000"/>
                <w:lang w:eastAsia="en-GB"/>
              </w:rPr>
            </w:pPr>
            <w:r w:rsidRPr="0028189F">
              <w:rPr>
                <w:rFonts w:ascii="Calibri" w:eastAsia="Times New Roman" w:hAnsi="Calibri" w:cs="Times New Roman"/>
                <w:b/>
                <w:bCs/>
                <w:color w:val="000000"/>
                <w:lang w:eastAsia="en-GB"/>
              </w:rPr>
              <w:t>2020</w:t>
            </w:r>
          </w:p>
        </w:tc>
        <w:tc>
          <w:tcPr>
            <w:tcW w:w="2180" w:type="dxa"/>
            <w:gridSpan w:val="2"/>
            <w:tcBorders>
              <w:top w:val="single" w:sz="4" w:space="0" w:color="auto"/>
              <w:left w:val="nil"/>
              <w:bottom w:val="single" w:sz="4" w:space="0" w:color="auto"/>
              <w:right w:val="single" w:sz="4" w:space="0" w:color="auto"/>
            </w:tcBorders>
            <w:shd w:val="clear" w:color="000000" w:fill="BFBFBF"/>
            <w:noWrap/>
            <w:vAlign w:val="center"/>
            <w:hideMark/>
          </w:tcPr>
          <w:p w:rsidR="0028189F" w:rsidRPr="0028189F" w:rsidRDefault="0028189F" w:rsidP="0028189F">
            <w:pPr>
              <w:spacing w:after="0" w:line="240" w:lineRule="auto"/>
              <w:jc w:val="center"/>
              <w:rPr>
                <w:rFonts w:ascii="Calibri" w:eastAsia="Times New Roman" w:hAnsi="Calibri" w:cs="Times New Roman"/>
                <w:b/>
                <w:bCs/>
                <w:color w:val="000000"/>
                <w:lang w:eastAsia="en-GB"/>
              </w:rPr>
            </w:pPr>
            <w:r w:rsidRPr="0028189F">
              <w:rPr>
                <w:rFonts w:ascii="Calibri" w:eastAsia="Times New Roman" w:hAnsi="Calibri" w:cs="Times New Roman"/>
                <w:b/>
                <w:bCs/>
                <w:color w:val="000000"/>
                <w:lang w:eastAsia="en-GB"/>
              </w:rPr>
              <w:t>Change</w:t>
            </w:r>
          </w:p>
        </w:tc>
      </w:tr>
      <w:tr w:rsidR="0028189F" w:rsidRPr="0028189F" w:rsidTr="0028189F">
        <w:trPr>
          <w:trHeight w:val="300"/>
          <w:jc w:val="center"/>
        </w:trPr>
        <w:tc>
          <w:tcPr>
            <w:tcW w:w="1588" w:type="dxa"/>
            <w:vMerge/>
            <w:tcBorders>
              <w:top w:val="single" w:sz="4" w:space="0" w:color="auto"/>
              <w:left w:val="single" w:sz="4" w:space="0" w:color="auto"/>
              <w:bottom w:val="single" w:sz="4" w:space="0" w:color="auto"/>
              <w:right w:val="single" w:sz="4" w:space="0" w:color="auto"/>
            </w:tcBorders>
            <w:vAlign w:val="center"/>
            <w:hideMark/>
          </w:tcPr>
          <w:p w:rsidR="0028189F" w:rsidRPr="0028189F" w:rsidRDefault="0028189F" w:rsidP="0028189F">
            <w:pPr>
              <w:spacing w:after="0" w:line="240" w:lineRule="auto"/>
              <w:jc w:val="center"/>
              <w:rPr>
                <w:rFonts w:ascii="Calibri" w:eastAsia="Times New Roman" w:hAnsi="Calibri" w:cs="Times New Roman"/>
                <w:b/>
                <w:bCs/>
                <w:color w:val="000000"/>
                <w:lang w:eastAsia="en-GB"/>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28189F" w:rsidRPr="0028189F" w:rsidRDefault="0028189F" w:rsidP="0028189F">
            <w:pPr>
              <w:spacing w:after="0" w:line="240" w:lineRule="auto"/>
              <w:jc w:val="center"/>
              <w:rPr>
                <w:rFonts w:ascii="Calibri" w:eastAsia="Times New Roman" w:hAnsi="Calibri" w:cs="Times New Roman"/>
                <w:b/>
                <w:bCs/>
                <w:color w:val="000000"/>
                <w:lang w:eastAsia="en-GB"/>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28189F" w:rsidRPr="0028189F" w:rsidRDefault="0028189F" w:rsidP="0028189F">
            <w:pPr>
              <w:spacing w:after="0" w:line="240" w:lineRule="auto"/>
              <w:jc w:val="center"/>
              <w:rPr>
                <w:rFonts w:ascii="Calibri" w:eastAsia="Times New Roman" w:hAnsi="Calibri" w:cs="Times New Roman"/>
                <w:b/>
                <w:bCs/>
                <w:color w:val="000000"/>
                <w:lang w:eastAsia="en-GB"/>
              </w:rPr>
            </w:pPr>
          </w:p>
        </w:tc>
        <w:tc>
          <w:tcPr>
            <w:tcW w:w="890" w:type="dxa"/>
            <w:tcBorders>
              <w:top w:val="nil"/>
              <w:left w:val="nil"/>
              <w:bottom w:val="single" w:sz="4" w:space="0" w:color="auto"/>
              <w:right w:val="single" w:sz="4" w:space="0" w:color="auto"/>
            </w:tcBorders>
            <w:shd w:val="clear" w:color="000000" w:fill="BFBFBF"/>
            <w:noWrap/>
            <w:vAlign w:val="center"/>
            <w:hideMark/>
          </w:tcPr>
          <w:p w:rsidR="0028189F" w:rsidRPr="0028189F" w:rsidRDefault="0028189F" w:rsidP="0028189F">
            <w:pPr>
              <w:spacing w:after="0" w:line="240" w:lineRule="auto"/>
              <w:jc w:val="center"/>
              <w:rPr>
                <w:rFonts w:ascii="Calibri" w:eastAsia="Times New Roman" w:hAnsi="Calibri" w:cs="Times New Roman"/>
                <w:b/>
                <w:bCs/>
                <w:color w:val="000000"/>
                <w:lang w:eastAsia="en-GB"/>
              </w:rPr>
            </w:pPr>
            <w:r w:rsidRPr="0028189F">
              <w:rPr>
                <w:rFonts w:ascii="Calibri" w:eastAsia="Times New Roman" w:hAnsi="Calibri" w:cs="Times New Roman"/>
                <w:b/>
                <w:bCs/>
                <w:color w:val="000000"/>
                <w:lang w:eastAsia="en-GB"/>
              </w:rPr>
              <w:t>No.</w:t>
            </w:r>
          </w:p>
        </w:tc>
        <w:tc>
          <w:tcPr>
            <w:tcW w:w="1290" w:type="dxa"/>
            <w:tcBorders>
              <w:top w:val="nil"/>
              <w:left w:val="nil"/>
              <w:bottom w:val="single" w:sz="4" w:space="0" w:color="auto"/>
              <w:right w:val="single" w:sz="4" w:space="0" w:color="auto"/>
            </w:tcBorders>
            <w:shd w:val="clear" w:color="000000" w:fill="BFBFBF"/>
            <w:vAlign w:val="center"/>
            <w:hideMark/>
          </w:tcPr>
          <w:p w:rsidR="0028189F" w:rsidRPr="0028189F" w:rsidRDefault="0028189F" w:rsidP="0028189F">
            <w:pPr>
              <w:spacing w:after="0" w:line="240" w:lineRule="auto"/>
              <w:jc w:val="center"/>
              <w:rPr>
                <w:rFonts w:ascii="Calibri" w:eastAsia="Times New Roman" w:hAnsi="Calibri" w:cs="Times New Roman"/>
                <w:b/>
                <w:bCs/>
                <w:color w:val="000000"/>
                <w:lang w:eastAsia="en-GB"/>
              </w:rPr>
            </w:pPr>
            <w:r w:rsidRPr="0028189F">
              <w:rPr>
                <w:rFonts w:ascii="Calibri" w:eastAsia="Times New Roman" w:hAnsi="Calibri" w:cs="Times New Roman"/>
                <w:b/>
                <w:bCs/>
                <w:color w:val="000000"/>
                <w:lang w:eastAsia="en-GB"/>
              </w:rPr>
              <w:t>%</w:t>
            </w:r>
          </w:p>
        </w:tc>
      </w:tr>
      <w:tr w:rsidR="0028189F" w:rsidRPr="0028189F" w:rsidTr="0028189F">
        <w:trPr>
          <w:trHeight w:val="300"/>
          <w:jc w:val="center"/>
        </w:trPr>
        <w:tc>
          <w:tcPr>
            <w:tcW w:w="1588" w:type="dxa"/>
            <w:tcBorders>
              <w:top w:val="nil"/>
              <w:left w:val="single" w:sz="4" w:space="0" w:color="auto"/>
              <w:bottom w:val="single" w:sz="4" w:space="0" w:color="auto"/>
              <w:right w:val="single" w:sz="4" w:space="0" w:color="auto"/>
            </w:tcBorders>
            <w:shd w:val="clear" w:color="auto" w:fill="auto"/>
            <w:noWrap/>
            <w:vAlign w:val="center"/>
            <w:hideMark/>
          </w:tcPr>
          <w:p w:rsidR="0028189F" w:rsidRPr="0028189F" w:rsidRDefault="0028189F" w:rsidP="0028189F">
            <w:pPr>
              <w:spacing w:after="0" w:line="240" w:lineRule="auto"/>
              <w:jc w:val="both"/>
              <w:rPr>
                <w:rFonts w:ascii="Calibri" w:eastAsia="Times New Roman" w:hAnsi="Calibri" w:cs="Times New Roman"/>
                <w:b/>
                <w:bCs/>
                <w:color w:val="000000"/>
                <w:lang w:eastAsia="en-GB"/>
              </w:rPr>
            </w:pPr>
            <w:r w:rsidRPr="0028189F">
              <w:rPr>
                <w:rFonts w:ascii="Calibri" w:eastAsia="Times New Roman" w:hAnsi="Calibri" w:cs="Times New Roman"/>
                <w:b/>
                <w:bCs/>
                <w:color w:val="000000"/>
                <w:lang w:eastAsia="en-GB"/>
              </w:rPr>
              <w:t>65-74</w:t>
            </w:r>
          </w:p>
        </w:tc>
        <w:tc>
          <w:tcPr>
            <w:tcW w:w="960" w:type="dxa"/>
            <w:tcBorders>
              <w:top w:val="nil"/>
              <w:left w:val="nil"/>
              <w:bottom w:val="single" w:sz="4" w:space="0" w:color="auto"/>
              <w:right w:val="single" w:sz="4" w:space="0" w:color="auto"/>
            </w:tcBorders>
            <w:shd w:val="clear" w:color="auto" w:fill="auto"/>
            <w:noWrap/>
            <w:vAlign w:val="center"/>
            <w:hideMark/>
          </w:tcPr>
          <w:p w:rsidR="0028189F" w:rsidRPr="0028189F" w:rsidRDefault="0028189F" w:rsidP="0028189F">
            <w:pPr>
              <w:spacing w:after="0" w:line="240" w:lineRule="auto"/>
              <w:jc w:val="center"/>
              <w:rPr>
                <w:rFonts w:ascii="Calibri" w:eastAsia="Times New Roman" w:hAnsi="Calibri" w:cs="Times New Roman"/>
                <w:color w:val="000000"/>
                <w:lang w:eastAsia="en-GB"/>
              </w:rPr>
            </w:pPr>
            <w:r w:rsidRPr="0028189F">
              <w:rPr>
                <w:rFonts w:ascii="Calibri" w:eastAsia="Times New Roman" w:hAnsi="Calibri" w:cs="Times New Roman"/>
                <w:color w:val="000000"/>
                <w:lang w:eastAsia="en-GB"/>
              </w:rPr>
              <w:t>9,241</w:t>
            </w:r>
          </w:p>
        </w:tc>
        <w:tc>
          <w:tcPr>
            <w:tcW w:w="960" w:type="dxa"/>
            <w:tcBorders>
              <w:top w:val="nil"/>
              <w:left w:val="nil"/>
              <w:bottom w:val="single" w:sz="4" w:space="0" w:color="auto"/>
              <w:right w:val="single" w:sz="4" w:space="0" w:color="auto"/>
            </w:tcBorders>
            <w:shd w:val="clear" w:color="auto" w:fill="auto"/>
            <w:noWrap/>
            <w:vAlign w:val="center"/>
            <w:hideMark/>
          </w:tcPr>
          <w:p w:rsidR="0028189F" w:rsidRPr="0028189F" w:rsidRDefault="0028189F" w:rsidP="0028189F">
            <w:pPr>
              <w:spacing w:after="0" w:line="240" w:lineRule="auto"/>
              <w:jc w:val="center"/>
              <w:rPr>
                <w:rFonts w:ascii="Calibri" w:eastAsia="Times New Roman" w:hAnsi="Calibri" w:cs="Times New Roman"/>
                <w:color w:val="000000"/>
                <w:lang w:eastAsia="en-GB"/>
              </w:rPr>
            </w:pPr>
            <w:r w:rsidRPr="0028189F">
              <w:rPr>
                <w:rFonts w:ascii="Calibri" w:eastAsia="Times New Roman" w:hAnsi="Calibri" w:cs="Times New Roman"/>
                <w:color w:val="000000"/>
                <w:lang w:eastAsia="en-GB"/>
              </w:rPr>
              <w:t>10,138</w:t>
            </w:r>
          </w:p>
        </w:tc>
        <w:tc>
          <w:tcPr>
            <w:tcW w:w="890" w:type="dxa"/>
            <w:tcBorders>
              <w:top w:val="nil"/>
              <w:left w:val="nil"/>
              <w:bottom w:val="single" w:sz="4" w:space="0" w:color="auto"/>
              <w:right w:val="single" w:sz="4" w:space="0" w:color="auto"/>
            </w:tcBorders>
            <w:shd w:val="clear" w:color="auto" w:fill="auto"/>
            <w:noWrap/>
            <w:vAlign w:val="center"/>
            <w:hideMark/>
          </w:tcPr>
          <w:p w:rsidR="0028189F" w:rsidRPr="0028189F" w:rsidRDefault="0028189F" w:rsidP="0028189F">
            <w:pPr>
              <w:spacing w:after="0" w:line="240" w:lineRule="auto"/>
              <w:jc w:val="center"/>
              <w:rPr>
                <w:rFonts w:ascii="Calibri" w:eastAsia="Times New Roman" w:hAnsi="Calibri" w:cs="Times New Roman"/>
                <w:color w:val="000000"/>
                <w:lang w:eastAsia="en-GB"/>
              </w:rPr>
            </w:pPr>
            <w:r w:rsidRPr="0028189F">
              <w:rPr>
                <w:rFonts w:ascii="Calibri" w:eastAsia="Times New Roman" w:hAnsi="Calibri" w:cs="Times New Roman"/>
                <w:color w:val="000000"/>
                <w:lang w:eastAsia="en-GB"/>
              </w:rPr>
              <w:t>897</w:t>
            </w:r>
          </w:p>
        </w:tc>
        <w:tc>
          <w:tcPr>
            <w:tcW w:w="1290" w:type="dxa"/>
            <w:tcBorders>
              <w:top w:val="nil"/>
              <w:left w:val="nil"/>
              <w:bottom w:val="single" w:sz="4" w:space="0" w:color="auto"/>
              <w:right w:val="single" w:sz="4" w:space="0" w:color="auto"/>
            </w:tcBorders>
            <w:shd w:val="clear" w:color="auto" w:fill="auto"/>
            <w:vAlign w:val="center"/>
            <w:hideMark/>
          </w:tcPr>
          <w:p w:rsidR="0028189F" w:rsidRPr="0028189F" w:rsidRDefault="0028189F" w:rsidP="0028189F">
            <w:pPr>
              <w:spacing w:after="0" w:line="240" w:lineRule="auto"/>
              <w:jc w:val="center"/>
              <w:rPr>
                <w:rFonts w:ascii="Calibri" w:eastAsia="Times New Roman" w:hAnsi="Calibri" w:cs="Times New Roman"/>
                <w:color w:val="000000"/>
                <w:lang w:eastAsia="en-GB"/>
              </w:rPr>
            </w:pPr>
            <w:r w:rsidRPr="0028189F">
              <w:rPr>
                <w:rFonts w:ascii="Calibri" w:eastAsia="Times New Roman" w:hAnsi="Calibri" w:cs="Times New Roman"/>
                <w:color w:val="000000"/>
                <w:lang w:eastAsia="en-GB"/>
              </w:rPr>
              <w:t>9.7%</w:t>
            </w:r>
          </w:p>
        </w:tc>
      </w:tr>
      <w:tr w:rsidR="0028189F" w:rsidRPr="0028189F" w:rsidTr="0028189F">
        <w:trPr>
          <w:trHeight w:val="300"/>
          <w:jc w:val="center"/>
        </w:trPr>
        <w:tc>
          <w:tcPr>
            <w:tcW w:w="1588" w:type="dxa"/>
            <w:tcBorders>
              <w:top w:val="nil"/>
              <w:left w:val="single" w:sz="4" w:space="0" w:color="auto"/>
              <w:bottom w:val="single" w:sz="4" w:space="0" w:color="auto"/>
              <w:right w:val="single" w:sz="4" w:space="0" w:color="auto"/>
            </w:tcBorders>
            <w:shd w:val="clear" w:color="auto" w:fill="auto"/>
            <w:noWrap/>
            <w:vAlign w:val="center"/>
            <w:hideMark/>
          </w:tcPr>
          <w:p w:rsidR="0028189F" w:rsidRPr="0028189F" w:rsidRDefault="0028189F" w:rsidP="0028189F">
            <w:pPr>
              <w:spacing w:after="0" w:line="240" w:lineRule="auto"/>
              <w:jc w:val="both"/>
              <w:rPr>
                <w:rFonts w:ascii="Calibri" w:eastAsia="Times New Roman" w:hAnsi="Calibri" w:cs="Times New Roman"/>
                <w:b/>
                <w:bCs/>
                <w:color w:val="000000"/>
                <w:lang w:eastAsia="en-GB"/>
              </w:rPr>
            </w:pPr>
            <w:r w:rsidRPr="0028189F">
              <w:rPr>
                <w:rFonts w:ascii="Calibri" w:eastAsia="Times New Roman" w:hAnsi="Calibri" w:cs="Times New Roman"/>
                <w:b/>
                <w:bCs/>
                <w:color w:val="000000"/>
                <w:lang w:eastAsia="en-GB"/>
              </w:rPr>
              <w:t>75-84</w:t>
            </w:r>
          </w:p>
        </w:tc>
        <w:tc>
          <w:tcPr>
            <w:tcW w:w="960" w:type="dxa"/>
            <w:tcBorders>
              <w:top w:val="nil"/>
              <w:left w:val="nil"/>
              <w:bottom w:val="single" w:sz="4" w:space="0" w:color="auto"/>
              <w:right w:val="single" w:sz="4" w:space="0" w:color="auto"/>
            </w:tcBorders>
            <w:shd w:val="clear" w:color="auto" w:fill="auto"/>
            <w:noWrap/>
            <w:vAlign w:val="center"/>
            <w:hideMark/>
          </w:tcPr>
          <w:p w:rsidR="0028189F" w:rsidRPr="0028189F" w:rsidRDefault="0028189F" w:rsidP="0028189F">
            <w:pPr>
              <w:spacing w:after="0" w:line="240" w:lineRule="auto"/>
              <w:jc w:val="center"/>
              <w:rPr>
                <w:rFonts w:ascii="Calibri" w:eastAsia="Times New Roman" w:hAnsi="Calibri" w:cs="Times New Roman"/>
                <w:color w:val="000000"/>
                <w:lang w:eastAsia="en-GB"/>
              </w:rPr>
            </w:pPr>
            <w:r w:rsidRPr="0028189F">
              <w:rPr>
                <w:rFonts w:ascii="Calibri" w:eastAsia="Times New Roman" w:hAnsi="Calibri" w:cs="Times New Roman"/>
                <w:color w:val="000000"/>
                <w:lang w:eastAsia="en-GB"/>
              </w:rPr>
              <w:t>9,208</w:t>
            </w:r>
          </w:p>
        </w:tc>
        <w:tc>
          <w:tcPr>
            <w:tcW w:w="960" w:type="dxa"/>
            <w:tcBorders>
              <w:top w:val="nil"/>
              <w:left w:val="nil"/>
              <w:bottom w:val="single" w:sz="4" w:space="0" w:color="auto"/>
              <w:right w:val="single" w:sz="4" w:space="0" w:color="auto"/>
            </w:tcBorders>
            <w:shd w:val="clear" w:color="auto" w:fill="auto"/>
            <w:noWrap/>
            <w:vAlign w:val="center"/>
            <w:hideMark/>
          </w:tcPr>
          <w:p w:rsidR="0028189F" w:rsidRPr="0028189F" w:rsidRDefault="0028189F" w:rsidP="0028189F">
            <w:pPr>
              <w:spacing w:after="0" w:line="240" w:lineRule="auto"/>
              <w:jc w:val="center"/>
              <w:rPr>
                <w:rFonts w:ascii="Calibri" w:eastAsia="Times New Roman" w:hAnsi="Calibri" w:cs="Times New Roman"/>
                <w:color w:val="000000"/>
                <w:lang w:eastAsia="en-GB"/>
              </w:rPr>
            </w:pPr>
            <w:r w:rsidRPr="0028189F">
              <w:rPr>
                <w:rFonts w:ascii="Calibri" w:eastAsia="Times New Roman" w:hAnsi="Calibri" w:cs="Times New Roman"/>
                <w:color w:val="000000"/>
                <w:lang w:eastAsia="en-GB"/>
              </w:rPr>
              <w:t>10,346</w:t>
            </w:r>
          </w:p>
        </w:tc>
        <w:tc>
          <w:tcPr>
            <w:tcW w:w="890" w:type="dxa"/>
            <w:tcBorders>
              <w:top w:val="nil"/>
              <w:left w:val="nil"/>
              <w:bottom w:val="single" w:sz="4" w:space="0" w:color="auto"/>
              <w:right w:val="single" w:sz="4" w:space="0" w:color="auto"/>
            </w:tcBorders>
            <w:shd w:val="clear" w:color="auto" w:fill="auto"/>
            <w:noWrap/>
            <w:vAlign w:val="center"/>
            <w:hideMark/>
          </w:tcPr>
          <w:p w:rsidR="0028189F" w:rsidRPr="0028189F" w:rsidRDefault="0028189F" w:rsidP="0028189F">
            <w:pPr>
              <w:spacing w:after="0" w:line="240" w:lineRule="auto"/>
              <w:jc w:val="center"/>
              <w:rPr>
                <w:rFonts w:ascii="Calibri" w:eastAsia="Times New Roman" w:hAnsi="Calibri" w:cs="Times New Roman"/>
                <w:color w:val="000000"/>
                <w:lang w:eastAsia="en-GB"/>
              </w:rPr>
            </w:pPr>
            <w:r w:rsidRPr="0028189F">
              <w:rPr>
                <w:rFonts w:ascii="Calibri" w:eastAsia="Times New Roman" w:hAnsi="Calibri" w:cs="Times New Roman"/>
                <w:color w:val="000000"/>
                <w:lang w:eastAsia="en-GB"/>
              </w:rPr>
              <w:t>1,138</w:t>
            </w:r>
          </w:p>
        </w:tc>
        <w:tc>
          <w:tcPr>
            <w:tcW w:w="1290" w:type="dxa"/>
            <w:tcBorders>
              <w:top w:val="nil"/>
              <w:left w:val="nil"/>
              <w:bottom w:val="single" w:sz="4" w:space="0" w:color="auto"/>
              <w:right w:val="single" w:sz="4" w:space="0" w:color="auto"/>
            </w:tcBorders>
            <w:shd w:val="clear" w:color="auto" w:fill="auto"/>
            <w:vAlign w:val="center"/>
            <w:hideMark/>
          </w:tcPr>
          <w:p w:rsidR="0028189F" w:rsidRPr="0028189F" w:rsidRDefault="0028189F" w:rsidP="0028189F">
            <w:pPr>
              <w:spacing w:after="0" w:line="240" w:lineRule="auto"/>
              <w:jc w:val="center"/>
              <w:rPr>
                <w:rFonts w:ascii="Calibri" w:eastAsia="Times New Roman" w:hAnsi="Calibri" w:cs="Times New Roman"/>
                <w:color w:val="000000"/>
                <w:lang w:eastAsia="en-GB"/>
              </w:rPr>
            </w:pPr>
            <w:r w:rsidRPr="0028189F">
              <w:rPr>
                <w:rFonts w:ascii="Calibri" w:eastAsia="Times New Roman" w:hAnsi="Calibri" w:cs="Times New Roman"/>
                <w:color w:val="000000"/>
                <w:lang w:eastAsia="en-GB"/>
              </w:rPr>
              <w:t>12.4%</w:t>
            </w:r>
          </w:p>
        </w:tc>
      </w:tr>
      <w:tr w:rsidR="0028189F" w:rsidRPr="0028189F" w:rsidTr="0028189F">
        <w:trPr>
          <w:trHeight w:val="300"/>
          <w:jc w:val="center"/>
        </w:trPr>
        <w:tc>
          <w:tcPr>
            <w:tcW w:w="1588" w:type="dxa"/>
            <w:tcBorders>
              <w:top w:val="nil"/>
              <w:left w:val="single" w:sz="4" w:space="0" w:color="auto"/>
              <w:bottom w:val="single" w:sz="4" w:space="0" w:color="auto"/>
              <w:right w:val="single" w:sz="4" w:space="0" w:color="auto"/>
            </w:tcBorders>
            <w:shd w:val="clear" w:color="auto" w:fill="auto"/>
            <w:noWrap/>
            <w:vAlign w:val="center"/>
            <w:hideMark/>
          </w:tcPr>
          <w:p w:rsidR="0028189F" w:rsidRPr="0028189F" w:rsidRDefault="0028189F" w:rsidP="0028189F">
            <w:pPr>
              <w:spacing w:after="0" w:line="240" w:lineRule="auto"/>
              <w:jc w:val="both"/>
              <w:rPr>
                <w:rFonts w:ascii="Calibri" w:eastAsia="Times New Roman" w:hAnsi="Calibri" w:cs="Times New Roman"/>
                <w:b/>
                <w:bCs/>
                <w:color w:val="000000"/>
                <w:lang w:eastAsia="en-GB"/>
              </w:rPr>
            </w:pPr>
            <w:r w:rsidRPr="0028189F">
              <w:rPr>
                <w:rFonts w:ascii="Calibri" w:eastAsia="Times New Roman" w:hAnsi="Calibri" w:cs="Times New Roman"/>
                <w:b/>
                <w:bCs/>
                <w:color w:val="000000"/>
                <w:lang w:eastAsia="en-GB"/>
              </w:rPr>
              <w:t>85+</w:t>
            </w:r>
          </w:p>
        </w:tc>
        <w:tc>
          <w:tcPr>
            <w:tcW w:w="960" w:type="dxa"/>
            <w:tcBorders>
              <w:top w:val="nil"/>
              <w:left w:val="nil"/>
              <w:bottom w:val="single" w:sz="4" w:space="0" w:color="auto"/>
              <w:right w:val="single" w:sz="4" w:space="0" w:color="auto"/>
            </w:tcBorders>
            <w:shd w:val="clear" w:color="auto" w:fill="auto"/>
            <w:noWrap/>
            <w:vAlign w:val="center"/>
            <w:hideMark/>
          </w:tcPr>
          <w:p w:rsidR="0028189F" w:rsidRPr="0028189F" w:rsidRDefault="0028189F" w:rsidP="0028189F">
            <w:pPr>
              <w:spacing w:after="0" w:line="240" w:lineRule="auto"/>
              <w:jc w:val="center"/>
              <w:rPr>
                <w:rFonts w:ascii="Calibri" w:eastAsia="Times New Roman" w:hAnsi="Calibri" w:cs="Times New Roman"/>
                <w:color w:val="000000"/>
                <w:lang w:eastAsia="en-GB"/>
              </w:rPr>
            </w:pPr>
            <w:r w:rsidRPr="0028189F">
              <w:rPr>
                <w:rFonts w:ascii="Calibri" w:eastAsia="Times New Roman" w:hAnsi="Calibri" w:cs="Times New Roman"/>
                <w:color w:val="000000"/>
                <w:lang w:eastAsia="en-GB"/>
              </w:rPr>
              <w:t>5,713</w:t>
            </w:r>
          </w:p>
        </w:tc>
        <w:tc>
          <w:tcPr>
            <w:tcW w:w="960" w:type="dxa"/>
            <w:tcBorders>
              <w:top w:val="nil"/>
              <w:left w:val="nil"/>
              <w:bottom w:val="single" w:sz="4" w:space="0" w:color="auto"/>
              <w:right w:val="single" w:sz="4" w:space="0" w:color="auto"/>
            </w:tcBorders>
            <w:shd w:val="clear" w:color="auto" w:fill="auto"/>
            <w:noWrap/>
            <w:vAlign w:val="center"/>
            <w:hideMark/>
          </w:tcPr>
          <w:p w:rsidR="0028189F" w:rsidRPr="0028189F" w:rsidRDefault="0028189F" w:rsidP="0028189F">
            <w:pPr>
              <w:spacing w:after="0" w:line="240" w:lineRule="auto"/>
              <w:jc w:val="center"/>
              <w:rPr>
                <w:rFonts w:ascii="Calibri" w:eastAsia="Times New Roman" w:hAnsi="Calibri" w:cs="Times New Roman"/>
                <w:color w:val="000000"/>
                <w:lang w:eastAsia="en-GB"/>
              </w:rPr>
            </w:pPr>
            <w:r w:rsidRPr="0028189F">
              <w:rPr>
                <w:rFonts w:ascii="Calibri" w:eastAsia="Times New Roman" w:hAnsi="Calibri" w:cs="Times New Roman"/>
                <w:color w:val="000000"/>
                <w:lang w:eastAsia="en-GB"/>
              </w:rPr>
              <w:t>6,776</w:t>
            </w:r>
          </w:p>
        </w:tc>
        <w:tc>
          <w:tcPr>
            <w:tcW w:w="890" w:type="dxa"/>
            <w:tcBorders>
              <w:top w:val="nil"/>
              <w:left w:val="nil"/>
              <w:bottom w:val="single" w:sz="4" w:space="0" w:color="auto"/>
              <w:right w:val="single" w:sz="4" w:space="0" w:color="auto"/>
            </w:tcBorders>
            <w:shd w:val="clear" w:color="auto" w:fill="auto"/>
            <w:noWrap/>
            <w:vAlign w:val="center"/>
            <w:hideMark/>
          </w:tcPr>
          <w:p w:rsidR="0028189F" w:rsidRPr="0028189F" w:rsidRDefault="0028189F" w:rsidP="0028189F">
            <w:pPr>
              <w:spacing w:after="0" w:line="240" w:lineRule="auto"/>
              <w:jc w:val="center"/>
              <w:rPr>
                <w:rFonts w:ascii="Calibri" w:eastAsia="Times New Roman" w:hAnsi="Calibri" w:cs="Times New Roman"/>
                <w:color w:val="000000"/>
                <w:lang w:eastAsia="en-GB"/>
              </w:rPr>
            </w:pPr>
            <w:r w:rsidRPr="0028189F">
              <w:rPr>
                <w:rFonts w:ascii="Calibri" w:eastAsia="Times New Roman" w:hAnsi="Calibri" w:cs="Times New Roman"/>
                <w:color w:val="000000"/>
                <w:lang w:eastAsia="en-GB"/>
              </w:rPr>
              <w:t>1,063</w:t>
            </w:r>
          </w:p>
        </w:tc>
        <w:tc>
          <w:tcPr>
            <w:tcW w:w="1290" w:type="dxa"/>
            <w:tcBorders>
              <w:top w:val="nil"/>
              <w:left w:val="nil"/>
              <w:bottom w:val="single" w:sz="4" w:space="0" w:color="auto"/>
              <w:right w:val="single" w:sz="4" w:space="0" w:color="auto"/>
            </w:tcBorders>
            <w:shd w:val="clear" w:color="auto" w:fill="auto"/>
            <w:vAlign w:val="center"/>
            <w:hideMark/>
          </w:tcPr>
          <w:p w:rsidR="0028189F" w:rsidRPr="0028189F" w:rsidRDefault="0028189F" w:rsidP="0028189F">
            <w:pPr>
              <w:spacing w:after="0" w:line="240" w:lineRule="auto"/>
              <w:jc w:val="center"/>
              <w:rPr>
                <w:rFonts w:ascii="Calibri" w:eastAsia="Times New Roman" w:hAnsi="Calibri" w:cs="Times New Roman"/>
                <w:color w:val="000000"/>
                <w:lang w:eastAsia="en-GB"/>
              </w:rPr>
            </w:pPr>
            <w:r w:rsidRPr="0028189F">
              <w:rPr>
                <w:rFonts w:ascii="Calibri" w:eastAsia="Times New Roman" w:hAnsi="Calibri" w:cs="Times New Roman"/>
                <w:color w:val="000000"/>
                <w:lang w:eastAsia="en-GB"/>
              </w:rPr>
              <w:t>18.6%</w:t>
            </w:r>
          </w:p>
        </w:tc>
      </w:tr>
      <w:tr w:rsidR="0028189F" w:rsidRPr="0028189F" w:rsidTr="0028189F">
        <w:trPr>
          <w:trHeight w:val="300"/>
          <w:jc w:val="center"/>
        </w:trPr>
        <w:tc>
          <w:tcPr>
            <w:tcW w:w="1588" w:type="dxa"/>
            <w:tcBorders>
              <w:top w:val="nil"/>
              <w:left w:val="single" w:sz="4" w:space="0" w:color="auto"/>
              <w:bottom w:val="single" w:sz="4" w:space="0" w:color="auto"/>
              <w:right w:val="single" w:sz="4" w:space="0" w:color="auto"/>
            </w:tcBorders>
            <w:shd w:val="clear" w:color="auto" w:fill="auto"/>
            <w:noWrap/>
            <w:vAlign w:val="center"/>
            <w:hideMark/>
          </w:tcPr>
          <w:p w:rsidR="0028189F" w:rsidRPr="0028189F" w:rsidRDefault="0028189F" w:rsidP="0028189F">
            <w:pPr>
              <w:spacing w:after="0" w:line="240" w:lineRule="auto"/>
              <w:jc w:val="both"/>
              <w:rPr>
                <w:rFonts w:ascii="Calibri" w:eastAsia="Times New Roman" w:hAnsi="Calibri" w:cs="Times New Roman"/>
                <w:b/>
                <w:bCs/>
                <w:color w:val="000000"/>
                <w:lang w:eastAsia="en-GB"/>
              </w:rPr>
            </w:pPr>
            <w:r w:rsidRPr="0028189F">
              <w:rPr>
                <w:rFonts w:ascii="Calibri" w:eastAsia="Times New Roman" w:hAnsi="Calibri" w:cs="Times New Roman"/>
                <w:b/>
                <w:bCs/>
                <w:color w:val="000000"/>
                <w:lang w:eastAsia="en-GB"/>
              </w:rPr>
              <w:t>All 65+</w:t>
            </w:r>
          </w:p>
        </w:tc>
        <w:tc>
          <w:tcPr>
            <w:tcW w:w="960" w:type="dxa"/>
            <w:tcBorders>
              <w:top w:val="nil"/>
              <w:left w:val="nil"/>
              <w:bottom w:val="single" w:sz="4" w:space="0" w:color="auto"/>
              <w:right w:val="single" w:sz="4" w:space="0" w:color="auto"/>
            </w:tcBorders>
            <w:shd w:val="clear" w:color="auto" w:fill="auto"/>
            <w:noWrap/>
            <w:vAlign w:val="center"/>
            <w:hideMark/>
          </w:tcPr>
          <w:p w:rsidR="0028189F" w:rsidRPr="0028189F" w:rsidRDefault="0028189F" w:rsidP="0028189F">
            <w:pPr>
              <w:spacing w:after="0" w:line="240" w:lineRule="auto"/>
              <w:jc w:val="center"/>
              <w:rPr>
                <w:rFonts w:ascii="Calibri" w:eastAsia="Times New Roman" w:hAnsi="Calibri" w:cs="Times New Roman"/>
                <w:color w:val="000000"/>
                <w:lang w:eastAsia="en-GB"/>
              </w:rPr>
            </w:pPr>
            <w:r w:rsidRPr="0028189F">
              <w:rPr>
                <w:rFonts w:ascii="Calibri" w:eastAsia="Times New Roman" w:hAnsi="Calibri" w:cs="Times New Roman"/>
                <w:color w:val="000000"/>
                <w:lang w:eastAsia="en-GB"/>
              </w:rPr>
              <w:t>24,162</w:t>
            </w:r>
          </w:p>
        </w:tc>
        <w:tc>
          <w:tcPr>
            <w:tcW w:w="960" w:type="dxa"/>
            <w:tcBorders>
              <w:top w:val="nil"/>
              <w:left w:val="nil"/>
              <w:bottom w:val="single" w:sz="4" w:space="0" w:color="auto"/>
              <w:right w:val="single" w:sz="4" w:space="0" w:color="auto"/>
            </w:tcBorders>
            <w:shd w:val="clear" w:color="auto" w:fill="auto"/>
            <w:noWrap/>
            <w:vAlign w:val="center"/>
            <w:hideMark/>
          </w:tcPr>
          <w:p w:rsidR="0028189F" w:rsidRPr="0028189F" w:rsidRDefault="0028189F" w:rsidP="0028189F">
            <w:pPr>
              <w:spacing w:after="0" w:line="240" w:lineRule="auto"/>
              <w:jc w:val="center"/>
              <w:rPr>
                <w:rFonts w:ascii="Calibri" w:eastAsia="Times New Roman" w:hAnsi="Calibri" w:cs="Times New Roman"/>
                <w:color w:val="000000"/>
                <w:lang w:eastAsia="en-GB"/>
              </w:rPr>
            </w:pPr>
            <w:r w:rsidRPr="0028189F">
              <w:rPr>
                <w:rFonts w:ascii="Calibri" w:eastAsia="Times New Roman" w:hAnsi="Calibri" w:cs="Times New Roman"/>
                <w:color w:val="000000"/>
                <w:lang w:eastAsia="en-GB"/>
              </w:rPr>
              <w:t>27,260</w:t>
            </w:r>
          </w:p>
        </w:tc>
        <w:tc>
          <w:tcPr>
            <w:tcW w:w="890" w:type="dxa"/>
            <w:tcBorders>
              <w:top w:val="nil"/>
              <w:left w:val="nil"/>
              <w:bottom w:val="single" w:sz="4" w:space="0" w:color="auto"/>
              <w:right w:val="single" w:sz="4" w:space="0" w:color="auto"/>
            </w:tcBorders>
            <w:shd w:val="clear" w:color="auto" w:fill="auto"/>
            <w:noWrap/>
            <w:vAlign w:val="center"/>
            <w:hideMark/>
          </w:tcPr>
          <w:p w:rsidR="0028189F" w:rsidRPr="0028189F" w:rsidRDefault="0028189F" w:rsidP="0028189F">
            <w:pPr>
              <w:spacing w:after="0" w:line="240" w:lineRule="auto"/>
              <w:jc w:val="center"/>
              <w:rPr>
                <w:rFonts w:ascii="Calibri" w:eastAsia="Times New Roman" w:hAnsi="Calibri" w:cs="Times New Roman"/>
                <w:color w:val="000000"/>
                <w:lang w:eastAsia="en-GB"/>
              </w:rPr>
            </w:pPr>
            <w:r w:rsidRPr="0028189F">
              <w:rPr>
                <w:rFonts w:ascii="Calibri" w:eastAsia="Times New Roman" w:hAnsi="Calibri" w:cs="Times New Roman"/>
                <w:color w:val="000000"/>
                <w:lang w:eastAsia="en-GB"/>
              </w:rPr>
              <w:t>3,098</w:t>
            </w:r>
          </w:p>
        </w:tc>
        <w:tc>
          <w:tcPr>
            <w:tcW w:w="1290" w:type="dxa"/>
            <w:tcBorders>
              <w:top w:val="nil"/>
              <w:left w:val="nil"/>
              <w:bottom w:val="single" w:sz="4" w:space="0" w:color="auto"/>
              <w:right w:val="single" w:sz="4" w:space="0" w:color="auto"/>
            </w:tcBorders>
            <w:shd w:val="clear" w:color="auto" w:fill="auto"/>
            <w:vAlign w:val="center"/>
            <w:hideMark/>
          </w:tcPr>
          <w:p w:rsidR="0028189F" w:rsidRPr="0028189F" w:rsidRDefault="0028189F" w:rsidP="0028189F">
            <w:pPr>
              <w:spacing w:after="0" w:line="240" w:lineRule="auto"/>
              <w:jc w:val="center"/>
              <w:rPr>
                <w:rFonts w:ascii="Calibri" w:eastAsia="Times New Roman" w:hAnsi="Calibri" w:cs="Times New Roman"/>
                <w:color w:val="000000"/>
                <w:lang w:eastAsia="en-GB"/>
              </w:rPr>
            </w:pPr>
            <w:r w:rsidRPr="0028189F">
              <w:rPr>
                <w:rFonts w:ascii="Calibri" w:eastAsia="Times New Roman" w:hAnsi="Calibri" w:cs="Times New Roman"/>
                <w:color w:val="000000"/>
                <w:lang w:eastAsia="en-GB"/>
              </w:rPr>
              <w:t>12.8%</w:t>
            </w:r>
          </w:p>
        </w:tc>
      </w:tr>
    </w:tbl>
    <w:p w:rsidR="007547D4" w:rsidRPr="006F2BD9" w:rsidRDefault="007547D4" w:rsidP="007547D4">
      <w:pPr>
        <w:spacing w:after="0" w:line="240" w:lineRule="auto"/>
        <w:jc w:val="both"/>
      </w:pPr>
      <w:r w:rsidRPr="006F2BD9">
        <w:t>Source:</w:t>
      </w:r>
      <w:r w:rsidRPr="006F2BD9">
        <w:rPr>
          <w:rFonts w:cs="Arial"/>
          <w:b/>
          <w:bCs/>
          <w:szCs w:val="20"/>
        </w:rPr>
        <w:t xml:space="preserve"> </w:t>
      </w:r>
      <w:r w:rsidR="0028189F">
        <w:rPr>
          <w:rFonts w:cs="Arial"/>
          <w:bCs/>
          <w:szCs w:val="20"/>
        </w:rPr>
        <w:t>Projecting Older People Population Information System (POPPI) 2015</w:t>
      </w:r>
    </w:p>
    <w:p w:rsidR="007547D4" w:rsidRPr="006F2BD9" w:rsidRDefault="007547D4" w:rsidP="007547D4">
      <w:pPr>
        <w:pStyle w:val="Heading3"/>
        <w:numPr>
          <w:ilvl w:val="2"/>
          <w:numId w:val="138"/>
        </w:numPr>
      </w:pPr>
      <w:r w:rsidRPr="006F2BD9">
        <w:t>Existing Housing Stock</w:t>
      </w:r>
    </w:p>
    <w:p w:rsidR="007547D4" w:rsidRPr="006F2BD9" w:rsidRDefault="007547D4" w:rsidP="007547D4">
      <w:pPr>
        <w:jc w:val="both"/>
        <w:rPr>
          <w:rFonts w:cs="Arial"/>
        </w:rPr>
      </w:pPr>
      <w:r w:rsidRPr="006F2BD9">
        <w:rPr>
          <w:rFonts w:cs="Arial"/>
        </w:rPr>
        <w:t>Barnet Homes was created to deliver improvements to the condition of the Council’s housing stock through the government’s Decent Homes programme and to improve services to tenants and leaseholders.</w:t>
      </w:r>
      <w:r w:rsidRPr="006F2BD9">
        <w:t xml:space="preserve"> </w:t>
      </w:r>
      <w:r w:rsidRPr="006F2BD9">
        <w:rPr>
          <w:rFonts w:cs="Arial"/>
        </w:rPr>
        <w:t>Barnet Homes was successful in delivering the Decent Homes programme</w:t>
      </w:r>
      <w:r>
        <w:rPr>
          <w:rFonts w:cs="Arial"/>
        </w:rPr>
        <w:t>,</w:t>
      </w:r>
      <w:r w:rsidRPr="006F2BD9">
        <w:rPr>
          <w:rFonts w:cs="Arial"/>
        </w:rPr>
        <w:t xml:space="preserve"> in 2011</w:t>
      </w:r>
      <w:r>
        <w:rPr>
          <w:rFonts w:cs="Arial"/>
        </w:rPr>
        <w:t>,</w:t>
      </w:r>
      <w:r w:rsidRPr="006F2BD9">
        <w:rPr>
          <w:rFonts w:cs="Arial"/>
        </w:rPr>
        <w:t xml:space="preserve"> on homes that were not due for demolition as part of a regeneration scheme.</w:t>
      </w:r>
    </w:p>
    <w:p w:rsidR="007547D4" w:rsidRDefault="007547D4" w:rsidP="007547D4">
      <w:pPr>
        <w:jc w:val="both"/>
      </w:pPr>
      <w:r w:rsidRPr="006F2BD9">
        <w:t xml:space="preserve">Estimations of non-decent homes in the private sector (owner occupied and rented) are shown in the map below. They are present across the </w:t>
      </w:r>
      <w:r>
        <w:t>Borough</w:t>
      </w:r>
      <w:r w:rsidRPr="006F2BD9">
        <w:t>.</w:t>
      </w:r>
    </w:p>
    <w:p w:rsidR="005E38B7" w:rsidRDefault="005E38B7" w:rsidP="007547D4">
      <w:pPr>
        <w:jc w:val="both"/>
      </w:pPr>
    </w:p>
    <w:p w:rsidR="007547D4" w:rsidRPr="006F2BD9" w:rsidRDefault="007547D4" w:rsidP="007547D4">
      <w:pPr>
        <w:pStyle w:val="Caption"/>
        <w:rPr>
          <w:rFonts w:cs="Calibri"/>
          <w:b w:val="0"/>
          <w:i/>
        </w:rPr>
      </w:pPr>
      <w:r>
        <w:lastRenderedPageBreak/>
        <w:t xml:space="preserve">Figure </w:t>
      </w:r>
      <w:fldSimple w:instr=" STYLEREF 1 \s ">
        <w:r w:rsidR="001663C2">
          <w:rPr>
            <w:noProof/>
          </w:rPr>
          <w:t>3</w:t>
        </w:r>
      </w:fldSimple>
      <w:r w:rsidR="00943DC2">
        <w:noBreakHyphen/>
      </w:r>
      <w:fldSimple w:instr=" SEQ Figure \* ARABIC \s 1 ">
        <w:r w:rsidR="001663C2">
          <w:rPr>
            <w:noProof/>
          </w:rPr>
          <w:t>9</w:t>
        </w:r>
      </w:fldSimple>
      <w:r w:rsidRPr="00897DBB">
        <w:t>: Non-decent homes in the private sector within Barnet, 2009</w:t>
      </w:r>
    </w:p>
    <w:p w:rsidR="007547D4" w:rsidRPr="006F2BD9" w:rsidRDefault="007547D4" w:rsidP="007547D4">
      <w:pPr>
        <w:spacing w:after="0" w:line="240" w:lineRule="auto"/>
        <w:ind w:firstLine="142"/>
        <w:jc w:val="center"/>
        <w:rPr>
          <w:sz w:val="24"/>
          <w:szCs w:val="24"/>
          <w:highlight w:val="lightGray"/>
        </w:rPr>
      </w:pPr>
      <w:r w:rsidRPr="006F2BD9">
        <w:rPr>
          <w:noProof/>
          <w:lang w:eastAsia="en-GB"/>
        </w:rPr>
        <w:drawing>
          <wp:inline distT="0" distB="0" distL="0" distR="0" wp14:anchorId="65F84E83" wp14:editId="01E8DB8C">
            <wp:extent cx="5114893" cy="3094074"/>
            <wp:effectExtent l="0" t="0" r="0" b="0"/>
            <wp:docPr id="48134" name="Picture 4" descr="Barnet non de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4" name="Picture 4" descr="Barnet non decent"/>
                    <pic:cNvPicPr>
                      <a:picLocks noChangeAspect="1" noChangeArrowheads="1"/>
                    </pic:cNvPicPr>
                  </pic:nvPicPr>
                  <pic:blipFill rotWithShape="1">
                    <a:blip r:embed="rId45">
                      <a:extLst>
                        <a:ext uri="{28A0092B-C50C-407E-A947-70E740481C1C}">
                          <a14:useLocalDpi xmlns:a14="http://schemas.microsoft.com/office/drawing/2010/main" val="0"/>
                        </a:ext>
                      </a:extLst>
                    </a:blip>
                    <a:srcRect l="1372" t="907" r="1214" b="909"/>
                    <a:stretch/>
                  </pic:blipFill>
                  <pic:spPr bwMode="auto">
                    <a:xfrm>
                      <a:off x="0" y="0"/>
                      <a:ext cx="5115554" cy="3094474"/>
                    </a:xfrm>
                    <a:prstGeom prst="rect">
                      <a:avLst/>
                    </a:prstGeom>
                    <a:noFill/>
                    <a:ln>
                      <a:noFill/>
                    </a:ln>
                    <a:extLst>
                      <a:ext uri="{53640926-AAD7-44D8-BBD7-CCE9431645EC}">
                        <a14:shadowObscured xmlns:a14="http://schemas.microsoft.com/office/drawing/2010/main"/>
                      </a:ext>
                    </a:extLst>
                  </pic:spPr>
                </pic:pic>
              </a:graphicData>
            </a:graphic>
          </wp:inline>
        </w:drawing>
      </w:r>
    </w:p>
    <w:p w:rsidR="007547D4" w:rsidRPr="006F2BD9" w:rsidRDefault="007547D4" w:rsidP="007547D4">
      <w:pPr>
        <w:spacing w:after="0" w:line="240" w:lineRule="auto"/>
        <w:jc w:val="both"/>
      </w:pPr>
      <w:r w:rsidRPr="006F2BD9">
        <w:t>Source:</w:t>
      </w:r>
      <w:r w:rsidRPr="006F2BD9">
        <w:rPr>
          <w:rFonts w:cs="Arial"/>
          <w:b/>
          <w:bCs/>
          <w:szCs w:val="20"/>
        </w:rPr>
        <w:t xml:space="preserve"> </w:t>
      </w:r>
      <w:r w:rsidRPr="006F2BD9">
        <w:rPr>
          <w:rFonts w:cs="Arial"/>
          <w:bCs/>
          <w:szCs w:val="20"/>
        </w:rPr>
        <w:t>BRE Stock Projections Update 2009</w:t>
      </w:r>
    </w:p>
    <w:p w:rsidR="007547D4" w:rsidRDefault="007547D4" w:rsidP="007547D4">
      <w:pPr>
        <w:spacing w:after="0" w:line="240" w:lineRule="auto"/>
        <w:jc w:val="both"/>
      </w:pPr>
    </w:p>
    <w:p w:rsidR="007547D4" w:rsidRPr="006F2BD9" w:rsidRDefault="007547D4" w:rsidP="007547D4">
      <w:pPr>
        <w:spacing w:after="0" w:line="240" w:lineRule="auto"/>
        <w:jc w:val="both"/>
      </w:pPr>
      <w:r w:rsidRPr="006F2BD9">
        <w:t xml:space="preserve">The same data shows that there are relatively few areas of the </w:t>
      </w:r>
      <w:r>
        <w:t>Borough</w:t>
      </w:r>
      <w:r w:rsidRPr="006F2BD9">
        <w:t xml:space="preserve"> with high levels of private sector homes with inadequate thermal comfort.</w:t>
      </w:r>
    </w:p>
    <w:p w:rsidR="007547D4" w:rsidRDefault="007547D4" w:rsidP="007547D4">
      <w:pPr>
        <w:spacing w:after="0" w:line="240" w:lineRule="auto"/>
        <w:jc w:val="both"/>
        <w:rPr>
          <w:rFonts w:cs="Calibri"/>
          <w:b/>
          <w:i/>
        </w:rPr>
      </w:pPr>
    </w:p>
    <w:p w:rsidR="007547D4" w:rsidRPr="006F2BD9" w:rsidRDefault="007547D4" w:rsidP="007547D4">
      <w:pPr>
        <w:pStyle w:val="Caption"/>
        <w:rPr>
          <w:rFonts w:cs="Calibri"/>
          <w:b w:val="0"/>
          <w:i/>
        </w:rPr>
      </w:pPr>
      <w:r>
        <w:t xml:space="preserve">Figure </w:t>
      </w:r>
      <w:fldSimple w:instr=" STYLEREF 1 \s ">
        <w:r w:rsidR="001663C2">
          <w:rPr>
            <w:noProof/>
          </w:rPr>
          <w:t>3</w:t>
        </w:r>
      </w:fldSimple>
      <w:r w:rsidR="00943DC2">
        <w:noBreakHyphen/>
      </w:r>
      <w:fldSimple w:instr=" SEQ Figure \* ARABIC \s 1 ">
        <w:r w:rsidR="001663C2">
          <w:rPr>
            <w:noProof/>
          </w:rPr>
          <w:t>10</w:t>
        </w:r>
      </w:fldSimple>
      <w:r w:rsidRPr="00897DBB">
        <w:t>: Number of homes with inadequate thermal comfort within Barnet, 2009</w:t>
      </w:r>
    </w:p>
    <w:p w:rsidR="007547D4" w:rsidRPr="006F2BD9" w:rsidRDefault="007547D4" w:rsidP="007547D4">
      <w:pPr>
        <w:spacing w:after="0" w:line="240" w:lineRule="auto"/>
        <w:jc w:val="center"/>
        <w:rPr>
          <w:sz w:val="24"/>
          <w:szCs w:val="24"/>
        </w:rPr>
      </w:pPr>
      <w:r w:rsidRPr="006F2BD9">
        <w:rPr>
          <w:noProof/>
          <w:lang w:eastAsia="en-GB"/>
        </w:rPr>
        <w:drawing>
          <wp:inline distT="0" distB="0" distL="0" distR="0" wp14:anchorId="5D3B492C" wp14:editId="4673097C">
            <wp:extent cx="5158110" cy="3157869"/>
            <wp:effectExtent l="0" t="0" r="4445" b="4445"/>
            <wp:docPr id="49157" name="Picture 3" descr="Barnet thermal comf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57" name="Picture 3" descr="Barnet thermal comfort"/>
                    <pic:cNvPicPr>
                      <a:picLocks noChangeAspect="1" noChangeArrowheads="1"/>
                    </pic:cNvPicPr>
                  </pic:nvPicPr>
                  <pic:blipFill rotWithShape="1">
                    <a:blip r:embed="rId46">
                      <a:extLst>
                        <a:ext uri="{28A0092B-C50C-407E-A947-70E740481C1C}">
                          <a14:useLocalDpi xmlns:a14="http://schemas.microsoft.com/office/drawing/2010/main" val="0"/>
                        </a:ext>
                      </a:extLst>
                    </a:blip>
                    <a:srcRect l="1350" t="1137" r="1463" b="932"/>
                    <a:stretch/>
                  </pic:blipFill>
                  <pic:spPr bwMode="auto">
                    <a:xfrm>
                      <a:off x="0" y="0"/>
                      <a:ext cx="5187387" cy="3175793"/>
                    </a:xfrm>
                    <a:prstGeom prst="rect">
                      <a:avLst/>
                    </a:prstGeom>
                    <a:noFill/>
                    <a:ln>
                      <a:noFill/>
                    </a:ln>
                    <a:extLst>
                      <a:ext uri="{53640926-AAD7-44D8-BBD7-CCE9431645EC}">
                        <a14:shadowObscured xmlns:a14="http://schemas.microsoft.com/office/drawing/2010/main"/>
                      </a:ext>
                    </a:extLst>
                  </pic:spPr>
                </pic:pic>
              </a:graphicData>
            </a:graphic>
          </wp:inline>
        </w:drawing>
      </w:r>
    </w:p>
    <w:p w:rsidR="007547D4" w:rsidRDefault="007547D4" w:rsidP="007547D4">
      <w:pPr>
        <w:spacing w:after="0" w:line="240" w:lineRule="auto"/>
        <w:jc w:val="both"/>
        <w:rPr>
          <w:rFonts w:cs="Arial"/>
          <w:bCs/>
          <w:szCs w:val="20"/>
        </w:rPr>
      </w:pPr>
      <w:r w:rsidRPr="006F2BD9">
        <w:t>Source:</w:t>
      </w:r>
      <w:r w:rsidRPr="006F2BD9">
        <w:rPr>
          <w:rFonts w:cs="Arial"/>
          <w:b/>
          <w:bCs/>
          <w:szCs w:val="20"/>
        </w:rPr>
        <w:t xml:space="preserve"> </w:t>
      </w:r>
      <w:r w:rsidRPr="006F2BD9">
        <w:rPr>
          <w:rFonts w:cs="Arial"/>
          <w:bCs/>
          <w:szCs w:val="20"/>
        </w:rPr>
        <w:t>BRE Stock Projections Update 2009</w:t>
      </w:r>
    </w:p>
    <w:p w:rsidR="007547D4" w:rsidRDefault="007547D4" w:rsidP="007547D4">
      <w:pPr>
        <w:autoSpaceDE w:val="0"/>
        <w:autoSpaceDN w:val="0"/>
        <w:adjustRightInd w:val="0"/>
        <w:spacing w:after="0" w:line="240" w:lineRule="auto"/>
        <w:jc w:val="both"/>
      </w:pPr>
    </w:p>
    <w:p w:rsidR="007547D4" w:rsidRDefault="007547D4" w:rsidP="007547D4">
      <w:pPr>
        <w:autoSpaceDE w:val="0"/>
        <w:autoSpaceDN w:val="0"/>
        <w:adjustRightInd w:val="0"/>
        <w:spacing w:after="0" w:line="240" w:lineRule="auto"/>
        <w:jc w:val="both"/>
      </w:pPr>
      <w:r w:rsidRPr="006F2BD9">
        <w:t xml:space="preserve">The role of the private rented sector in meeting the housing needs of the </w:t>
      </w:r>
      <w:r>
        <w:t>Borough</w:t>
      </w:r>
      <w:r w:rsidRPr="006F2BD9">
        <w:t xml:space="preserve"> has increased significantly over the last decade. Between 2001 and 2011, the number of private rented homes rose from 17% to 26% of homes in the </w:t>
      </w:r>
      <w:r>
        <w:t>Borough</w:t>
      </w:r>
      <w:r w:rsidR="00702B67">
        <w:t>.  A</w:t>
      </w:r>
      <w:r w:rsidRPr="006F2BD9">
        <w:t>nalysis of affordability and housing need going forward suggests that the private rented sector will continue to grow over the next ten years by a further 9%</w:t>
      </w:r>
      <w:r>
        <w:t>,</w:t>
      </w:r>
      <w:r w:rsidRPr="006F2BD9">
        <w:t xml:space="preserve"> to represent 25% of homes in the </w:t>
      </w:r>
      <w:r>
        <w:t>Borough</w:t>
      </w:r>
      <w:r w:rsidRPr="006F2BD9">
        <w:t>.</w:t>
      </w:r>
      <w:r w:rsidRPr="006F2BD9" w:rsidDel="00854859">
        <w:t xml:space="preserve"> </w:t>
      </w:r>
    </w:p>
    <w:p w:rsidR="007547D4" w:rsidRDefault="007547D4" w:rsidP="007547D4">
      <w:pPr>
        <w:autoSpaceDE w:val="0"/>
        <w:autoSpaceDN w:val="0"/>
        <w:adjustRightInd w:val="0"/>
        <w:spacing w:after="0" w:line="240" w:lineRule="auto"/>
        <w:jc w:val="both"/>
      </w:pPr>
    </w:p>
    <w:p w:rsidR="007547D4" w:rsidRPr="006F2BD9" w:rsidRDefault="007547D4" w:rsidP="007547D4">
      <w:pPr>
        <w:jc w:val="both"/>
      </w:pPr>
      <w:r w:rsidRPr="006F2BD9">
        <w:rPr>
          <w:rFonts w:cs="Arial"/>
          <w:iCs/>
          <w:lang w:eastAsia="en-GB"/>
        </w:rPr>
        <w:t>The private rented sector provides homes for people in a way that provides flexibility and choice. However, the nature of the market means that there are many small scale landlords</w:t>
      </w:r>
      <w:r>
        <w:rPr>
          <w:rFonts w:cs="Arial"/>
          <w:iCs/>
          <w:lang w:eastAsia="en-GB"/>
        </w:rPr>
        <w:t>,</w:t>
      </w:r>
      <w:r w:rsidRPr="006F2BD9">
        <w:rPr>
          <w:rFonts w:cs="Arial"/>
          <w:iCs/>
          <w:lang w:eastAsia="en-GB"/>
        </w:rPr>
        <w:t xml:space="preserve"> often with only one or two properties, which makes it more difficult to ensure a consistent quality across the sector. </w:t>
      </w:r>
      <w:r>
        <w:rPr>
          <w:rFonts w:cs="Arial"/>
          <w:iCs/>
          <w:lang w:eastAsia="en-GB"/>
        </w:rPr>
        <w:t xml:space="preserve">It is therefore necessary to look </w:t>
      </w:r>
      <w:r w:rsidRPr="006F2BD9">
        <w:rPr>
          <w:rFonts w:cs="Arial"/>
          <w:iCs/>
          <w:lang w:eastAsia="en-GB"/>
        </w:rPr>
        <w:t xml:space="preserve">at ways to improve the condition of properties in the private rented </w:t>
      </w:r>
      <w:r>
        <w:rPr>
          <w:rFonts w:cs="Arial"/>
          <w:iCs/>
          <w:lang w:eastAsia="en-GB"/>
        </w:rPr>
        <w:t xml:space="preserve">sector. </w:t>
      </w:r>
    </w:p>
    <w:p w:rsidR="007547D4" w:rsidRPr="006F2BD9" w:rsidRDefault="007547D4" w:rsidP="007547D4">
      <w:pPr>
        <w:pStyle w:val="Heading3"/>
        <w:numPr>
          <w:ilvl w:val="2"/>
          <w:numId w:val="138"/>
        </w:numPr>
      </w:pPr>
      <w:r w:rsidRPr="006F2BD9">
        <w:t>Empty Homes</w:t>
      </w:r>
    </w:p>
    <w:p w:rsidR="007547D4" w:rsidRDefault="007547D4" w:rsidP="007547D4">
      <w:pPr>
        <w:jc w:val="both"/>
      </w:pPr>
      <w:r w:rsidRPr="006F2BD9">
        <w:t>Data published by the Department for Communities and Local Government shows that the number of long-term (at least 6 months) vacant dwellings has declined in the past 10 years. Most vacant dwellings are in the private sector and the council is working with owners of empty properties to bring them back into habitable use.</w:t>
      </w:r>
    </w:p>
    <w:p w:rsidR="007547D4" w:rsidRPr="006F2BD9" w:rsidRDefault="007547D4" w:rsidP="007547D4">
      <w:pPr>
        <w:pStyle w:val="Caption"/>
        <w:rPr>
          <w:rFonts w:cs="Calibri"/>
          <w:b w:val="0"/>
          <w:i/>
        </w:rPr>
      </w:pPr>
      <w:r>
        <w:t xml:space="preserve">Figure </w:t>
      </w:r>
      <w:fldSimple w:instr=" STYLEREF 1 \s ">
        <w:r w:rsidR="001663C2">
          <w:rPr>
            <w:noProof/>
          </w:rPr>
          <w:t>3</w:t>
        </w:r>
      </w:fldSimple>
      <w:r w:rsidR="00943DC2">
        <w:noBreakHyphen/>
      </w:r>
      <w:fldSimple w:instr=" SEQ Figure \* ARABIC \s 1 ">
        <w:r w:rsidR="001663C2">
          <w:rPr>
            <w:noProof/>
          </w:rPr>
          <w:t>11</w:t>
        </w:r>
      </w:fldSimple>
      <w:r w:rsidRPr="00897DBB">
        <w:t>: The number of long-term vacant dwellings in Barnet, 2004-2013</w:t>
      </w:r>
    </w:p>
    <w:p w:rsidR="007547D4" w:rsidRPr="006F2BD9" w:rsidRDefault="007547D4" w:rsidP="007547D4">
      <w:pPr>
        <w:pStyle w:val="ListParagraph"/>
        <w:spacing w:after="0" w:line="240" w:lineRule="auto"/>
        <w:ind w:hanging="720"/>
        <w:contextualSpacing w:val="0"/>
        <w:jc w:val="both"/>
        <w:rPr>
          <w:sz w:val="24"/>
          <w:szCs w:val="24"/>
        </w:rPr>
      </w:pPr>
      <w:r w:rsidRPr="006F2BD9">
        <w:rPr>
          <w:noProof/>
          <w:lang w:eastAsia="en-GB"/>
        </w:rPr>
        <w:drawing>
          <wp:inline distT="0" distB="0" distL="0" distR="0" wp14:anchorId="463FA520" wp14:editId="12AE969E">
            <wp:extent cx="5848350" cy="1676400"/>
            <wp:effectExtent l="0" t="0" r="19050" b="19050"/>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5067E0" w:rsidRPr="005067E0" w:rsidRDefault="007547D4" w:rsidP="005067E0">
      <w:pPr>
        <w:spacing w:after="0" w:line="240" w:lineRule="auto"/>
        <w:jc w:val="both"/>
        <w:rPr>
          <w:rFonts w:cs="Arial"/>
          <w:bCs/>
          <w:szCs w:val="20"/>
        </w:rPr>
      </w:pPr>
      <w:r w:rsidRPr="005067E0">
        <w:rPr>
          <w:rFonts w:cs="Arial"/>
          <w:bCs/>
          <w:szCs w:val="20"/>
        </w:rPr>
        <w:t>Source: Department for Communities and Local Government</w:t>
      </w:r>
      <w:r w:rsidR="005067E0">
        <w:rPr>
          <w:rFonts w:cs="Arial"/>
          <w:bCs/>
          <w:szCs w:val="20"/>
        </w:rPr>
        <w:t>,</w:t>
      </w:r>
      <w:r w:rsidR="005067E0" w:rsidRPr="005067E0">
        <w:rPr>
          <w:rFonts w:cs="Arial"/>
          <w:bCs/>
          <w:szCs w:val="20"/>
        </w:rPr>
        <w:t xml:space="preserve"> </w:t>
      </w:r>
      <w:r w:rsidR="005067E0" w:rsidRPr="005067E0">
        <w:rPr>
          <w:szCs w:val="20"/>
        </w:rPr>
        <w:t>local authority vacant</w:t>
      </w:r>
      <w:r w:rsidR="005067E0">
        <w:rPr>
          <w:szCs w:val="20"/>
        </w:rPr>
        <w:t xml:space="preserve"> dwellings, England 1989 to 2013</w:t>
      </w:r>
    </w:p>
    <w:p w:rsidR="007547D4" w:rsidRPr="006F2BD9" w:rsidRDefault="007547D4" w:rsidP="007547D4">
      <w:pPr>
        <w:spacing w:after="0" w:line="240" w:lineRule="auto"/>
        <w:jc w:val="both"/>
      </w:pPr>
    </w:p>
    <w:p w:rsidR="007547D4" w:rsidRPr="006F2BD9" w:rsidRDefault="007547D4" w:rsidP="007547D4">
      <w:pPr>
        <w:jc w:val="both"/>
      </w:pPr>
      <w:r w:rsidRPr="006F2BD9">
        <w:t xml:space="preserve">Given the high demand for housing in the </w:t>
      </w:r>
      <w:r>
        <w:t>Borough</w:t>
      </w:r>
      <w:r w:rsidRPr="006F2BD9">
        <w:t>, the Council will look at bringing empty properties back into residential use.  Currently, there are approximately 1,300 homes in Barnet that have been empty for 6 months or more.  Where owners wish to bring properties back into use, the Council will provide financial assistance in the form of Empty Property Grants.</w:t>
      </w:r>
    </w:p>
    <w:p w:rsidR="007547D4" w:rsidRPr="006F2BD9" w:rsidRDefault="007547D4" w:rsidP="007547D4">
      <w:pPr>
        <w:pStyle w:val="Heading3"/>
        <w:numPr>
          <w:ilvl w:val="2"/>
          <w:numId w:val="138"/>
        </w:numPr>
      </w:pPr>
      <w:r w:rsidRPr="006F2BD9">
        <w:t>Fuel Poverty and Central Heating</w:t>
      </w:r>
    </w:p>
    <w:p w:rsidR="007547D4" w:rsidRPr="006F2BD9" w:rsidRDefault="007547D4" w:rsidP="007547D4">
      <w:pPr>
        <w:jc w:val="both"/>
        <w:rPr>
          <w:rFonts w:eastAsiaTheme="minorEastAsia" w:cs="Arial"/>
          <w:kern w:val="24"/>
          <w:lang w:val="en-US" w:eastAsia="en-GB"/>
        </w:rPr>
      </w:pPr>
      <w:r w:rsidRPr="006F2BD9">
        <w:rPr>
          <w:rFonts w:eastAsiaTheme="minorEastAsia" w:cs="Arial"/>
          <w:kern w:val="24"/>
          <w:lang w:eastAsia="en-GB"/>
        </w:rPr>
        <w:t xml:space="preserve">Data produced by the Department for </w:t>
      </w:r>
      <w:r w:rsidRPr="003C4205">
        <w:rPr>
          <w:rFonts w:eastAsiaTheme="minorEastAsia" w:cs="Arial"/>
          <w:kern w:val="24"/>
          <w:lang w:eastAsia="en-GB"/>
        </w:rPr>
        <w:t xml:space="preserve">Energy and Climate Change shows that in 2011 </w:t>
      </w:r>
      <w:r w:rsidRPr="003C4205">
        <w:rPr>
          <w:rFonts w:eastAsiaTheme="minorEastAsia" w:cs="Arial"/>
          <w:bCs/>
          <w:kern w:val="24"/>
          <w:lang w:val="en-US" w:eastAsia="en-GB"/>
        </w:rPr>
        <w:t xml:space="preserve">10.6% </w:t>
      </w:r>
      <w:r w:rsidRPr="003C4205">
        <w:rPr>
          <w:rFonts w:eastAsiaTheme="minorEastAsia" w:cs="Arial"/>
          <w:kern w:val="24"/>
          <w:lang w:val="en-US" w:eastAsia="en-GB"/>
        </w:rPr>
        <w:t xml:space="preserve">of Barnet’s households, or </w:t>
      </w:r>
      <w:r w:rsidRPr="003C4205">
        <w:rPr>
          <w:rFonts w:eastAsiaTheme="minorEastAsia" w:cs="Arial"/>
          <w:bCs/>
          <w:kern w:val="24"/>
          <w:lang w:val="en-US" w:eastAsia="en-GB"/>
        </w:rPr>
        <w:t xml:space="preserve">13,628 </w:t>
      </w:r>
      <w:r w:rsidRPr="003C4205">
        <w:rPr>
          <w:rFonts w:eastAsiaTheme="minorEastAsia" w:cs="Arial"/>
          <w:kern w:val="24"/>
          <w:lang w:val="en-US" w:eastAsia="en-GB"/>
        </w:rPr>
        <w:t>homes, were</w:t>
      </w:r>
      <w:r w:rsidRPr="006F2BD9">
        <w:rPr>
          <w:rFonts w:eastAsiaTheme="minorEastAsia" w:cs="Arial"/>
          <w:kern w:val="24"/>
          <w:lang w:val="en-US" w:eastAsia="en-GB"/>
        </w:rPr>
        <w:t xml:space="preserve"> fuel poor. </w:t>
      </w:r>
    </w:p>
    <w:p w:rsidR="007547D4" w:rsidRPr="006F2BD9" w:rsidRDefault="007547D4" w:rsidP="007547D4">
      <w:pPr>
        <w:pStyle w:val="Caption"/>
        <w:rPr>
          <w:rFonts w:cs="Calibri"/>
          <w:b w:val="0"/>
          <w:i/>
        </w:rPr>
      </w:pPr>
      <w:r>
        <w:t xml:space="preserve">Figure </w:t>
      </w:r>
      <w:fldSimple w:instr=" STYLEREF 1 \s ">
        <w:r w:rsidR="001663C2">
          <w:rPr>
            <w:noProof/>
          </w:rPr>
          <w:t>3</w:t>
        </w:r>
      </w:fldSimple>
      <w:r w:rsidR="00943DC2">
        <w:noBreakHyphen/>
      </w:r>
      <w:fldSimple w:instr=" SEQ Figure \* ARABIC \s 1 ">
        <w:r w:rsidR="001663C2">
          <w:rPr>
            <w:noProof/>
          </w:rPr>
          <w:t>12</w:t>
        </w:r>
      </w:fldSimple>
      <w:r w:rsidRPr="00897DBB">
        <w:t>: The proportion of households in fuel poverty, 2006-2011</w:t>
      </w:r>
    </w:p>
    <w:p w:rsidR="007547D4" w:rsidRPr="006F2BD9" w:rsidRDefault="007547D4" w:rsidP="007547D4">
      <w:pPr>
        <w:spacing w:after="0" w:line="240" w:lineRule="auto"/>
        <w:jc w:val="both"/>
        <w:rPr>
          <w:sz w:val="24"/>
          <w:szCs w:val="24"/>
        </w:rPr>
      </w:pPr>
      <w:r w:rsidRPr="006F2BD9">
        <w:rPr>
          <w:noProof/>
          <w:sz w:val="24"/>
          <w:szCs w:val="24"/>
          <w:lang w:eastAsia="en-GB"/>
        </w:rPr>
        <w:drawing>
          <wp:inline distT="0" distB="0" distL="0" distR="0" wp14:anchorId="4ED4E4A5" wp14:editId="58545F16">
            <wp:extent cx="5911702" cy="1860698"/>
            <wp:effectExtent l="0" t="0" r="13335" b="25400"/>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F3583D" w:rsidRPr="00F3583D" w:rsidRDefault="007547D4" w:rsidP="00F3583D">
      <w:pPr>
        <w:spacing w:after="0" w:line="240" w:lineRule="auto"/>
        <w:jc w:val="both"/>
        <w:rPr>
          <w:rFonts w:cs="Arial"/>
          <w:bCs/>
          <w:szCs w:val="20"/>
        </w:rPr>
      </w:pPr>
      <w:r w:rsidRPr="00F3583D">
        <w:rPr>
          <w:rFonts w:cs="Arial"/>
          <w:bCs/>
          <w:szCs w:val="20"/>
        </w:rPr>
        <w:t xml:space="preserve">Source: </w:t>
      </w:r>
      <w:r w:rsidRPr="006F2BD9">
        <w:rPr>
          <w:rFonts w:cs="Arial"/>
          <w:bCs/>
          <w:szCs w:val="20"/>
        </w:rPr>
        <w:t>Department for Energy and Climate Change</w:t>
      </w:r>
      <w:r w:rsidR="00F3583D">
        <w:rPr>
          <w:rFonts w:cs="Arial"/>
          <w:bCs/>
          <w:szCs w:val="20"/>
        </w:rPr>
        <w:t xml:space="preserve">, </w:t>
      </w:r>
      <w:hyperlink r:id="rId49" w:history="1">
        <w:r w:rsidR="00F3583D" w:rsidRPr="00F3583D">
          <w:rPr>
            <w:szCs w:val="20"/>
          </w:rPr>
          <w:t>sub-regional fuel poverty data: low income high costs indicator</w:t>
        </w:r>
      </w:hyperlink>
      <w:r w:rsidR="00F3583D" w:rsidRPr="00F3583D">
        <w:rPr>
          <w:rFonts w:cs="Arial"/>
          <w:bCs/>
          <w:szCs w:val="20"/>
        </w:rPr>
        <w:t xml:space="preserve"> 2006-2011</w:t>
      </w:r>
    </w:p>
    <w:p w:rsidR="007547D4" w:rsidRDefault="007547D4" w:rsidP="007547D4">
      <w:pPr>
        <w:spacing w:after="0" w:line="240" w:lineRule="auto"/>
        <w:jc w:val="both"/>
        <w:rPr>
          <w:rFonts w:cs="Arial"/>
          <w:bCs/>
          <w:szCs w:val="20"/>
        </w:rPr>
      </w:pPr>
    </w:p>
    <w:p w:rsidR="007547D4" w:rsidRPr="006F2BD9" w:rsidRDefault="007547D4" w:rsidP="007547D4">
      <w:pPr>
        <w:jc w:val="both"/>
        <w:textAlignment w:val="baseline"/>
        <w:rPr>
          <w:rFonts w:eastAsia="Times New Roman" w:cs="Times New Roman"/>
          <w:lang w:eastAsia="en-GB"/>
        </w:rPr>
      </w:pPr>
      <w:r w:rsidRPr="006F2BD9">
        <w:rPr>
          <w:rFonts w:eastAsiaTheme="minorEastAsia" w:cs="Arial"/>
          <w:kern w:val="24"/>
          <w:lang w:eastAsia="en-GB"/>
        </w:rPr>
        <w:t xml:space="preserve">The level of excess cold hazards is considered an issue given the increasing numbers of older residents in Barnet. </w:t>
      </w:r>
    </w:p>
    <w:p w:rsidR="007547D4" w:rsidRPr="006F2BD9" w:rsidRDefault="007547D4" w:rsidP="007547D4">
      <w:pPr>
        <w:pStyle w:val="Heading3"/>
        <w:numPr>
          <w:ilvl w:val="2"/>
          <w:numId w:val="138"/>
        </w:numPr>
      </w:pPr>
      <w:r w:rsidRPr="006F2BD9">
        <w:t>Housing Supply</w:t>
      </w:r>
    </w:p>
    <w:p w:rsidR="007547D4" w:rsidRPr="006F2BD9" w:rsidRDefault="007547D4" w:rsidP="007547D4">
      <w:pPr>
        <w:jc w:val="both"/>
        <w:rPr>
          <w:rFonts w:eastAsia="Times New Roman" w:cs="Arial"/>
          <w:iCs/>
          <w:color w:val="080808"/>
          <w:lang w:eastAsia="en-GB"/>
        </w:rPr>
      </w:pPr>
      <w:r w:rsidRPr="006F2BD9">
        <w:rPr>
          <w:rFonts w:eastAsia="Times New Roman" w:cs="Arial"/>
          <w:iCs/>
          <w:color w:val="080808"/>
          <w:lang w:eastAsia="en-GB"/>
        </w:rPr>
        <w:t xml:space="preserve">Housing is critical to Barnet’s success as a </w:t>
      </w:r>
      <w:r>
        <w:rPr>
          <w:rFonts w:eastAsia="Times New Roman" w:cs="Arial"/>
          <w:iCs/>
          <w:color w:val="080808"/>
          <w:lang w:eastAsia="en-GB"/>
        </w:rPr>
        <w:t>Borough</w:t>
      </w:r>
      <w:r w:rsidRPr="006F2BD9">
        <w:rPr>
          <w:rFonts w:eastAsia="Times New Roman" w:cs="Arial"/>
          <w:iCs/>
          <w:color w:val="080808"/>
          <w:lang w:eastAsia="en-GB"/>
        </w:rPr>
        <w:t xml:space="preserve">. It plays a key role in the </w:t>
      </w:r>
      <w:r>
        <w:rPr>
          <w:rFonts w:eastAsia="Times New Roman" w:cs="Arial"/>
          <w:iCs/>
          <w:color w:val="080808"/>
          <w:lang w:eastAsia="en-GB"/>
        </w:rPr>
        <w:t>Borough</w:t>
      </w:r>
      <w:r w:rsidRPr="006F2BD9">
        <w:rPr>
          <w:rFonts w:eastAsia="Times New Roman" w:cs="Arial"/>
          <w:iCs/>
          <w:color w:val="080808"/>
          <w:lang w:eastAsia="en-GB"/>
        </w:rPr>
        <w:t xml:space="preserve">’s ambitious plans for growth, providing the catalyst for the major regeneration programmes at Dollis Valley, </w:t>
      </w:r>
      <w:proofErr w:type="spellStart"/>
      <w:r w:rsidRPr="006F2BD9">
        <w:rPr>
          <w:rFonts w:eastAsia="Times New Roman" w:cs="Arial"/>
          <w:iCs/>
          <w:color w:val="080808"/>
          <w:lang w:eastAsia="en-GB"/>
        </w:rPr>
        <w:t>Stonegrove</w:t>
      </w:r>
      <w:proofErr w:type="spellEnd"/>
      <w:r w:rsidRPr="006F2BD9">
        <w:rPr>
          <w:rFonts w:eastAsia="Times New Roman" w:cs="Arial"/>
          <w:iCs/>
          <w:color w:val="080808"/>
          <w:lang w:eastAsia="en-GB"/>
        </w:rPr>
        <w:t xml:space="preserve">/Spur Road, West Hendon, Grahame Park and Brent Cross/Cricklewood. Delivering these regeneration programmes will transform the more deprived areas of the </w:t>
      </w:r>
      <w:r>
        <w:rPr>
          <w:rFonts w:eastAsia="Times New Roman" w:cs="Arial"/>
          <w:iCs/>
          <w:color w:val="080808"/>
          <w:lang w:eastAsia="en-GB"/>
        </w:rPr>
        <w:t>Borough</w:t>
      </w:r>
      <w:r w:rsidRPr="006F2BD9">
        <w:rPr>
          <w:rFonts w:eastAsia="Times New Roman" w:cs="Arial"/>
          <w:iCs/>
          <w:color w:val="080808"/>
          <w:lang w:eastAsia="en-GB"/>
        </w:rPr>
        <w:t xml:space="preserve"> and create better places in which to live. There will be more housing tenure choice, increased employment and training opportunities, improved transport infrastructure, better education opportunities and better housing and management services for residents in these areas.</w:t>
      </w:r>
    </w:p>
    <w:p w:rsidR="007547D4" w:rsidRDefault="007547D4" w:rsidP="007547D4">
      <w:pPr>
        <w:contextualSpacing/>
        <w:jc w:val="both"/>
        <w:rPr>
          <w:rFonts w:eastAsia="Times New Roman" w:cs="Arial"/>
          <w:iCs/>
          <w:color w:val="080808"/>
          <w:lang w:eastAsia="en-GB"/>
        </w:rPr>
      </w:pPr>
      <w:r w:rsidRPr="006F2BD9">
        <w:rPr>
          <w:rFonts w:eastAsia="Times New Roman" w:cs="Arial"/>
          <w:iCs/>
          <w:color w:val="080808"/>
          <w:lang w:eastAsia="en-GB"/>
        </w:rPr>
        <w:t>New housing will not only be delivered through the major regeneration programmes. The council is making use of new freedoms arising out of Housing Revenue Account self-financing and the reinvigorated Right to Buy</w:t>
      </w:r>
      <w:r>
        <w:rPr>
          <w:rFonts w:eastAsia="Times New Roman" w:cs="Arial"/>
          <w:iCs/>
          <w:color w:val="080808"/>
          <w:lang w:eastAsia="en-GB"/>
        </w:rPr>
        <w:t>,</w:t>
      </w:r>
      <w:r w:rsidRPr="006F2BD9">
        <w:rPr>
          <w:rFonts w:eastAsia="Times New Roman" w:cs="Arial"/>
          <w:iCs/>
          <w:color w:val="080808"/>
          <w:lang w:eastAsia="en-GB"/>
        </w:rPr>
        <w:t xml:space="preserve"> to build more homes on housing land, including affordable homes. The first three council homes to be built by Barnet Council, in partnership with Barnet Homes, have already been let and there are plans for a further 300 homes over the next 5 years on i</w:t>
      </w:r>
      <w:r>
        <w:rPr>
          <w:rFonts w:eastAsia="Times New Roman" w:cs="Arial"/>
          <w:iCs/>
          <w:color w:val="080808"/>
          <w:lang w:eastAsia="en-GB"/>
        </w:rPr>
        <w:t>nfill sites across the Borough.</w:t>
      </w:r>
    </w:p>
    <w:p w:rsidR="007547D4" w:rsidRPr="006F2BD9" w:rsidRDefault="007547D4" w:rsidP="007547D4">
      <w:pPr>
        <w:pStyle w:val="Caption"/>
      </w:pPr>
      <w:r>
        <w:t xml:space="preserve">Figure </w:t>
      </w:r>
      <w:fldSimple w:instr=" STYLEREF 1 \s ">
        <w:r w:rsidR="001663C2">
          <w:rPr>
            <w:noProof/>
          </w:rPr>
          <w:t>3</w:t>
        </w:r>
      </w:fldSimple>
      <w:r w:rsidR="00943DC2">
        <w:noBreakHyphen/>
      </w:r>
      <w:fldSimple w:instr=" SEQ Figure \* ARABIC \s 1 ">
        <w:r w:rsidR="001663C2">
          <w:rPr>
            <w:noProof/>
          </w:rPr>
          <w:t>13</w:t>
        </w:r>
      </w:fldSimple>
      <w:r>
        <w:t>:</w:t>
      </w:r>
      <w:r w:rsidRPr="00897DBB">
        <w:t xml:space="preserve"> Planned Regeneration Works within Barnet</w:t>
      </w:r>
    </w:p>
    <w:p w:rsidR="007547D4" w:rsidRPr="006F2BD9" w:rsidRDefault="007547D4" w:rsidP="007547D4">
      <w:pPr>
        <w:pStyle w:val="ListParagraph"/>
        <w:ind w:hanging="720"/>
        <w:contextualSpacing w:val="0"/>
        <w:jc w:val="center"/>
        <w:rPr>
          <w:sz w:val="24"/>
          <w:szCs w:val="24"/>
        </w:rPr>
      </w:pPr>
      <w:r w:rsidRPr="006F2BD9">
        <w:rPr>
          <w:noProof/>
          <w:lang w:eastAsia="en-GB"/>
        </w:rPr>
        <w:drawing>
          <wp:inline distT="0" distB="0" distL="0" distR="0" wp14:anchorId="37D0C455" wp14:editId="5F08B596">
            <wp:extent cx="5391150" cy="3999503"/>
            <wp:effectExtent l="0" t="0" r="0" b="1270"/>
            <wp:docPr id="40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rotWithShape="1">
                    <a:blip r:embed="rId15">
                      <a:extLst>
                        <a:ext uri="{28A0092B-C50C-407E-A947-70E740481C1C}">
                          <a14:useLocalDpi xmlns:a14="http://schemas.microsoft.com/office/drawing/2010/main" val="0"/>
                        </a:ext>
                      </a:extLst>
                    </a:blip>
                    <a:srcRect l="1654" t="6696" r="3004" b="1609"/>
                    <a:stretch/>
                  </pic:blipFill>
                  <pic:spPr bwMode="auto">
                    <a:xfrm>
                      <a:off x="0" y="0"/>
                      <a:ext cx="5461863" cy="4051962"/>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7547D4" w:rsidRPr="006F2BD9" w:rsidRDefault="007547D4" w:rsidP="007547D4">
      <w:pPr>
        <w:pStyle w:val="Heading3"/>
        <w:numPr>
          <w:ilvl w:val="2"/>
          <w:numId w:val="138"/>
        </w:numPr>
      </w:pPr>
      <w:r w:rsidRPr="006F2BD9">
        <w:t>Residents Voice</w:t>
      </w:r>
    </w:p>
    <w:p w:rsidR="007547D4" w:rsidRDefault="007547D4" w:rsidP="007547D4">
      <w:pPr>
        <w:pStyle w:val="Default"/>
        <w:spacing w:after="200" w:line="276" w:lineRule="auto"/>
        <w:jc w:val="both"/>
        <w:rPr>
          <w:rFonts w:asciiTheme="minorHAnsi" w:hAnsiTheme="minorHAnsi"/>
          <w:sz w:val="22"/>
          <w:szCs w:val="22"/>
        </w:rPr>
      </w:pPr>
      <w:r w:rsidRPr="006F2BD9">
        <w:rPr>
          <w:rFonts w:asciiTheme="minorHAnsi" w:hAnsiTheme="minorHAnsi"/>
          <w:sz w:val="22"/>
          <w:szCs w:val="22"/>
        </w:rPr>
        <w:t>The Residents Perception Survey 2013 found an increase in concern from residents about lack of affordable housing and homelessness (</w:t>
      </w:r>
      <w:r w:rsidRPr="006F2BD9">
        <w:rPr>
          <w:rFonts w:asciiTheme="minorHAnsi" w:hAnsiTheme="minorHAnsi"/>
          <w:color w:val="auto"/>
          <w:sz w:val="22"/>
          <w:szCs w:val="22"/>
        </w:rPr>
        <w:t>with Barnet residents more concerned about the former compared to the London average)</w:t>
      </w:r>
      <w:r w:rsidRPr="006F2BD9">
        <w:rPr>
          <w:rFonts w:asciiTheme="minorHAnsi" w:hAnsiTheme="minorHAnsi"/>
          <w:sz w:val="22"/>
          <w:szCs w:val="22"/>
        </w:rPr>
        <w:t>.</w:t>
      </w:r>
    </w:p>
    <w:p w:rsidR="007547D4" w:rsidRPr="006F2BD9" w:rsidRDefault="007547D4" w:rsidP="007547D4">
      <w:pPr>
        <w:pStyle w:val="Caption"/>
        <w:rPr>
          <w:rFonts w:cs="Calibri"/>
          <w:b w:val="0"/>
          <w:i/>
        </w:rPr>
      </w:pPr>
      <w:r>
        <w:lastRenderedPageBreak/>
        <w:t xml:space="preserve">Table </w:t>
      </w:r>
      <w:fldSimple w:instr=" STYLEREF 1 \s ">
        <w:r w:rsidR="001663C2">
          <w:rPr>
            <w:noProof/>
          </w:rPr>
          <w:t>3</w:t>
        </w:r>
      </w:fldSimple>
      <w:r>
        <w:noBreakHyphen/>
      </w:r>
      <w:fldSimple w:instr=" SEQ Table \* ARABIC \s 1 ">
        <w:r w:rsidR="001663C2">
          <w:rPr>
            <w:noProof/>
          </w:rPr>
          <w:t>2</w:t>
        </w:r>
      </w:fldSimple>
      <w:r w:rsidRPr="001221C6">
        <w:rPr>
          <w:rFonts w:cs="Calibri"/>
        </w:rPr>
        <w:t>: Residents Perception Survey Responses, 2013</w:t>
      </w:r>
    </w:p>
    <w:tbl>
      <w:tblPr>
        <w:tblStyle w:val="TableGrid"/>
        <w:tblW w:w="9587" w:type="dxa"/>
        <w:tblInd w:w="-239" w:type="dxa"/>
        <w:tblLook w:val="04A0" w:firstRow="1" w:lastRow="0" w:firstColumn="1" w:lastColumn="0" w:noHBand="0" w:noVBand="1"/>
      </w:tblPr>
      <w:tblGrid>
        <w:gridCol w:w="2410"/>
        <w:gridCol w:w="1776"/>
        <w:gridCol w:w="1939"/>
        <w:gridCol w:w="1678"/>
        <w:gridCol w:w="1784"/>
      </w:tblGrid>
      <w:tr w:rsidR="007547D4" w:rsidRPr="006F2BD9" w:rsidTr="00093568">
        <w:tc>
          <w:tcPr>
            <w:tcW w:w="2410" w:type="dxa"/>
            <w:shd w:val="clear" w:color="auto" w:fill="BFBFBF" w:themeFill="background1" w:themeFillShade="BF"/>
            <w:vAlign w:val="center"/>
          </w:tcPr>
          <w:p w:rsidR="007547D4" w:rsidRPr="006F2BD9" w:rsidRDefault="007547D4" w:rsidP="00031B92">
            <w:pPr>
              <w:pStyle w:val="Default"/>
              <w:jc w:val="center"/>
              <w:rPr>
                <w:rFonts w:asciiTheme="minorHAnsi" w:hAnsiTheme="minorHAnsi"/>
                <w:b/>
                <w:color w:val="auto"/>
                <w:sz w:val="22"/>
                <w:szCs w:val="22"/>
              </w:rPr>
            </w:pPr>
            <w:r w:rsidRPr="006F2BD9">
              <w:rPr>
                <w:rFonts w:asciiTheme="minorHAnsi" w:hAnsiTheme="minorHAnsi"/>
                <w:b/>
                <w:color w:val="auto"/>
                <w:sz w:val="22"/>
                <w:szCs w:val="22"/>
              </w:rPr>
              <w:t>Significant increases in concern</w:t>
            </w:r>
          </w:p>
        </w:tc>
        <w:tc>
          <w:tcPr>
            <w:tcW w:w="1776" w:type="dxa"/>
            <w:shd w:val="clear" w:color="auto" w:fill="BFBFBF" w:themeFill="background1" w:themeFillShade="BF"/>
            <w:vAlign w:val="center"/>
          </w:tcPr>
          <w:p w:rsidR="007547D4" w:rsidRPr="006F2BD9" w:rsidRDefault="007547D4" w:rsidP="00031B92">
            <w:pPr>
              <w:pStyle w:val="Default"/>
              <w:jc w:val="center"/>
              <w:rPr>
                <w:rFonts w:asciiTheme="minorHAnsi" w:hAnsiTheme="minorHAnsi"/>
                <w:b/>
                <w:color w:val="auto"/>
                <w:sz w:val="22"/>
                <w:szCs w:val="22"/>
              </w:rPr>
            </w:pPr>
            <w:r w:rsidRPr="006F2BD9">
              <w:rPr>
                <w:rFonts w:asciiTheme="minorHAnsi" w:hAnsiTheme="minorHAnsi"/>
                <w:b/>
                <w:color w:val="auto"/>
                <w:sz w:val="22"/>
                <w:szCs w:val="22"/>
              </w:rPr>
              <w:t>% listing this as top concern</w:t>
            </w:r>
          </w:p>
        </w:tc>
        <w:tc>
          <w:tcPr>
            <w:tcW w:w="1939" w:type="dxa"/>
            <w:shd w:val="clear" w:color="auto" w:fill="BFBFBF" w:themeFill="background1" w:themeFillShade="BF"/>
            <w:vAlign w:val="center"/>
          </w:tcPr>
          <w:p w:rsidR="007547D4" w:rsidRPr="006F2BD9" w:rsidRDefault="007547D4" w:rsidP="00031B92">
            <w:pPr>
              <w:pStyle w:val="Default"/>
              <w:jc w:val="center"/>
              <w:rPr>
                <w:rFonts w:asciiTheme="minorHAnsi" w:hAnsiTheme="minorHAnsi"/>
                <w:b/>
                <w:color w:val="auto"/>
                <w:sz w:val="22"/>
                <w:szCs w:val="22"/>
              </w:rPr>
            </w:pPr>
            <w:r w:rsidRPr="006F2BD9">
              <w:rPr>
                <w:rFonts w:asciiTheme="minorHAnsi" w:hAnsiTheme="minorHAnsi"/>
                <w:b/>
                <w:color w:val="auto"/>
                <w:sz w:val="22"/>
                <w:szCs w:val="22"/>
              </w:rPr>
              <w:t>Barnet % point change since 2012/13</w:t>
            </w:r>
          </w:p>
        </w:tc>
        <w:tc>
          <w:tcPr>
            <w:tcW w:w="1678" w:type="dxa"/>
            <w:shd w:val="clear" w:color="auto" w:fill="BFBFBF" w:themeFill="background1" w:themeFillShade="BF"/>
            <w:vAlign w:val="center"/>
          </w:tcPr>
          <w:p w:rsidR="007547D4" w:rsidRPr="006F2BD9" w:rsidRDefault="007547D4" w:rsidP="00031B92">
            <w:pPr>
              <w:pStyle w:val="Default"/>
              <w:jc w:val="center"/>
              <w:rPr>
                <w:rFonts w:asciiTheme="minorHAnsi" w:hAnsiTheme="minorHAnsi"/>
                <w:b/>
                <w:color w:val="auto"/>
                <w:sz w:val="22"/>
                <w:szCs w:val="22"/>
              </w:rPr>
            </w:pPr>
            <w:r w:rsidRPr="006F2BD9">
              <w:rPr>
                <w:rFonts w:asciiTheme="minorHAnsi" w:hAnsiTheme="minorHAnsi"/>
                <w:b/>
                <w:color w:val="auto"/>
                <w:sz w:val="22"/>
                <w:szCs w:val="22"/>
              </w:rPr>
              <w:t>London % point change since 2012/13</w:t>
            </w:r>
          </w:p>
        </w:tc>
        <w:tc>
          <w:tcPr>
            <w:tcW w:w="1784" w:type="dxa"/>
            <w:shd w:val="clear" w:color="auto" w:fill="BFBFBF" w:themeFill="background1" w:themeFillShade="BF"/>
            <w:vAlign w:val="center"/>
          </w:tcPr>
          <w:p w:rsidR="007547D4" w:rsidRPr="006F2BD9" w:rsidRDefault="007547D4" w:rsidP="00031B92">
            <w:pPr>
              <w:pStyle w:val="Default"/>
              <w:jc w:val="center"/>
              <w:rPr>
                <w:rFonts w:asciiTheme="minorHAnsi" w:hAnsiTheme="minorHAnsi"/>
                <w:b/>
                <w:color w:val="auto"/>
                <w:sz w:val="22"/>
                <w:szCs w:val="22"/>
              </w:rPr>
            </w:pPr>
            <w:r w:rsidRPr="006F2BD9">
              <w:rPr>
                <w:rFonts w:asciiTheme="minorHAnsi" w:hAnsiTheme="minorHAnsi"/>
                <w:b/>
                <w:color w:val="auto"/>
                <w:sz w:val="22"/>
                <w:szCs w:val="22"/>
              </w:rPr>
              <w:t>% difference to London 2013/14</w:t>
            </w:r>
          </w:p>
        </w:tc>
      </w:tr>
      <w:tr w:rsidR="007547D4" w:rsidRPr="006F2BD9" w:rsidTr="00093568">
        <w:tc>
          <w:tcPr>
            <w:tcW w:w="2410" w:type="dxa"/>
            <w:vAlign w:val="center"/>
          </w:tcPr>
          <w:p w:rsidR="007547D4" w:rsidRPr="006F2BD9" w:rsidRDefault="007547D4" w:rsidP="00031B92">
            <w:pPr>
              <w:pStyle w:val="Default"/>
              <w:jc w:val="center"/>
              <w:rPr>
                <w:rFonts w:asciiTheme="minorHAnsi" w:hAnsiTheme="minorHAnsi"/>
                <w:sz w:val="22"/>
                <w:szCs w:val="22"/>
              </w:rPr>
            </w:pPr>
            <w:r w:rsidRPr="006F2BD9">
              <w:rPr>
                <w:rFonts w:asciiTheme="minorHAnsi" w:hAnsiTheme="minorHAnsi"/>
                <w:sz w:val="22"/>
                <w:szCs w:val="22"/>
              </w:rPr>
              <w:t>Lack of affordable housing</w:t>
            </w:r>
          </w:p>
        </w:tc>
        <w:tc>
          <w:tcPr>
            <w:tcW w:w="1776" w:type="dxa"/>
            <w:vAlign w:val="center"/>
          </w:tcPr>
          <w:p w:rsidR="007547D4" w:rsidRPr="006F2BD9" w:rsidRDefault="007547D4" w:rsidP="00031B92">
            <w:pPr>
              <w:pStyle w:val="Default"/>
              <w:jc w:val="center"/>
              <w:rPr>
                <w:rFonts w:asciiTheme="minorHAnsi" w:hAnsiTheme="minorHAnsi"/>
                <w:sz w:val="22"/>
                <w:szCs w:val="22"/>
              </w:rPr>
            </w:pPr>
            <w:r w:rsidRPr="006F2BD9">
              <w:rPr>
                <w:rFonts w:asciiTheme="minorHAnsi" w:hAnsiTheme="minorHAnsi"/>
                <w:sz w:val="22"/>
                <w:szCs w:val="22"/>
              </w:rPr>
              <w:t>27%</w:t>
            </w:r>
          </w:p>
        </w:tc>
        <w:tc>
          <w:tcPr>
            <w:tcW w:w="1939" w:type="dxa"/>
            <w:vAlign w:val="center"/>
          </w:tcPr>
          <w:p w:rsidR="007547D4" w:rsidRPr="006F2BD9" w:rsidRDefault="007547D4" w:rsidP="00031B92">
            <w:pPr>
              <w:pStyle w:val="Default"/>
              <w:jc w:val="center"/>
              <w:rPr>
                <w:rFonts w:asciiTheme="minorHAnsi" w:hAnsiTheme="minorHAnsi"/>
                <w:sz w:val="22"/>
                <w:szCs w:val="22"/>
              </w:rPr>
            </w:pPr>
            <w:r w:rsidRPr="006F2BD9">
              <w:rPr>
                <w:rFonts w:asciiTheme="minorHAnsi" w:hAnsiTheme="minorHAnsi"/>
                <w:sz w:val="22"/>
                <w:szCs w:val="22"/>
              </w:rPr>
              <w:t>+6%</w:t>
            </w:r>
          </w:p>
        </w:tc>
        <w:tc>
          <w:tcPr>
            <w:tcW w:w="1678" w:type="dxa"/>
            <w:vAlign w:val="center"/>
          </w:tcPr>
          <w:p w:rsidR="007547D4" w:rsidRPr="006F2BD9" w:rsidRDefault="007547D4" w:rsidP="00031B92">
            <w:pPr>
              <w:pStyle w:val="Default"/>
              <w:jc w:val="center"/>
              <w:rPr>
                <w:rFonts w:asciiTheme="minorHAnsi" w:hAnsiTheme="minorHAnsi"/>
                <w:sz w:val="22"/>
                <w:szCs w:val="22"/>
              </w:rPr>
            </w:pPr>
            <w:r w:rsidRPr="006F2BD9">
              <w:rPr>
                <w:rFonts w:asciiTheme="minorHAnsi" w:hAnsiTheme="minorHAnsi"/>
                <w:sz w:val="22"/>
                <w:szCs w:val="22"/>
              </w:rPr>
              <w:t>-3%</w:t>
            </w:r>
          </w:p>
        </w:tc>
        <w:tc>
          <w:tcPr>
            <w:tcW w:w="1784" w:type="dxa"/>
            <w:vAlign w:val="center"/>
          </w:tcPr>
          <w:p w:rsidR="007547D4" w:rsidRPr="006F2BD9" w:rsidRDefault="007547D4" w:rsidP="00031B92">
            <w:pPr>
              <w:pStyle w:val="Default"/>
              <w:jc w:val="center"/>
              <w:rPr>
                <w:rFonts w:asciiTheme="minorHAnsi" w:hAnsiTheme="minorHAnsi"/>
                <w:sz w:val="22"/>
                <w:szCs w:val="22"/>
              </w:rPr>
            </w:pPr>
            <w:r w:rsidRPr="006F2BD9">
              <w:rPr>
                <w:rFonts w:asciiTheme="minorHAnsi" w:hAnsiTheme="minorHAnsi"/>
                <w:sz w:val="22"/>
                <w:szCs w:val="22"/>
              </w:rPr>
              <w:t>+4%</w:t>
            </w:r>
          </w:p>
        </w:tc>
      </w:tr>
      <w:tr w:rsidR="007547D4" w:rsidRPr="006F2BD9" w:rsidTr="00093568">
        <w:tc>
          <w:tcPr>
            <w:tcW w:w="2410" w:type="dxa"/>
            <w:vAlign w:val="center"/>
          </w:tcPr>
          <w:p w:rsidR="007547D4" w:rsidRPr="006F2BD9" w:rsidRDefault="007547D4" w:rsidP="00031B92">
            <w:pPr>
              <w:pStyle w:val="Default"/>
              <w:jc w:val="center"/>
              <w:rPr>
                <w:rFonts w:asciiTheme="minorHAnsi" w:hAnsiTheme="minorHAnsi"/>
                <w:sz w:val="22"/>
                <w:szCs w:val="22"/>
              </w:rPr>
            </w:pPr>
            <w:r w:rsidRPr="006F2BD9">
              <w:rPr>
                <w:rFonts w:asciiTheme="minorHAnsi" w:hAnsiTheme="minorHAnsi"/>
                <w:sz w:val="22"/>
                <w:szCs w:val="22"/>
              </w:rPr>
              <w:t>Number of homeless people</w:t>
            </w:r>
          </w:p>
        </w:tc>
        <w:tc>
          <w:tcPr>
            <w:tcW w:w="1776" w:type="dxa"/>
            <w:vAlign w:val="center"/>
          </w:tcPr>
          <w:p w:rsidR="007547D4" w:rsidRPr="006F2BD9" w:rsidRDefault="007547D4" w:rsidP="00031B92">
            <w:pPr>
              <w:pStyle w:val="Default"/>
              <w:jc w:val="center"/>
              <w:rPr>
                <w:rFonts w:asciiTheme="minorHAnsi" w:hAnsiTheme="minorHAnsi"/>
                <w:sz w:val="22"/>
                <w:szCs w:val="22"/>
              </w:rPr>
            </w:pPr>
            <w:r w:rsidRPr="006F2BD9">
              <w:rPr>
                <w:rFonts w:asciiTheme="minorHAnsi" w:hAnsiTheme="minorHAnsi"/>
                <w:sz w:val="22"/>
                <w:szCs w:val="22"/>
              </w:rPr>
              <w:t>8%</w:t>
            </w:r>
          </w:p>
        </w:tc>
        <w:tc>
          <w:tcPr>
            <w:tcW w:w="1939" w:type="dxa"/>
            <w:vAlign w:val="center"/>
          </w:tcPr>
          <w:p w:rsidR="007547D4" w:rsidRPr="006F2BD9" w:rsidRDefault="007547D4" w:rsidP="00031B92">
            <w:pPr>
              <w:pStyle w:val="Default"/>
              <w:jc w:val="center"/>
              <w:rPr>
                <w:rFonts w:asciiTheme="minorHAnsi" w:hAnsiTheme="minorHAnsi"/>
                <w:sz w:val="22"/>
                <w:szCs w:val="22"/>
              </w:rPr>
            </w:pPr>
            <w:r w:rsidRPr="006F2BD9">
              <w:rPr>
                <w:rFonts w:asciiTheme="minorHAnsi" w:hAnsiTheme="minorHAnsi"/>
                <w:sz w:val="22"/>
                <w:szCs w:val="22"/>
              </w:rPr>
              <w:t>+3%</w:t>
            </w:r>
          </w:p>
        </w:tc>
        <w:tc>
          <w:tcPr>
            <w:tcW w:w="1678" w:type="dxa"/>
            <w:vAlign w:val="center"/>
          </w:tcPr>
          <w:p w:rsidR="007547D4" w:rsidRPr="006F2BD9" w:rsidRDefault="007547D4" w:rsidP="00031B92">
            <w:pPr>
              <w:pStyle w:val="Default"/>
              <w:jc w:val="center"/>
              <w:rPr>
                <w:rFonts w:asciiTheme="minorHAnsi" w:hAnsiTheme="minorHAnsi"/>
                <w:sz w:val="22"/>
                <w:szCs w:val="22"/>
              </w:rPr>
            </w:pPr>
            <w:r w:rsidRPr="006F2BD9">
              <w:rPr>
                <w:rFonts w:asciiTheme="minorHAnsi" w:hAnsiTheme="minorHAnsi"/>
                <w:sz w:val="22"/>
                <w:szCs w:val="22"/>
              </w:rPr>
              <w:t>-1%</w:t>
            </w:r>
          </w:p>
        </w:tc>
        <w:tc>
          <w:tcPr>
            <w:tcW w:w="1784" w:type="dxa"/>
            <w:vAlign w:val="center"/>
          </w:tcPr>
          <w:p w:rsidR="007547D4" w:rsidRPr="006F2BD9" w:rsidRDefault="007547D4" w:rsidP="00031B92">
            <w:pPr>
              <w:pStyle w:val="Default"/>
              <w:jc w:val="center"/>
              <w:rPr>
                <w:rFonts w:asciiTheme="minorHAnsi" w:hAnsiTheme="minorHAnsi"/>
                <w:sz w:val="22"/>
                <w:szCs w:val="22"/>
              </w:rPr>
            </w:pPr>
            <w:r w:rsidRPr="006F2BD9">
              <w:rPr>
                <w:rFonts w:asciiTheme="minorHAnsi" w:hAnsiTheme="minorHAnsi"/>
                <w:sz w:val="22"/>
                <w:szCs w:val="22"/>
              </w:rPr>
              <w:t>-1%</w:t>
            </w:r>
          </w:p>
        </w:tc>
      </w:tr>
    </w:tbl>
    <w:p w:rsidR="007547D4" w:rsidRDefault="007547D4" w:rsidP="007547D4">
      <w:pPr>
        <w:pStyle w:val="Default"/>
        <w:jc w:val="both"/>
        <w:rPr>
          <w:rFonts w:asciiTheme="minorHAnsi" w:hAnsiTheme="minorHAnsi"/>
          <w:color w:val="auto"/>
          <w:sz w:val="22"/>
          <w:szCs w:val="22"/>
        </w:rPr>
      </w:pPr>
      <w:r w:rsidRPr="006F2BD9">
        <w:rPr>
          <w:rFonts w:asciiTheme="minorHAnsi" w:hAnsiTheme="minorHAnsi"/>
          <w:color w:val="auto"/>
          <w:sz w:val="22"/>
          <w:szCs w:val="22"/>
        </w:rPr>
        <w:t xml:space="preserve">Source: London </w:t>
      </w:r>
      <w:r>
        <w:rPr>
          <w:rFonts w:asciiTheme="minorHAnsi" w:hAnsiTheme="minorHAnsi"/>
          <w:color w:val="auto"/>
          <w:sz w:val="22"/>
          <w:szCs w:val="22"/>
        </w:rPr>
        <w:t>Borough</w:t>
      </w:r>
      <w:r w:rsidRPr="006F2BD9">
        <w:rPr>
          <w:rFonts w:asciiTheme="minorHAnsi" w:hAnsiTheme="minorHAnsi"/>
          <w:color w:val="auto"/>
          <w:sz w:val="22"/>
          <w:szCs w:val="22"/>
        </w:rPr>
        <w:t xml:space="preserve"> of Barnet, Resident’s Perception Survey</w:t>
      </w:r>
    </w:p>
    <w:p w:rsidR="007547D4" w:rsidRDefault="007547D4" w:rsidP="007547D4">
      <w:pPr>
        <w:autoSpaceDE w:val="0"/>
        <w:autoSpaceDN w:val="0"/>
        <w:adjustRightInd w:val="0"/>
        <w:spacing w:after="0" w:line="240" w:lineRule="auto"/>
        <w:jc w:val="both"/>
        <w:rPr>
          <w:rFonts w:cs="HelveticaNeueLTStd-It"/>
          <w:iCs/>
        </w:rPr>
      </w:pPr>
    </w:p>
    <w:p w:rsidR="007547D4" w:rsidRPr="006F2BD9" w:rsidRDefault="007547D4" w:rsidP="007547D4">
      <w:pPr>
        <w:autoSpaceDE w:val="0"/>
        <w:autoSpaceDN w:val="0"/>
        <w:adjustRightInd w:val="0"/>
        <w:spacing w:after="0" w:line="240" w:lineRule="auto"/>
        <w:jc w:val="both"/>
        <w:rPr>
          <w:rFonts w:cs="HelveticaNeueLTStd-It"/>
          <w:iCs/>
        </w:rPr>
      </w:pPr>
      <w:r w:rsidRPr="006F2BD9">
        <w:rPr>
          <w:rFonts w:cs="HelveticaNeueLTStd-It"/>
          <w:iCs/>
        </w:rPr>
        <w:t>In the last four years, overall tenants’ satisfaction with the services provided by Barnet Homes has risen by 8.5%. It currently stands at 81.1%. The next challenge is to continue to provide high quality services to ensure that satisfaction rates remain high.</w:t>
      </w:r>
    </w:p>
    <w:p w:rsidR="007547D4" w:rsidRPr="006F2BD9" w:rsidRDefault="007547D4" w:rsidP="007547D4">
      <w:pPr>
        <w:pStyle w:val="Heading2"/>
        <w:numPr>
          <w:ilvl w:val="1"/>
          <w:numId w:val="138"/>
        </w:numPr>
      </w:pPr>
      <w:bookmarkStart w:id="539" w:name="_Toc426723313"/>
      <w:bookmarkStart w:id="540" w:name="_Toc431225140"/>
      <w:r w:rsidRPr="006F2BD9">
        <w:t>Environment</w:t>
      </w:r>
      <w:bookmarkEnd w:id="539"/>
      <w:bookmarkEnd w:id="540"/>
    </w:p>
    <w:p w:rsidR="007547D4" w:rsidRDefault="007547D4" w:rsidP="007547D4">
      <w:pPr>
        <w:pStyle w:val="Heading3"/>
        <w:numPr>
          <w:ilvl w:val="2"/>
          <w:numId w:val="138"/>
        </w:numPr>
      </w:pPr>
      <w:r>
        <w:t>Carbon Emissions</w:t>
      </w:r>
    </w:p>
    <w:p w:rsidR="007547D4" w:rsidRPr="006C6BA7" w:rsidRDefault="009850F5" w:rsidP="007547D4">
      <w:r>
        <w:t>The Council</w:t>
      </w:r>
      <w:r w:rsidR="007547D4">
        <w:t xml:space="preserve"> recognise the need to reduce carbon dioxide (C02) emissions in the Borough, and that this has to be approached through behavioural change by public services, citizens and businesses. </w:t>
      </w:r>
    </w:p>
    <w:p w:rsidR="007547D4" w:rsidRDefault="007547D4" w:rsidP="007547D4">
      <w:r>
        <w:t>In 2012, per capita, CO2 emissions in Barnet were 4.4 tonnes per person, down from 5.4 tonnes per person in 2005. This was the fifteenth lowest in London, and below the Greater London rate of 5.2</w:t>
      </w:r>
      <w:r w:rsidRPr="007B1267">
        <w:rPr>
          <w:rStyle w:val="FootnoteReference"/>
          <w:rFonts w:cs="Arial"/>
        </w:rPr>
        <w:footnoteReference w:id="6"/>
      </w:r>
      <w:r>
        <w:t>.</w:t>
      </w:r>
    </w:p>
    <w:p w:rsidR="007547D4" w:rsidRDefault="007547D4" w:rsidP="007547D4">
      <w:r>
        <w:t>In 2012, the biggest source of CO2 emissions within Barnet was from homes (51.4%), with industry and commercial activity generating 24.3% of emissions and road transport creating 24.1%. The overall level of carbon emissions in Barnet fell from 1,759,400 tonnes of CO2 in 2005 to 1,600,300 tonnes of CO2 in 2012.</w:t>
      </w:r>
    </w:p>
    <w:p w:rsidR="007547D4" w:rsidRDefault="007547D4" w:rsidP="007547D4">
      <w:pPr>
        <w:pStyle w:val="Heading3"/>
        <w:numPr>
          <w:ilvl w:val="2"/>
          <w:numId w:val="138"/>
        </w:numPr>
      </w:pPr>
      <w:r>
        <w:t>Air Pollution</w:t>
      </w:r>
    </w:p>
    <w:p w:rsidR="007547D4" w:rsidRPr="00654779" w:rsidRDefault="007547D4" w:rsidP="007547D4">
      <w:r w:rsidRPr="00654779">
        <w:t>For the majority of the population the health impacts of air pollution are not ob</w:t>
      </w:r>
      <w:r>
        <w:t>vious, h</w:t>
      </w:r>
      <w:r w:rsidRPr="00654779">
        <w:t>owever, smaller numbers of the population are more vulnerable to the effects of air pollution, as exposure to pollution can exacerbate existing health conditions including cardiovascular and respiratory disease. This can lead to restricted activity, hospital admissions and even premature mortality</w:t>
      </w:r>
      <w:r>
        <w:rPr>
          <w:rStyle w:val="FootnoteReference"/>
        </w:rPr>
        <w:footnoteReference w:id="7"/>
      </w:r>
      <w:r w:rsidRPr="00654779">
        <w:t>.</w:t>
      </w:r>
    </w:p>
    <w:p w:rsidR="007547D4" w:rsidRPr="00837B54" w:rsidRDefault="007547D4" w:rsidP="007547D4">
      <w:r w:rsidRPr="00837B54">
        <w:t xml:space="preserve">The UK Air Quality Standards Regulations 2000, updated in 2010, sets standards for a variety of pollutants that are considered harmful to human health </w:t>
      </w:r>
      <w:r>
        <w:t>and the environment. Despite</w:t>
      </w:r>
      <w:r w:rsidRPr="00837B54">
        <w:t xml:space="preserve"> reductions in the majority of the pollutants, levels of PM10 and Nitrogen Dioxide (NO2) continue to exceed the national air quality standards and objectives in some areas of London.</w:t>
      </w:r>
    </w:p>
    <w:p w:rsidR="007547D4" w:rsidRDefault="007547D4" w:rsidP="007547D4">
      <w:r w:rsidRPr="00075C19">
        <w:t xml:space="preserve">Figures </w:t>
      </w:r>
      <w:r>
        <w:t>3-14</w:t>
      </w:r>
      <w:r w:rsidRPr="00075C19">
        <w:t xml:space="preserve"> and </w:t>
      </w:r>
      <w:r>
        <w:t>3-15</w:t>
      </w:r>
      <w:r w:rsidRPr="00075C19">
        <w:t xml:space="preserve">, spatially represent the annual mean concentrations of NO2 and PM10 </w:t>
      </w:r>
      <w:r>
        <w:t>in</w:t>
      </w:r>
      <w:r w:rsidRPr="00075C19">
        <w:t xml:space="preserve"> </w:t>
      </w:r>
      <w:r>
        <w:t>Ba</w:t>
      </w:r>
      <w:r w:rsidRPr="00075C19">
        <w:t>rnet</w:t>
      </w:r>
      <w:r>
        <w:t xml:space="preserve"> in</w:t>
      </w:r>
      <w:r w:rsidRPr="00075C19">
        <w:t xml:space="preserve"> 2011. </w:t>
      </w:r>
      <w:r>
        <w:t xml:space="preserve">Generally the levels of NO2 and PM10 are quite low within the Borough, although there are concentrated areas of higher pollution levels around </w:t>
      </w:r>
      <w:r w:rsidRPr="00075C19">
        <w:t>s</w:t>
      </w:r>
      <w:r>
        <w:t>ome of the main arterial roads within</w:t>
      </w:r>
      <w:r w:rsidRPr="00075C19">
        <w:t xml:space="preserve"> the </w:t>
      </w:r>
      <w:r>
        <w:t>Borough</w:t>
      </w:r>
      <w:r w:rsidRPr="00075C19">
        <w:t>.</w:t>
      </w:r>
    </w:p>
    <w:p w:rsidR="00093568" w:rsidRDefault="00093568" w:rsidP="007547D4"/>
    <w:p w:rsidR="00093568" w:rsidRDefault="00093568" w:rsidP="007547D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7547D4" w:rsidRPr="00BA2826" w:rsidTr="00031B92">
        <w:tc>
          <w:tcPr>
            <w:tcW w:w="4621" w:type="dxa"/>
          </w:tcPr>
          <w:p w:rsidR="007547D4" w:rsidRPr="00BA2826" w:rsidRDefault="007547D4" w:rsidP="00031B92">
            <w:pPr>
              <w:pStyle w:val="Caption"/>
              <w:rPr>
                <w:b w:val="0"/>
                <w:i/>
              </w:rPr>
            </w:pPr>
            <w:r>
              <w:lastRenderedPageBreak/>
              <w:t xml:space="preserve">Figure </w:t>
            </w:r>
            <w:fldSimple w:instr=" STYLEREF 1 \s ">
              <w:r w:rsidR="001663C2">
                <w:rPr>
                  <w:noProof/>
                </w:rPr>
                <w:t>3</w:t>
              </w:r>
            </w:fldSimple>
            <w:r w:rsidR="00943DC2">
              <w:noBreakHyphen/>
            </w:r>
            <w:fldSimple w:instr=" SEQ Figure \* ARABIC \s 1 ">
              <w:r w:rsidR="001663C2">
                <w:rPr>
                  <w:noProof/>
                </w:rPr>
                <w:t>14</w:t>
              </w:r>
            </w:fldSimple>
            <w:r w:rsidRPr="00897DBB">
              <w:t>: Annual Mean Concentrations of PM10 in Barnet, 2011</w:t>
            </w:r>
          </w:p>
        </w:tc>
        <w:tc>
          <w:tcPr>
            <w:tcW w:w="4621" w:type="dxa"/>
          </w:tcPr>
          <w:p w:rsidR="007547D4" w:rsidRPr="00BA2826" w:rsidRDefault="007547D4" w:rsidP="00031B92">
            <w:pPr>
              <w:pStyle w:val="Caption"/>
              <w:rPr>
                <w:b w:val="0"/>
                <w:i/>
              </w:rPr>
            </w:pPr>
            <w:r>
              <w:t xml:space="preserve">Figure </w:t>
            </w:r>
            <w:fldSimple w:instr=" STYLEREF 1 \s ">
              <w:r w:rsidR="001663C2">
                <w:rPr>
                  <w:noProof/>
                </w:rPr>
                <w:t>3</w:t>
              </w:r>
            </w:fldSimple>
            <w:r w:rsidR="00943DC2">
              <w:noBreakHyphen/>
            </w:r>
            <w:fldSimple w:instr=" SEQ Figure \* ARABIC \s 1 ">
              <w:r w:rsidR="001663C2">
                <w:rPr>
                  <w:noProof/>
                </w:rPr>
                <w:t>15</w:t>
              </w:r>
            </w:fldSimple>
            <w:r w:rsidRPr="00897DBB">
              <w:t>: Annual Mean Concentrations of NO2 in Barnet, 2011</w:t>
            </w:r>
          </w:p>
        </w:tc>
      </w:tr>
    </w:tbl>
    <w:p w:rsidR="007547D4" w:rsidRDefault="007547D4" w:rsidP="007547D4">
      <w:pPr>
        <w:spacing w:after="0" w:line="240" w:lineRule="auto"/>
        <w:ind w:hanging="284"/>
        <w:jc w:val="center"/>
      </w:pPr>
      <w:r>
        <w:rPr>
          <w:noProof/>
          <w:lang w:eastAsia="en-GB"/>
        </w:rPr>
        <w:drawing>
          <wp:inline distT="0" distB="0" distL="0" distR="0" wp14:anchorId="6C2B2AFC" wp14:editId="4F1CEA2D">
            <wp:extent cx="6081823" cy="2731694"/>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98306" cy="2739098"/>
                    </a:xfrm>
                    <a:prstGeom prst="rect">
                      <a:avLst/>
                    </a:prstGeom>
                    <a:noFill/>
                  </pic:spPr>
                </pic:pic>
              </a:graphicData>
            </a:graphic>
          </wp:inline>
        </w:drawing>
      </w:r>
    </w:p>
    <w:p w:rsidR="007547D4" w:rsidRDefault="007547D4" w:rsidP="007547D4">
      <w:pPr>
        <w:spacing w:after="0" w:line="240" w:lineRule="auto"/>
      </w:pPr>
      <w:r>
        <w:t>Source: Air Quality in Barnet a Guide for Public Health Professionals, 2013</w:t>
      </w:r>
    </w:p>
    <w:p w:rsidR="007547D4" w:rsidRDefault="007547D4" w:rsidP="007547D4">
      <w:pPr>
        <w:spacing w:after="0" w:line="240" w:lineRule="auto"/>
      </w:pPr>
    </w:p>
    <w:p w:rsidR="007547D4" w:rsidRDefault="007547D4" w:rsidP="007547D4">
      <w:r>
        <w:t>In 2011 a</w:t>
      </w:r>
      <w:r w:rsidRPr="00495BC5">
        <w:t>ir quality focus areas were selected by the GLA</w:t>
      </w:r>
      <w:r>
        <w:t>,</w:t>
      </w:r>
      <w:r w:rsidRPr="00495BC5">
        <w:t xml:space="preserve"> as areas where there is the most potential for improvements in air quality within the Capital. These areas have been selected through an analysis</w:t>
      </w:r>
      <w:r>
        <w:t xml:space="preserve"> of factors such as current and predicted air quality; population and traffic patterns.</w:t>
      </w:r>
      <w:r w:rsidRPr="00495BC5">
        <w:t xml:space="preserve"> </w:t>
      </w:r>
    </w:p>
    <w:p w:rsidR="007547D4" w:rsidRPr="00495BC5" w:rsidRDefault="007547D4" w:rsidP="007547D4">
      <w:r w:rsidRPr="00495BC5">
        <w:t xml:space="preserve">In 2011 the GLA identified eight Air Quality Focus Areas within Barnet, outlined in Figure </w:t>
      </w:r>
      <w:r>
        <w:t>3-16</w:t>
      </w:r>
      <w:r w:rsidRPr="00495BC5">
        <w:t xml:space="preserve"> below. The red stars represent the locati</w:t>
      </w:r>
      <w:r>
        <w:t xml:space="preserve">on of the monitoring equipment and the percentages under each location display the primary sources of Nitrogen Oxide emissions for that area. </w:t>
      </w:r>
    </w:p>
    <w:p w:rsidR="007547D4" w:rsidRDefault="007547D4" w:rsidP="007547D4">
      <w:pPr>
        <w:pStyle w:val="Caption"/>
      </w:pPr>
      <w:r>
        <w:t xml:space="preserve">Figure </w:t>
      </w:r>
      <w:fldSimple w:instr=" STYLEREF 1 \s ">
        <w:r w:rsidR="001663C2">
          <w:rPr>
            <w:noProof/>
          </w:rPr>
          <w:t>3</w:t>
        </w:r>
      </w:fldSimple>
      <w:r w:rsidR="00943DC2">
        <w:noBreakHyphen/>
      </w:r>
      <w:fldSimple w:instr=" SEQ Figure \* ARABIC \s 1 ">
        <w:r w:rsidR="001663C2">
          <w:rPr>
            <w:noProof/>
          </w:rPr>
          <w:t>16</w:t>
        </w:r>
      </w:fldSimple>
      <w:r w:rsidRPr="00897DBB">
        <w:t>: Barnet Focus Areas and Air Quality Monitors</w:t>
      </w:r>
    </w:p>
    <w:p w:rsidR="007547D4" w:rsidRDefault="007547D4" w:rsidP="007547D4">
      <w:pPr>
        <w:spacing w:after="0" w:line="240" w:lineRule="auto"/>
        <w:ind w:hanging="567"/>
        <w:jc w:val="center"/>
      </w:pPr>
      <w:r w:rsidRPr="003E1484">
        <w:rPr>
          <w:noProof/>
          <w:lang w:eastAsia="en-GB"/>
        </w:rPr>
        <w:drawing>
          <wp:inline distT="0" distB="0" distL="0" distR="0" wp14:anchorId="23509817" wp14:editId="65E778BA">
            <wp:extent cx="4686300" cy="3229512"/>
            <wp:effectExtent l="0" t="0" r="0" b="9525"/>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51">
                      <a:extLst>
                        <a:ext uri="{28A0092B-C50C-407E-A947-70E740481C1C}">
                          <a14:useLocalDpi xmlns:a14="http://schemas.microsoft.com/office/drawing/2010/main" val="0"/>
                        </a:ext>
                      </a:extLst>
                    </a:blip>
                    <a:srcRect l="11658" t="13681" r="28449" b="10636"/>
                    <a:stretch/>
                  </pic:blipFill>
                  <pic:spPr bwMode="auto">
                    <a:xfrm>
                      <a:off x="0" y="0"/>
                      <a:ext cx="4702130" cy="3240421"/>
                    </a:xfrm>
                    <a:prstGeom prst="rect">
                      <a:avLst/>
                    </a:prstGeom>
                    <a:noFill/>
                    <a:ln>
                      <a:noFill/>
                    </a:ln>
                    <a:effectLst/>
                    <a:extLst/>
                  </pic:spPr>
                </pic:pic>
              </a:graphicData>
            </a:graphic>
          </wp:inline>
        </w:drawing>
      </w:r>
    </w:p>
    <w:p w:rsidR="007547D4" w:rsidRDefault="007547D4" w:rsidP="007547D4">
      <w:pPr>
        <w:spacing w:after="0" w:line="240" w:lineRule="auto"/>
      </w:pPr>
      <w:r>
        <w:t>Source: Air Quality in Barnet a Guide for Public Health Professionals, 2013</w:t>
      </w:r>
    </w:p>
    <w:p w:rsidR="007547D4" w:rsidRPr="006F2BD9" w:rsidRDefault="007547D4" w:rsidP="007547D4">
      <w:pPr>
        <w:pStyle w:val="Heading3"/>
        <w:numPr>
          <w:ilvl w:val="2"/>
          <w:numId w:val="138"/>
        </w:numPr>
      </w:pPr>
      <w:r w:rsidRPr="006F2BD9">
        <w:lastRenderedPageBreak/>
        <w:t>Green Spaces</w:t>
      </w:r>
    </w:p>
    <w:p w:rsidR="007547D4" w:rsidRPr="00085496" w:rsidRDefault="007547D4" w:rsidP="007547D4">
      <w:pPr>
        <w:jc w:val="both"/>
        <w:rPr>
          <w:rFonts w:cs="Arial"/>
        </w:rPr>
      </w:pPr>
      <w:r w:rsidRPr="006D769B">
        <w:rPr>
          <w:rFonts w:cs="Arial"/>
        </w:rPr>
        <w:t>Parks are widely recognised for their health benefits as they can be used as a setting for casual or organised exercise. In Barnet, parks and green spaces</w:t>
      </w:r>
      <w:r>
        <w:rPr>
          <w:rFonts w:cs="Arial"/>
        </w:rPr>
        <w:t xml:space="preserve"> are the most popular location for exercising, accounting for </w:t>
      </w:r>
      <w:r w:rsidRPr="006D769B">
        <w:rPr>
          <w:rFonts w:cs="Arial"/>
        </w:rPr>
        <w:t xml:space="preserve">over 50% of exercise in the </w:t>
      </w:r>
      <w:r>
        <w:rPr>
          <w:rFonts w:cs="Arial"/>
        </w:rPr>
        <w:t>Borough</w:t>
      </w:r>
      <w:r>
        <w:rPr>
          <w:rStyle w:val="FootnoteReference"/>
          <w:rFonts w:cs="Arial"/>
        </w:rPr>
        <w:footnoteReference w:id="8"/>
      </w:r>
      <w:r w:rsidRPr="006D769B">
        <w:rPr>
          <w:rFonts w:cs="Arial"/>
        </w:rPr>
        <w:t xml:space="preserve">. </w:t>
      </w:r>
      <w:r>
        <w:rPr>
          <w:rFonts w:cs="Arial"/>
        </w:rPr>
        <w:t>Frequenting a park</w:t>
      </w:r>
      <w:r w:rsidRPr="00085496">
        <w:rPr>
          <w:rFonts w:cs="Arial"/>
        </w:rPr>
        <w:t xml:space="preserve"> </w:t>
      </w:r>
      <w:r>
        <w:rPr>
          <w:rFonts w:cs="Arial"/>
        </w:rPr>
        <w:t xml:space="preserve">has also been found to reduce stress-related illness which has a positive effect on </w:t>
      </w:r>
      <w:r w:rsidRPr="00085496">
        <w:rPr>
          <w:rFonts w:cs="Arial"/>
        </w:rPr>
        <w:t>mental wellbeing</w:t>
      </w:r>
      <w:r>
        <w:rPr>
          <w:rStyle w:val="FootnoteReference"/>
          <w:rFonts w:cs="Arial"/>
        </w:rPr>
        <w:footnoteReference w:id="9"/>
      </w:r>
      <w:r w:rsidRPr="00085496">
        <w:rPr>
          <w:rFonts w:cs="Arial"/>
        </w:rPr>
        <w:t xml:space="preserve">. </w:t>
      </w:r>
    </w:p>
    <w:p w:rsidR="007547D4" w:rsidRPr="006F2BD9" w:rsidRDefault="007547D4" w:rsidP="007547D4">
      <w:pPr>
        <w:jc w:val="both"/>
        <w:rPr>
          <w:rFonts w:cs="Arial"/>
        </w:rPr>
      </w:pPr>
      <w:r w:rsidRPr="006F2BD9">
        <w:rPr>
          <w:rFonts w:cs="Arial"/>
        </w:rPr>
        <w:t xml:space="preserve">Figure </w:t>
      </w:r>
      <w:r>
        <w:t>3-</w:t>
      </w:r>
      <w:r>
        <w:rPr>
          <w:rFonts w:cs="Arial"/>
        </w:rPr>
        <w:t>17</w:t>
      </w:r>
      <w:r w:rsidRPr="006F2BD9">
        <w:rPr>
          <w:rFonts w:cs="Arial"/>
        </w:rPr>
        <w:t xml:space="preserve"> shows the location of parks and green</w:t>
      </w:r>
      <w:r>
        <w:rPr>
          <w:rFonts w:cs="Arial"/>
        </w:rPr>
        <w:t xml:space="preserve"> spaces in Barnet, and Figure </w:t>
      </w:r>
      <w:r>
        <w:t>3-</w:t>
      </w:r>
      <w:r>
        <w:rPr>
          <w:rFonts w:cs="Arial"/>
        </w:rPr>
        <w:t>18</w:t>
      </w:r>
      <w:r w:rsidRPr="006F2BD9">
        <w:rPr>
          <w:rFonts w:cs="Arial"/>
        </w:rPr>
        <w:t xml:space="preserve"> shows satisfaction with parks and green spaces by ward. In 2014, the average satisfaction rate for </w:t>
      </w:r>
      <w:r>
        <w:rPr>
          <w:rFonts w:cs="Arial"/>
        </w:rPr>
        <w:t xml:space="preserve">parks and green spaces in Barnet was 70%. </w:t>
      </w:r>
      <w:r w:rsidRPr="006F2BD9">
        <w:rPr>
          <w:rFonts w:cs="Arial"/>
        </w:rPr>
        <w:t>Burnt Oak</w:t>
      </w:r>
      <w:r>
        <w:rPr>
          <w:rFonts w:cs="Arial"/>
        </w:rPr>
        <w:t xml:space="preserve"> residents had the lowest level of satisfaction (</w:t>
      </w:r>
      <w:r w:rsidRPr="006F2BD9">
        <w:rPr>
          <w:rFonts w:cs="Arial"/>
        </w:rPr>
        <w:t>55%</w:t>
      </w:r>
      <w:r>
        <w:rPr>
          <w:rFonts w:cs="Arial"/>
        </w:rPr>
        <w:t>) whereas Garden Suburb had the highest (86%)</w:t>
      </w:r>
      <w:r>
        <w:rPr>
          <w:rStyle w:val="FootnoteReference"/>
          <w:rFonts w:cs="Arial"/>
        </w:rPr>
        <w:footnoteReference w:id="10"/>
      </w:r>
      <w:r>
        <w:rPr>
          <w:rFonts w:cs="Arial"/>
        </w:rPr>
        <w:t>.</w:t>
      </w:r>
      <w:r w:rsidRPr="006F2BD9">
        <w:rPr>
          <w:rFonts w:cs="Arial"/>
        </w:rPr>
        <w:t xml:space="preserve"> </w:t>
      </w:r>
    </w:p>
    <w:p w:rsidR="007547D4" w:rsidRDefault="007547D4" w:rsidP="007547D4">
      <w:pPr>
        <w:jc w:val="both"/>
        <w:rPr>
          <w:rFonts w:cs="Arial"/>
        </w:rPr>
      </w:pPr>
      <w:r>
        <w:rPr>
          <w:rFonts w:cs="Arial"/>
        </w:rPr>
        <w:t>G</w:t>
      </w:r>
      <w:r w:rsidRPr="006F2BD9">
        <w:rPr>
          <w:rFonts w:cs="Arial"/>
        </w:rPr>
        <w:t>enerally speak</w:t>
      </w:r>
      <w:r>
        <w:rPr>
          <w:rFonts w:cs="Arial"/>
        </w:rPr>
        <w:t>ing, the west of the Borough had</w:t>
      </w:r>
      <w:r w:rsidRPr="006F2BD9">
        <w:rPr>
          <w:rFonts w:cs="Arial"/>
        </w:rPr>
        <w:t xml:space="preserve"> lower satisfaction with parks than the east. With the exception of East Finchley, the wards with the lowest satisfaction </w:t>
      </w:r>
      <w:r>
        <w:rPr>
          <w:rFonts w:cs="Arial"/>
        </w:rPr>
        <w:t xml:space="preserve">were </w:t>
      </w:r>
      <w:r w:rsidRPr="006F2BD9">
        <w:rPr>
          <w:rFonts w:cs="Arial"/>
        </w:rPr>
        <w:t xml:space="preserve">all in the Hendon constituency.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7547D4" w:rsidTr="00031B92">
        <w:tc>
          <w:tcPr>
            <w:tcW w:w="4621" w:type="dxa"/>
          </w:tcPr>
          <w:p w:rsidR="007547D4" w:rsidRPr="00897DBB" w:rsidRDefault="007547D4" w:rsidP="00031B92">
            <w:pPr>
              <w:pStyle w:val="Caption"/>
            </w:pPr>
            <w:r>
              <w:t xml:space="preserve">Figure </w:t>
            </w:r>
            <w:fldSimple w:instr=" STYLEREF 1 \s ">
              <w:r w:rsidR="001663C2">
                <w:rPr>
                  <w:noProof/>
                </w:rPr>
                <w:t>3</w:t>
              </w:r>
            </w:fldSimple>
            <w:r w:rsidR="00943DC2">
              <w:noBreakHyphen/>
            </w:r>
            <w:fldSimple w:instr=" SEQ Figure \* ARABIC \s 1 ">
              <w:r w:rsidR="001663C2">
                <w:rPr>
                  <w:noProof/>
                </w:rPr>
                <w:t>17</w:t>
              </w:r>
            </w:fldSimple>
            <w:r w:rsidRPr="00897DBB">
              <w:t>: Barnet’s Parks and Green Spaces</w:t>
            </w:r>
          </w:p>
        </w:tc>
        <w:tc>
          <w:tcPr>
            <w:tcW w:w="4621" w:type="dxa"/>
          </w:tcPr>
          <w:p w:rsidR="007547D4" w:rsidRDefault="007547D4" w:rsidP="00031B92">
            <w:pPr>
              <w:pStyle w:val="Caption"/>
              <w:rPr>
                <w:rFonts w:cs="Arial"/>
              </w:rPr>
            </w:pPr>
            <w:r>
              <w:t xml:space="preserve">Figure </w:t>
            </w:r>
            <w:fldSimple w:instr=" STYLEREF 1 \s ">
              <w:r w:rsidR="001663C2">
                <w:rPr>
                  <w:noProof/>
                </w:rPr>
                <w:t>3</w:t>
              </w:r>
            </w:fldSimple>
            <w:r w:rsidR="00943DC2">
              <w:noBreakHyphen/>
            </w:r>
            <w:fldSimple w:instr=" SEQ Figure \* ARABIC \s 1 ">
              <w:r w:rsidR="001663C2">
                <w:rPr>
                  <w:noProof/>
                </w:rPr>
                <w:t>18</w:t>
              </w:r>
            </w:fldSimple>
            <w:r w:rsidRPr="00897DBB">
              <w:t>: Resident Satisfaction with Parks and Green Spaces</w:t>
            </w:r>
          </w:p>
        </w:tc>
      </w:tr>
    </w:tbl>
    <w:p w:rsidR="007547D4" w:rsidRPr="006F2BD9" w:rsidRDefault="007547D4" w:rsidP="007547D4">
      <w:pPr>
        <w:spacing w:after="0" w:line="240" w:lineRule="auto"/>
        <w:ind w:left="5761" w:hanging="6470"/>
        <w:jc w:val="both"/>
        <w:rPr>
          <w:rFonts w:cs="Arial"/>
          <w:b/>
        </w:rPr>
      </w:pPr>
      <w:r w:rsidRPr="006F2BD9">
        <w:rPr>
          <w:rFonts w:cs="Arial"/>
          <w:b/>
          <w:noProof/>
          <w:lang w:eastAsia="en-GB"/>
        </w:rPr>
        <w:drawing>
          <wp:inline distT="0" distB="0" distL="0" distR="0" wp14:anchorId="7C0F779F" wp14:editId="786CF8DB">
            <wp:extent cx="6724650" cy="295656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724650" cy="2956560"/>
                    </a:xfrm>
                    <a:prstGeom prst="rect">
                      <a:avLst/>
                    </a:prstGeom>
                    <a:noFill/>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7547D4" w:rsidRPr="006F2BD9" w:rsidTr="00031B92">
        <w:trPr>
          <w:trHeight w:val="303"/>
        </w:trPr>
        <w:tc>
          <w:tcPr>
            <w:tcW w:w="4621" w:type="dxa"/>
          </w:tcPr>
          <w:p w:rsidR="007547D4" w:rsidRPr="006F2BD9" w:rsidRDefault="007547D4" w:rsidP="00031B92">
            <w:pPr>
              <w:rPr>
                <w:rFonts w:cs="Arial"/>
              </w:rPr>
            </w:pPr>
            <w:r w:rsidRPr="006F2BD9">
              <w:rPr>
                <w:rFonts w:cs="Arial"/>
              </w:rPr>
              <w:t>Source: Capita Insight</w:t>
            </w:r>
            <w:r w:rsidRPr="006F2BD9">
              <w:rPr>
                <w:rFonts w:cs="Arial"/>
              </w:rPr>
              <w:tab/>
            </w:r>
          </w:p>
        </w:tc>
        <w:tc>
          <w:tcPr>
            <w:tcW w:w="4621" w:type="dxa"/>
          </w:tcPr>
          <w:p w:rsidR="007547D4" w:rsidRPr="006F2BD9" w:rsidRDefault="007547D4" w:rsidP="00031B92">
            <w:r w:rsidRPr="006F2BD9">
              <w:rPr>
                <w:rFonts w:cs="Arial"/>
              </w:rPr>
              <w:t>Source: Residents’ Perception Survey 2014</w:t>
            </w:r>
          </w:p>
        </w:tc>
      </w:tr>
    </w:tbl>
    <w:p w:rsidR="007547D4" w:rsidRDefault="007547D4" w:rsidP="007547D4">
      <w:pPr>
        <w:spacing w:after="0" w:line="240" w:lineRule="auto"/>
        <w:jc w:val="both"/>
        <w:rPr>
          <w:rFonts w:cs="Arial"/>
        </w:rPr>
      </w:pPr>
    </w:p>
    <w:p w:rsidR="007547D4" w:rsidRPr="006F2BD9" w:rsidRDefault="007547D4" w:rsidP="007547D4">
      <w:pPr>
        <w:jc w:val="both"/>
        <w:rPr>
          <w:rFonts w:cs="Arial"/>
        </w:rPr>
      </w:pPr>
      <w:r>
        <w:rPr>
          <w:rFonts w:cs="Arial"/>
        </w:rPr>
        <w:t xml:space="preserve">A strategic assessment of the </w:t>
      </w:r>
      <w:r w:rsidRPr="006F2BD9">
        <w:rPr>
          <w:rFonts w:cs="Arial"/>
        </w:rPr>
        <w:t>parks and green spaces</w:t>
      </w:r>
      <w:r>
        <w:rPr>
          <w:rFonts w:cs="Arial"/>
        </w:rPr>
        <w:t xml:space="preserve"> within Barnet was undertaken in 2014.</w:t>
      </w:r>
      <w:r w:rsidRPr="006F2BD9">
        <w:rPr>
          <w:rFonts w:cs="Arial"/>
        </w:rPr>
        <w:t xml:space="preserve"> The key findings from the report </w:t>
      </w:r>
      <w:r>
        <w:rPr>
          <w:rFonts w:cs="Arial"/>
        </w:rPr>
        <w:t>were:</w:t>
      </w:r>
    </w:p>
    <w:p w:rsidR="007547D4" w:rsidRPr="00E850D6" w:rsidRDefault="007547D4" w:rsidP="007547D4">
      <w:pPr>
        <w:pStyle w:val="ListParagraph"/>
        <w:numPr>
          <w:ilvl w:val="2"/>
          <w:numId w:val="22"/>
        </w:numPr>
        <w:ind w:left="720"/>
        <w:jc w:val="both"/>
        <w:rPr>
          <w:rFonts w:cs="Arial"/>
        </w:rPr>
      </w:pPr>
      <w:r w:rsidRPr="00E850D6">
        <w:rPr>
          <w:rFonts w:cs="Arial"/>
        </w:rPr>
        <w:t xml:space="preserve">Wards that have higher rates of crime that could take place in a park or green space (for example, assault, robbery, and sexual harassment) tend to also have the lowest level of satisfaction with parks. </w:t>
      </w:r>
    </w:p>
    <w:p w:rsidR="007547D4" w:rsidRPr="00E850D6" w:rsidRDefault="007547D4" w:rsidP="007547D4">
      <w:pPr>
        <w:pStyle w:val="ListParagraph"/>
        <w:numPr>
          <w:ilvl w:val="2"/>
          <w:numId w:val="22"/>
        </w:numPr>
        <w:ind w:left="720"/>
        <w:jc w:val="both"/>
        <w:rPr>
          <w:rFonts w:cs="Arial"/>
        </w:rPr>
      </w:pPr>
      <w:r w:rsidRPr="00E850D6">
        <w:rPr>
          <w:rFonts w:cs="Arial"/>
        </w:rPr>
        <w:t xml:space="preserve">Safety and provision have been highlighted as factors that could increase the use of parks. The Leisure Services Survey (2013) notes that park use could be increased if facilities were improved, and if feelings of safety and security were increased. </w:t>
      </w:r>
    </w:p>
    <w:p w:rsidR="007547D4" w:rsidRDefault="007547D4" w:rsidP="007547D4">
      <w:pPr>
        <w:pStyle w:val="ListParagraph"/>
        <w:numPr>
          <w:ilvl w:val="2"/>
          <w:numId w:val="22"/>
        </w:numPr>
        <w:ind w:left="720"/>
        <w:jc w:val="both"/>
        <w:rPr>
          <w:rFonts w:cs="Arial"/>
        </w:rPr>
      </w:pPr>
      <w:r>
        <w:rPr>
          <w:rFonts w:cs="Arial"/>
        </w:rPr>
        <w:lastRenderedPageBreak/>
        <w:t>There are</w:t>
      </w:r>
      <w:r w:rsidRPr="00E850D6">
        <w:rPr>
          <w:rFonts w:cs="Arial"/>
        </w:rPr>
        <w:t xml:space="preserve"> a higher proportion of flats in the west of the </w:t>
      </w:r>
      <w:r>
        <w:rPr>
          <w:rFonts w:cs="Arial"/>
        </w:rPr>
        <w:t>Borough</w:t>
      </w:r>
      <w:r w:rsidRPr="00E850D6">
        <w:rPr>
          <w:rFonts w:cs="Arial"/>
        </w:rPr>
        <w:t>, indicating a lack of private open space. This suggests an increased need fo</w:t>
      </w:r>
      <w:r>
        <w:rPr>
          <w:rFonts w:cs="Arial"/>
        </w:rPr>
        <w:t>r public open space within this area.</w:t>
      </w:r>
    </w:p>
    <w:p w:rsidR="007547D4" w:rsidRPr="00715AA4" w:rsidRDefault="007547D4" w:rsidP="007547D4">
      <w:pPr>
        <w:pStyle w:val="ListParagraph"/>
        <w:numPr>
          <w:ilvl w:val="2"/>
          <w:numId w:val="22"/>
        </w:numPr>
        <w:ind w:left="720"/>
        <w:jc w:val="both"/>
        <w:rPr>
          <w:rFonts w:cs="Arial"/>
        </w:rPr>
      </w:pPr>
      <w:r w:rsidRPr="00715AA4">
        <w:rPr>
          <w:rFonts w:cs="Arial"/>
        </w:rPr>
        <w:t>Burnt Oak, West Hendon, and Underhill have a higher proportion of residents who are very unlikely to volunteer in parks. This indicates a general disengagement with parks. Higher engagement could be encouraged from these groups by holding events that are targeted to appeal to the po</w:t>
      </w:r>
      <w:r>
        <w:rPr>
          <w:rFonts w:cs="Arial"/>
        </w:rPr>
        <w:t>pulation of these wards</w:t>
      </w:r>
      <w:r w:rsidRPr="00715AA4">
        <w:rPr>
          <w:rFonts w:cs="Arial"/>
        </w:rPr>
        <w:t>.</w:t>
      </w:r>
    </w:p>
    <w:p w:rsidR="007547D4" w:rsidRDefault="007547D4" w:rsidP="007547D4">
      <w:pPr>
        <w:pStyle w:val="Heading3"/>
        <w:numPr>
          <w:ilvl w:val="2"/>
          <w:numId w:val="138"/>
        </w:numPr>
      </w:pPr>
      <w:r>
        <w:t>Transport</w:t>
      </w:r>
    </w:p>
    <w:p w:rsidR="007547D4" w:rsidRDefault="007547D4" w:rsidP="007547D4">
      <w:pPr>
        <w:pStyle w:val="Heading4"/>
        <w:numPr>
          <w:ilvl w:val="3"/>
          <w:numId w:val="138"/>
        </w:numPr>
      </w:pPr>
      <w:r>
        <w:t>Access to Public Transport</w:t>
      </w:r>
    </w:p>
    <w:p w:rsidR="007547D4" w:rsidRDefault="007547D4" w:rsidP="007547D4">
      <w:pPr>
        <w:jc w:val="both"/>
      </w:pPr>
      <w:r>
        <w:t>Lack of mobility is viewed as a contributing factor to deprivation, social disadvantage and exclusion as it inhibits people from accessing things such as friends, jobs and education</w:t>
      </w:r>
      <w:r>
        <w:rPr>
          <w:rStyle w:val="FootnoteReference"/>
        </w:rPr>
        <w:footnoteReference w:id="11"/>
      </w:r>
      <w:r>
        <w:t>. Transport for London (</w:t>
      </w:r>
      <w:proofErr w:type="spellStart"/>
      <w:r>
        <w:t>TfL</w:t>
      </w:r>
      <w:proofErr w:type="spellEnd"/>
      <w:r>
        <w:t xml:space="preserve">) produces an annual review of accessibility to public transport for each Borough, broken down by Lowest Super Output Area. </w:t>
      </w:r>
    </w:p>
    <w:p w:rsidR="007547D4" w:rsidRDefault="007547D4" w:rsidP="007547D4">
      <w:pPr>
        <w:pStyle w:val="Caption"/>
        <w:jc w:val="left"/>
      </w:pPr>
      <w:r>
        <w:t xml:space="preserve">Figure </w:t>
      </w:r>
      <w:fldSimple w:instr=" STYLEREF 1 \s ">
        <w:r w:rsidR="001663C2">
          <w:rPr>
            <w:noProof/>
          </w:rPr>
          <w:t>3</w:t>
        </w:r>
      </w:fldSimple>
      <w:r w:rsidR="00943DC2">
        <w:noBreakHyphen/>
      </w:r>
      <w:fldSimple w:instr=" SEQ Figure \* ARABIC \s 1 ">
        <w:r w:rsidR="001663C2">
          <w:rPr>
            <w:noProof/>
          </w:rPr>
          <w:t>19</w:t>
        </w:r>
      </w:fldSimple>
      <w:r w:rsidRPr="00897DBB">
        <w:t>: Public Transport Accessibility Levels in Barnet, 2014</w:t>
      </w:r>
    </w:p>
    <w:p w:rsidR="007547D4" w:rsidRDefault="007547D4" w:rsidP="007547D4">
      <w:pPr>
        <w:pStyle w:val="Caption"/>
        <w:jc w:val="center"/>
      </w:pPr>
      <w:r>
        <w:rPr>
          <w:noProof/>
          <w:lang w:eastAsia="en-GB"/>
        </w:rPr>
        <w:drawing>
          <wp:inline distT="0" distB="0" distL="0" distR="0" wp14:anchorId="0793F18F" wp14:editId="51A6A223">
            <wp:extent cx="3806869" cy="3343275"/>
            <wp:effectExtent l="0" t="0" r="317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806190" cy="3342679"/>
                    </a:xfrm>
                    <a:prstGeom prst="rect">
                      <a:avLst/>
                    </a:prstGeom>
                    <a:noFill/>
                  </pic:spPr>
                </pic:pic>
              </a:graphicData>
            </a:graphic>
          </wp:inline>
        </w:drawing>
      </w:r>
    </w:p>
    <w:p w:rsidR="007547D4" w:rsidRPr="000F7B39" w:rsidRDefault="007547D4" w:rsidP="00B41273">
      <w:r w:rsidRPr="000F7B39">
        <w:t>Source: Transport for London 2014, Public Transport Accessibility Levels</w:t>
      </w:r>
    </w:p>
    <w:p w:rsidR="007547D4" w:rsidRDefault="007547D4" w:rsidP="007547D4">
      <w:pPr>
        <w:jc w:val="both"/>
      </w:pPr>
      <w:r>
        <w:rPr>
          <w:sz w:val="16"/>
          <w:szCs w:val="16"/>
        </w:rPr>
        <w:t xml:space="preserve"> </w:t>
      </w:r>
      <w:r>
        <w:rPr>
          <w:noProof/>
          <w:lang w:eastAsia="en-GB"/>
        </w:rPr>
        <mc:AlternateContent>
          <mc:Choice Requires="wps">
            <w:drawing>
              <wp:anchor distT="0" distB="0" distL="114300" distR="114300" simplePos="0" relativeHeight="251865088" behindDoc="0" locked="0" layoutInCell="1" allowOverlap="1" wp14:anchorId="00A6F27C" wp14:editId="1FB12364">
                <wp:simplePos x="0" y="0"/>
                <wp:positionH relativeFrom="column">
                  <wp:posOffset>-3542636</wp:posOffset>
                </wp:positionH>
                <wp:positionV relativeFrom="paragraph">
                  <wp:posOffset>856630</wp:posOffset>
                </wp:positionV>
                <wp:extent cx="1212111" cy="489097"/>
                <wp:effectExtent l="0" t="0" r="0" b="635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2111" cy="489097"/>
                        </a:xfrm>
                        <a:prstGeom prst="rect">
                          <a:avLst/>
                        </a:prstGeom>
                        <a:noFill/>
                        <a:ln w="9525">
                          <a:noFill/>
                          <a:miter lim="800000"/>
                          <a:headEnd/>
                          <a:tailEnd/>
                        </a:ln>
                      </wps:spPr>
                      <wps:txbx>
                        <w:txbxContent>
                          <w:p w:rsidR="00890277" w:rsidRPr="00B04488" w:rsidRDefault="00890277" w:rsidP="007547D4">
                            <w:pPr>
                              <w:spacing w:after="0" w:line="240" w:lineRule="auto"/>
                              <w:jc w:val="both"/>
                            </w:pPr>
                            <w:r w:rsidRPr="00B04488">
                              <w:t>Source: Transport for London 2014</w:t>
                            </w:r>
                          </w:p>
                          <w:p w:rsidR="00890277" w:rsidRPr="00B04488" w:rsidRDefault="00890277" w:rsidP="007547D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37" type="#_x0000_t202" style="position:absolute;left:0;text-align:left;margin-left:-278.95pt;margin-top:67.45pt;width:95.45pt;height:38.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" filled="f" stroked="f">
                <v:textbox>
                  <w:txbxContent>
                    <w:p w:rsidR="00D7687B" w:rsidRPr="00B04488" w:rsidRDefault="00D7687B" w:rsidP="007547D4">
                      <w:pPr>
                        <w:spacing w:after="0" w:line="240" w:lineRule="auto"/>
                        <w:jc w:val="both"/>
                      </w:pPr>
                      <w:r w:rsidRPr="00B04488">
                        <w:t>Source: Transport for London 2014</w:t>
                      </w:r>
                    </w:p>
                    <w:p w:rsidR="00D7687B" w:rsidRPr="00B04488" w:rsidRDefault="00D7687B" w:rsidP="007547D4"/>
                  </w:txbxContent>
                </v:textbox>
              </v:shape>
            </w:pict>
          </mc:Fallback>
        </mc:AlternateContent>
      </w:r>
      <w:r w:rsidRPr="002453D1">
        <w:t>Overall</w:t>
      </w:r>
      <w:r>
        <w:t>,</w:t>
      </w:r>
      <w:r w:rsidRPr="002453D1">
        <w:t xml:space="preserve"> Barnet is rated as having ‘p</w:t>
      </w:r>
      <w:r>
        <w:t xml:space="preserve">oor’ access to public transport which is below the </w:t>
      </w:r>
      <w:r w:rsidRPr="002453D1">
        <w:t>‘moderate’ ra</w:t>
      </w:r>
      <w:r>
        <w:t xml:space="preserve">ting given to </w:t>
      </w:r>
      <w:r w:rsidRPr="002453D1">
        <w:t>London</w:t>
      </w:r>
      <w:r>
        <w:t xml:space="preserve"> as a whole. </w:t>
      </w:r>
    </w:p>
    <w:p w:rsidR="007547D4" w:rsidRDefault="007547D4" w:rsidP="007547D4">
      <w:pPr>
        <w:jc w:val="both"/>
      </w:pPr>
      <w:r>
        <w:t xml:space="preserve">However, when compared against other Outer London Boroughs, only Brent and Waltham Forest have ‘Moderate’ accessibility; all other Outer London Boroughs are rated as either ‘poor’ or ‘very poor’.  </w:t>
      </w:r>
    </w:p>
    <w:p w:rsidR="007547D4" w:rsidRPr="002453D1" w:rsidRDefault="007547D4" w:rsidP="007547D4">
      <w:pPr>
        <w:jc w:val="both"/>
      </w:pPr>
      <w:r>
        <w:t>Furthermore, within Barnet the</w:t>
      </w:r>
      <w:r w:rsidRPr="002453D1">
        <w:t xml:space="preserve"> </w:t>
      </w:r>
      <w:r>
        <w:t>areas with the lowest accessibility scores are</w:t>
      </w:r>
      <w:r w:rsidRPr="002453D1">
        <w:t xml:space="preserve"> </w:t>
      </w:r>
      <w:r>
        <w:t xml:space="preserve">primarily </w:t>
      </w:r>
      <w:r w:rsidRPr="002453D1">
        <w:t>located</w:t>
      </w:r>
      <w:r>
        <w:t xml:space="preserve"> in areas with high levels of green belt land. </w:t>
      </w:r>
    </w:p>
    <w:p w:rsidR="007547D4" w:rsidRDefault="007547D4" w:rsidP="007547D4">
      <w:pPr>
        <w:pStyle w:val="Heading4"/>
        <w:numPr>
          <w:ilvl w:val="3"/>
          <w:numId w:val="138"/>
        </w:numPr>
      </w:pPr>
      <w:r>
        <w:lastRenderedPageBreak/>
        <w:t>Trips and Mode of Transport</w:t>
      </w:r>
    </w:p>
    <w:p w:rsidR="007547D4" w:rsidRDefault="007547D4" w:rsidP="007547D4">
      <w:r>
        <w:t xml:space="preserve">Data from the </w:t>
      </w:r>
      <w:proofErr w:type="spellStart"/>
      <w:r>
        <w:t>TfL’s</w:t>
      </w:r>
      <w:proofErr w:type="spellEnd"/>
      <w:r>
        <w:t xml:space="preserve"> Travel Demand Survey provides an indication of the amount of trips people within Barnet make each day, and the types of transport they use, for journeys that commence in the Borough.</w:t>
      </w:r>
    </w:p>
    <w:p w:rsidR="007547D4" w:rsidRPr="00D651E9" w:rsidRDefault="007547D4" w:rsidP="007547D4">
      <w:pPr>
        <w:pStyle w:val="Caption"/>
        <w:rPr>
          <w:rFonts w:cs="Arial"/>
          <w:b w:val="0"/>
          <w:i/>
        </w:rPr>
      </w:pPr>
      <w:r>
        <w:t xml:space="preserve">Table </w:t>
      </w:r>
      <w:fldSimple w:instr=" STYLEREF 1 \s ">
        <w:r w:rsidR="001663C2">
          <w:rPr>
            <w:noProof/>
          </w:rPr>
          <w:t>3</w:t>
        </w:r>
      </w:fldSimple>
      <w:r>
        <w:noBreakHyphen/>
      </w:r>
      <w:fldSimple w:instr=" SEQ Table \* ARABIC \s 1 ">
        <w:r w:rsidR="001663C2">
          <w:rPr>
            <w:noProof/>
          </w:rPr>
          <w:t>3</w:t>
        </w:r>
      </w:fldSimple>
      <w:r w:rsidRPr="001221C6">
        <w:rPr>
          <w:rFonts w:cs="Calibri"/>
        </w:rPr>
        <w:t>: Trip Rates and Modes of Transport, 2007/08 to 2009/10 (Barnet and Outer London)</w:t>
      </w:r>
    </w:p>
    <w:tbl>
      <w:tblPr>
        <w:tblW w:w="10065" w:type="dxa"/>
        <w:tblInd w:w="-318" w:type="dxa"/>
        <w:tblLayout w:type="fixed"/>
        <w:tblLook w:val="04A0" w:firstRow="1" w:lastRow="0" w:firstColumn="1" w:lastColumn="0" w:noHBand="0" w:noVBand="1"/>
      </w:tblPr>
      <w:tblGrid>
        <w:gridCol w:w="1560"/>
        <w:gridCol w:w="1290"/>
        <w:gridCol w:w="910"/>
        <w:gridCol w:w="1500"/>
        <w:gridCol w:w="920"/>
        <w:gridCol w:w="940"/>
        <w:gridCol w:w="1300"/>
        <w:gridCol w:w="795"/>
        <w:gridCol w:w="850"/>
      </w:tblGrid>
      <w:tr w:rsidR="007547D4" w:rsidRPr="00D651E9" w:rsidTr="00093568">
        <w:trPr>
          <w:trHeight w:val="600"/>
        </w:trPr>
        <w:tc>
          <w:tcPr>
            <w:tcW w:w="1560"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7547D4" w:rsidRPr="00D651E9" w:rsidRDefault="007547D4" w:rsidP="00031B92">
            <w:pPr>
              <w:spacing w:after="0" w:line="240" w:lineRule="auto"/>
              <w:jc w:val="center"/>
              <w:rPr>
                <w:rFonts w:ascii="Calibri" w:eastAsia="Times New Roman" w:hAnsi="Calibri" w:cs="Times New Roman"/>
                <w:b/>
                <w:color w:val="000000"/>
                <w:lang w:eastAsia="en-GB"/>
              </w:rPr>
            </w:pPr>
            <w:r>
              <w:rPr>
                <w:rFonts w:ascii="Calibri" w:eastAsia="Times New Roman" w:hAnsi="Calibri" w:cs="Times New Roman"/>
                <w:b/>
                <w:color w:val="000000"/>
                <w:lang w:eastAsia="en-GB"/>
              </w:rPr>
              <w:t>Borough</w:t>
            </w:r>
          </w:p>
        </w:tc>
        <w:tc>
          <w:tcPr>
            <w:tcW w:w="129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7547D4" w:rsidRPr="00D651E9" w:rsidRDefault="007547D4" w:rsidP="00031B92">
            <w:pPr>
              <w:spacing w:after="0" w:line="240" w:lineRule="auto"/>
              <w:jc w:val="center"/>
              <w:rPr>
                <w:rFonts w:ascii="Calibri" w:eastAsia="Times New Roman" w:hAnsi="Calibri" w:cs="Times New Roman"/>
                <w:b/>
                <w:color w:val="000000"/>
                <w:lang w:eastAsia="en-GB"/>
              </w:rPr>
            </w:pPr>
            <w:r w:rsidRPr="00D651E9">
              <w:rPr>
                <w:rFonts w:ascii="Calibri" w:eastAsia="Times New Roman" w:hAnsi="Calibri" w:cs="Times New Roman"/>
                <w:b/>
                <w:color w:val="000000"/>
                <w:lang w:eastAsia="en-GB"/>
              </w:rPr>
              <w:t>Trips per Day per Person</w:t>
            </w:r>
          </w:p>
        </w:tc>
        <w:tc>
          <w:tcPr>
            <w:tcW w:w="91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7547D4" w:rsidRPr="00D651E9" w:rsidRDefault="007547D4" w:rsidP="00031B92">
            <w:pPr>
              <w:spacing w:after="0" w:line="240" w:lineRule="auto"/>
              <w:jc w:val="center"/>
              <w:rPr>
                <w:rFonts w:ascii="Calibri" w:eastAsia="Times New Roman" w:hAnsi="Calibri" w:cs="Times New Roman"/>
                <w:b/>
                <w:color w:val="000000"/>
                <w:lang w:eastAsia="en-GB"/>
              </w:rPr>
            </w:pPr>
            <w:r w:rsidRPr="00D651E9">
              <w:rPr>
                <w:rFonts w:ascii="Calibri" w:eastAsia="Times New Roman" w:hAnsi="Calibri" w:cs="Times New Roman"/>
                <w:b/>
                <w:color w:val="000000"/>
                <w:lang w:eastAsia="en-GB"/>
              </w:rPr>
              <w:t>Rail</w:t>
            </w:r>
          </w:p>
        </w:tc>
        <w:tc>
          <w:tcPr>
            <w:tcW w:w="150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7547D4" w:rsidRPr="00D651E9" w:rsidRDefault="007547D4" w:rsidP="00031B92">
            <w:pPr>
              <w:spacing w:after="0" w:line="240" w:lineRule="auto"/>
              <w:jc w:val="center"/>
              <w:rPr>
                <w:rFonts w:ascii="Calibri" w:eastAsia="Times New Roman" w:hAnsi="Calibri" w:cs="Times New Roman"/>
                <w:b/>
                <w:color w:val="000000"/>
                <w:lang w:eastAsia="en-GB"/>
              </w:rPr>
            </w:pPr>
            <w:r w:rsidRPr="00D651E9">
              <w:rPr>
                <w:rFonts w:ascii="Calibri" w:eastAsia="Times New Roman" w:hAnsi="Calibri" w:cs="Times New Roman"/>
                <w:b/>
                <w:color w:val="000000"/>
                <w:lang w:eastAsia="en-GB"/>
              </w:rPr>
              <w:t>Underground &amp; DLR</w:t>
            </w:r>
          </w:p>
        </w:tc>
        <w:tc>
          <w:tcPr>
            <w:tcW w:w="92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7547D4" w:rsidRPr="00D651E9" w:rsidRDefault="007547D4" w:rsidP="00031B92">
            <w:pPr>
              <w:spacing w:after="0" w:line="240" w:lineRule="auto"/>
              <w:jc w:val="center"/>
              <w:rPr>
                <w:rFonts w:ascii="Calibri" w:eastAsia="Times New Roman" w:hAnsi="Calibri" w:cs="Times New Roman"/>
                <w:b/>
                <w:color w:val="000000"/>
                <w:lang w:eastAsia="en-GB"/>
              </w:rPr>
            </w:pPr>
            <w:r w:rsidRPr="00D651E9">
              <w:rPr>
                <w:rFonts w:ascii="Calibri" w:eastAsia="Times New Roman" w:hAnsi="Calibri" w:cs="Times New Roman"/>
                <w:b/>
                <w:color w:val="000000"/>
                <w:lang w:eastAsia="en-GB"/>
              </w:rPr>
              <w:t>Bus / Tram</w:t>
            </w:r>
          </w:p>
        </w:tc>
        <w:tc>
          <w:tcPr>
            <w:tcW w:w="94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7547D4" w:rsidRPr="00D651E9" w:rsidRDefault="007547D4" w:rsidP="00031B92">
            <w:pPr>
              <w:spacing w:after="0" w:line="240" w:lineRule="auto"/>
              <w:jc w:val="center"/>
              <w:rPr>
                <w:rFonts w:ascii="Calibri" w:eastAsia="Times New Roman" w:hAnsi="Calibri" w:cs="Times New Roman"/>
                <w:b/>
                <w:color w:val="000000"/>
                <w:lang w:eastAsia="en-GB"/>
              </w:rPr>
            </w:pPr>
            <w:r w:rsidRPr="00D651E9">
              <w:rPr>
                <w:rFonts w:ascii="Calibri" w:eastAsia="Times New Roman" w:hAnsi="Calibri" w:cs="Times New Roman"/>
                <w:b/>
                <w:color w:val="000000"/>
                <w:lang w:eastAsia="en-GB"/>
              </w:rPr>
              <w:t>Taxi / Other</w:t>
            </w:r>
          </w:p>
        </w:tc>
        <w:tc>
          <w:tcPr>
            <w:tcW w:w="130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7547D4" w:rsidRPr="00D651E9" w:rsidRDefault="007547D4" w:rsidP="00031B92">
            <w:pPr>
              <w:spacing w:after="0" w:line="240" w:lineRule="auto"/>
              <w:jc w:val="center"/>
              <w:rPr>
                <w:rFonts w:ascii="Calibri" w:eastAsia="Times New Roman" w:hAnsi="Calibri" w:cs="Times New Roman"/>
                <w:b/>
                <w:color w:val="000000"/>
                <w:lang w:eastAsia="en-GB"/>
              </w:rPr>
            </w:pPr>
            <w:r w:rsidRPr="00D651E9">
              <w:rPr>
                <w:rFonts w:ascii="Calibri" w:eastAsia="Times New Roman" w:hAnsi="Calibri" w:cs="Times New Roman"/>
                <w:b/>
                <w:color w:val="000000"/>
                <w:lang w:eastAsia="en-GB"/>
              </w:rPr>
              <w:t>Car &amp; Motorcycle</w:t>
            </w:r>
          </w:p>
        </w:tc>
        <w:tc>
          <w:tcPr>
            <w:tcW w:w="795"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7547D4" w:rsidRPr="00D651E9" w:rsidRDefault="007547D4" w:rsidP="00031B92">
            <w:pPr>
              <w:spacing w:after="0" w:line="240" w:lineRule="auto"/>
              <w:jc w:val="center"/>
              <w:rPr>
                <w:rFonts w:ascii="Calibri" w:eastAsia="Times New Roman" w:hAnsi="Calibri" w:cs="Times New Roman"/>
                <w:b/>
                <w:color w:val="000000"/>
                <w:lang w:eastAsia="en-GB"/>
              </w:rPr>
            </w:pPr>
            <w:r w:rsidRPr="00D651E9">
              <w:rPr>
                <w:rFonts w:ascii="Calibri" w:eastAsia="Times New Roman" w:hAnsi="Calibri" w:cs="Times New Roman"/>
                <w:b/>
                <w:color w:val="000000"/>
                <w:lang w:eastAsia="en-GB"/>
              </w:rPr>
              <w:t>Cycle</w:t>
            </w:r>
          </w:p>
        </w:tc>
        <w:tc>
          <w:tcPr>
            <w:tcW w:w="85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7547D4" w:rsidRPr="00D651E9" w:rsidRDefault="007547D4" w:rsidP="00031B92">
            <w:pPr>
              <w:spacing w:after="0" w:line="240" w:lineRule="auto"/>
              <w:jc w:val="center"/>
              <w:rPr>
                <w:rFonts w:ascii="Calibri" w:eastAsia="Times New Roman" w:hAnsi="Calibri" w:cs="Times New Roman"/>
                <w:b/>
                <w:color w:val="000000"/>
                <w:lang w:eastAsia="en-GB"/>
              </w:rPr>
            </w:pPr>
            <w:r w:rsidRPr="00D651E9">
              <w:rPr>
                <w:rFonts w:ascii="Calibri" w:eastAsia="Times New Roman" w:hAnsi="Calibri" w:cs="Times New Roman"/>
                <w:b/>
                <w:color w:val="000000"/>
                <w:lang w:eastAsia="en-GB"/>
              </w:rPr>
              <w:t>Walk</w:t>
            </w:r>
          </w:p>
        </w:tc>
      </w:tr>
      <w:tr w:rsidR="007547D4" w:rsidRPr="00D651E9" w:rsidTr="00093568">
        <w:trPr>
          <w:trHeight w:val="300"/>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rsidR="007547D4" w:rsidRPr="00D651E9" w:rsidRDefault="007547D4" w:rsidP="00031B92">
            <w:pPr>
              <w:spacing w:after="0" w:line="240" w:lineRule="auto"/>
              <w:rPr>
                <w:rFonts w:ascii="Calibri" w:eastAsia="Times New Roman" w:hAnsi="Calibri" w:cs="Times New Roman"/>
                <w:color w:val="000000"/>
                <w:lang w:eastAsia="en-GB"/>
              </w:rPr>
            </w:pPr>
            <w:r w:rsidRPr="00D651E9">
              <w:rPr>
                <w:rFonts w:ascii="Calibri" w:eastAsia="Times New Roman" w:hAnsi="Calibri" w:cs="Times New Roman"/>
                <w:color w:val="000000"/>
                <w:lang w:eastAsia="en-GB"/>
              </w:rPr>
              <w:t>Barnet</w:t>
            </w:r>
          </w:p>
        </w:tc>
        <w:tc>
          <w:tcPr>
            <w:tcW w:w="1290" w:type="dxa"/>
            <w:tcBorders>
              <w:top w:val="nil"/>
              <w:left w:val="nil"/>
              <w:bottom w:val="single" w:sz="4" w:space="0" w:color="auto"/>
              <w:right w:val="single" w:sz="4" w:space="0" w:color="auto"/>
            </w:tcBorders>
            <w:shd w:val="clear" w:color="auto" w:fill="auto"/>
            <w:noWrap/>
            <w:vAlign w:val="bottom"/>
            <w:hideMark/>
          </w:tcPr>
          <w:p w:rsidR="007547D4" w:rsidRPr="00D651E9" w:rsidRDefault="007547D4" w:rsidP="00031B92">
            <w:pPr>
              <w:spacing w:after="0" w:line="240" w:lineRule="auto"/>
              <w:jc w:val="center"/>
              <w:rPr>
                <w:rFonts w:ascii="Calibri" w:eastAsia="Times New Roman" w:hAnsi="Calibri" w:cs="Times New Roman"/>
                <w:color w:val="000000"/>
                <w:lang w:eastAsia="en-GB"/>
              </w:rPr>
            </w:pPr>
            <w:r w:rsidRPr="00D651E9">
              <w:rPr>
                <w:rFonts w:ascii="Calibri" w:eastAsia="Times New Roman" w:hAnsi="Calibri" w:cs="Times New Roman"/>
                <w:color w:val="000000"/>
                <w:lang w:eastAsia="en-GB"/>
              </w:rPr>
              <w:t>2.9</w:t>
            </w:r>
          </w:p>
        </w:tc>
        <w:tc>
          <w:tcPr>
            <w:tcW w:w="910" w:type="dxa"/>
            <w:tcBorders>
              <w:top w:val="nil"/>
              <w:left w:val="nil"/>
              <w:bottom w:val="single" w:sz="4" w:space="0" w:color="auto"/>
              <w:right w:val="single" w:sz="4" w:space="0" w:color="auto"/>
            </w:tcBorders>
            <w:shd w:val="clear" w:color="auto" w:fill="auto"/>
            <w:noWrap/>
            <w:vAlign w:val="bottom"/>
            <w:hideMark/>
          </w:tcPr>
          <w:p w:rsidR="007547D4" w:rsidRPr="00D651E9" w:rsidRDefault="007547D4" w:rsidP="00031B92">
            <w:pPr>
              <w:spacing w:after="0" w:line="240" w:lineRule="auto"/>
              <w:jc w:val="center"/>
              <w:rPr>
                <w:rFonts w:ascii="Calibri" w:eastAsia="Times New Roman" w:hAnsi="Calibri" w:cs="Times New Roman"/>
                <w:color w:val="000000"/>
                <w:lang w:eastAsia="en-GB"/>
              </w:rPr>
            </w:pPr>
            <w:r w:rsidRPr="00D651E9">
              <w:rPr>
                <w:rFonts w:ascii="Calibri" w:eastAsia="Times New Roman" w:hAnsi="Calibri" w:cs="Times New Roman"/>
                <w:color w:val="000000"/>
                <w:lang w:eastAsia="en-GB"/>
              </w:rPr>
              <w:t>2%</w:t>
            </w:r>
          </w:p>
        </w:tc>
        <w:tc>
          <w:tcPr>
            <w:tcW w:w="1500" w:type="dxa"/>
            <w:tcBorders>
              <w:top w:val="nil"/>
              <w:left w:val="nil"/>
              <w:bottom w:val="single" w:sz="4" w:space="0" w:color="auto"/>
              <w:right w:val="single" w:sz="4" w:space="0" w:color="auto"/>
            </w:tcBorders>
            <w:shd w:val="clear" w:color="auto" w:fill="auto"/>
            <w:noWrap/>
            <w:vAlign w:val="bottom"/>
            <w:hideMark/>
          </w:tcPr>
          <w:p w:rsidR="007547D4" w:rsidRPr="00D651E9" w:rsidRDefault="007547D4" w:rsidP="00031B92">
            <w:pPr>
              <w:spacing w:after="0" w:line="240" w:lineRule="auto"/>
              <w:jc w:val="center"/>
              <w:rPr>
                <w:rFonts w:ascii="Calibri" w:eastAsia="Times New Roman" w:hAnsi="Calibri" w:cs="Times New Roman"/>
                <w:color w:val="000000"/>
                <w:lang w:eastAsia="en-GB"/>
              </w:rPr>
            </w:pPr>
            <w:r w:rsidRPr="00D651E9">
              <w:rPr>
                <w:rFonts w:ascii="Calibri" w:eastAsia="Times New Roman" w:hAnsi="Calibri" w:cs="Times New Roman"/>
                <w:color w:val="000000"/>
                <w:lang w:eastAsia="en-GB"/>
              </w:rPr>
              <w:t>8%</w:t>
            </w:r>
          </w:p>
        </w:tc>
        <w:tc>
          <w:tcPr>
            <w:tcW w:w="920" w:type="dxa"/>
            <w:tcBorders>
              <w:top w:val="nil"/>
              <w:left w:val="nil"/>
              <w:bottom w:val="single" w:sz="4" w:space="0" w:color="auto"/>
              <w:right w:val="single" w:sz="4" w:space="0" w:color="auto"/>
            </w:tcBorders>
            <w:shd w:val="clear" w:color="auto" w:fill="auto"/>
            <w:noWrap/>
            <w:vAlign w:val="bottom"/>
            <w:hideMark/>
          </w:tcPr>
          <w:p w:rsidR="007547D4" w:rsidRPr="00D651E9" w:rsidRDefault="007547D4" w:rsidP="00031B92">
            <w:pPr>
              <w:spacing w:after="0" w:line="240" w:lineRule="auto"/>
              <w:jc w:val="center"/>
              <w:rPr>
                <w:rFonts w:ascii="Calibri" w:eastAsia="Times New Roman" w:hAnsi="Calibri" w:cs="Times New Roman"/>
                <w:color w:val="000000"/>
                <w:lang w:eastAsia="en-GB"/>
              </w:rPr>
            </w:pPr>
            <w:r w:rsidRPr="00D651E9">
              <w:rPr>
                <w:rFonts w:ascii="Calibri" w:eastAsia="Times New Roman" w:hAnsi="Calibri" w:cs="Times New Roman"/>
                <w:color w:val="000000"/>
                <w:lang w:eastAsia="en-GB"/>
              </w:rPr>
              <w:t>11%</w:t>
            </w:r>
          </w:p>
        </w:tc>
        <w:tc>
          <w:tcPr>
            <w:tcW w:w="940" w:type="dxa"/>
            <w:tcBorders>
              <w:top w:val="nil"/>
              <w:left w:val="nil"/>
              <w:bottom w:val="single" w:sz="4" w:space="0" w:color="auto"/>
              <w:right w:val="single" w:sz="4" w:space="0" w:color="auto"/>
            </w:tcBorders>
            <w:shd w:val="clear" w:color="auto" w:fill="auto"/>
            <w:noWrap/>
            <w:vAlign w:val="bottom"/>
            <w:hideMark/>
          </w:tcPr>
          <w:p w:rsidR="007547D4" w:rsidRPr="00D651E9" w:rsidRDefault="007547D4" w:rsidP="00031B92">
            <w:pPr>
              <w:spacing w:after="0" w:line="240" w:lineRule="auto"/>
              <w:jc w:val="center"/>
              <w:rPr>
                <w:rFonts w:ascii="Calibri" w:eastAsia="Times New Roman" w:hAnsi="Calibri" w:cs="Times New Roman"/>
                <w:color w:val="000000"/>
                <w:lang w:eastAsia="en-GB"/>
              </w:rPr>
            </w:pPr>
            <w:r w:rsidRPr="00D651E9">
              <w:rPr>
                <w:rFonts w:ascii="Calibri" w:eastAsia="Times New Roman" w:hAnsi="Calibri" w:cs="Times New Roman"/>
                <w:color w:val="000000"/>
                <w:lang w:eastAsia="en-GB"/>
              </w:rPr>
              <w:t>1%</w:t>
            </w:r>
          </w:p>
        </w:tc>
        <w:tc>
          <w:tcPr>
            <w:tcW w:w="1300" w:type="dxa"/>
            <w:tcBorders>
              <w:top w:val="nil"/>
              <w:left w:val="nil"/>
              <w:bottom w:val="single" w:sz="4" w:space="0" w:color="auto"/>
              <w:right w:val="single" w:sz="4" w:space="0" w:color="auto"/>
            </w:tcBorders>
            <w:shd w:val="clear" w:color="auto" w:fill="auto"/>
            <w:noWrap/>
            <w:vAlign w:val="bottom"/>
            <w:hideMark/>
          </w:tcPr>
          <w:p w:rsidR="007547D4" w:rsidRPr="00D651E9" w:rsidRDefault="007547D4" w:rsidP="00031B92">
            <w:pPr>
              <w:spacing w:after="0" w:line="240" w:lineRule="auto"/>
              <w:jc w:val="center"/>
              <w:rPr>
                <w:rFonts w:ascii="Calibri" w:eastAsia="Times New Roman" w:hAnsi="Calibri" w:cs="Times New Roman"/>
                <w:color w:val="000000"/>
                <w:lang w:eastAsia="en-GB"/>
              </w:rPr>
            </w:pPr>
            <w:r w:rsidRPr="00D651E9">
              <w:rPr>
                <w:rFonts w:ascii="Calibri" w:eastAsia="Times New Roman" w:hAnsi="Calibri" w:cs="Times New Roman"/>
                <w:color w:val="000000"/>
                <w:lang w:eastAsia="en-GB"/>
              </w:rPr>
              <w:t>47%</w:t>
            </w:r>
          </w:p>
        </w:tc>
        <w:tc>
          <w:tcPr>
            <w:tcW w:w="795" w:type="dxa"/>
            <w:tcBorders>
              <w:top w:val="nil"/>
              <w:left w:val="nil"/>
              <w:bottom w:val="single" w:sz="4" w:space="0" w:color="auto"/>
              <w:right w:val="single" w:sz="4" w:space="0" w:color="auto"/>
            </w:tcBorders>
            <w:shd w:val="clear" w:color="auto" w:fill="auto"/>
            <w:noWrap/>
            <w:vAlign w:val="bottom"/>
            <w:hideMark/>
          </w:tcPr>
          <w:p w:rsidR="007547D4" w:rsidRPr="00D651E9" w:rsidRDefault="007547D4" w:rsidP="00031B92">
            <w:pPr>
              <w:spacing w:after="0" w:line="240" w:lineRule="auto"/>
              <w:jc w:val="center"/>
              <w:rPr>
                <w:rFonts w:ascii="Calibri" w:eastAsia="Times New Roman" w:hAnsi="Calibri" w:cs="Times New Roman"/>
                <w:color w:val="000000"/>
                <w:lang w:eastAsia="en-GB"/>
              </w:rPr>
            </w:pPr>
            <w:r w:rsidRPr="00D651E9">
              <w:rPr>
                <w:rFonts w:ascii="Calibri" w:eastAsia="Times New Roman" w:hAnsi="Calibri" w:cs="Times New Roman"/>
                <w:color w:val="000000"/>
                <w:lang w:eastAsia="en-GB"/>
              </w:rPr>
              <w:t>1%</w:t>
            </w:r>
          </w:p>
        </w:tc>
        <w:tc>
          <w:tcPr>
            <w:tcW w:w="850" w:type="dxa"/>
            <w:tcBorders>
              <w:top w:val="nil"/>
              <w:left w:val="nil"/>
              <w:bottom w:val="single" w:sz="4" w:space="0" w:color="auto"/>
              <w:right w:val="single" w:sz="4" w:space="0" w:color="auto"/>
            </w:tcBorders>
            <w:shd w:val="clear" w:color="auto" w:fill="auto"/>
            <w:noWrap/>
            <w:vAlign w:val="bottom"/>
            <w:hideMark/>
          </w:tcPr>
          <w:p w:rsidR="007547D4" w:rsidRPr="00D651E9" w:rsidRDefault="007547D4" w:rsidP="00031B92">
            <w:pPr>
              <w:spacing w:after="0" w:line="240" w:lineRule="auto"/>
              <w:jc w:val="center"/>
              <w:rPr>
                <w:rFonts w:ascii="Calibri" w:eastAsia="Times New Roman" w:hAnsi="Calibri" w:cs="Times New Roman"/>
                <w:color w:val="000000"/>
                <w:lang w:eastAsia="en-GB"/>
              </w:rPr>
            </w:pPr>
            <w:r w:rsidRPr="00D651E9">
              <w:rPr>
                <w:rFonts w:ascii="Calibri" w:eastAsia="Times New Roman" w:hAnsi="Calibri" w:cs="Times New Roman"/>
                <w:color w:val="000000"/>
                <w:lang w:eastAsia="en-GB"/>
              </w:rPr>
              <w:t>30%</w:t>
            </w:r>
          </w:p>
        </w:tc>
      </w:tr>
      <w:tr w:rsidR="007547D4" w:rsidRPr="00D651E9" w:rsidTr="00093568">
        <w:trPr>
          <w:trHeight w:val="300"/>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rsidR="007547D4" w:rsidRPr="00D651E9" w:rsidRDefault="007547D4" w:rsidP="00031B92">
            <w:pPr>
              <w:spacing w:after="0" w:line="240" w:lineRule="auto"/>
              <w:rPr>
                <w:rFonts w:ascii="Calibri" w:eastAsia="Times New Roman" w:hAnsi="Calibri" w:cs="Times New Roman"/>
                <w:color w:val="000000"/>
                <w:lang w:eastAsia="en-GB"/>
              </w:rPr>
            </w:pPr>
            <w:r w:rsidRPr="00D651E9">
              <w:rPr>
                <w:rFonts w:ascii="Calibri" w:eastAsia="Times New Roman" w:hAnsi="Calibri" w:cs="Times New Roman"/>
                <w:color w:val="000000"/>
                <w:lang w:eastAsia="en-GB"/>
              </w:rPr>
              <w:t>Outer London</w:t>
            </w:r>
          </w:p>
        </w:tc>
        <w:tc>
          <w:tcPr>
            <w:tcW w:w="1290" w:type="dxa"/>
            <w:tcBorders>
              <w:top w:val="nil"/>
              <w:left w:val="nil"/>
              <w:bottom w:val="single" w:sz="4" w:space="0" w:color="auto"/>
              <w:right w:val="single" w:sz="4" w:space="0" w:color="auto"/>
            </w:tcBorders>
            <w:shd w:val="clear" w:color="auto" w:fill="auto"/>
            <w:noWrap/>
            <w:vAlign w:val="bottom"/>
            <w:hideMark/>
          </w:tcPr>
          <w:p w:rsidR="007547D4" w:rsidRPr="00D651E9" w:rsidRDefault="007547D4" w:rsidP="00031B92">
            <w:pPr>
              <w:spacing w:after="0" w:line="240" w:lineRule="auto"/>
              <w:jc w:val="center"/>
              <w:rPr>
                <w:rFonts w:ascii="Calibri" w:eastAsia="Times New Roman" w:hAnsi="Calibri" w:cs="Times New Roman"/>
                <w:color w:val="000000"/>
                <w:lang w:eastAsia="en-GB"/>
              </w:rPr>
            </w:pPr>
            <w:r w:rsidRPr="00D651E9">
              <w:rPr>
                <w:rFonts w:ascii="Calibri" w:eastAsia="Times New Roman" w:hAnsi="Calibri" w:cs="Times New Roman"/>
                <w:color w:val="000000"/>
                <w:lang w:eastAsia="en-GB"/>
              </w:rPr>
              <w:t>2.5</w:t>
            </w:r>
          </w:p>
        </w:tc>
        <w:tc>
          <w:tcPr>
            <w:tcW w:w="910" w:type="dxa"/>
            <w:tcBorders>
              <w:top w:val="nil"/>
              <w:left w:val="nil"/>
              <w:bottom w:val="single" w:sz="4" w:space="0" w:color="auto"/>
              <w:right w:val="single" w:sz="4" w:space="0" w:color="auto"/>
            </w:tcBorders>
            <w:shd w:val="clear" w:color="auto" w:fill="auto"/>
            <w:noWrap/>
            <w:vAlign w:val="bottom"/>
            <w:hideMark/>
          </w:tcPr>
          <w:p w:rsidR="007547D4" w:rsidRPr="00D651E9" w:rsidRDefault="007547D4" w:rsidP="00031B92">
            <w:pPr>
              <w:spacing w:after="0" w:line="240" w:lineRule="auto"/>
              <w:jc w:val="center"/>
              <w:rPr>
                <w:rFonts w:ascii="Calibri" w:eastAsia="Times New Roman" w:hAnsi="Calibri" w:cs="Times New Roman"/>
                <w:color w:val="000000"/>
                <w:lang w:eastAsia="en-GB"/>
              </w:rPr>
            </w:pPr>
            <w:r w:rsidRPr="00D651E9">
              <w:rPr>
                <w:rFonts w:ascii="Calibri" w:eastAsia="Times New Roman" w:hAnsi="Calibri" w:cs="Times New Roman"/>
                <w:color w:val="000000"/>
                <w:lang w:eastAsia="en-GB"/>
              </w:rPr>
              <w:t>5%</w:t>
            </w:r>
          </w:p>
        </w:tc>
        <w:tc>
          <w:tcPr>
            <w:tcW w:w="1500" w:type="dxa"/>
            <w:tcBorders>
              <w:top w:val="nil"/>
              <w:left w:val="nil"/>
              <w:bottom w:val="single" w:sz="4" w:space="0" w:color="auto"/>
              <w:right w:val="single" w:sz="4" w:space="0" w:color="auto"/>
            </w:tcBorders>
            <w:shd w:val="clear" w:color="auto" w:fill="auto"/>
            <w:noWrap/>
            <w:vAlign w:val="bottom"/>
            <w:hideMark/>
          </w:tcPr>
          <w:p w:rsidR="007547D4" w:rsidRPr="00D651E9" w:rsidRDefault="007547D4" w:rsidP="00031B92">
            <w:pPr>
              <w:spacing w:after="0" w:line="240" w:lineRule="auto"/>
              <w:jc w:val="center"/>
              <w:rPr>
                <w:rFonts w:ascii="Calibri" w:eastAsia="Times New Roman" w:hAnsi="Calibri" w:cs="Times New Roman"/>
                <w:color w:val="000000"/>
                <w:lang w:eastAsia="en-GB"/>
              </w:rPr>
            </w:pPr>
            <w:r w:rsidRPr="00D651E9">
              <w:rPr>
                <w:rFonts w:ascii="Calibri" w:eastAsia="Times New Roman" w:hAnsi="Calibri" w:cs="Times New Roman"/>
                <w:color w:val="000000"/>
                <w:lang w:eastAsia="en-GB"/>
              </w:rPr>
              <w:t>5%</w:t>
            </w:r>
          </w:p>
        </w:tc>
        <w:tc>
          <w:tcPr>
            <w:tcW w:w="920" w:type="dxa"/>
            <w:tcBorders>
              <w:top w:val="nil"/>
              <w:left w:val="nil"/>
              <w:bottom w:val="single" w:sz="4" w:space="0" w:color="auto"/>
              <w:right w:val="single" w:sz="4" w:space="0" w:color="auto"/>
            </w:tcBorders>
            <w:shd w:val="clear" w:color="auto" w:fill="auto"/>
            <w:noWrap/>
            <w:vAlign w:val="bottom"/>
            <w:hideMark/>
          </w:tcPr>
          <w:p w:rsidR="007547D4" w:rsidRPr="00D651E9" w:rsidRDefault="007547D4" w:rsidP="00031B92">
            <w:pPr>
              <w:spacing w:after="0" w:line="240" w:lineRule="auto"/>
              <w:jc w:val="center"/>
              <w:rPr>
                <w:rFonts w:ascii="Calibri" w:eastAsia="Times New Roman" w:hAnsi="Calibri" w:cs="Times New Roman"/>
                <w:color w:val="000000"/>
                <w:lang w:eastAsia="en-GB"/>
              </w:rPr>
            </w:pPr>
            <w:r w:rsidRPr="00D651E9">
              <w:rPr>
                <w:rFonts w:ascii="Calibri" w:eastAsia="Times New Roman" w:hAnsi="Calibri" w:cs="Times New Roman"/>
                <w:color w:val="000000"/>
                <w:lang w:eastAsia="en-GB"/>
              </w:rPr>
              <w:t>12%</w:t>
            </w:r>
          </w:p>
        </w:tc>
        <w:tc>
          <w:tcPr>
            <w:tcW w:w="940" w:type="dxa"/>
            <w:tcBorders>
              <w:top w:val="nil"/>
              <w:left w:val="nil"/>
              <w:bottom w:val="single" w:sz="4" w:space="0" w:color="auto"/>
              <w:right w:val="single" w:sz="4" w:space="0" w:color="auto"/>
            </w:tcBorders>
            <w:shd w:val="clear" w:color="auto" w:fill="auto"/>
            <w:noWrap/>
            <w:vAlign w:val="bottom"/>
            <w:hideMark/>
          </w:tcPr>
          <w:p w:rsidR="007547D4" w:rsidRPr="00D651E9" w:rsidRDefault="007547D4" w:rsidP="00031B92">
            <w:pPr>
              <w:spacing w:after="0" w:line="240" w:lineRule="auto"/>
              <w:jc w:val="center"/>
              <w:rPr>
                <w:rFonts w:ascii="Calibri" w:eastAsia="Times New Roman" w:hAnsi="Calibri" w:cs="Times New Roman"/>
                <w:color w:val="000000"/>
                <w:lang w:eastAsia="en-GB"/>
              </w:rPr>
            </w:pPr>
            <w:r w:rsidRPr="00D651E9">
              <w:rPr>
                <w:rFonts w:ascii="Calibri" w:eastAsia="Times New Roman" w:hAnsi="Calibri" w:cs="Times New Roman"/>
                <w:color w:val="000000"/>
                <w:lang w:eastAsia="en-GB"/>
              </w:rPr>
              <w:t>1%</w:t>
            </w:r>
          </w:p>
        </w:tc>
        <w:tc>
          <w:tcPr>
            <w:tcW w:w="1300" w:type="dxa"/>
            <w:tcBorders>
              <w:top w:val="nil"/>
              <w:left w:val="nil"/>
              <w:bottom w:val="single" w:sz="4" w:space="0" w:color="auto"/>
              <w:right w:val="single" w:sz="4" w:space="0" w:color="auto"/>
            </w:tcBorders>
            <w:shd w:val="clear" w:color="auto" w:fill="auto"/>
            <w:noWrap/>
            <w:vAlign w:val="bottom"/>
            <w:hideMark/>
          </w:tcPr>
          <w:p w:rsidR="007547D4" w:rsidRPr="00D651E9" w:rsidRDefault="007547D4" w:rsidP="00031B92">
            <w:pPr>
              <w:spacing w:after="0" w:line="240" w:lineRule="auto"/>
              <w:jc w:val="center"/>
              <w:rPr>
                <w:rFonts w:ascii="Calibri" w:eastAsia="Times New Roman" w:hAnsi="Calibri" w:cs="Times New Roman"/>
                <w:color w:val="000000"/>
                <w:lang w:eastAsia="en-GB"/>
              </w:rPr>
            </w:pPr>
            <w:r w:rsidRPr="00D651E9">
              <w:rPr>
                <w:rFonts w:ascii="Calibri" w:eastAsia="Times New Roman" w:hAnsi="Calibri" w:cs="Times New Roman"/>
                <w:color w:val="000000"/>
                <w:lang w:eastAsia="en-GB"/>
              </w:rPr>
              <w:t>49%</w:t>
            </w:r>
          </w:p>
        </w:tc>
        <w:tc>
          <w:tcPr>
            <w:tcW w:w="795" w:type="dxa"/>
            <w:tcBorders>
              <w:top w:val="nil"/>
              <w:left w:val="nil"/>
              <w:bottom w:val="single" w:sz="4" w:space="0" w:color="auto"/>
              <w:right w:val="single" w:sz="4" w:space="0" w:color="auto"/>
            </w:tcBorders>
            <w:shd w:val="clear" w:color="auto" w:fill="auto"/>
            <w:noWrap/>
            <w:vAlign w:val="bottom"/>
            <w:hideMark/>
          </w:tcPr>
          <w:p w:rsidR="007547D4" w:rsidRPr="00D651E9" w:rsidRDefault="007547D4" w:rsidP="00031B92">
            <w:pPr>
              <w:spacing w:after="0" w:line="240" w:lineRule="auto"/>
              <w:jc w:val="center"/>
              <w:rPr>
                <w:rFonts w:ascii="Calibri" w:eastAsia="Times New Roman" w:hAnsi="Calibri" w:cs="Times New Roman"/>
                <w:color w:val="000000"/>
                <w:lang w:eastAsia="en-GB"/>
              </w:rPr>
            </w:pPr>
            <w:r w:rsidRPr="00D651E9">
              <w:rPr>
                <w:rFonts w:ascii="Calibri" w:eastAsia="Times New Roman" w:hAnsi="Calibri" w:cs="Times New Roman"/>
                <w:color w:val="000000"/>
                <w:lang w:eastAsia="en-GB"/>
              </w:rPr>
              <w:t>1%</w:t>
            </w:r>
          </w:p>
        </w:tc>
        <w:tc>
          <w:tcPr>
            <w:tcW w:w="850" w:type="dxa"/>
            <w:tcBorders>
              <w:top w:val="nil"/>
              <w:left w:val="nil"/>
              <w:bottom w:val="single" w:sz="4" w:space="0" w:color="auto"/>
              <w:right w:val="single" w:sz="4" w:space="0" w:color="auto"/>
            </w:tcBorders>
            <w:shd w:val="clear" w:color="auto" w:fill="auto"/>
            <w:noWrap/>
            <w:vAlign w:val="bottom"/>
            <w:hideMark/>
          </w:tcPr>
          <w:p w:rsidR="007547D4" w:rsidRPr="00D651E9" w:rsidRDefault="007547D4" w:rsidP="00031B92">
            <w:pPr>
              <w:spacing w:after="0" w:line="240" w:lineRule="auto"/>
              <w:jc w:val="center"/>
              <w:rPr>
                <w:rFonts w:ascii="Calibri" w:eastAsia="Times New Roman" w:hAnsi="Calibri" w:cs="Times New Roman"/>
                <w:color w:val="000000"/>
                <w:lang w:eastAsia="en-GB"/>
              </w:rPr>
            </w:pPr>
            <w:r w:rsidRPr="00D651E9">
              <w:rPr>
                <w:rFonts w:ascii="Calibri" w:eastAsia="Times New Roman" w:hAnsi="Calibri" w:cs="Times New Roman"/>
                <w:color w:val="000000"/>
                <w:lang w:eastAsia="en-GB"/>
              </w:rPr>
              <w:t>27%</w:t>
            </w:r>
          </w:p>
        </w:tc>
      </w:tr>
    </w:tbl>
    <w:p w:rsidR="007547D4" w:rsidRDefault="007547D4" w:rsidP="007547D4">
      <w:r>
        <w:t xml:space="preserve">Source: </w:t>
      </w:r>
      <w:proofErr w:type="spellStart"/>
      <w:r>
        <w:t>TfL</w:t>
      </w:r>
      <w:proofErr w:type="spellEnd"/>
      <w:r>
        <w:t xml:space="preserve"> Travel Demand Survey, 2011</w:t>
      </w:r>
    </w:p>
    <w:p w:rsidR="007547D4" w:rsidRDefault="007547D4" w:rsidP="007547D4">
      <w:pPr>
        <w:pStyle w:val="ListParagraph"/>
        <w:numPr>
          <w:ilvl w:val="0"/>
          <w:numId w:val="27"/>
        </w:numPr>
      </w:pPr>
      <w:r>
        <w:t>Compared to the Outer London average, Barnet residents make more trips each day, 2.5 and 2.9 respectively.</w:t>
      </w:r>
    </w:p>
    <w:p w:rsidR="007547D4" w:rsidRDefault="007547D4" w:rsidP="007547D4">
      <w:pPr>
        <w:pStyle w:val="ListParagraph"/>
        <w:numPr>
          <w:ilvl w:val="0"/>
          <w:numId w:val="27"/>
        </w:numPr>
        <w:spacing w:after="0" w:line="240" w:lineRule="auto"/>
      </w:pPr>
      <w:r>
        <w:t xml:space="preserve">In line with Outer London trends, cars and motorcycles are the primary mode of transport accounting for 47% of journeys. </w:t>
      </w:r>
    </w:p>
    <w:p w:rsidR="007547D4" w:rsidRDefault="007547D4" w:rsidP="007547D4">
      <w:pPr>
        <w:spacing w:after="0" w:line="240" w:lineRule="auto"/>
      </w:pPr>
    </w:p>
    <w:p w:rsidR="007547D4" w:rsidRDefault="007547D4" w:rsidP="007547D4">
      <w:r w:rsidRPr="002B131D">
        <w:t xml:space="preserve">Although cycle usage currently only makes up 1% of journeys within the </w:t>
      </w:r>
      <w:r>
        <w:t>Borough</w:t>
      </w:r>
      <w:r w:rsidRPr="002B131D">
        <w:t xml:space="preserve">, the Local Plan and Local Implementation Plan include targets to increase cycling usage to 4.3% of journeys by 2026. Local Plan policies state “We will seek to make cycling and walking more attractive for leisure, health and short trips.” </w:t>
      </w:r>
    </w:p>
    <w:p w:rsidR="007547D4" w:rsidRDefault="007547D4" w:rsidP="007547D4">
      <w:r>
        <w:t xml:space="preserve">Barnet has an extensive road network, the second highest length of public road in London, and contained within this are notable barriers to cycling, including the M1, the North Circular Road, A1000 and the Midland Mainline Railway. However, the Borough also contains a number of parks and green field spaces that offer quiet off road cycling opportunities away from traffic. </w:t>
      </w:r>
    </w:p>
    <w:p w:rsidR="007547D4" w:rsidRDefault="007547D4" w:rsidP="007547D4">
      <w:pPr>
        <w:autoSpaceDE w:val="0"/>
        <w:autoSpaceDN w:val="0"/>
      </w:pPr>
      <w:r>
        <w:t xml:space="preserve">The London Mayor’s Vision for Cycling includes a programme for delivery of </w:t>
      </w:r>
      <w:proofErr w:type="spellStart"/>
      <w:r>
        <w:t>Quietways</w:t>
      </w:r>
      <w:proofErr w:type="spellEnd"/>
      <w:r>
        <w:t xml:space="preserve"> across London. The routes intended to appeal to new and less confident cyclists are envisaged to be mainly on quiet roads. Potential routes in Barnet have been identified for consideration.</w:t>
      </w:r>
    </w:p>
    <w:p w:rsidR="007547D4" w:rsidRDefault="007547D4" w:rsidP="007547D4">
      <w:pPr>
        <w:autoSpaceDE w:val="0"/>
        <w:autoSpaceDN w:val="0"/>
      </w:pPr>
      <w:r>
        <w:t>A cycle strategy for the Borough is in development and this aims to identify policy influences, a series of objectives, and delivery plans.</w:t>
      </w:r>
    </w:p>
    <w:p w:rsidR="007547D4" w:rsidRDefault="007547D4" w:rsidP="007547D4">
      <w:pPr>
        <w:pStyle w:val="Heading2"/>
        <w:numPr>
          <w:ilvl w:val="1"/>
          <w:numId w:val="138"/>
        </w:numPr>
      </w:pPr>
      <w:bookmarkStart w:id="541" w:name="_Toc426723314"/>
      <w:bookmarkStart w:id="542" w:name="_Toc431225141"/>
      <w:r>
        <w:t>Town C</w:t>
      </w:r>
      <w:r w:rsidRPr="009C14E3">
        <w:t>entres</w:t>
      </w:r>
      <w:bookmarkEnd w:id="541"/>
      <w:bookmarkEnd w:id="542"/>
    </w:p>
    <w:p w:rsidR="007547D4" w:rsidRDefault="007547D4" w:rsidP="007547D4">
      <w:r w:rsidRPr="00E850D6">
        <w:t>Barnet’s high streets are highly valued by the people who use them and the businesses that operate in them; however</w:t>
      </w:r>
      <w:r>
        <w:t>,</w:t>
      </w:r>
      <w:r w:rsidRPr="00E850D6">
        <w:t xml:space="preserve"> the last ten years has seen the most profound change in the way people spend their time and money for half a century.</w:t>
      </w:r>
    </w:p>
    <w:p w:rsidR="007547D4" w:rsidRPr="00E850D6" w:rsidRDefault="007547D4" w:rsidP="007547D4">
      <w:r w:rsidRPr="00E850D6">
        <w:t>The biggest change has been the rise of the internet and online shopping, which made up 13.5% of all purchases in 2010 and is projected to reach 23% by 2016. In 2008 53% of adults bought something online. In 2014 this figure had increased to 74%</w:t>
      </w:r>
      <w:r w:rsidRPr="00EA2EDA">
        <w:rPr>
          <w:rStyle w:val="FootnoteReference"/>
          <w:rFonts w:cs="Arial"/>
        </w:rPr>
        <w:footnoteReference w:id="12"/>
      </w:r>
      <w:r w:rsidRPr="00E850D6">
        <w:t xml:space="preserve">. This trend has resulted in high street sales of </w:t>
      </w:r>
      <w:r>
        <w:t>items</w:t>
      </w:r>
      <w:r w:rsidRPr="00E850D6">
        <w:t xml:space="preserve"> like electronic equipment, clothes, music and shoes all falling sharply.</w:t>
      </w:r>
    </w:p>
    <w:p w:rsidR="007547D4" w:rsidRPr="00E850D6" w:rsidRDefault="007547D4" w:rsidP="007547D4">
      <w:r w:rsidRPr="00E850D6">
        <w:t xml:space="preserve">There are also opportunities. For example, there has actually been some growth in things that consumers can’t </w:t>
      </w:r>
      <w:r>
        <w:t>access</w:t>
      </w:r>
      <w:r w:rsidRPr="00E850D6">
        <w:t xml:space="preserve"> online</w:t>
      </w:r>
      <w:r>
        <w:t>;</w:t>
      </w:r>
      <w:r w:rsidRPr="00E850D6">
        <w:t xml:space="preserve"> like restaurants, beauty salons, </w:t>
      </w:r>
      <w:proofErr w:type="gramStart"/>
      <w:r w:rsidRPr="00E850D6">
        <w:t>gyms</w:t>
      </w:r>
      <w:proofErr w:type="gramEnd"/>
      <w:r w:rsidRPr="00E850D6">
        <w:t xml:space="preserve"> and other products related to </w:t>
      </w:r>
      <w:r w:rsidRPr="00E850D6">
        <w:lastRenderedPageBreak/>
        <w:t>lifestyle, food and leisure. There are opportunities associated with an ageing population too</w:t>
      </w:r>
      <w:r>
        <w:t xml:space="preserve">; older </w:t>
      </w:r>
      <w:r w:rsidR="00DD3A76">
        <w:t>adults often</w:t>
      </w:r>
      <w:r>
        <w:t xml:space="preserve"> have</w:t>
      </w:r>
      <w:r w:rsidRPr="00E850D6">
        <w:t xml:space="preserve"> higher disposable income</w:t>
      </w:r>
      <w:r>
        <w:t>s, and use</w:t>
      </w:r>
      <w:r w:rsidRPr="00E850D6">
        <w:t xml:space="preserve"> the internet less than some other groups.</w:t>
      </w:r>
    </w:p>
    <w:p w:rsidR="007547D4" w:rsidRPr="00E850D6" w:rsidRDefault="007547D4" w:rsidP="007547D4">
      <w:r w:rsidRPr="00E850D6">
        <w:t>It is</w:t>
      </w:r>
      <w:r>
        <w:t xml:space="preserve"> important that </w:t>
      </w:r>
      <w:r w:rsidRPr="00E850D6">
        <w:t>people are encouraged to visit and live in town centres and that any barriers to them doing this are minimised. Research by London Councils in 2012 showed that:</w:t>
      </w:r>
    </w:p>
    <w:p w:rsidR="007547D4" w:rsidRPr="00E850D6" w:rsidRDefault="007547D4" w:rsidP="007547D4">
      <w:pPr>
        <w:pStyle w:val="ListParagraph"/>
        <w:numPr>
          <w:ilvl w:val="0"/>
          <w:numId w:val="28"/>
        </w:numPr>
        <w:jc w:val="both"/>
        <w:rPr>
          <w:rFonts w:cs="Arial"/>
        </w:rPr>
      </w:pPr>
      <w:r w:rsidRPr="00E850D6">
        <w:rPr>
          <w:rFonts w:cs="Arial"/>
        </w:rPr>
        <w:t>Around 77% of people get to their local town centre by foot, public transport or bicycle rather than by car. These people spend more each month on average in town centres than drivers.</w:t>
      </w:r>
    </w:p>
    <w:p w:rsidR="007547D4" w:rsidRPr="00E850D6" w:rsidRDefault="007547D4" w:rsidP="007547D4">
      <w:pPr>
        <w:pStyle w:val="ListParagraph"/>
        <w:numPr>
          <w:ilvl w:val="0"/>
          <w:numId w:val="28"/>
        </w:numPr>
        <w:jc w:val="both"/>
      </w:pPr>
      <w:r>
        <w:rPr>
          <w:rFonts w:cs="Arial"/>
        </w:rPr>
        <w:t>On average, s</w:t>
      </w:r>
      <w:r w:rsidRPr="00E850D6">
        <w:rPr>
          <w:rFonts w:cs="Arial"/>
        </w:rPr>
        <w:t>hoppers say that traffic reduction and environmental improvements would improve the shopping experience most, with cheaper parking being less important.</w:t>
      </w:r>
      <w:r w:rsidRPr="00E850D6">
        <w:rPr>
          <w:rStyle w:val="FootnoteReference"/>
          <w:rFonts w:cs="Arial"/>
        </w:rPr>
        <w:footnoteReference w:id="13"/>
      </w:r>
    </w:p>
    <w:p w:rsidR="007547D4" w:rsidRDefault="007547D4" w:rsidP="007547D4">
      <w:pPr>
        <w:pStyle w:val="ListParagraph"/>
        <w:numPr>
          <w:ilvl w:val="0"/>
          <w:numId w:val="28"/>
        </w:numPr>
        <w:jc w:val="both"/>
        <w:rPr>
          <w:rFonts w:cs="Arial"/>
        </w:rPr>
      </w:pPr>
      <w:r w:rsidRPr="00E850D6">
        <w:rPr>
          <w:rFonts w:cs="Arial"/>
        </w:rPr>
        <w:t>Only about 19% of journeys to a town centre in outer London are made by private car.</w:t>
      </w:r>
    </w:p>
    <w:p w:rsidR="007547D4" w:rsidRDefault="007547D4" w:rsidP="007547D4">
      <w:pPr>
        <w:pStyle w:val="Heading2"/>
        <w:numPr>
          <w:ilvl w:val="1"/>
          <w:numId w:val="138"/>
        </w:numPr>
      </w:pPr>
      <w:bookmarkStart w:id="543" w:name="_Toc426723315"/>
      <w:bookmarkStart w:id="544" w:name="_Toc431225142"/>
      <w:r w:rsidRPr="006F2BD9">
        <w:t>Economy</w:t>
      </w:r>
      <w:bookmarkEnd w:id="543"/>
      <w:bookmarkEnd w:id="544"/>
    </w:p>
    <w:p w:rsidR="007547D4" w:rsidRPr="00C13D09" w:rsidRDefault="007547D4" w:rsidP="007547D4">
      <w:pPr>
        <w:pStyle w:val="Heading3"/>
        <w:numPr>
          <w:ilvl w:val="2"/>
          <w:numId w:val="138"/>
        </w:numPr>
      </w:pPr>
      <w:r>
        <w:t>Overview</w:t>
      </w:r>
    </w:p>
    <w:p w:rsidR="007547D4" w:rsidRDefault="007547D4" w:rsidP="007547D4">
      <w:pPr>
        <w:jc w:val="both"/>
      </w:pPr>
      <w:r w:rsidRPr="006F2BD9">
        <w:t>Between 2009 and 2012 Barnet’s business population increased by 5.3%, to a total of 18,920 business units, a greater increase than for Greater London (4.6%). Amongst neighbouring local authorities only Haringey (8.3%), Harrow (9.1%) and Redbri</w:t>
      </w:r>
      <w:r>
        <w:t xml:space="preserve">dge (13.6%) had higher growth over </w:t>
      </w:r>
      <w:r w:rsidRPr="006F2BD9">
        <w:t>this period</w:t>
      </w:r>
      <w:r>
        <w:rPr>
          <w:rStyle w:val="FootnoteReference"/>
        </w:rPr>
        <w:footnoteReference w:id="14"/>
      </w:r>
      <w:r w:rsidRPr="006F2BD9">
        <w:t>.</w:t>
      </w:r>
    </w:p>
    <w:p w:rsidR="007547D4" w:rsidRPr="006F2BD9" w:rsidRDefault="007547D4" w:rsidP="007547D4">
      <w:pPr>
        <w:pStyle w:val="Heading3"/>
        <w:numPr>
          <w:ilvl w:val="2"/>
          <w:numId w:val="138"/>
        </w:numPr>
      </w:pPr>
      <w:r w:rsidRPr="006F2BD9">
        <w:t>Key Sectors</w:t>
      </w:r>
    </w:p>
    <w:p w:rsidR="007547D4" w:rsidRDefault="007547D4" w:rsidP="007547D4">
      <w:pPr>
        <w:spacing w:after="0" w:line="240" w:lineRule="auto"/>
      </w:pPr>
      <w:r w:rsidRPr="006F2BD9">
        <w:t xml:space="preserve">Table </w:t>
      </w:r>
      <w:r>
        <w:t>3-4</w:t>
      </w:r>
      <w:r w:rsidRPr="006F2BD9">
        <w:t xml:space="preserve"> shows the number of business units by sector for Barnet, London and England in March 2012, compared with March 2009. </w:t>
      </w:r>
    </w:p>
    <w:p w:rsidR="007547D4" w:rsidRPr="006F2BD9" w:rsidRDefault="007547D4" w:rsidP="007547D4">
      <w:pPr>
        <w:spacing w:after="0" w:line="240" w:lineRule="auto"/>
      </w:pPr>
    </w:p>
    <w:p w:rsidR="007547D4" w:rsidRPr="006F2BD9" w:rsidRDefault="007547D4" w:rsidP="007547D4">
      <w:pPr>
        <w:pStyle w:val="ListParagraph"/>
        <w:numPr>
          <w:ilvl w:val="0"/>
          <w:numId w:val="25"/>
        </w:numPr>
        <w:jc w:val="both"/>
        <w:rPr>
          <w:rFonts w:cs="Arial"/>
        </w:rPr>
      </w:pPr>
      <w:r w:rsidRPr="006F2BD9">
        <w:rPr>
          <w:rFonts w:cs="Arial"/>
        </w:rPr>
        <w:t>In March 2012, the largest business sectors in Barnet were pro</w:t>
      </w:r>
      <w:r>
        <w:rPr>
          <w:rFonts w:cs="Arial"/>
        </w:rPr>
        <w:t xml:space="preserve">fessional scientific/technical; </w:t>
      </w:r>
      <w:r w:rsidRPr="006F2BD9">
        <w:rPr>
          <w:rFonts w:cs="Arial"/>
        </w:rPr>
        <w:t>construction</w:t>
      </w:r>
      <w:r>
        <w:rPr>
          <w:rFonts w:cs="Arial"/>
        </w:rPr>
        <w:t>; retail;</w:t>
      </w:r>
      <w:r w:rsidRPr="006F2BD9">
        <w:rPr>
          <w:rFonts w:cs="Arial"/>
        </w:rPr>
        <w:t xml:space="preserve"> info-communications</w:t>
      </w:r>
      <w:r>
        <w:rPr>
          <w:rFonts w:cs="Arial"/>
        </w:rPr>
        <w:t xml:space="preserve">; and Property. </w:t>
      </w:r>
    </w:p>
    <w:p w:rsidR="007547D4" w:rsidRPr="006F2BD9" w:rsidRDefault="007547D4" w:rsidP="007547D4">
      <w:pPr>
        <w:pStyle w:val="ListParagraph"/>
        <w:numPr>
          <w:ilvl w:val="0"/>
          <w:numId w:val="25"/>
        </w:numPr>
        <w:ind w:left="714" w:hanging="357"/>
        <w:jc w:val="both"/>
      </w:pPr>
      <w:r w:rsidRPr="006F2BD9">
        <w:t xml:space="preserve">Barnet has higher proportions, than for Greater London, of construction property and wholesale. </w:t>
      </w:r>
    </w:p>
    <w:p w:rsidR="007547D4" w:rsidRPr="006F2BD9" w:rsidRDefault="007547D4" w:rsidP="007547D4">
      <w:pPr>
        <w:pStyle w:val="ListParagraph"/>
        <w:numPr>
          <w:ilvl w:val="0"/>
          <w:numId w:val="25"/>
        </w:numPr>
        <w:ind w:left="714" w:hanging="357"/>
        <w:jc w:val="both"/>
        <w:rPr>
          <w:rFonts w:cs="Arial"/>
        </w:rPr>
      </w:pPr>
      <w:r w:rsidRPr="006F2BD9">
        <w:t>Barnet’s sectors exhibiting the greatest business unit increase for 2009-2012 were education (22.9%),</w:t>
      </w:r>
      <w:r w:rsidRPr="006F2BD9">
        <w:rPr>
          <w:rFonts w:cs="Arial"/>
        </w:rPr>
        <w:t xml:space="preserve"> health (21%), property (15.9%), </w:t>
      </w:r>
      <w:r>
        <w:rPr>
          <w:rFonts w:cs="Arial"/>
        </w:rPr>
        <w:t xml:space="preserve">Professional, </w:t>
      </w:r>
      <w:r w:rsidR="00DD3A76">
        <w:rPr>
          <w:rFonts w:cs="Arial"/>
        </w:rPr>
        <w:t>Scientific</w:t>
      </w:r>
      <w:r>
        <w:rPr>
          <w:rFonts w:cs="Arial"/>
        </w:rPr>
        <w:t xml:space="preserve"> and Technical (</w:t>
      </w:r>
      <w:r w:rsidRPr="006F2BD9">
        <w:rPr>
          <w:rFonts w:cs="Arial"/>
        </w:rPr>
        <w:t>PST</w:t>
      </w:r>
      <w:r>
        <w:rPr>
          <w:rFonts w:cs="Arial"/>
        </w:rPr>
        <w:t>)</w:t>
      </w:r>
      <w:r w:rsidRPr="006F2BD9">
        <w:rPr>
          <w:rFonts w:cs="Arial"/>
        </w:rPr>
        <w:t xml:space="preserve"> (15.8%), information &amp; communication (9.9%) and motor trades (8.8%), with all except information &amp; communication out performing Greater London sector growth. </w:t>
      </w:r>
    </w:p>
    <w:p w:rsidR="007547D4" w:rsidRDefault="007547D4" w:rsidP="007547D4">
      <w:pPr>
        <w:pStyle w:val="ListParagraph"/>
        <w:numPr>
          <w:ilvl w:val="0"/>
          <w:numId w:val="25"/>
        </w:numPr>
        <w:jc w:val="both"/>
        <w:rPr>
          <w:rFonts w:cs="Arial"/>
        </w:rPr>
      </w:pPr>
      <w:r>
        <w:rPr>
          <w:rFonts w:cs="Arial"/>
        </w:rPr>
        <w:t>The greatest areas of decline were</w:t>
      </w:r>
      <w:r w:rsidRPr="006F2BD9">
        <w:rPr>
          <w:rFonts w:cs="Arial"/>
        </w:rPr>
        <w:t xml:space="preserve"> exhibited in public/administrative, product</w:t>
      </w:r>
      <w:r>
        <w:rPr>
          <w:rFonts w:cs="Arial"/>
        </w:rPr>
        <w:t>ion and business/administrative</w:t>
      </w:r>
      <w:r w:rsidRPr="006F2BD9">
        <w:rPr>
          <w:rFonts w:cs="Arial"/>
        </w:rPr>
        <w:t xml:space="preserve"> sectors, all performing worse than for London as a whole. </w:t>
      </w:r>
    </w:p>
    <w:p w:rsidR="00CF501E" w:rsidRDefault="00CF501E" w:rsidP="00CF501E">
      <w:pPr>
        <w:jc w:val="both"/>
        <w:rPr>
          <w:rFonts w:cs="Arial"/>
        </w:rPr>
      </w:pPr>
    </w:p>
    <w:p w:rsidR="00CF501E" w:rsidRDefault="00CF501E" w:rsidP="00CF501E">
      <w:pPr>
        <w:jc w:val="both"/>
        <w:rPr>
          <w:rFonts w:cs="Arial"/>
        </w:rPr>
      </w:pPr>
    </w:p>
    <w:p w:rsidR="00CF501E" w:rsidRDefault="00CF501E" w:rsidP="00CF501E">
      <w:pPr>
        <w:jc w:val="both"/>
        <w:rPr>
          <w:rFonts w:cs="Arial"/>
        </w:rPr>
      </w:pPr>
    </w:p>
    <w:p w:rsidR="00CF501E" w:rsidRDefault="00CF501E" w:rsidP="00CF501E">
      <w:pPr>
        <w:jc w:val="both"/>
        <w:rPr>
          <w:rFonts w:cs="Arial"/>
        </w:rPr>
      </w:pPr>
    </w:p>
    <w:p w:rsidR="00CF501E" w:rsidRDefault="00CF501E" w:rsidP="00CF501E">
      <w:pPr>
        <w:jc w:val="both"/>
        <w:rPr>
          <w:rFonts w:cs="Arial"/>
        </w:rPr>
      </w:pPr>
    </w:p>
    <w:p w:rsidR="00CF501E" w:rsidRDefault="00CF501E" w:rsidP="00CF501E">
      <w:pPr>
        <w:jc w:val="both"/>
        <w:rPr>
          <w:rFonts w:cs="Arial"/>
        </w:rPr>
      </w:pPr>
    </w:p>
    <w:p w:rsidR="007547D4" w:rsidRDefault="007547D4" w:rsidP="007547D4">
      <w:pPr>
        <w:pStyle w:val="Caption"/>
        <w:rPr>
          <w:rFonts w:cs="Arial"/>
          <w:b w:val="0"/>
          <w:i/>
        </w:rPr>
      </w:pPr>
      <w:r>
        <w:lastRenderedPageBreak/>
        <w:t xml:space="preserve">Table </w:t>
      </w:r>
      <w:fldSimple w:instr=" STYLEREF 1 \s ">
        <w:r w:rsidR="001663C2">
          <w:rPr>
            <w:noProof/>
          </w:rPr>
          <w:t>3</w:t>
        </w:r>
      </w:fldSimple>
      <w:r>
        <w:noBreakHyphen/>
      </w:r>
      <w:fldSimple w:instr=" SEQ Table \* ARABIC \s 1 ">
        <w:r w:rsidR="001663C2">
          <w:rPr>
            <w:noProof/>
          </w:rPr>
          <w:t>4</w:t>
        </w:r>
      </w:fldSimple>
      <w:r w:rsidRPr="001221C6">
        <w:rPr>
          <w:rFonts w:cs="Calibri"/>
        </w:rPr>
        <w:t>: Business Unit by Sector (Broad SIC2007) for March 2012 and change compared with March 2009 for Barnet, London and England</w:t>
      </w:r>
    </w:p>
    <w:tbl>
      <w:tblPr>
        <w:tblW w:w="9941" w:type="dxa"/>
        <w:jc w:val="center"/>
        <w:tblInd w:w="93" w:type="dxa"/>
        <w:tblLook w:val="04A0" w:firstRow="1" w:lastRow="0" w:firstColumn="1" w:lastColumn="0" w:noHBand="0" w:noVBand="1"/>
      </w:tblPr>
      <w:tblGrid>
        <w:gridCol w:w="3060"/>
        <w:gridCol w:w="717"/>
        <w:gridCol w:w="597"/>
        <w:gridCol w:w="868"/>
        <w:gridCol w:w="829"/>
        <w:gridCol w:w="597"/>
        <w:gridCol w:w="868"/>
        <w:gridCol w:w="940"/>
        <w:gridCol w:w="597"/>
        <w:gridCol w:w="868"/>
      </w:tblGrid>
      <w:tr w:rsidR="007547D4" w:rsidRPr="007B00CC" w:rsidTr="00031B92">
        <w:trPr>
          <w:trHeight w:val="300"/>
          <w:jc w:val="center"/>
        </w:trPr>
        <w:tc>
          <w:tcPr>
            <w:tcW w:w="3060" w:type="dxa"/>
            <w:vMerge w:val="restart"/>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7547D4" w:rsidRPr="007B00CC" w:rsidRDefault="007547D4" w:rsidP="00031B92">
            <w:pPr>
              <w:spacing w:after="0" w:line="240" w:lineRule="auto"/>
              <w:jc w:val="both"/>
              <w:rPr>
                <w:rFonts w:ascii="Calibri" w:eastAsia="Times New Roman" w:hAnsi="Calibri" w:cs="Times New Roman"/>
                <w:b/>
                <w:bCs/>
                <w:color w:val="000000"/>
                <w:lang w:eastAsia="en-GB"/>
              </w:rPr>
            </w:pPr>
            <w:r w:rsidRPr="007B00CC">
              <w:rPr>
                <w:rFonts w:ascii="Calibri" w:eastAsia="Times New Roman" w:hAnsi="Calibri" w:cs="Times New Roman"/>
                <w:b/>
                <w:bCs/>
                <w:color w:val="000000"/>
                <w:lang w:eastAsia="en-GB"/>
              </w:rPr>
              <w:t> </w:t>
            </w:r>
          </w:p>
        </w:tc>
        <w:tc>
          <w:tcPr>
            <w:tcW w:w="2182" w:type="dxa"/>
            <w:gridSpan w:val="3"/>
            <w:tcBorders>
              <w:top w:val="single" w:sz="4" w:space="0" w:color="auto"/>
              <w:left w:val="nil"/>
              <w:bottom w:val="single" w:sz="4" w:space="0" w:color="auto"/>
              <w:right w:val="single" w:sz="4" w:space="0" w:color="auto"/>
            </w:tcBorders>
            <w:shd w:val="clear" w:color="000000" w:fill="BFBFBF"/>
            <w:noWrap/>
            <w:vAlign w:val="center"/>
            <w:hideMark/>
          </w:tcPr>
          <w:p w:rsidR="007547D4" w:rsidRPr="007B00CC" w:rsidRDefault="007547D4" w:rsidP="00031B92">
            <w:pPr>
              <w:spacing w:after="0" w:line="240" w:lineRule="auto"/>
              <w:jc w:val="center"/>
              <w:rPr>
                <w:rFonts w:ascii="Calibri" w:eastAsia="Times New Roman" w:hAnsi="Calibri" w:cs="Times New Roman"/>
                <w:b/>
                <w:bCs/>
                <w:color w:val="000000"/>
                <w:lang w:eastAsia="en-GB"/>
              </w:rPr>
            </w:pPr>
            <w:r w:rsidRPr="007B00CC">
              <w:rPr>
                <w:rFonts w:ascii="Calibri" w:eastAsia="Times New Roman" w:hAnsi="Calibri" w:cs="Times New Roman"/>
                <w:b/>
                <w:bCs/>
                <w:color w:val="000000"/>
                <w:lang w:eastAsia="en-GB"/>
              </w:rPr>
              <w:t>Barnet</w:t>
            </w:r>
          </w:p>
        </w:tc>
        <w:tc>
          <w:tcPr>
            <w:tcW w:w="2294" w:type="dxa"/>
            <w:gridSpan w:val="3"/>
            <w:tcBorders>
              <w:top w:val="single" w:sz="4" w:space="0" w:color="auto"/>
              <w:left w:val="nil"/>
              <w:bottom w:val="single" w:sz="4" w:space="0" w:color="auto"/>
              <w:right w:val="single" w:sz="4" w:space="0" w:color="auto"/>
            </w:tcBorders>
            <w:shd w:val="clear" w:color="000000" w:fill="BFBFBF"/>
            <w:noWrap/>
            <w:vAlign w:val="center"/>
            <w:hideMark/>
          </w:tcPr>
          <w:p w:rsidR="007547D4" w:rsidRPr="007B00CC" w:rsidRDefault="007547D4" w:rsidP="00031B92">
            <w:pPr>
              <w:spacing w:after="0" w:line="240" w:lineRule="auto"/>
              <w:jc w:val="center"/>
              <w:rPr>
                <w:rFonts w:ascii="Calibri" w:eastAsia="Times New Roman" w:hAnsi="Calibri" w:cs="Times New Roman"/>
                <w:b/>
                <w:bCs/>
                <w:color w:val="000000"/>
                <w:lang w:eastAsia="en-GB"/>
              </w:rPr>
            </w:pPr>
            <w:r w:rsidRPr="007B00CC">
              <w:rPr>
                <w:rFonts w:ascii="Calibri" w:eastAsia="Times New Roman" w:hAnsi="Calibri" w:cs="Times New Roman"/>
                <w:b/>
                <w:bCs/>
                <w:color w:val="000000"/>
                <w:lang w:eastAsia="en-GB"/>
              </w:rPr>
              <w:t>Greater London</w:t>
            </w:r>
          </w:p>
        </w:tc>
        <w:tc>
          <w:tcPr>
            <w:tcW w:w="2405" w:type="dxa"/>
            <w:gridSpan w:val="3"/>
            <w:tcBorders>
              <w:top w:val="single" w:sz="4" w:space="0" w:color="auto"/>
              <w:left w:val="nil"/>
              <w:bottom w:val="single" w:sz="4" w:space="0" w:color="auto"/>
              <w:right w:val="single" w:sz="4" w:space="0" w:color="auto"/>
            </w:tcBorders>
            <w:shd w:val="clear" w:color="000000" w:fill="BFBFBF"/>
            <w:noWrap/>
            <w:vAlign w:val="center"/>
            <w:hideMark/>
          </w:tcPr>
          <w:p w:rsidR="007547D4" w:rsidRPr="007B00CC" w:rsidRDefault="007547D4" w:rsidP="00031B92">
            <w:pPr>
              <w:spacing w:after="0" w:line="240" w:lineRule="auto"/>
              <w:jc w:val="center"/>
              <w:rPr>
                <w:rFonts w:ascii="Calibri" w:eastAsia="Times New Roman" w:hAnsi="Calibri" w:cs="Times New Roman"/>
                <w:b/>
                <w:bCs/>
                <w:color w:val="000000"/>
                <w:lang w:eastAsia="en-GB"/>
              </w:rPr>
            </w:pPr>
            <w:r w:rsidRPr="007B00CC">
              <w:rPr>
                <w:rFonts w:ascii="Calibri" w:eastAsia="Times New Roman" w:hAnsi="Calibri" w:cs="Times New Roman"/>
                <w:b/>
                <w:bCs/>
                <w:color w:val="000000"/>
                <w:lang w:eastAsia="en-GB"/>
              </w:rPr>
              <w:t>England</w:t>
            </w:r>
          </w:p>
        </w:tc>
      </w:tr>
      <w:tr w:rsidR="007547D4" w:rsidRPr="007B00CC" w:rsidTr="00031B92">
        <w:trPr>
          <w:trHeight w:val="600"/>
          <w:jc w:val="center"/>
        </w:trPr>
        <w:tc>
          <w:tcPr>
            <w:tcW w:w="3060" w:type="dxa"/>
            <w:vMerge/>
            <w:tcBorders>
              <w:top w:val="single" w:sz="4" w:space="0" w:color="auto"/>
              <w:left w:val="single" w:sz="4" w:space="0" w:color="auto"/>
              <w:bottom w:val="single" w:sz="4" w:space="0" w:color="auto"/>
              <w:right w:val="single" w:sz="4" w:space="0" w:color="auto"/>
            </w:tcBorders>
            <w:vAlign w:val="center"/>
            <w:hideMark/>
          </w:tcPr>
          <w:p w:rsidR="007547D4" w:rsidRPr="007B00CC" w:rsidRDefault="007547D4" w:rsidP="00031B92">
            <w:pPr>
              <w:spacing w:after="0" w:line="240" w:lineRule="auto"/>
              <w:rPr>
                <w:rFonts w:ascii="Calibri" w:eastAsia="Times New Roman" w:hAnsi="Calibri" w:cs="Times New Roman"/>
                <w:b/>
                <w:bCs/>
                <w:color w:val="000000"/>
                <w:lang w:eastAsia="en-GB"/>
              </w:rPr>
            </w:pPr>
          </w:p>
        </w:tc>
        <w:tc>
          <w:tcPr>
            <w:tcW w:w="717" w:type="dxa"/>
            <w:tcBorders>
              <w:top w:val="nil"/>
              <w:left w:val="nil"/>
              <w:bottom w:val="single" w:sz="4" w:space="0" w:color="auto"/>
              <w:right w:val="single" w:sz="4" w:space="0" w:color="auto"/>
            </w:tcBorders>
            <w:shd w:val="clear" w:color="000000" w:fill="BFBFBF"/>
            <w:noWrap/>
            <w:vAlign w:val="center"/>
            <w:hideMark/>
          </w:tcPr>
          <w:p w:rsidR="007547D4" w:rsidRPr="007B00CC" w:rsidRDefault="007547D4" w:rsidP="00031B92">
            <w:pPr>
              <w:spacing w:after="0" w:line="240" w:lineRule="auto"/>
              <w:jc w:val="center"/>
              <w:rPr>
                <w:rFonts w:ascii="Calibri" w:eastAsia="Times New Roman" w:hAnsi="Calibri" w:cs="Times New Roman"/>
                <w:b/>
                <w:bCs/>
                <w:color w:val="000000"/>
                <w:lang w:eastAsia="en-GB"/>
              </w:rPr>
            </w:pPr>
            <w:r w:rsidRPr="007B00CC">
              <w:rPr>
                <w:rFonts w:ascii="Calibri" w:eastAsia="Times New Roman" w:hAnsi="Calibri" w:cs="Times New Roman"/>
                <w:b/>
                <w:bCs/>
                <w:color w:val="000000"/>
                <w:lang w:eastAsia="en-GB"/>
              </w:rPr>
              <w:t>2012</w:t>
            </w:r>
          </w:p>
        </w:tc>
        <w:tc>
          <w:tcPr>
            <w:tcW w:w="597" w:type="dxa"/>
            <w:tcBorders>
              <w:top w:val="nil"/>
              <w:left w:val="nil"/>
              <w:bottom w:val="single" w:sz="4" w:space="0" w:color="auto"/>
              <w:right w:val="single" w:sz="4" w:space="0" w:color="auto"/>
            </w:tcBorders>
            <w:shd w:val="clear" w:color="000000" w:fill="BFBFBF"/>
            <w:noWrap/>
            <w:vAlign w:val="center"/>
            <w:hideMark/>
          </w:tcPr>
          <w:p w:rsidR="007547D4" w:rsidRPr="007B00CC" w:rsidRDefault="007547D4" w:rsidP="00031B92">
            <w:pPr>
              <w:spacing w:after="0" w:line="240" w:lineRule="auto"/>
              <w:jc w:val="center"/>
              <w:rPr>
                <w:rFonts w:ascii="Calibri" w:eastAsia="Times New Roman" w:hAnsi="Calibri" w:cs="Times New Roman"/>
                <w:b/>
                <w:bCs/>
                <w:color w:val="000000"/>
                <w:lang w:eastAsia="en-GB"/>
              </w:rPr>
            </w:pPr>
            <w:r w:rsidRPr="007B00CC">
              <w:rPr>
                <w:rFonts w:ascii="Calibri" w:eastAsia="Times New Roman" w:hAnsi="Calibri" w:cs="Times New Roman"/>
                <w:b/>
                <w:bCs/>
                <w:color w:val="000000"/>
                <w:lang w:eastAsia="en-GB"/>
              </w:rPr>
              <w:t>%</w:t>
            </w:r>
          </w:p>
        </w:tc>
        <w:tc>
          <w:tcPr>
            <w:tcW w:w="868" w:type="dxa"/>
            <w:tcBorders>
              <w:top w:val="nil"/>
              <w:left w:val="nil"/>
              <w:bottom w:val="single" w:sz="4" w:space="0" w:color="auto"/>
              <w:right w:val="single" w:sz="4" w:space="0" w:color="auto"/>
            </w:tcBorders>
            <w:shd w:val="clear" w:color="000000" w:fill="BFBFBF"/>
            <w:vAlign w:val="center"/>
            <w:hideMark/>
          </w:tcPr>
          <w:p w:rsidR="007547D4" w:rsidRPr="007B00CC" w:rsidRDefault="007547D4" w:rsidP="00031B92">
            <w:pPr>
              <w:spacing w:after="0" w:line="240" w:lineRule="auto"/>
              <w:jc w:val="center"/>
              <w:rPr>
                <w:rFonts w:ascii="Calibri" w:eastAsia="Times New Roman" w:hAnsi="Calibri" w:cs="Times New Roman"/>
                <w:b/>
                <w:bCs/>
                <w:color w:val="000000"/>
                <w:lang w:eastAsia="en-GB"/>
              </w:rPr>
            </w:pPr>
            <w:r w:rsidRPr="007B00CC">
              <w:rPr>
                <w:rFonts w:ascii="Calibri" w:eastAsia="Times New Roman" w:hAnsi="Calibri" w:cs="Times New Roman"/>
                <w:b/>
                <w:bCs/>
                <w:color w:val="000000"/>
                <w:lang w:eastAsia="en-GB"/>
              </w:rPr>
              <w:t>% change</w:t>
            </w:r>
          </w:p>
        </w:tc>
        <w:tc>
          <w:tcPr>
            <w:tcW w:w="829" w:type="dxa"/>
            <w:tcBorders>
              <w:top w:val="nil"/>
              <w:left w:val="nil"/>
              <w:bottom w:val="single" w:sz="4" w:space="0" w:color="auto"/>
              <w:right w:val="single" w:sz="4" w:space="0" w:color="auto"/>
            </w:tcBorders>
            <w:shd w:val="clear" w:color="000000" w:fill="BFBFBF"/>
            <w:noWrap/>
            <w:vAlign w:val="center"/>
            <w:hideMark/>
          </w:tcPr>
          <w:p w:rsidR="007547D4" w:rsidRPr="007B00CC" w:rsidRDefault="007547D4" w:rsidP="00031B92">
            <w:pPr>
              <w:spacing w:after="0" w:line="240" w:lineRule="auto"/>
              <w:jc w:val="center"/>
              <w:rPr>
                <w:rFonts w:ascii="Calibri" w:eastAsia="Times New Roman" w:hAnsi="Calibri" w:cs="Times New Roman"/>
                <w:b/>
                <w:bCs/>
                <w:color w:val="000000"/>
                <w:lang w:eastAsia="en-GB"/>
              </w:rPr>
            </w:pPr>
            <w:r w:rsidRPr="007B00CC">
              <w:rPr>
                <w:rFonts w:ascii="Calibri" w:eastAsia="Times New Roman" w:hAnsi="Calibri" w:cs="Times New Roman"/>
                <w:b/>
                <w:bCs/>
                <w:color w:val="000000"/>
                <w:lang w:eastAsia="en-GB"/>
              </w:rPr>
              <w:t>2012</w:t>
            </w:r>
          </w:p>
        </w:tc>
        <w:tc>
          <w:tcPr>
            <w:tcW w:w="597" w:type="dxa"/>
            <w:tcBorders>
              <w:top w:val="nil"/>
              <w:left w:val="nil"/>
              <w:bottom w:val="single" w:sz="4" w:space="0" w:color="auto"/>
              <w:right w:val="single" w:sz="4" w:space="0" w:color="auto"/>
            </w:tcBorders>
            <w:shd w:val="clear" w:color="000000" w:fill="BFBFBF"/>
            <w:noWrap/>
            <w:vAlign w:val="center"/>
            <w:hideMark/>
          </w:tcPr>
          <w:p w:rsidR="007547D4" w:rsidRPr="007B00CC" w:rsidRDefault="007547D4" w:rsidP="00031B92">
            <w:pPr>
              <w:spacing w:after="0" w:line="240" w:lineRule="auto"/>
              <w:jc w:val="center"/>
              <w:rPr>
                <w:rFonts w:ascii="Calibri" w:eastAsia="Times New Roman" w:hAnsi="Calibri" w:cs="Times New Roman"/>
                <w:b/>
                <w:bCs/>
                <w:color w:val="000000"/>
                <w:lang w:eastAsia="en-GB"/>
              </w:rPr>
            </w:pPr>
            <w:r w:rsidRPr="007B00CC">
              <w:rPr>
                <w:rFonts w:ascii="Calibri" w:eastAsia="Times New Roman" w:hAnsi="Calibri" w:cs="Times New Roman"/>
                <w:b/>
                <w:bCs/>
                <w:color w:val="000000"/>
                <w:lang w:eastAsia="en-GB"/>
              </w:rPr>
              <w:t>%</w:t>
            </w:r>
          </w:p>
        </w:tc>
        <w:tc>
          <w:tcPr>
            <w:tcW w:w="868" w:type="dxa"/>
            <w:tcBorders>
              <w:top w:val="nil"/>
              <w:left w:val="nil"/>
              <w:bottom w:val="single" w:sz="4" w:space="0" w:color="auto"/>
              <w:right w:val="single" w:sz="4" w:space="0" w:color="auto"/>
            </w:tcBorders>
            <w:shd w:val="clear" w:color="000000" w:fill="BFBFBF"/>
            <w:vAlign w:val="center"/>
            <w:hideMark/>
          </w:tcPr>
          <w:p w:rsidR="007547D4" w:rsidRPr="007B00CC" w:rsidRDefault="007547D4" w:rsidP="00031B92">
            <w:pPr>
              <w:spacing w:after="0" w:line="240" w:lineRule="auto"/>
              <w:jc w:val="center"/>
              <w:rPr>
                <w:rFonts w:ascii="Calibri" w:eastAsia="Times New Roman" w:hAnsi="Calibri" w:cs="Times New Roman"/>
                <w:b/>
                <w:bCs/>
                <w:color w:val="000000"/>
                <w:lang w:eastAsia="en-GB"/>
              </w:rPr>
            </w:pPr>
            <w:r w:rsidRPr="007B00CC">
              <w:rPr>
                <w:rFonts w:ascii="Calibri" w:eastAsia="Times New Roman" w:hAnsi="Calibri" w:cs="Times New Roman"/>
                <w:b/>
                <w:bCs/>
                <w:color w:val="000000"/>
                <w:lang w:eastAsia="en-GB"/>
              </w:rPr>
              <w:t>% change</w:t>
            </w:r>
          </w:p>
        </w:tc>
        <w:tc>
          <w:tcPr>
            <w:tcW w:w="940" w:type="dxa"/>
            <w:tcBorders>
              <w:top w:val="nil"/>
              <w:left w:val="nil"/>
              <w:bottom w:val="single" w:sz="4" w:space="0" w:color="auto"/>
              <w:right w:val="single" w:sz="4" w:space="0" w:color="auto"/>
            </w:tcBorders>
            <w:shd w:val="clear" w:color="000000" w:fill="BFBFBF"/>
            <w:noWrap/>
            <w:vAlign w:val="center"/>
            <w:hideMark/>
          </w:tcPr>
          <w:p w:rsidR="007547D4" w:rsidRPr="007B00CC" w:rsidRDefault="007547D4" w:rsidP="00031B92">
            <w:pPr>
              <w:spacing w:after="0" w:line="240" w:lineRule="auto"/>
              <w:jc w:val="center"/>
              <w:rPr>
                <w:rFonts w:ascii="Calibri" w:eastAsia="Times New Roman" w:hAnsi="Calibri" w:cs="Times New Roman"/>
                <w:b/>
                <w:bCs/>
                <w:color w:val="000000"/>
                <w:lang w:eastAsia="en-GB"/>
              </w:rPr>
            </w:pPr>
            <w:r w:rsidRPr="007B00CC">
              <w:rPr>
                <w:rFonts w:ascii="Calibri" w:eastAsia="Times New Roman" w:hAnsi="Calibri" w:cs="Times New Roman"/>
                <w:b/>
                <w:bCs/>
                <w:color w:val="000000"/>
                <w:lang w:eastAsia="en-GB"/>
              </w:rPr>
              <w:t>2012</w:t>
            </w:r>
          </w:p>
        </w:tc>
        <w:tc>
          <w:tcPr>
            <w:tcW w:w="597" w:type="dxa"/>
            <w:tcBorders>
              <w:top w:val="nil"/>
              <w:left w:val="nil"/>
              <w:bottom w:val="single" w:sz="4" w:space="0" w:color="auto"/>
              <w:right w:val="single" w:sz="4" w:space="0" w:color="auto"/>
            </w:tcBorders>
            <w:shd w:val="clear" w:color="000000" w:fill="BFBFBF"/>
            <w:noWrap/>
            <w:vAlign w:val="center"/>
            <w:hideMark/>
          </w:tcPr>
          <w:p w:rsidR="007547D4" w:rsidRPr="007B00CC" w:rsidRDefault="007547D4" w:rsidP="00031B92">
            <w:pPr>
              <w:spacing w:after="0" w:line="240" w:lineRule="auto"/>
              <w:jc w:val="center"/>
              <w:rPr>
                <w:rFonts w:ascii="Calibri" w:eastAsia="Times New Roman" w:hAnsi="Calibri" w:cs="Times New Roman"/>
                <w:b/>
                <w:bCs/>
                <w:color w:val="000000"/>
                <w:lang w:eastAsia="en-GB"/>
              </w:rPr>
            </w:pPr>
            <w:r w:rsidRPr="007B00CC">
              <w:rPr>
                <w:rFonts w:ascii="Calibri" w:eastAsia="Times New Roman" w:hAnsi="Calibri" w:cs="Times New Roman"/>
                <w:b/>
                <w:bCs/>
                <w:color w:val="000000"/>
                <w:lang w:eastAsia="en-GB"/>
              </w:rPr>
              <w:t>%</w:t>
            </w:r>
          </w:p>
        </w:tc>
        <w:tc>
          <w:tcPr>
            <w:tcW w:w="868" w:type="dxa"/>
            <w:tcBorders>
              <w:top w:val="nil"/>
              <w:left w:val="nil"/>
              <w:bottom w:val="single" w:sz="4" w:space="0" w:color="auto"/>
              <w:right w:val="single" w:sz="4" w:space="0" w:color="auto"/>
            </w:tcBorders>
            <w:shd w:val="clear" w:color="000000" w:fill="BFBFBF"/>
            <w:vAlign w:val="center"/>
            <w:hideMark/>
          </w:tcPr>
          <w:p w:rsidR="007547D4" w:rsidRPr="007B00CC" w:rsidRDefault="007547D4" w:rsidP="00031B92">
            <w:pPr>
              <w:spacing w:after="0" w:line="240" w:lineRule="auto"/>
              <w:jc w:val="center"/>
              <w:rPr>
                <w:rFonts w:ascii="Calibri" w:eastAsia="Times New Roman" w:hAnsi="Calibri" w:cs="Times New Roman"/>
                <w:b/>
                <w:bCs/>
                <w:color w:val="000000"/>
                <w:lang w:eastAsia="en-GB"/>
              </w:rPr>
            </w:pPr>
            <w:r w:rsidRPr="007B00CC">
              <w:rPr>
                <w:rFonts w:ascii="Calibri" w:eastAsia="Times New Roman" w:hAnsi="Calibri" w:cs="Times New Roman"/>
                <w:b/>
                <w:bCs/>
                <w:color w:val="000000"/>
                <w:lang w:eastAsia="en-GB"/>
              </w:rPr>
              <w:t>% change</w:t>
            </w:r>
          </w:p>
        </w:tc>
      </w:tr>
      <w:tr w:rsidR="007547D4" w:rsidRPr="007B00CC" w:rsidTr="00031B92">
        <w:trPr>
          <w:trHeight w:val="300"/>
          <w:jc w:val="center"/>
        </w:trPr>
        <w:tc>
          <w:tcPr>
            <w:tcW w:w="3060" w:type="dxa"/>
            <w:tcBorders>
              <w:top w:val="nil"/>
              <w:left w:val="single" w:sz="4" w:space="0" w:color="auto"/>
              <w:bottom w:val="single" w:sz="4" w:space="0" w:color="auto"/>
              <w:right w:val="single" w:sz="4" w:space="0" w:color="auto"/>
            </w:tcBorders>
            <w:shd w:val="clear" w:color="auto" w:fill="auto"/>
            <w:vAlign w:val="center"/>
            <w:hideMark/>
          </w:tcPr>
          <w:p w:rsidR="007547D4" w:rsidRPr="007B00CC" w:rsidRDefault="007547D4" w:rsidP="00031B92">
            <w:pPr>
              <w:spacing w:after="0" w:line="240" w:lineRule="auto"/>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Agriculture, forestry &amp; fishing</w:t>
            </w:r>
          </w:p>
        </w:tc>
        <w:tc>
          <w:tcPr>
            <w:tcW w:w="71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35</w:t>
            </w:r>
          </w:p>
        </w:tc>
        <w:tc>
          <w:tcPr>
            <w:tcW w:w="59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0%</w:t>
            </w:r>
          </w:p>
        </w:tc>
        <w:tc>
          <w:tcPr>
            <w:tcW w:w="868"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17%</w:t>
            </w:r>
          </w:p>
        </w:tc>
        <w:tc>
          <w:tcPr>
            <w:tcW w:w="829"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565</w:t>
            </w:r>
          </w:p>
        </w:tc>
        <w:tc>
          <w:tcPr>
            <w:tcW w:w="59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0%</w:t>
            </w:r>
          </w:p>
        </w:tc>
        <w:tc>
          <w:tcPr>
            <w:tcW w:w="868"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-6%</w:t>
            </w:r>
          </w:p>
        </w:tc>
        <w:tc>
          <w:tcPr>
            <w:tcW w:w="940"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94,235</w:t>
            </w:r>
          </w:p>
        </w:tc>
        <w:tc>
          <w:tcPr>
            <w:tcW w:w="59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4%</w:t>
            </w:r>
          </w:p>
        </w:tc>
        <w:tc>
          <w:tcPr>
            <w:tcW w:w="868"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0%</w:t>
            </w:r>
          </w:p>
        </w:tc>
      </w:tr>
      <w:tr w:rsidR="007547D4" w:rsidRPr="007B00CC" w:rsidTr="00031B92">
        <w:trPr>
          <w:trHeight w:val="300"/>
          <w:jc w:val="center"/>
        </w:trPr>
        <w:tc>
          <w:tcPr>
            <w:tcW w:w="3060" w:type="dxa"/>
            <w:tcBorders>
              <w:top w:val="nil"/>
              <w:left w:val="single" w:sz="4" w:space="0" w:color="auto"/>
              <w:bottom w:val="single" w:sz="4" w:space="0" w:color="auto"/>
              <w:right w:val="single" w:sz="4" w:space="0" w:color="auto"/>
            </w:tcBorders>
            <w:shd w:val="clear" w:color="auto" w:fill="auto"/>
            <w:vAlign w:val="center"/>
            <w:hideMark/>
          </w:tcPr>
          <w:p w:rsidR="007547D4" w:rsidRPr="007B00CC" w:rsidRDefault="007547D4" w:rsidP="00031B92">
            <w:pPr>
              <w:spacing w:after="0" w:line="240" w:lineRule="auto"/>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Production</w:t>
            </w:r>
          </w:p>
        </w:tc>
        <w:tc>
          <w:tcPr>
            <w:tcW w:w="71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540</w:t>
            </w:r>
          </w:p>
        </w:tc>
        <w:tc>
          <w:tcPr>
            <w:tcW w:w="59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3%</w:t>
            </w:r>
          </w:p>
        </w:tc>
        <w:tc>
          <w:tcPr>
            <w:tcW w:w="868"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-6%</w:t>
            </w:r>
          </w:p>
        </w:tc>
        <w:tc>
          <w:tcPr>
            <w:tcW w:w="829"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13,755</w:t>
            </w:r>
          </w:p>
        </w:tc>
        <w:tc>
          <w:tcPr>
            <w:tcW w:w="59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3%</w:t>
            </w:r>
          </w:p>
        </w:tc>
        <w:tc>
          <w:tcPr>
            <w:tcW w:w="868"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-6%</w:t>
            </w:r>
          </w:p>
        </w:tc>
        <w:tc>
          <w:tcPr>
            <w:tcW w:w="940"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128,370</w:t>
            </w:r>
          </w:p>
        </w:tc>
        <w:tc>
          <w:tcPr>
            <w:tcW w:w="59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6%</w:t>
            </w:r>
          </w:p>
        </w:tc>
        <w:tc>
          <w:tcPr>
            <w:tcW w:w="868"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-6%</w:t>
            </w:r>
          </w:p>
        </w:tc>
      </w:tr>
      <w:tr w:rsidR="007547D4" w:rsidRPr="007B00CC" w:rsidTr="00031B92">
        <w:trPr>
          <w:trHeight w:val="300"/>
          <w:jc w:val="center"/>
        </w:trPr>
        <w:tc>
          <w:tcPr>
            <w:tcW w:w="3060" w:type="dxa"/>
            <w:tcBorders>
              <w:top w:val="nil"/>
              <w:left w:val="single" w:sz="4" w:space="0" w:color="auto"/>
              <w:bottom w:val="single" w:sz="4" w:space="0" w:color="auto"/>
              <w:right w:val="single" w:sz="4" w:space="0" w:color="auto"/>
            </w:tcBorders>
            <w:shd w:val="clear" w:color="auto" w:fill="auto"/>
            <w:vAlign w:val="center"/>
            <w:hideMark/>
          </w:tcPr>
          <w:p w:rsidR="007547D4" w:rsidRPr="007B00CC" w:rsidRDefault="007547D4" w:rsidP="00031B92">
            <w:pPr>
              <w:spacing w:after="0" w:line="240" w:lineRule="auto"/>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Construction</w:t>
            </w:r>
          </w:p>
        </w:tc>
        <w:tc>
          <w:tcPr>
            <w:tcW w:w="71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1,905</w:t>
            </w:r>
          </w:p>
        </w:tc>
        <w:tc>
          <w:tcPr>
            <w:tcW w:w="59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10%</w:t>
            </w:r>
          </w:p>
        </w:tc>
        <w:tc>
          <w:tcPr>
            <w:tcW w:w="868"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-4%</w:t>
            </w:r>
          </w:p>
        </w:tc>
        <w:tc>
          <w:tcPr>
            <w:tcW w:w="829"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33,775</w:t>
            </w:r>
          </w:p>
        </w:tc>
        <w:tc>
          <w:tcPr>
            <w:tcW w:w="59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8%</w:t>
            </w:r>
          </w:p>
        </w:tc>
        <w:tc>
          <w:tcPr>
            <w:tcW w:w="868"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-2%</w:t>
            </w:r>
          </w:p>
        </w:tc>
        <w:tc>
          <w:tcPr>
            <w:tcW w:w="940"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232,845</w:t>
            </w:r>
          </w:p>
        </w:tc>
        <w:tc>
          <w:tcPr>
            <w:tcW w:w="59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11%</w:t>
            </w:r>
          </w:p>
        </w:tc>
        <w:tc>
          <w:tcPr>
            <w:tcW w:w="868"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-8%</w:t>
            </w:r>
          </w:p>
        </w:tc>
      </w:tr>
      <w:tr w:rsidR="007547D4" w:rsidRPr="007B00CC" w:rsidTr="00031B92">
        <w:trPr>
          <w:trHeight w:val="300"/>
          <w:jc w:val="center"/>
        </w:trPr>
        <w:tc>
          <w:tcPr>
            <w:tcW w:w="3060" w:type="dxa"/>
            <w:tcBorders>
              <w:top w:val="nil"/>
              <w:left w:val="single" w:sz="4" w:space="0" w:color="auto"/>
              <w:bottom w:val="single" w:sz="4" w:space="0" w:color="auto"/>
              <w:right w:val="single" w:sz="4" w:space="0" w:color="auto"/>
            </w:tcBorders>
            <w:shd w:val="clear" w:color="auto" w:fill="auto"/>
            <w:vAlign w:val="center"/>
            <w:hideMark/>
          </w:tcPr>
          <w:p w:rsidR="007547D4" w:rsidRPr="007B00CC" w:rsidRDefault="007547D4" w:rsidP="00031B92">
            <w:pPr>
              <w:spacing w:after="0" w:line="240" w:lineRule="auto"/>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Motor trades</w:t>
            </w:r>
          </w:p>
        </w:tc>
        <w:tc>
          <w:tcPr>
            <w:tcW w:w="71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310</w:t>
            </w:r>
          </w:p>
        </w:tc>
        <w:tc>
          <w:tcPr>
            <w:tcW w:w="59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2%</w:t>
            </w:r>
          </w:p>
        </w:tc>
        <w:tc>
          <w:tcPr>
            <w:tcW w:w="868"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9%</w:t>
            </w:r>
          </w:p>
        </w:tc>
        <w:tc>
          <w:tcPr>
            <w:tcW w:w="829"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6,215</w:t>
            </w:r>
          </w:p>
        </w:tc>
        <w:tc>
          <w:tcPr>
            <w:tcW w:w="59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2%</w:t>
            </w:r>
          </w:p>
        </w:tc>
        <w:tc>
          <w:tcPr>
            <w:tcW w:w="868"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4%</w:t>
            </w:r>
          </w:p>
        </w:tc>
        <w:tc>
          <w:tcPr>
            <w:tcW w:w="940"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66,330</w:t>
            </w:r>
          </w:p>
        </w:tc>
        <w:tc>
          <w:tcPr>
            <w:tcW w:w="59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3%</w:t>
            </w:r>
          </w:p>
        </w:tc>
        <w:tc>
          <w:tcPr>
            <w:tcW w:w="868"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0%</w:t>
            </w:r>
          </w:p>
        </w:tc>
      </w:tr>
      <w:tr w:rsidR="007547D4" w:rsidRPr="007B00CC" w:rsidTr="00031B92">
        <w:trPr>
          <w:trHeight w:val="300"/>
          <w:jc w:val="center"/>
        </w:trPr>
        <w:tc>
          <w:tcPr>
            <w:tcW w:w="3060" w:type="dxa"/>
            <w:tcBorders>
              <w:top w:val="nil"/>
              <w:left w:val="single" w:sz="4" w:space="0" w:color="auto"/>
              <w:bottom w:val="single" w:sz="4" w:space="0" w:color="auto"/>
              <w:right w:val="single" w:sz="4" w:space="0" w:color="auto"/>
            </w:tcBorders>
            <w:shd w:val="clear" w:color="auto" w:fill="auto"/>
            <w:vAlign w:val="center"/>
            <w:hideMark/>
          </w:tcPr>
          <w:p w:rsidR="007547D4" w:rsidRPr="007B00CC" w:rsidRDefault="007547D4" w:rsidP="00031B92">
            <w:pPr>
              <w:spacing w:after="0" w:line="240" w:lineRule="auto"/>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Wholesale</w:t>
            </w:r>
          </w:p>
        </w:tc>
        <w:tc>
          <w:tcPr>
            <w:tcW w:w="71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1,300</w:t>
            </w:r>
          </w:p>
        </w:tc>
        <w:tc>
          <w:tcPr>
            <w:tcW w:w="59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7%</w:t>
            </w:r>
          </w:p>
        </w:tc>
        <w:tc>
          <w:tcPr>
            <w:tcW w:w="868"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-1%</w:t>
            </w:r>
          </w:p>
        </w:tc>
        <w:tc>
          <w:tcPr>
            <w:tcW w:w="829"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20,595</w:t>
            </w:r>
          </w:p>
        </w:tc>
        <w:tc>
          <w:tcPr>
            <w:tcW w:w="59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5%</w:t>
            </w:r>
          </w:p>
        </w:tc>
        <w:tc>
          <w:tcPr>
            <w:tcW w:w="868"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-1%</w:t>
            </w:r>
          </w:p>
        </w:tc>
        <w:tc>
          <w:tcPr>
            <w:tcW w:w="940"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108,845</w:t>
            </w:r>
          </w:p>
        </w:tc>
        <w:tc>
          <w:tcPr>
            <w:tcW w:w="59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5%</w:t>
            </w:r>
          </w:p>
        </w:tc>
        <w:tc>
          <w:tcPr>
            <w:tcW w:w="868"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-2%</w:t>
            </w:r>
          </w:p>
        </w:tc>
      </w:tr>
      <w:tr w:rsidR="007547D4" w:rsidRPr="007B00CC" w:rsidTr="00031B92">
        <w:trPr>
          <w:trHeight w:val="300"/>
          <w:jc w:val="center"/>
        </w:trPr>
        <w:tc>
          <w:tcPr>
            <w:tcW w:w="3060" w:type="dxa"/>
            <w:tcBorders>
              <w:top w:val="nil"/>
              <w:left w:val="single" w:sz="4" w:space="0" w:color="auto"/>
              <w:bottom w:val="single" w:sz="4" w:space="0" w:color="auto"/>
              <w:right w:val="single" w:sz="4" w:space="0" w:color="auto"/>
            </w:tcBorders>
            <w:shd w:val="clear" w:color="auto" w:fill="auto"/>
            <w:vAlign w:val="center"/>
            <w:hideMark/>
          </w:tcPr>
          <w:p w:rsidR="007547D4" w:rsidRPr="007B00CC" w:rsidRDefault="007547D4" w:rsidP="00031B92">
            <w:pPr>
              <w:spacing w:after="0" w:line="240" w:lineRule="auto"/>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Retail</w:t>
            </w:r>
          </w:p>
        </w:tc>
        <w:tc>
          <w:tcPr>
            <w:tcW w:w="71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1,860</w:t>
            </w:r>
          </w:p>
        </w:tc>
        <w:tc>
          <w:tcPr>
            <w:tcW w:w="59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10%</w:t>
            </w:r>
          </w:p>
        </w:tc>
        <w:tc>
          <w:tcPr>
            <w:tcW w:w="868"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1%</w:t>
            </w:r>
          </w:p>
        </w:tc>
        <w:tc>
          <w:tcPr>
            <w:tcW w:w="829"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41,190</w:t>
            </w:r>
          </w:p>
        </w:tc>
        <w:tc>
          <w:tcPr>
            <w:tcW w:w="59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10%</w:t>
            </w:r>
          </w:p>
        </w:tc>
        <w:tc>
          <w:tcPr>
            <w:tcW w:w="868"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3%</w:t>
            </w:r>
          </w:p>
        </w:tc>
        <w:tc>
          <w:tcPr>
            <w:tcW w:w="940"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240,595</w:t>
            </w:r>
          </w:p>
        </w:tc>
        <w:tc>
          <w:tcPr>
            <w:tcW w:w="59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11%</w:t>
            </w:r>
          </w:p>
        </w:tc>
        <w:tc>
          <w:tcPr>
            <w:tcW w:w="868"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-2%</w:t>
            </w:r>
          </w:p>
        </w:tc>
      </w:tr>
      <w:tr w:rsidR="007547D4" w:rsidRPr="007B00CC" w:rsidTr="00031B92">
        <w:trPr>
          <w:trHeight w:val="300"/>
          <w:jc w:val="center"/>
        </w:trPr>
        <w:tc>
          <w:tcPr>
            <w:tcW w:w="3060" w:type="dxa"/>
            <w:tcBorders>
              <w:top w:val="nil"/>
              <w:left w:val="single" w:sz="4" w:space="0" w:color="auto"/>
              <w:bottom w:val="single" w:sz="4" w:space="0" w:color="auto"/>
              <w:right w:val="single" w:sz="4" w:space="0" w:color="auto"/>
            </w:tcBorders>
            <w:shd w:val="clear" w:color="auto" w:fill="auto"/>
            <w:vAlign w:val="center"/>
            <w:hideMark/>
          </w:tcPr>
          <w:p w:rsidR="007547D4" w:rsidRPr="007B00CC" w:rsidRDefault="007547D4" w:rsidP="00031B92">
            <w:pPr>
              <w:spacing w:after="0" w:line="240" w:lineRule="auto"/>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T</w:t>
            </w:r>
            <w:r>
              <w:rPr>
                <w:rFonts w:ascii="Calibri" w:eastAsia="Times New Roman" w:hAnsi="Calibri" w:cs="Times New Roman"/>
                <w:color w:val="000000"/>
                <w:lang w:eastAsia="en-GB"/>
              </w:rPr>
              <w:t>ransport &amp; storage</w:t>
            </w:r>
          </w:p>
        </w:tc>
        <w:tc>
          <w:tcPr>
            <w:tcW w:w="71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325</w:t>
            </w:r>
          </w:p>
        </w:tc>
        <w:tc>
          <w:tcPr>
            <w:tcW w:w="59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2%</w:t>
            </w:r>
          </w:p>
        </w:tc>
        <w:tc>
          <w:tcPr>
            <w:tcW w:w="868"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7%</w:t>
            </w:r>
          </w:p>
        </w:tc>
        <w:tc>
          <w:tcPr>
            <w:tcW w:w="829"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9,515</w:t>
            </w:r>
          </w:p>
        </w:tc>
        <w:tc>
          <w:tcPr>
            <w:tcW w:w="59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2%</w:t>
            </w:r>
          </w:p>
        </w:tc>
        <w:tc>
          <w:tcPr>
            <w:tcW w:w="868"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1%</w:t>
            </w:r>
          </w:p>
        </w:tc>
        <w:tc>
          <w:tcPr>
            <w:tcW w:w="940"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70,465</w:t>
            </w:r>
          </w:p>
        </w:tc>
        <w:tc>
          <w:tcPr>
            <w:tcW w:w="59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3%</w:t>
            </w:r>
          </w:p>
        </w:tc>
        <w:tc>
          <w:tcPr>
            <w:tcW w:w="868"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-4%</w:t>
            </w:r>
          </w:p>
        </w:tc>
      </w:tr>
      <w:tr w:rsidR="007547D4" w:rsidRPr="007B00CC" w:rsidTr="00031B92">
        <w:trPr>
          <w:trHeight w:val="300"/>
          <w:jc w:val="center"/>
        </w:trPr>
        <w:tc>
          <w:tcPr>
            <w:tcW w:w="3060" w:type="dxa"/>
            <w:tcBorders>
              <w:top w:val="nil"/>
              <w:left w:val="single" w:sz="4" w:space="0" w:color="auto"/>
              <w:bottom w:val="single" w:sz="4" w:space="0" w:color="auto"/>
              <w:right w:val="single" w:sz="4" w:space="0" w:color="auto"/>
            </w:tcBorders>
            <w:shd w:val="clear" w:color="auto" w:fill="auto"/>
            <w:vAlign w:val="center"/>
            <w:hideMark/>
          </w:tcPr>
          <w:p w:rsidR="007547D4" w:rsidRPr="007B00CC" w:rsidRDefault="007547D4" w:rsidP="00031B92">
            <w:pPr>
              <w:spacing w:after="0" w:line="240" w:lineRule="auto"/>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Accommodation &amp; food services</w:t>
            </w:r>
          </w:p>
        </w:tc>
        <w:tc>
          <w:tcPr>
            <w:tcW w:w="71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845</w:t>
            </w:r>
          </w:p>
        </w:tc>
        <w:tc>
          <w:tcPr>
            <w:tcW w:w="59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4%</w:t>
            </w:r>
          </w:p>
        </w:tc>
        <w:tc>
          <w:tcPr>
            <w:tcW w:w="868"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-2%</w:t>
            </w:r>
          </w:p>
        </w:tc>
        <w:tc>
          <w:tcPr>
            <w:tcW w:w="829"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25,675</w:t>
            </w:r>
          </w:p>
        </w:tc>
        <w:tc>
          <w:tcPr>
            <w:tcW w:w="59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6%</w:t>
            </w:r>
          </w:p>
        </w:tc>
        <w:tc>
          <w:tcPr>
            <w:tcW w:w="868"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1%</w:t>
            </w:r>
          </w:p>
        </w:tc>
        <w:tc>
          <w:tcPr>
            <w:tcW w:w="940"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139,370</w:t>
            </w:r>
          </w:p>
        </w:tc>
        <w:tc>
          <w:tcPr>
            <w:tcW w:w="59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6%</w:t>
            </w:r>
          </w:p>
        </w:tc>
        <w:tc>
          <w:tcPr>
            <w:tcW w:w="868"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-5%</w:t>
            </w:r>
          </w:p>
        </w:tc>
      </w:tr>
      <w:tr w:rsidR="007547D4" w:rsidRPr="007B00CC" w:rsidTr="00031B92">
        <w:trPr>
          <w:trHeight w:val="300"/>
          <w:jc w:val="center"/>
        </w:trPr>
        <w:tc>
          <w:tcPr>
            <w:tcW w:w="3060" w:type="dxa"/>
            <w:tcBorders>
              <w:top w:val="nil"/>
              <w:left w:val="single" w:sz="4" w:space="0" w:color="auto"/>
              <w:bottom w:val="single" w:sz="4" w:space="0" w:color="auto"/>
              <w:right w:val="single" w:sz="4" w:space="0" w:color="auto"/>
            </w:tcBorders>
            <w:shd w:val="clear" w:color="auto" w:fill="auto"/>
            <w:vAlign w:val="center"/>
            <w:hideMark/>
          </w:tcPr>
          <w:p w:rsidR="007547D4" w:rsidRPr="007B00CC" w:rsidRDefault="007547D4" w:rsidP="00031B92">
            <w:pPr>
              <w:spacing w:after="0" w:line="240" w:lineRule="auto"/>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Information &amp; communication</w:t>
            </w:r>
          </w:p>
        </w:tc>
        <w:tc>
          <w:tcPr>
            <w:tcW w:w="71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1,830</w:t>
            </w:r>
          </w:p>
        </w:tc>
        <w:tc>
          <w:tcPr>
            <w:tcW w:w="59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10%</w:t>
            </w:r>
          </w:p>
        </w:tc>
        <w:tc>
          <w:tcPr>
            <w:tcW w:w="868"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10%</w:t>
            </w:r>
          </w:p>
        </w:tc>
        <w:tc>
          <w:tcPr>
            <w:tcW w:w="829"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47,435</w:t>
            </w:r>
          </w:p>
        </w:tc>
        <w:tc>
          <w:tcPr>
            <w:tcW w:w="59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11%</w:t>
            </w:r>
          </w:p>
        </w:tc>
        <w:tc>
          <w:tcPr>
            <w:tcW w:w="868"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14%</w:t>
            </w:r>
          </w:p>
        </w:tc>
        <w:tc>
          <w:tcPr>
            <w:tcW w:w="940"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153,575</w:t>
            </w:r>
          </w:p>
        </w:tc>
        <w:tc>
          <w:tcPr>
            <w:tcW w:w="59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7%</w:t>
            </w:r>
          </w:p>
        </w:tc>
        <w:tc>
          <w:tcPr>
            <w:tcW w:w="868"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6%</w:t>
            </w:r>
          </w:p>
        </w:tc>
      </w:tr>
      <w:tr w:rsidR="007547D4" w:rsidRPr="007B00CC" w:rsidTr="00031B92">
        <w:trPr>
          <w:trHeight w:val="300"/>
          <w:jc w:val="center"/>
        </w:trPr>
        <w:tc>
          <w:tcPr>
            <w:tcW w:w="3060" w:type="dxa"/>
            <w:tcBorders>
              <w:top w:val="nil"/>
              <w:left w:val="single" w:sz="4" w:space="0" w:color="auto"/>
              <w:bottom w:val="single" w:sz="4" w:space="0" w:color="auto"/>
              <w:right w:val="single" w:sz="4" w:space="0" w:color="auto"/>
            </w:tcBorders>
            <w:shd w:val="clear" w:color="auto" w:fill="auto"/>
            <w:vAlign w:val="center"/>
            <w:hideMark/>
          </w:tcPr>
          <w:p w:rsidR="007547D4" w:rsidRPr="007B00CC" w:rsidRDefault="007547D4" w:rsidP="00031B92">
            <w:pPr>
              <w:spacing w:after="0" w:line="240" w:lineRule="auto"/>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Finance &amp; insurance</w:t>
            </w:r>
          </w:p>
        </w:tc>
        <w:tc>
          <w:tcPr>
            <w:tcW w:w="71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495</w:t>
            </w:r>
          </w:p>
        </w:tc>
        <w:tc>
          <w:tcPr>
            <w:tcW w:w="59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3%</w:t>
            </w:r>
          </w:p>
        </w:tc>
        <w:tc>
          <w:tcPr>
            <w:tcW w:w="868"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7%</w:t>
            </w:r>
          </w:p>
        </w:tc>
        <w:tc>
          <w:tcPr>
            <w:tcW w:w="829"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14,490</w:t>
            </w:r>
          </w:p>
        </w:tc>
        <w:tc>
          <w:tcPr>
            <w:tcW w:w="59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4%</w:t>
            </w:r>
          </w:p>
        </w:tc>
        <w:tc>
          <w:tcPr>
            <w:tcW w:w="868"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-1%</w:t>
            </w:r>
          </w:p>
        </w:tc>
        <w:tc>
          <w:tcPr>
            <w:tcW w:w="940"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56,965</w:t>
            </w:r>
          </w:p>
        </w:tc>
        <w:tc>
          <w:tcPr>
            <w:tcW w:w="59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3%</w:t>
            </w:r>
          </w:p>
        </w:tc>
        <w:tc>
          <w:tcPr>
            <w:tcW w:w="868"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-2%</w:t>
            </w:r>
          </w:p>
        </w:tc>
      </w:tr>
      <w:tr w:rsidR="007547D4" w:rsidRPr="007B00CC" w:rsidTr="00031B92">
        <w:trPr>
          <w:trHeight w:val="300"/>
          <w:jc w:val="center"/>
        </w:trPr>
        <w:tc>
          <w:tcPr>
            <w:tcW w:w="3060" w:type="dxa"/>
            <w:tcBorders>
              <w:top w:val="nil"/>
              <w:left w:val="single" w:sz="4" w:space="0" w:color="auto"/>
              <w:bottom w:val="single" w:sz="4" w:space="0" w:color="auto"/>
              <w:right w:val="single" w:sz="4" w:space="0" w:color="auto"/>
            </w:tcBorders>
            <w:shd w:val="clear" w:color="auto" w:fill="auto"/>
            <w:vAlign w:val="center"/>
            <w:hideMark/>
          </w:tcPr>
          <w:p w:rsidR="007547D4" w:rsidRPr="007B00CC" w:rsidRDefault="007547D4" w:rsidP="00031B92">
            <w:pPr>
              <w:spacing w:after="0" w:line="240" w:lineRule="auto"/>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Property</w:t>
            </w:r>
          </w:p>
        </w:tc>
        <w:tc>
          <w:tcPr>
            <w:tcW w:w="71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1,640</w:t>
            </w:r>
          </w:p>
        </w:tc>
        <w:tc>
          <w:tcPr>
            <w:tcW w:w="59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9%</w:t>
            </w:r>
          </w:p>
        </w:tc>
        <w:tc>
          <w:tcPr>
            <w:tcW w:w="868"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16%</w:t>
            </w:r>
          </w:p>
        </w:tc>
        <w:tc>
          <w:tcPr>
            <w:tcW w:w="829"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20,390</w:t>
            </w:r>
          </w:p>
        </w:tc>
        <w:tc>
          <w:tcPr>
            <w:tcW w:w="59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5%</w:t>
            </w:r>
          </w:p>
        </w:tc>
        <w:tc>
          <w:tcPr>
            <w:tcW w:w="868"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5%</w:t>
            </w:r>
          </w:p>
        </w:tc>
        <w:tc>
          <w:tcPr>
            <w:tcW w:w="940"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80,100</w:t>
            </w:r>
          </w:p>
        </w:tc>
        <w:tc>
          <w:tcPr>
            <w:tcW w:w="59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4%</w:t>
            </w:r>
          </w:p>
        </w:tc>
        <w:tc>
          <w:tcPr>
            <w:tcW w:w="868"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-1%</w:t>
            </w:r>
          </w:p>
        </w:tc>
      </w:tr>
      <w:tr w:rsidR="007547D4" w:rsidRPr="007B00CC" w:rsidTr="00031B92">
        <w:trPr>
          <w:trHeight w:val="600"/>
          <w:jc w:val="center"/>
        </w:trPr>
        <w:tc>
          <w:tcPr>
            <w:tcW w:w="3060" w:type="dxa"/>
            <w:tcBorders>
              <w:top w:val="nil"/>
              <w:left w:val="single" w:sz="4" w:space="0" w:color="auto"/>
              <w:bottom w:val="single" w:sz="4" w:space="0" w:color="auto"/>
              <w:right w:val="single" w:sz="4" w:space="0" w:color="auto"/>
            </w:tcBorders>
            <w:shd w:val="clear" w:color="auto" w:fill="auto"/>
            <w:vAlign w:val="center"/>
            <w:hideMark/>
          </w:tcPr>
          <w:p w:rsidR="007547D4" w:rsidRPr="007B00CC" w:rsidRDefault="007547D4" w:rsidP="00031B92">
            <w:pPr>
              <w:spacing w:after="0" w:line="240" w:lineRule="auto"/>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Professional, scientific &amp; technical</w:t>
            </w:r>
          </w:p>
        </w:tc>
        <w:tc>
          <w:tcPr>
            <w:tcW w:w="71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3,475</w:t>
            </w:r>
          </w:p>
        </w:tc>
        <w:tc>
          <w:tcPr>
            <w:tcW w:w="59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18%</w:t>
            </w:r>
          </w:p>
        </w:tc>
        <w:tc>
          <w:tcPr>
            <w:tcW w:w="868"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16%</w:t>
            </w:r>
          </w:p>
        </w:tc>
        <w:tc>
          <w:tcPr>
            <w:tcW w:w="829"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85,070</w:t>
            </w:r>
          </w:p>
        </w:tc>
        <w:tc>
          <w:tcPr>
            <w:tcW w:w="59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20%</w:t>
            </w:r>
          </w:p>
        </w:tc>
        <w:tc>
          <w:tcPr>
            <w:tcW w:w="868"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11%</w:t>
            </w:r>
          </w:p>
        </w:tc>
        <w:tc>
          <w:tcPr>
            <w:tcW w:w="940"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329,060</w:t>
            </w:r>
          </w:p>
        </w:tc>
        <w:tc>
          <w:tcPr>
            <w:tcW w:w="59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15%</w:t>
            </w:r>
          </w:p>
        </w:tc>
        <w:tc>
          <w:tcPr>
            <w:tcW w:w="868"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8%</w:t>
            </w:r>
          </w:p>
        </w:tc>
      </w:tr>
      <w:tr w:rsidR="007547D4" w:rsidRPr="007B00CC" w:rsidTr="00031B92">
        <w:trPr>
          <w:trHeight w:val="600"/>
          <w:jc w:val="center"/>
        </w:trPr>
        <w:tc>
          <w:tcPr>
            <w:tcW w:w="3060" w:type="dxa"/>
            <w:tcBorders>
              <w:top w:val="nil"/>
              <w:left w:val="single" w:sz="4" w:space="0" w:color="auto"/>
              <w:bottom w:val="single" w:sz="4" w:space="0" w:color="auto"/>
              <w:right w:val="single" w:sz="4" w:space="0" w:color="auto"/>
            </w:tcBorders>
            <w:shd w:val="clear" w:color="auto" w:fill="auto"/>
            <w:vAlign w:val="center"/>
            <w:hideMark/>
          </w:tcPr>
          <w:p w:rsidR="007547D4" w:rsidRPr="007B00CC" w:rsidRDefault="007547D4" w:rsidP="00031B92">
            <w:pPr>
              <w:spacing w:after="0" w:line="240" w:lineRule="auto"/>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Business administration and support services</w:t>
            </w:r>
          </w:p>
        </w:tc>
        <w:tc>
          <w:tcPr>
            <w:tcW w:w="71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1,385</w:t>
            </w:r>
          </w:p>
        </w:tc>
        <w:tc>
          <w:tcPr>
            <w:tcW w:w="59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7%</w:t>
            </w:r>
          </w:p>
        </w:tc>
        <w:tc>
          <w:tcPr>
            <w:tcW w:w="868"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-6%</w:t>
            </w:r>
          </w:p>
        </w:tc>
        <w:tc>
          <w:tcPr>
            <w:tcW w:w="829"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33,530</w:t>
            </w:r>
          </w:p>
        </w:tc>
        <w:tc>
          <w:tcPr>
            <w:tcW w:w="59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8%</w:t>
            </w:r>
          </w:p>
        </w:tc>
        <w:tc>
          <w:tcPr>
            <w:tcW w:w="868"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-5%</w:t>
            </w:r>
          </w:p>
        </w:tc>
        <w:tc>
          <w:tcPr>
            <w:tcW w:w="940"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157,510</w:t>
            </w:r>
          </w:p>
        </w:tc>
        <w:tc>
          <w:tcPr>
            <w:tcW w:w="59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7%</w:t>
            </w:r>
          </w:p>
        </w:tc>
        <w:tc>
          <w:tcPr>
            <w:tcW w:w="868"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-9%</w:t>
            </w:r>
          </w:p>
        </w:tc>
      </w:tr>
      <w:tr w:rsidR="007547D4" w:rsidRPr="007B00CC" w:rsidTr="00031B92">
        <w:trPr>
          <w:trHeight w:val="600"/>
          <w:jc w:val="center"/>
        </w:trPr>
        <w:tc>
          <w:tcPr>
            <w:tcW w:w="3060" w:type="dxa"/>
            <w:tcBorders>
              <w:top w:val="nil"/>
              <w:left w:val="single" w:sz="4" w:space="0" w:color="auto"/>
              <w:bottom w:val="single" w:sz="4" w:space="0" w:color="auto"/>
              <w:right w:val="single" w:sz="4" w:space="0" w:color="auto"/>
            </w:tcBorders>
            <w:shd w:val="clear" w:color="auto" w:fill="auto"/>
            <w:vAlign w:val="center"/>
            <w:hideMark/>
          </w:tcPr>
          <w:p w:rsidR="007547D4" w:rsidRPr="007B00CC" w:rsidRDefault="007547D4" w:rsidP="00031B92">
            <w:pPr>
              <w:spacing w:after="0" w:line="240" w:lineRule="auto"/>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Public administration and defence</w:t>
            </w:r>
          </w:p>
        </w:tc>
        <w:tc>
          <w:tcPr>
            <w:tcW w:w="71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85</w:t>
            </w:r>
          </w:p>
        </w:tc>
        <w:tc>
          <w:tcPr>
            <w:tcW w:w="59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1%</w:t>
            </w:r>
          </w:p>
        </w:tc>
        <w:tc>
          <w:tcPr>
            <w:tcW w:w="868"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-15%</w:t>
            </w:r>
          </w:p>
        </w:tc>
        <w:tc>
          <w:tcPr>
            <w:tcW w:w="829"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2,570</w:t>
            </w:r>
          </w:p>
        </w:tc>
        <w:tc>
          <w:tcPr>
            <w:tcW w:w="59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1%</w:t>
            </w:r>
          </w:p>
        </w:tc>
        <w:tc>
          <w:tcPr>
            <w:tcW w:w="868"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6%</w:t>
            </w:r>
          </w:p>
        </w:tc>
        <w:tc>
          <w:tcPr>
            <w:tcW w:w="940"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20,315</w:t>
            </w:r>
          </w:p>
        </w:tc>
        <w:tc>
          <w:tcPr>
            <w:tcW w:w="59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1%</w:t>
            </w:r>
          </w:p>
        </w:tc>
        <w:tc>
          <w:tcPr>
            <w:tcW w:w="868"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3%</w:t>
            </w:r>
          </w:p>
        </w:tc>
      </w:tr>
      <w:tr w:rsidR="007547D4" w:rsidRPr="007B00CC" w:rsidTr="00031B92">
        <w:trPr>
          <w:trHeight w:val="300"/>
          <w:jc w:val="center"/>
        </w:trPr>
        <w:tc>
          <w:tcPr>
            <w:tcW w:w="3060" w:type="dxa"/>
            <w:tcBorders>
              <w:top w:val="nil"/>
              <w:left w:val="single" w:sz="4" w:space="0" w:color="auto"/>
              <w:bottom w:val="single" w:sz="4" w:space="0" w:color="auto"/>
              <w:right w:val="single" w:sz="4" w:space="0" w:color="auto"/>
            </w:tcBorders>
            <w:shd w:val="clear" w:color="auto" w:fill="auto"/>
            <w:vAlign w:val="center"/>
            <w:hideMark/>
          </w:tcPr>
          <w:p w:rsidR="007547D4" w:rsidRPr="007B00CC" w:rsidRDefault="007547D4" w:rsidP="00031B92">
            <w:pPr>
              <w:spacing w:after="0" w:line="240" w:lineRule="auto"/>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Education</w:t>
            </w:r>
          </w:p>
        </w:tc>
        <w:tc>
          <w:tcPr>
            <w:tcW w:w="71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430</w:t>
            </w:r>
          </w:p>
        </w:tc>
        <w:tc>
          <w:tcPr>
            <w:tcW w:w="59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2%</w:t>
            </w:r>
          </w:p>
        </w:tc>
        <w:tc>
          <w:tcPr>
            <w:tcW w:w="868"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23%</w:t>
            </w:r>
          </w:p>
        </w:tc>
        <w:tc>
          <w:tcPr>
            <w:tcW w:w="829"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8,810</w:t>
            </w:r>
          </w:p>
        </w:tc>
        <w:tc>
          <w:tcPr>
            <w:tcW w:w="59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2%</w:t>
            </w:r>
          </w:p>
        </w:tc>
        <w:tc>
          <w:tcPr>
            <w:tcW w:w="868"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10%</w:t>
            </w:r>
          </w:p>
        </w:tc>
        <w:tc>
          <w:tcPr>
            <w:tcW w:w="940"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56,555</w:t>
            </w:r>
          </w:p>
        </w:tc>
        <w:tc>
          <w:tcPr>
            <w:tcW w:w="59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3%</w:t>
            </w:r>
          </w:p>
        </w:tc>
        <w:tc>
          <w:tcPr>
            <w:tcW w:w="868"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4%</w:t>
            </w:r>
          </w:p>
        </w:tc>
      </w:tr>
      <w:tr w:rsidR="007547D4" w:rsidRPr="007B00CC" w:rsidTr="00031B92">
        <w:trPr>
          <w:trHeight w:val="300"/>
          <w:jc w:val="center"/>
        </w:trPr>
        <w:tc>
          <w:tcPr>
            <w:tcW w:w="3060" w:type="dxa"/>
            <w:tcBorders>
              <w:top w:val="nil"/>
              <w:left w:val="single" w:sz="4" w:space="0" w:color="auto"/>
              <w:bottom w:val="single" w:sz="4" w:space="0" w:color="auto"/>
              <w:right w:val="single" w:sz="4" w:space="0" w:color="auto"/>
            </w:tcBorders>
            <w:shd w:val="clear" w:color="auto" w:fill="auto"/>
            <w:vAlign w:val="center"/>
            <w:hideMark/>
          </w:tcPr>
          <w:p w:rsidR="007547D4" w:rsidRPr="007B00CC" w:rsidRDefault="007547D4" w:rsidP="00031B92">
            <w:pPr>
              <w:spacing w:after="0" w:line="240" w:lineRule="auto"/>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Health</w:t>
            </w:r>
          </w:p>
        </w:tc>
        <w:tc>
          <w:tcPr>
            <w:tcW w:w="71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1,010</w:t>
            </w:r>
          </w:p>
        </w:tc>
        <w:tc>
          <w:tcPr>
            <w:tcW w:w="59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5%</w:t>
            </w:r>
          </w:p>
        </w:tc>
        <w:tc>
          <w:tcPr>
            <w:tcW w:w="868"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21%</w:t>
            </w:r>
          </w:p>
        </w:tc>
        <w:tc>
          <w:tcPr>
            <w:tcW w:w="829"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21,425</w:t>
            </w:r>
          </w:p>
        </w:tc>
        <w:tc>
          <w:tcPr>
            <w:tcW w:w="59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5%</w:t>
            </w:r>
          </w:p>
        </w:tc>
        <w:tc>
          <w:tcPr>
            <w:tcW w:w="868"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18%</w:t>
            </w:r>
          </w:p>
        </w:tc>
        <w:tc>
          <w:tcPr>
            <w:tcW w:w="940"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126,690</w:t>
            </w:r>
          </w:p>
        </w:tc>
        <w:tc>
          <w:tcPr>
            <w:tcW w:w="59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6%</w:t>
            </w:r>
          </w:p>
        </w:tc>
        <w:tc>
          <w:tcPr>
            <w:tcW w:w="868"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11%</w:t>
            </w:r>
          </w:p>
        </w:tc>
      </w:tr>
      <w:tr w:rsidR="007547D4" w:rsidRPr="007B00CC" w:rsidTr="00031B92">
        <w:trPr>
          <w:trHeight w:val="600"/>
          <w:jc w:val="center"/>
        </w:trPr>
        <w:tc>
          <w:tcPr>
            <w:tcW w:w="3060" w:type="dxa"/>
            <w:tcBorders>
              <w:top w:val="nil"/>
              <w:left w:val="single" w:sz="4" w:space="0" w:color="auto"/>
              <w:bottom w:val="single" w:sz="4" w:space="0" w:color="auto"/>
              <w:right w:val="single" w:sz="4" w:space="0" w:color="auto"/>
            </w:tcBorders>
            <w:shd w:val="clear" w:color="auto" w:fill="auto"/>
            <w:vAlign w:val="center"/>
            <w:hideMark/>
          </w:tcPr>
          <w:p w:rsidR="007547D4" w:rsidRPr="007B00CC" w:rsidRDefault="007547D4" w:rsidP="00031B92">
            <w:pPr>
              <w:spacing w:after="0" w:line="240" w:lineRule="auto"/>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Arts, entertainment, recreation &amp; other services</w:t>
            </w:r>
          </w:p>
        </w:tc>
        <w:tc>
          <w:tcPr>
            <w:tcW w:w="71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1,450</w:t>
            </w:r>
          </w:p>
        </w:tc>
        <w:tc>
          <w:tcPr>
            <w:tcW w:w="59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8%</w:t>
            </w:r>
          </w:p>
        </w:tc>
        <w:tc>
          <w:tcPr>
            <w:tcW w:w="868"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-1%</w:t>
            </w:r>
          </w:p>
        </w:tc>
        <w:tc>
          <w:tcPr>
            <w:tcW w:w="829"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34,730</w:t>
            </w:r>
          </w:p>
        </w:tc>
        <w:tc>
          <w:tcPr>
            <w:tcW w:w="59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8%</w:t>
            </w:r>
          </w:p>
        </w:tc>
        <w:tc>
          <w:tcPr>
            <w:tcW w:w="868"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2%</w:t>
            </w:r>
          </w:p>
        </w:tc>
        <w:tc>
          <w:tcPr>
            <w:tcW w:w="940"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156,390</w:t>
            </w:r>
          </w:p>
        </w:tc>
        <w:tc>
          <w:tcPr>
            <w:tcW w:w="597"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7%</w:t>
            </w:r>
          </w:p>
        </w:tc>
        <w:tc>
          <w:tcPr>
            <w:tcW w:w="868" w:type="dxa"/>
            <w:tcBorders>
              <w:top w:val="nil"/>
              <w:left w:val="nil"/>
              <w:bottom w:val="single" w:sz="4" w:space="0" w:color="auto"/>
              <w:right w:val="single" w:sz="4" w:space="0" w:color="auto"/>
            </w:tcBorders>
            <w:shd w:val="clear" w:color="auto" w:fill="auto"/>
            <w:noWrap/>
            <w:vAlign w:val="center"/>
            <w:hideMark/>
          </w:tcPr>
          <w:p w:rsidR="007547D4" w:rsidRPr="007B00CC" w:rsidRDefault="007547D4" w:rsidP="00031B92">
            <w:pPr>
              <w:spacing w:after="0" w:line="240" w:lineRule="auto"/>
              <w:jc w:val="center"/>
              <w:rPr>
                <w:rFonts w:ascii="Calibri" w:eastAsia="Times New Roman" w:hAnsi="Calibri" w:cs="Times New Roman"/>
                <w:color w:val="000000"/>
                <w:lang w:eastAsia="en-GB"/>
              </w:rPr>
            </w:pPr>
            <w:r w:rsidRPr="007B00CC">
              <w:rPr>
                <w:rFonts w:ascii="Calibri" w:eastAsia="Times New Roman" w:hAnsi="Calibri" w:cs="Times New Roman"/>
                <w:color w:val="000000"/>
                <w:lang w:eastAsia="en-GB"/>
              </w:rPr>
              <w:t>-3%</w:t>
            </w:r>
          </w:p>
        </w:tc>
      </w:tr>
    </w:tbl>
    <w:p w:rsidR="007547D4" w:rsidRPr="007B00CC" w:rsidRDefault="007547D4" w:rsidP="007547D4">
      <w:r w:rsidRPr="007B00CC">
        <w:t xml:space="preserve">Source: Annual IDBR data for years ending March 2012 and March 2009  </w:t>
      </w:r>
    </w:p>
    <w:p w:rsidR="007547D4" w:rsidRPr="006F2BD9" w:rsidRDefault="007547D4" w:rsidP="007547D4">
      <w:pPr>
        <w:pStyle w:val="ListParagraph"/>
        <w:numPr>
          <w:ilvl w:val="0"/>
          <w:numId w:val="34"/>
        </w:numPr>
        <w:jc w:val="both"/>
        <w:rPr>
          <w:rFonts w:cs="Arial"/>
        </w:rPr>
      </w:pPr>
      <w:r>
        <w:rPr>
          <w:rFonts w:cs="Arial"/>
        </w:rPr>
        <w:t>Between 2008 and 2011 e</w:t>
      </w:r>
      <w:r w:rsidRPr="006F2BD9">
        <w:rPr>
          <w:rFonts w:cs="Arial"/>
        </w:rPr>
        <w:t xml:space="preserve">mployment in Barnet’s businesses </w:t>
      </w:r>
      <w:r>
        <w:rPr>
          <w:rFonts w:cs="Arial"/>
        </w:rPr>
        <w:t xml:space="preserve">decreased by </w:t>
      </w:r>
      <w:r w:rsidRPr="006F2BD9">
        <w:rPr>
          <w:rFonts w:cs="Arial"/>
        </w:rPr>
        <w:t>1.9% to 118,461 (an overall loss of 2,202 jobs), compared to a decrease of 0.9% for Greater London as a whole</w:t>
      </w:r>
      <w:r>
        <w:rPr>
          <w:rStyle w:val="FootnoteReference"/>
          <w:rFonts w:cs="Arial"/>
        </w:rPr>
        <w:footnoteReference w:id="15"/>
      </w:r>
      <w:r w:rsidRPr="006F2BD9">
        <w:rPr>
          <w:rFonts w:cs="Arial"/>
        </w:rPr>
        <w:t xml:space="preserve">. </w:t>
      </w:r>
    </w:p>
    <w:p w:rsidR="007547D4" w:rsidRPr="006F2BD9" w:rsidRDefault="007547D4" w:rsidP="007547D4">
      <w:pPr>
        <w:pStyle w:val="ListParagraph"/>
        <w:numPr>
          <w:ilvl w:val="0"/>
          <w:numId w:val="24"/>
        </w:numPr>
        <w:jc w:val="both"/>
        <w:rPr>
          <w:rFonts w:cs="Arial"/>
        </w:rPr>
      </w:pPr>
      <w:r w:rsidRPr="006F2BD9">
        <w:rPr>
          <w:rFonts w:cs="Arial"/>
        </w:rPr>
        <w:t>The largest employment wards in Barnet are West Hendon and Colindale</w:t>
      </w:r>
      <w:r>
        <w:rPr>
          <w:rFonts w:cs="Arial"/>
        </w:rPr>
        <w:t>,</w:t>
      </w:r>
      <w:r w:rsidRPr="006F2BD9">
        <w:rPr>
          <w:rFonts w:cs="Arial"/>
        </w:rPr>
        <w:t xml:space="preserve"> located to the west of the </w:t>
      </w:r>
      <w:r>
        <w:rPr>
          <w:rFonts w:cs="Arial"/>
        </w:rPr>
        <w:t>Borough</w:t>
      </w:r>
      <w:r w:rsidRPr="006F2BD9">
        <w:rPr>
          <w:rFonts w:cs="Arial"/>
        </w:rPr>
        <w:t xml:space="preserve"> along the A5 corridor</w:t>
      </w:r>
      <w:r>
        <w:rPr>
          <w:rFonts w:cs="Arial"/>
        </w:rPr>
        <w:t>,</w:t>
      </w:r>
      <w:r w:rsidRPr="006F2BD9">
        <w:rPr>
          <w:rFonts w:cs="Arial"/>
        </w:rPr>
        <w:t xml:space="preserve"> and West Finchley in the centre of the </w:t>
      </w:r>
      <w:r>
        <w:rPr>
          <w:rFonts w:cs="Arial"/>
        </w:rPr>
        <w:t>Borough</w:t>
      </w:r>
      <w:r w:rsidRPr="006F2BD9">
        <w:rPr>
          <w:rFonts w:cs="Arial"/>
        </w:rPr>
        <w:t xml:space="preserve"> on the </w:t>
      </w:r>
      <w:r w:rsidR="00DD3A76" w:rsidRPr="006F2BD9">
        <w:rPr>
          <w:rFonts w:cs="Arial"/>
        </w:rPr>
        <w:t>Ballard’s</w:t>
      </w:r>
      <w:r w:rsidRPr="006F2BD9">
        <w:rPr>
          <w:rFonts w:cs="Arial"/>
        </w:rPr>
        <w:t xml:space="preserve"> Lane access route</w:t>
      </w:r>
      <w:r>
        <w:rPr>
          <w:rStyle w:val="FootnoteReference"/>
          <w:rFonts w:cs="Arial"/>
        </w:rPr>
        <w:footnoteReference w:id="16"/>
      </w:r>
      <w:r>
        <w:rPr>
          <w:rFonts w:cs="Arial"/>
        </w:rPr>
        <w:t>.</w:t>
      </w:r>
    </w:p>
    <w:p w:rsidR="007547D4" w:rsidRDefault="007547D4" w:rsidP="007547D4">
      <w:pPr>
        <w:jc w:val="both"/>
        <w:rPr>
          <w:rFonts w:eastAsiaTheme="majorEastAsia" w:cstheme="majorBidi"/>
          <w:b/>
          <w:bCs/>
          <w:color w:val="4F81BD" w:themeColor="accent1"/>
          <w:sz w:val="26"/>
          <w:szCs w:val="26"/>
        </w:rPr>
      </w:pPr>
      <w:r w:rsidRPr="006F2BD9">
        <w:rPr>
          <w:rFonts w:cs="Arial"/>
        </w:rPr>
        <w:t xml:space="preserve"> ‘The Economic Outlook for London’</w:t>
      </w:r>
      <w:r w:rsidRPr="006F2BD9">
        <w:rPr>
          <w:rStyle w:val="FootnoteReference"/>
          <w:rFonts w:cs="Arial"/>
        </w:rPr>
        <w:footnoteReference w:id="17"/>
      </w:r>
      <w:r w:rsidRPr="006F2BD9">
        <w:rPr>
          <w:rFonts w:cs="Arial"/>
        </w:rPr>
        <w:t xml:space="preserve"> indicates that between 2012-15 the main employment growth sectors will be professional, scientific/technical, business administration, info-communications and construction, whilst education and health may exhibit some decline. This does not appear entirely in step with Barnet</w:t>
      </w:r>
      <w:r>
        <w:rPr>
          <w:rFonts w:cs="Arial"/>
        </w:rPr>
        <w:t>,</w:t>
      </w:r>
      <w:r w:rsidRPr="006F2BD9">
        <w:rPr>
          <w:rFonts w:cs="Arial"/>
        </w:rPr>
        <w:t xml:space="preserve"> where there is currently growing demand for healt</w:t>
      </w:r>
      <w:r>
        <w:rPr>
          <w:rFonts w:cs="Arial"/>
        </w:rPr>
        <w:t xml:space="preserve">h and education services against the context of a </w:t>
      </w:r>
      <w:r w:rsidRPr="006F2BD9">
        <w:rPr>
          <w:rFonts w:cs="Arial"/>
        </w:rPr>
        <w:t xml:space="preserve">growing and ageing population.  </w:t>
      </w:r>
    </w:p>
    <w:p w:rsidR="007547D4" w:rsidRDefault="007547D4" w:rsidP="007547D4">
      <w:pPr>
        <w:pStyle w:val="Heading2"/>
        <w:numPr>
          <w:ilvl w:val="1"/>
          <w:numId w:val="138"/>
        </w:numPr>
      </w:pPr>
      <w:bookmarkStart w:id="545" w:name="_Toc426723316"/>
      <w:bookmarkStart w:id="546" w:name="_Toc431225143"/>
      <w:r>
        <w:lastRenderedPageBreak/>
        <w:t>Employment</w:t>
      </w:r>
      <w:bookmarkEnd w:id="545"/>
      <w:bookmarkEnd w:id="546"/>
    </w:p>
    <w:p w:rsidR="007547D4" w:rsidRPr="006F2BD9" w:rsidRDefault="007547D4" w:rsidP="007547D4">
      <w:pPr>
        <w:jc w:val="both"/>
      </w:pPr>
      <w:r w:rsidRPr="006F2BD9">
        <w:t xml:space="preserve">Table </w:t>
      </w:r>
      <w:r>
        <w:t>3-5</w:t>
      </w:r>
      <w:r w:rsidRPr="006F2BD9">
        <w:t xml:space="preserve"> shows the employment and unemployment rates wit</w:t>
      </w:r>
      <w:r>
        <w:t xml:space="preserve">hin Barnet, compared against </w:t>
      </w:r>
      <w:r w:rsidRPr="006F2BD9">
        <w:t>Outer London and UK averages. Against both comparators, Barnet has</w:t>
      </w:r>
      <w:r>
        <w:t xml:space="preserve"> the </w:t>
      </w:r>
      <w:r w:rsidRPr="006F2BD9">
        <w:t xml:space="preserve">lower </w:t>
      </w:r>
      <w:r>
        <w:t xml:space="preserve">employment rate of 70.9%, compared to </w:t>
      </w:r>
      <w:r w:rsidRPr="006F2BD9">
        <w:t xml:space="preserve">71.5% for Outer London and 72.1% for the UK. </w:t>
      </w:r>
    </w:p>
    <w:p w:rsidR="007547D4" w:rsidRPr="006F2BD9" w:rsidRDefault="007547D4" w:rsidP="007547D4">
      <w:pPr>
        <w:jc w:val="both"/>
      </w:pPr>
      <w:r w:rsidRPr="006F2BD9">
        <w:t xml:space="preserve">Of people employed, Barnet has a much higher rate of people who are self-employed (19.0%) compared to the Outer London rate of 12.3% and the UK rate of 10.0%. This implies a strong entrepreneurial flair within the </w:t>
      </w:r>
      <w:r>
        <w:t>Borough</w:t>
      </w:r>
      <w:r w:rsidRPr="006F2BD9">
        <w:t xml:space="preserve">. </w:t>
      </w:r>
    </w:p>
    <w:p w:rsidR="007547D4" w:rsidRPr="006F2BD9" w:rsidRDefault="007547D4" w:rsidP="007547D4">
      <w:pPr>
        <w:pStyle w:val="Caption"/>
        <w:rPr>
          <w:b w:val="0"/>
          <w:i/>
        </w:rPr>
      </w:pPr>
      <w:r>
        <w:t xml:space="preserve">Table </w:t>
      </w:r>
      <w:fldSimple w:instr=" STYLEREF 1 \s ">
        <w:r w:rsidR="001663C2">
          <w:rPr>
            <w:noProof/>
          </w:rPr>
          <w:t>3</w:t>
        </w:r>
      </w:fldSimple>
      <w:r>
        <w:noBreakHyphen/>
      </w:r>
      <w:fldSimple w:instr=" SEQ Table \* ARABIC \s 1 ">
        <w:r w:rsidR="001663C2">
          <w:rPr>
            <w:noProof/>
          </w:rPr>
          <w:t>5</w:t>
        </w:r>
      </w:fldSimple>
      <w:r w:rsidRPr="001221C6">
        <w:rPr>
          <w:rFonts w:cs="Calibri"/>
        </w:rPr>
        <w:t>: Employment Rates for 16-64 Year Olds, (Barnet, Regional and National), October 2013 – September 2014</w:t>
      </w:r>
    </w:p>
    <w:tbl>
      <w:tblPr>
        <w:tblW w:w="8946" w:type="dxa"/>
        <w:tblInd w:w="93" w:type="dxa"/>
        <w:tblLayout w:type="fixed"/>
        <w:tblLook w:val="04A0" w:firstRow="1" w:lastRow="0" w:firstColumn="1" w:lastColumn="0" w:noHBand="0" w:noVBand="1"/>
      </w:tblPr>
      <w:tblGrid>
        <w:gridCol w:w="2579"/>
        <w:gridCol w:w="1120"/>
        <w:gridCol w:w="764"/>
        <w:gridCol w:w="1364"/>
        <w:gridCol w:w="900"/>
        <w:gridCol w:w="1368"/>
        <w:gridCol w:w="851"/>
      </w:tblGrid>
      <w:tr w:rsidR="007547D4" w:rsidRPr="006F2BD9" w:rsidTr="00031B92">
        <w:trPr>
          <w:trHeight w:val="252"/>
        </w:trPr>
        <w:tc>
          <w:tcPr>
            <w:tcW w:w="257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7547D4" w:rsidRPr="006F2BD9" w:rsidRDefault="007547D4" w:rsidP="00031B92">
            <w:pPr>
              <w:spacing w:after="0" w:line="240" w:lineRule="auto"/>
              <w:jc w:val="both"/>
              <w:rPr>
                <w:rFonts w:eastAsia="Times New Roman" w:cs="Arial"/>
                <w:b/>
                <w:bCs/>
                <w:lang w:eastAsia="en-GB"/>
              </w:rPr>
            </w:pPr>
          </w:p>
        </w:tc>
        <w:tc>
          <w:tcPr>
            <w:tcW w:w="1884" w:type="dxa"/>
            <w:gridSpan w:val="2"/>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7547D4" w:rsidRPr="006F2BD9" w:rsidRDefault="007547D4" w:rsidP="00031B92">
            <w:pPr>
              <w:spacing w:after="0" w:line="240" w:lineRule="auto"/>
              <w:jc w:val="center"/>
              <w:rPr>
                <w:rFonts w:eastAsia="Times New Roman" w:cs="Arial"/>
                <w:b/>
                <w:bCs/>
                <w:lang w:eastAsia="en-GB"/>
              </w:rPr>
            </w:pPr>
            <w:r w:rsidRPr="006F2BD9">
              <w:rPr>
                <w:rFonts w:eastAsia="Times New Roman" w:cs="Arial"/>
                <w:b/>
                <w:bCs/>
                <w:lang w:eastAsia="en-GB"/>
              </w:rPr>
              <w:t>Barnet</w:t>
            </w:r>
          </w:p>
        </w:tc>
        <w:tc>
          <w:tcPr>
            <w:tcW w:w="2264" w:type="dxa"/>
            <w:gridSpan w:val="2"/>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7547D4" w:rsidRPr="006F2BD9" w:rsidRDefault="007547D4" w:rsidP="00031B92">
            <w:pPr>
              <w:spacing w:after="0" w:line="240" w:lineRule="auto"/>
              <w:jc w:val="center"/>
              <w:rPr>
                <w:rFonts w:eastAsia="Times New Roman" w:cs="Arial"/>
                <w:b/>
                <w:bCs/>
                <w:lang w:eastAsia="en-GB"/>
              </w:rPr>
            </w:pPr>
            <w:r w:rsidRPr="006F2BD9">
              <w:rPr>
                <w:rFonts w:eastAsia="Times New Roman" w:cs="Arial"/>
                <w:b/>
                <w:bCs/>
                <w:lang w:eastAsia="en-GB"/>
              </w:rPr>
              <w:t>Outer London</w:t>
            </w:r>
          </w:p>
        </w:tc>
        <w:tc>
          <w:tcPr>
            <w:tcW w:w="2219" w:type="dxa"/>
            <w:gridSpan w:val="2"/>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7547D4" w:rsidRPr="006F2BD9" w:rsidRDefault="007547D4" w:rsidP="00031B92">
            <w:pPr>
              <w:spacing w:after="0" w:line="240" w:lineRule="auto"/>
              <w:jc w:val="center"/>
              <w:rPr>
                <w:rFonts w:eastAsia="Times New Roman" w:cs="Arial"/>
                <w:b/>
                <w:bCs/>
                <w:lang w:eastAsia="en-GB"/>
              </w:rPr>
            </w:pPr>
            <w:r w:rsidRPr="006F2BD9">
              <w:rPr>
                <w:rFonts w:eastAsia="Times New Roman" w:cs="Arial"/>
                <w:b/>
                <w:bCs/>
                <w:lang w:eastAsia="en-GB"/>
              </w:rPr>
              <w:t>United Kingdom</w:t>
            </w:r>
          </w:p>
        </w:tc>
      </w:tr>
      <w:tr w:rsidR="007547D4" w:rsidRPr="006F2BD9" w:rsidTr="00031B92">
        <w:trPr>
          <w:trHeight w:val="249"/>
        </w:trPr>
        <w:tc>
          <w:tcPr>
            <w:tcW w:w="2579" w:type="dxa"/>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rsidR="007547D4" w:rsidRPr="006F2BD9" w:rsidRDefault="007547D4" w:rsidP="00031B92">
            <w:pPr>
              <w:spacing w:after="0" w:line="240" w:lineRule="auto"/>
              <w:jc w:val="both"/>
              <w:rPr>
                <w:rFonts w:eastAsia="Times New Roman" w:cs="Arial"/>
                <w:b/>
                <w:bCs/>
                <w:lang w:eastAsia="en-GB"/>
              </w:rPr>
            </w:pPr>
            <w:r w:rsidRPr="006F2BD9">
              <w:rPr>
                <w:rFonts w:eastAsia="Times New Roman" w:cs="Arial"/>
                <w:b/>
                <w:bCs/>
                <w:lang w:eastAsia="en-GB"/>
              </w:rPr>
              <w:t>All People</w:t>
            </w:r>
          </w:p>
        </w:tc>
        <w:tc>
          <w:tcPr>
            <w:tcW w:w="1120" w:type="dxa"/>
            <w:tcBorders>
              <w:top w:val="nil"/>
              <w:left w:val="nil"/>
              <w:bottom w:val="single" w:sz="4" w:space="0" w:color="auto"/>
              <w:right w:val="single" w:sz="4" w:space="0" w:color="auto"/>
            </w:tcBorders>
            <w:shd w:val="clear" w:color="auto" w:fill="BFBFBF" w:themeFill="background1" w:themeFillShade="BF"/>
            <w:vAlign w:val="center"/>
            <w:hideMark/>
          </w:tcPr>
          <w:p w:rsidR="007547D4" w:rsidRPr="006F2BD9" w:rsidRDefault="007547D4" w:rsidP="00031B92">
            <w:pPr>
              <w:spacing w:after="0" w:line="240" w:lineRule="auto"/>
              <w:jc w:val="center"/>
              <w:rPr>
                <w:rFonts w:eastAsia="Times New Roman" w:cs="Arial"/>
                <w:b/>
                <w:bCs/>
                <w:lang w:eastAsia="en-GB"/>
              </w:rPr>
            </w:pPr>
            <w:r w:rsidRPr="006F2BD9">
              <w:rPr>
                <w:rFonts w:eastAsia="Times New Roman" w:cs="Arial"/>
                <w:b/>
                <w:bCs/>
                <w:lang w:eastAsia="en-GB"/>
              </w:rPr>
              <w:t>Number</w:t>
            </w:r>
          </w:p>
        </w:tc>
        <w:tc>
          <w:tcPr>
            <w:tcW w:w="764" w:type="dxa"/>
            <w:tcBorders>
              <w:top w:val="nil"/>
              <w:left w:val="nil"/>
              <w:bottom w:val="single" w:sz="4" w:space="0" w:color="auto"/>
              <w:right w:val="single" w:sz="4" w:space="0" w:color="auto"/>
            </w:tcBorders>
            <w:shd w:val="clear" w:color="auto" w:fill="BFBFBF" w:themeFill="background1" w:themeFillShade="BF"/>
            <w:vAlign w:val="center"/>
            <w:hideMark/>
          </w:tcPr>
          <w:p w:rsidR="007547D4" w:rsidRPr="006F2BD9" w:rsidRDefault="007547D4" w:rsidP="00031B92">
            <w:pPr>
              <w:spacing w:after="0" w:line="240" w:lineRule="auto"/>
              <w:jc w:val="center"/>
              <w:rPr>
                <w:rFonts w:eastAsia="Times New Roman" w:cs="Arial"/>
                <w:b/>
                <w:bCs/>
                <w:lang w:eastAsia="en-GB"/>
              </w:rPr>
            </w:pPr>
            <w:r w:rsidRPr="006F2BD9">
              <w:rPr>
                <w:rFonts w:eastAsia="Times New Roman" w:cs="Arial"/>
                <w:b/>
                <w:bCs/>
                <w:lang w:eastAsia="en-GB"/>
              </w:rPr>
              <w:t>%</w:t>
            </w:r>
          </w:p>
        </w:tc>
        <w:tc>
          <w:tcPr>
            <w:tcW w:w="1364" w:type="dxa"/>
            <w:tcBorders>
              <w:top w:val="nil"/>
              <w:left w:val="nil"/>
              <w:bottom w:val="single" w:sz="4" w:space="0" w:color="auto"/>
              <w:right w:val="single" w:sz="4" w:space="0" w:color="auto"/>
            </w:tcBorders>
            <w:shd w:val="clear" w:color="auto" w:fill="BFBFBF" w:themeFill="background1" w:themeFillShade="BF"/>
            <w:vAlign w:val="center"/>
            <w:hideMark/>
          </w:tcPr>
          <w:p w:rsidR="007547D4" w:rsidRPr="006F2BD9" w:rsidRDefault="007547D4" w:rsidP="00031B92">
            <w:pPr>
              <w:spacing w:after="0" w:line="240" w:lineRule="auto"/>
              <w:jc w:val="center"/>
              <w:rPr>
                <w:rFonts w:eastAsia="Times New Roman" w:cs="Arial"/>
                <w:b/>
                <w:bCs/>
                <w:lang w:eastAsia="en-GB"/>
              </w:rPr>
            </w:pPr>
            <w:r w:rsidRPr="006F2BD9">
              <w:rPr>
                <w:rFonts w:eastAsia="Times New Roman" w:cs="Arial"/>
                <w:b/>
                <w:bCs/>
                <w:lang w:eastAsia="en-GB"/>
              </w:rPr>
              <w:t>Number</w:t>
            </w:r>
          </w:p>
        </w:tc>
        <w:tc>
          <w:tcPr>
            <w:tcW w:w="900" w:type="dxa"/>
            <w:tcBorders>
              <w:top w:val="nil"/>
              <w:left w:val="nil"/>
              <w:bottom w:val="single" w:sz="4" w:space="0" w:color="auto"/>
              <w:right w:val="single" w:sz="4" w:space="0" w:color="auto"/>
            </w:tcBorders>
            <w:shd w:val="clear" w:color="auto" w:fill="BFBFBF" w:themeFill="background1" w:themeFillShade="BF"/>
            <w:vAlign w:val="center"/>
            <w:hideMark/>
          </w:tcPr>
          <w:p w:rsidR="007547D4" w:rsidRPr="006F2BD9" w:rsidRDefault="007547D4" w:rsidP="00031B92">
            <w:pPr>
              <w:spacing w:after="0" w:line="240" w:lineRule="auto"/>
              <w:jc w:val="center"/>
              <w:rPr>
                <w:rFonts w:eastAsia="Times New Roman" w:cs="Arial"/>
                <w:b/>
                <w:bCs/>
                <w:lang w:eastAsia="en-GB"/>
              </w:rPr>
            </w:pPr>
            <w:r w:rsidRPr="006F2BD9">
              <w:rPr>
                <w:rFonts w:eastAsia="Times New Roman" w:cs="Arial"/>
                <w:b/>
                <w:bCs/>
                <w:lang w:eastAsia="en-GB"/>
              </w:rPr>
              <w:t>%</w:t>
            </w:r>
          </w:p>
        </w:tc>
        <w:tc>
          <w:tcPr>
            <w:tcW w:w="1368" w:type="dxa"/>
            <w:tcBorders>
              <w:top w:val="nil"/>
              <w:left w:val="nil"/>
              <w:bottom w:val="single" w:sz="4" w:space="0" w:color="auto"/>
              <w:right w:val="single" w:sz="4" w:space="0" w:color="auto"/>
            </w:tcBorders>
            <w:shd w:val="clear" w:color="auto" w:fill="BFBFBF" w:themeFill="background1" w:themeFillShade="BF"/>
            <w:vAlign w:val="center"/>
            <w:hideMark/>
          </w:tcPr>
          <w:p w:rsidR="007547D4" w:rsidRPr="006F2BD9" w:rsidRDefault="007547D4" w:rsidP="00031B92">
            <w:pPr>
              <w:spacing w:after="0" w:line="240" w:lineRule="auto"/>
              <w:jc w:val="center"/>
              <w:rPr>
                <w:rFonts w:eastAsia="Times New Roman" w:cs="Arial"/>
                <w:b/>
                <w:bCs/>
                <w:lang w:eastAsia="en-GB"/>
              </w:rPr>
            </w:pPr>
            <w:r w:rsidRPr="006F2BD9">
              <w:rPr>
                <w:rFonts w:eastAsia="Times New Roman" w:cs="Arial"/>
                <w:b/>
                <w:bCs/>
                <w:lang w:eastAsia="en-GB"/>
              </w:rPr>
              <w:t>Number</w:t>
            </w:r>
          </w:p>
        </w:tc>
        <w:tc>
          <w:tcPr>
            <w:tcW w:w="851" w:type="dxa"/>
            <w:tcBorders>
              <w:top w:val="nil"/>
              <w:left w:val="nil"/>
              <w:bottom w:val="single" w:sz="4" w:space="0" w:color="auto"/>
              <w:right w:val="single" w:sz="4" w:space="0" w:color="auto"/>
            </w:tcBorders>
            <w:shd w:val="clear" w:color="auto" w:fill="BFBFBF" w:themeFill="background1" w:themeFillShade="BF"/>
            <w:vAlign w:val="center"/>
            <w:hideMark/>
          </w:tcPr>
          <w:p w:rsidR="007547D4" w:rsidRPr="006F2BD9" w:rsidRDefault="007547D4" w:rsidP="00031B92">
            <w:pPr>
              <w:spacing w:after="0" w:line="240" w:lineRule="auto"/>
              <w:jc w:val="center"/>
              <w:rPr>
                <w:rFonts w:eastAsia="Times New Roman" w:cs="Arial"/>
                <w:b/>
                <w:bCs/>
                <w:lang w:eastAsia="en-GB"/>
              </w:rPr>
            </w:pPr>
            <w:r w:rsidRPr="006F2BD9">
              <w:rPr>
                <w:rFonts w:eastAsia="Times New Roman" w:cs="Arial"/>
                <w:b/>
                <w:bCs/>
                <w:lang w:eastAsia="en-GB"/>
              </w:rPr>
              <w:t>%</w:t>
            </w:r>
          </w:p>
        </w:tc>
      </w:tr>
      <w:tr w:rsidR="007547D4" w:rsidRPr="006F2BD9" w:rsidTr="00031B92">
        <w:trPr>
          <w:trHeight w:val="255"/>
        </w:trPr>
        <w:tc>
          <w:tcPr>
            <w:tcW w:w="2579" w:type="dxa"/>
            <w:tcBorders>
              <w:top w:val="nil"/>
              <w:left w:val="single" w:sz="4" w:space="0" w:color="auto"/>
              <w:bottom w:val="single" w:sz="4" w:space="0" w:color="auto"/>
              <w:right w:val="single" w:sz="4" w:space="0" w:color="auto"/>
            </w:tcBorders>
            <w:shd w:val="clear" w:color="auto" w:fill="auto"/>
            <w:noWrap/>
            <w:vAlign w:val="center"/>
            <w:hideMark/>
          </w:tcPr>
          <w:p w:rsidR="007547D4" w:rsidRPr="006F2BD9" w:rsidRDefault="007547D4" w:rsidP="00031B92">
            <w:pPr>
              <w:spacing w:after="0" w:line="240" w:lineRule="auto"/>
              <w:jc w:val="both"/>
              <w:rPr>
                <w:rFonts w:eastAsia="Times New Roman" w:cs="Arial"/>
                <w:lang w:eastAsia="en-GB"/>
              </w:rPr>
            </w:pPr>
            <w:r w:rsidRPr="006F2BD9">
              <w:rPr>
                <w:rFonts w:eastAsia="Times New Roman" w:cs="Arial"/>
                <w:lang w:eastAsia="en-GB"/>
              </w:rPr>
              <w:t>Economic activity</w:t>
            </w:r>
          </w:p>
        </w:tc>
        <w:tc>
          <w:tcPr>
            <w:tcW w:w="1120" w:type="dxa"/>
            <w:tcBorders>
              <w:top w:val="nil"/>
              <w:left w:val="nil"/>
              <w:bottom w:val="single" w:sz="4" w:space="0" w:color="auto"/>
              <w:right w:val="single" w:sz="4" w:space="0" w:color="auto"/>
            </w:tcBorders>
            <w:shd w:val="clear" w:color="auto" w:fill="auto"/>
            <w:noWrap/>
            <w:vAlign w:val="center"/>
            <w:hideMark/>
          </w:tcPr>
          <w:p w:rsidR="007547D4" w:rsidRPr="006F2BD9" w:rsidRDefault="007547D4" w:rsidP="00031B92">
            <w:pPr>
              <w:spacing w:after="0" w:line="240" w:lineRule="auto"/>
              <w:jc w:val="center"/>
              <w:rPr>
                <w:rFonts w:eastAsia="Times New Roman" w:cs="Arial"/>
                <w:lang w:eastAsia="en-GB"/>
              </w:rPr>
            </w:pPr>
            <w:r w:rsidRPr="006F2BD9">
              <w:rPr>
                <w:rFonts w:eastAsia="Times New Roman" w:cs="Arial"/>
                <w:lang w:eastAsia="en-GB"/>
              </w:rPr>
              <w:t>176,699</w:t>
            </w:r>
          </w:p>
        </w:tc>
        <w:tc>
          <w:tcPr>
            <w:tcW w:w="764" w:type="dxa"/>
            <w:tcBorders>
              <w:top w:val="nil"/>
              <w:left w:val="nil"/>
              <w:bottom w:val="single" w:sz="4" w:space="0" w:color="auto"/>
              <w:right w:val="single" w:sz="4" w:space="0" w:color="auto"/>
            </w:tcBorders>
            <w:shd w:val="clear" w:color="auto" w:fill="auto"/>
            <w:noWrap/>
            <w:vAlign w:val="center"/>
            <w:hideMark/>
          </w:tcPr>
          <w:p w:rsidR="007547D4" w:rsidRPr="006F2BD9" w:rsidRDefault="007547D4" w:rsidP="00031B92">
            <w:pPr>
              <w:spacing w:after="0" w:line="240" w:lineRule="auto"/>
              <w:jc w:val="center"/>
              <w:rPr>
                <w:rFonts w:eastAsia="Times New Roman" w:cs="Arial"/>
                <w:lang w:eastAsia="en-GB"/>
              </w:rPr>
            </w:pPr>
            <w:r w:rsidRPr="006F2BD9">
              <w:rPr>
                <w:rFonts w:eastAsia="Times New Roman" w:cs="Arial"/>
                <w:lang w:eastAsia="en-GB"/>
              </w:rPr>
              <w:t>74.6%</w:t>
            </w:r>
          </w:p>
        </w:tc>
        <w:tc>
          <w:tcPr>
            <w:tcW w:w="1364" w:type="dxa"/>
            <w:tcBorders>
              <w:top w:val="nil"/>
              <w:left w:val="nil"/>
              <w:bottom w:val="single" w:sz="4" w:space="0" w:color="auto"/>
              <w:right w:val="single" w:sz="4" w:space="0" w:color="auto"/>
            </w:tcBorders>
            <w:shd w:val="clear" w:color="auto" w:fill="auto"/>
            <w:noWrap/>
            <w:vAlign w:val="center"/>
            <w:hideMark/>
          </w:tcPr>
          <w:p w:rsidR="007547D4" w:rsidRPr="006F2BD9" w:rsidRDefault="007547D4" w:rsidP="00031B92">
            <w:pPr>
              <w:spacing w:after="0" w:line="240" w:lineRule="auto"/>
              <w:jc w:val="center"/>
              <w:rPr>
                <w:rFonts w:eastAsia="Times New Roman" w:cs="Arial"/>
                <w:lang w:eastAsia="en-GB"/>
              </w:rPr>
            </w:pPr>
            <w:r w:rsidRPr="006F2BD9">
              <w:rPr>
                <w:rFonts w:eastAsia="Times New Roman" w:cs="Arial"/>
                <w:lang w:eastAsia="en-GB"/>
              </w:rPr>
              <w:t>2,580,500</w:t>
            </w:r>
          </w:p>
        </w:tc>
        <w:tc>
          <w:tcPr>
            <w:tcW w:w="900" w:type="dxa"/>
            <w:tcBorders>
              <w:top w:val="nil"/>
              <w:left w:val="nil"/>
              <w:bottom w:val="single" w:sz="4" w:space="0" w:color="auto"/>
              <w:right w:val="single" w:sz="4" w:space="0" w:color="auto"/>
            </w:tcBorders>
            <w:shd w:val="clear" w:color="auto" w:fill="auto"/>
            <w:noWrap/>
            <w:vAlign w:val="center"/>
            <w:hideMark/>
          </w:tcPr>
          <w:p w:rsidR="007547D4" w:rsidRPr="006F2BD9" w:rsidRDefault="007547D4" w:rsidP="00031B92">
            <w:pPr>
              <w:spacing w:after="0" w:line="240" w:lineRule="auto"/>
              <w:jc w:val="center"/>
              <w:rPr>
                <w:rFonts w:eastAsia="Times New Roman" w:cs="Arial"/>
                <w:lang w:eastAsia="en-GB"/>
              </w:rPr>
            </w:pPr>
            <w:r w:rsidRPr="006F2BD9">
              <w:rPr>
                <w:rFonts w:eastAsia="Times New Roman" w:cs="Arial"/>
                <w:lang w:eastAsia="en-GB"/>
              </w:rPr>
              <w:t>77.1%</w:t>
            </w:r>
          </w:p>
        </w:tc>
        <w:tc>
          <w:tcPr>
            <w:tcW w:w="1368" w:type="dxa"/>
            <w:tcBorders>
              <w:top w:val="nil"/>
              <w:left w:val="nil"/>
              <w:bottom w:val="single" w:sz="4" w:space="0" w:color="auto"/>
              <w:right w:val="single" w:sz="4" w:space="0" w:color="auto"/>
            </w:tcBorders>
            <w:shd w:val="clear" w:color="auto" w:fill="auto"/>
            <w:noWrap/>
            <w:vAlign w:val="center"/>
            <w:hideMark/>
          </w:tcPr>
          <w:p w:rsidR="007547D4" w:rsidRPr="006F2BD9" w:rsidRDefault="007547D4" w:rsidP="00031B92">
            <w:pPr>
              <w:spacing w:after="0" w:line="240" w:lineRule="auto"/>
              <w:jc w:val="center"/>
              <w:rPr>
                <w:rFonts w:eastAsia="Times New Roman" w:cs="Arial"/>
                <w:lang w:eastAsia="en-GB"/>
              </w:rPr>
            </w:pPr>
            <w:r w:rsidRPr="006F2BD9">
              <w:rPr>
                <w:rFonts w:eastAsia="Times New Roman" w:cs="Arial"/>
                <w:lang w:eastAsia="en-GB"/>
              </w:rPr>
              <w:t>31,349,500</w:t>
            </w:r>
          </w:p>
        </w:tc>
        <w:tc>
          <w:tcPr>
            <w:tcW w:w="851"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Arial"/>
                <w:lang w:eastAsia="en-GB"/>
              </w:rPr>
            </w:pPr>
            <w:r w:rsidRPr="006F2BD9">
              <w:rPr>
                <w:rFonts w:eastAsia="Times New Roman" w:cs="Arial"/>
                <w:lang w:eastAsia="en-GB"/>
              </w:rPr>
              <w:t>77.2%</w:t>
            </w:r>
          </w:p>
        </w:tc>
      </w:tr>
      <w:tr w:rsidR="007547D4" w:rsidRPr="006F2BD9" w:rsidTr="00031B92">
        <w:trPr>
          <w:trHeight w:val="255"/>
        </w:trPr>
        <w:tc>
          <w:tcPr>
            <w:tcW w:w="2579" w:type="dxa"/>
            <w:tcBorders>
              <w:top w:val="nil"/>
              <w:left w:val="single" w:sz="4" w:space="0" w:color="auto"/>
              <w:bottom w:val="single" w:sz="4" w:space="0" w:color="auto"/>
              <w:right w:val="single" w:sz="4" w:space="0" w:color="auto"/>
            </w:tcBorders>
            <w:shd w:val="clear" w:color="auto" w:fill="auto"/>
            <w:noWrap/>
            <w:vAlign w:val="center"/>
            <w:hideMark/>
          </w:tcPr>
          <w:p w:rsidR="007547D4" w:rsidRPr="006F2BD9" w:rsidRDefault="007547D4" w:rsidP="00031B92">
            <w:pPr>
              <w:spacing w:after="0" w:line="240" w:lineRule="auto"/>
              <w:jc w:val="both"/>
              <w:rPr>
                <w:rFonts w:eastAsia="Times New Roman" w:cs="Arial"/>
                <w:lang w:eastAsia="en-GB"/>
              </w:rPr>
            </w:pPr>
            <w:r w:rsidRPr="006F2BD9">
              <w:rPr>
                <w:rFonts w:eastAsia="Times New Roman" w:cs="Arial"/>
                <w:lang w:eastAsia="en-GB"/>
              </w:rPr>
              <w:t>In employment</w:t>
            </w:r>
          </w:p>
        </w:tc>
        <w:tc>
          <w:tcPr>
            <w:tcW w:w="1120" w:type="dxa"/>
            <w:tcBorders>
              <w:top w:val="nil"/>
              <w:left w:val="nil"/>
              <w:bottom w:val="single" w:sz="4" w:space="0" w:color="auto"/>
              <w:right w:val="single" w:sz="4" w:space="0" w:color="auto"/>
            </w:tcBorders>
            <w:shd w:val="clear" w:color="auto" w:fill="auto"/>
            <w:noWrap/>
            <w:vAlign w:val="center"/>
            <w:hideMark/>
          </w:tcPr>
          <w:p w:rsidR="007547D4" w:rsidRPr="006F2BD9" w:rsidRDefault="007547D4" w:rsidP="00031B92">
            <w:pPr>
              <w:spacing w:after="0" w:line="240" w:lineRule="auto"/>
              <w:jc w:val="center"/>
              <w:rPr>
                <w:rFonts w:eastAsia="Times New Roman" w:cs="Arial"/>
                <w:lang w:eastAsia="en-GB"/>
              </w:rPr>
            </w:pPr>
            <w:r w:rsidRPr="006F2BD9">
              <w:rPr>
                <w:rFonts w:eastAsia="Times New Roman" w:cs="Arial"/>
                <w:lang w:eastAsia="en-GB"/>
              </w:rPr>
              <w:t>167,935</w:t>
            </w:r>
          </w:p>
        </w:tc>
        <w:tc>
          <w:tcPr>
            <w:tcW w:w="764" w:type="dxa"/>
            <w:tcBorders>
              <w:top w:val="nil"/>
              <w:left w:val="nil"/>
              <w:bottom w:val="single" w:sz="4" w:space="0" w:color="auto"/>
              <w:right w:val="single" w:sz="4" w:space="0" w:color="auto"/>
            </w:tcBorders>
            <w:shd w:val="clear" w:color="auto" w:fill="auto"/>
            <w:noWrap/>
            <w:vAlign w:val="center"/>
            <w:hideMark/>
          </w:tcPr>
          <w:p w:rsidR="007547D4" w:rsidRPr="006F2BD9" w:rsidRDefault="007547D4" w:rsidP="00031B92">
            <w:pPr>
              <w:spacing w:after="0" w:line="240" w:lineRule="auto"/>
              <w:jc w:val="center"/>
              <w:rPr>
                <w:rFonts w:eastAsia="Times New Roman" w:cs="Arial"/>
                <w:lang w:eastAsia="en-GB"/>
              </w:rPr>
            </w:pPr>
            <w:r w:rsidRPr="006F2BD9">
              <w:rPr>
                <w:rFonts w:eastAsia="Times New Roman" w:cs="Arial"/>
                <w:lang w:eastAsia="en-GB"/>
              </w:rPr>
              <w:t>70.9%</w:t>
            </w:r>
          </w:p>
        </w:tc>
        <w:tc>
          <w:tcPr>
            <w:tcW w:w="1364" w:type="dxa"/>
            <w:tcBorders>
              <w:top w:val="nil"/>
              <w:left w:val="nil"/>
              <w:bottom w:val="single" w:sz="4" w:space="0" w:color="auto"/>
              <w:right w:val="single" w:sz="4" w:space="0" w:color="auto"/>
            </w:tcBorders>
            <w:shd w:val="clear" w:color="auto" w:fill="auto"/>
            <w:noWrap/>
            <w:vAlign w:val="center"/>
            <w:hideMark/>
          </w:tcPr>
          <w:p w:rsidR="007547D4" w:rsidRPr="006F2BD9" w:rsidRDefault="007547D4" w:rsidP="00031B92">
            <w:pPr>
              <w:spacing w:after="0" w:line="240" w:lineRule="auto"/>
              <w:jc w:val="center"/>
              <w:rPr>
                <w:rFonts w:eastAsia="Times New Roman" w:cs="Arial"/>
                <w:lang w:eastAsia="en-GB"/>
              </w:rPr>
            </w:pPr>
            <w:r w:rsidRPr="006F2BD9">
              <w:rPr>
                <w:rFonts w:eastAsia="Times New Roman" w:cs="Arial"/>
                <w:lang w:eastAsia="en-GB"/>
              </w:rPr>
              <w:t>2,393,800</w:t>
            </w:r>
          </w:p>
        </w:tc>
        <w:tc>
          <w:tcPr>
            <w:tcW w:w="900" w:type="dxa"/>
            <w:tcBorders>
              <w:top w:val="nil"/>
              <w:left w:val="nil"/>
              <w:bottom w:val="single" w:sz="4" w:space="0" w:color="auto"/>
              <w:right w:val="single" w:sz="4" w:space="0" w:color="auto"/>
            </w:tcBorders>
            <w:shd w:val="clear" w:color="auto" w:fill="auto"/>
            <w:noWrap/>
            <w:vAlign w:val="center"/>
            <w:hideMark/>
          </w:tcPr>
          <w:p w:rsidR="007547D4" w:rsidRPr="006F2BD9" w:rsidRDefault="007547D4" w:rsidP="00031B92">
            <w:pPr>
              <w:spacing w:after="0" w:line="240" w:lineRule="auto"/>
              <w:jc w:val="center"/>
              <w:rPr>
                <w:rFonts w:eastAsia="Times New Roman" w:cs="Arial"/>
                <w:lang w:eastAsia="en-GB"/>
              </w:rPr>
            </w:pPr>
            <w:r w:rsidRPr="006F2BD9">
              <w:rPr>
                <w:rFonts w:eastAsia="Times New Roman" w:cs="Arial"/>
                <w:lang w:eastAsia="en-GB"/>
              </w:rPr>
              <w:t>71.5%</w:t>
            </w:r>
          </w:p>
        </w:tc>
        <w:tc>
          <w:tcPr>
            <w:tcW w:w="1368" w:type="dxa"/>
            <w:tcBorders>
              <w:top w:val="nil"/>
              <w:left w:val="nil"/>
              <w:bottom w:val="single" w:sz="4" w:space="0" w:color="auto"/>
              <w:right w:val="single" w:sz="4" w:space="0" w:color="auto"/>
            </w:tcBorders>
            <w:shd w:val="clear" w:color="auto" w:fill="auto"/>
            <w:noWrap/>
            <w:vAlign w:val="center"/>
            <w:hideMark/>
          </w:tcPr>
          <w:p w:rsidR="007547D4" w:rsidRPr="006F2BD9" w:rsidRDefault="007547D4" w:rsidP="00031B92">
            <w:pPr>
              <w:spacing w:after="0" w:line="240" w:lineRule="auto"/>
              <w:jc w:val="center"/>
              <w:rPr>
                <w:rFonts w:eastAsia="Times New Roman" w:cs="Arial"/>
                <w:lang w:eastAsia="en-GB"/>
              </w:rPr>
            </w:pPr>
            <w:r w:rsidRPr="006F2BD9">
              <w:rPr>
                <w:rFonts w:eastAsia="Times New Roman" w:cs="Arial"/>
                <w:lang w:eastAsia="en-GB"/>
              </w:rPr>
              <w:t>29,261,400</w:t>
            </w:r>
          </w:p>
        </w:tc>
        <w:tc>
          <w:tcPr>
            <w:tcW w:w="851"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Arial"/>
                <w:lang w:eastAsia="en-GB"/>
              </w:rPr>
            </w:pPr>
            <w:r w:rsidRPr="006F2BD9">
              <w:rPr>
                <w:rFonts w:eastAsia="Times New Roman" w:cs="Arial"/>
                <w:lang w:eastAsia="en-GB"/>
              </w:rPr>
              <w:t>72.1%</w:t>
            </w:r>
          </w:p>
        </w:tc>
      </w:tr>
      <w:tr w:rsidR="007547D4" w:rsidRPr="006F2BD9" w:rsidTr="00031B92">
        <w:trPr>
          <w:trHeight w:val="255"/>
        </w:trPr>
        <w:tc>
          <w:tcPr>
            <w:tcW w:w="2579" w:type="dxa"/>
            <w:tcBorders>
              <w:top w:val="nil"/>
              <w:left w:val="single" w:sz="4" w:space="0" w:color="auto"/>
              <w:bottom w:val="single" w:sz="4" w:space="0" w:color="auto"/>
              <w:right w:val="single" w:sz="4" w:space="0" w:color="auto"/>
            </w:tcBorders>
            <w:shd w:val="clear" w:color="auto" w:fill="auto"/>
            <w:noWrap/>
            <w:vAlign w:val="center"/>
            <w:hideMark/>
          </w:tcPr>
          <w:p w:rsidR="007547D4" w:rsidRPr="006F2BD9" w:rsidRDefault="007547D4" w:rsidP="00031B92">
            <w:pPr>
              <w:spacing w:after="0" w:line="240" w:lineRule="auto"/>
              <w:jc w:val="both"/>
              <w:rPr>
                <w:rFonts w:eastAsia="Times New Roman" w:cs="Arial"/>
                <w:lang w:eastAsia="en-GB"/>
              </w:rPr>
            </w:pPr>
            <w:r w:rsidRPr="006F2BD9">
              <w:rPr>
                <w:rFonts w:eastAsia="Times New Roman" w:cs="Arial"/>
                <w:lang w:eastAsia="en-GB"/>
              </w:rPr>
              <w:t>Employees</w:t>
            </w:r>
          </w:p>
        </w:tc>
        <w:tc>
          <w:tcPr>
            <w:tcW w:w="1120" w:type="dxa"/>
            <w:tcBorders>
              <w:top w:val="nil"/>
              <w:left w:val="nil"/>
              <w:bottom w:val="single" w:sz="4" w:space="0" w:color="auto"/>
              <w:right w:val="single" w:sz="4" w:space="0" w:color="auto"/>
            </w:tcBorders>
            <w:shd w:val="clear" w:color="auto" w:fill="auto"/>
            <w:noWrap/>
            <w:vAlign w:val="center"/>
            <w:hideMark/>
          </w:tcPr>
          <w:p w:rsidR="007547D4" w:rsidRPr="006F2BD9" w:rsidRDefault="007547D4" w:rsidP="00031B92">
            <w:pPr>
              <w:spacing w:after="0" w:line="240" w:lineRule="auto"/>
              <w:jc w:val="center"/>
              <w:rPr>
                <w:rFonts w:eastAsia="Times New Roman" w:cs="Arial"/>
                <w:lang w:eastAsia="en-GB"/>
              </w:rPr>
            </w:pPr>
            <w:r w:rsidRPr="006F2BD9">
              <w:rPr>
                <w:rFonts w:eastAsia="Times New Roman" w:cs="Arial"/>
                <w:lang w:eastAsia="en-GB"/>
              </w:rPr>
              <w:t>121,510</w:t>
            </w:r>
          </w:p>
        </w:tc>
        <w:tc>
          <w:tcPr>
            <w:tcW w:w="764" w:type="dxa"/>
            <w:tcBorders>
              <w:top w:val="nil"/>
              <w:left w:val="nil"/>
              <w:bottom w:val="single" w:sz="4" w:space="0" w:color="auto"/>
              <w:right w:val="single" w:sz="4" w:space="0" w:color="auto"/>
            </w:tcBorders>
            <w:shd w:val="clear" w:color="auto" w:fill="auto"/>
            <w:noWrap/>
            <w:vAlign w:val="center"/>
            <w:hideMark/>
          </w:tcPr>
          <w:p w:rsidR="007547D4" w:rsidRPr="006F2BD9" w:rsidRDefault="007547D4" w:rsidP="00031B92">
            <w:pPr>
              <w:spacing w:after="0" w:line="240" w:lineRule="auto"/>
              <w:jc w:val="center"/>
              <w:rPr>
                <w:rFonts w:eastAsia="Times New Roman" w:cs="Arial"/>
                <w:lang w:eastAsia="en-GB"/>
              </w:rPr>
            </w:pPr>
            <w:r w:rsidRPr="006F2BD9">
              <w:rPr>
                <w:rFonts w:eastAsia="Times New Roman" w:cs="Arial"/>
                <w:lang w:eastAsia="en-GB"/>
              </w:rPr>
              <w:t>51.3%</w:t>
            </w:r>
          </w:p>
        </w:tc>
        <w:tc>
          <w:tcPr>
            <w:tcW w:w="1364" w:type="dxa"/>
            <w:tcBorders>
              <w:top w:val="nil"/>
              <w:left w:val="nil"/>
              <w:bottom w:val="single" w:sz="4" w:space="0" w:color="auto"/>
              <w:right w:val="single" w:sz="4" w:space="0" w:color="auto"/>
            </w:tcBorders>
            <w:shd w:val="clear" w:color="auto" w:fill="auto"/>
            <w:noWrap/>
            <w:vAlign w:val="center"/>
            <w:hideMark/>
          </w:tcPr>
          <w:p w:rsidR="007547D4" w:rsidRPr="006F2BD9" w:rsidRDefault="007547D4" w:rsidP="00031B92">
            <w:pPr>
              <w:spacing w:after="0" w:line="240" w:lineRule="auto"/>
              <w:jc w:val="center"/>
              <w:rPr>
                <w:rFonts w:eastAsia="Times New Roman" w:cs="Arial"/>
                <w:lang w:eastAsia="en-GB"/>
              </w:rPr>
            </w:pPr>
            <w:r w:rsidRPr="006F2BD9">
              <w:rPr>
                <w:rFonts w:eastAsia="Times New Roman" w:cs="Arial"/>
                <w:lang w:eastAsia="en-GB"/>
              </w:rPr>
              <w:t>1,967,300</w:t>
            </w:r>
          </w:p>
        </w:tc>
        <w:tc>
          <w:tcPr>
            <w:tcW w:w="900" w:type="dxa"/>
            <w:tcBorders>
              <w:top w:val="nil"/>
              <w:left w:val="nil"/>
              <w:bottom w:val="single" w:sz="4" w:space="0" w:color="auto"/>
              <w:right w:val="single" w:sz="4" w:space="0" w:color="auto"/>
            </w:tcBorders>
            <w:shd w:val="clear" w:color="auto" w:fill="auto"/>
            <w:noWrap/>
            <w:vAlign w:val="center"/>
            <w:hideMark/>
          </w:tcPr>
          <w:p w:rsidR="007547D4" w:rsidRPr="006F2BD9" w:rsidRDefault="007547D4" w:rsidP="00031B92">
            <w:pPr>
              <w:spacing w:after="0" w:line="240" w:lineRule="auto"/>
              <w:jc w:val="center"/>
              <w:rPr>
                <w:rFonts w:eastAsia="Times New Roman" w:cs="Arial"/>
                <w:lang w:eastAsia="en-GB"/>
              </w:rPr>
            </w:pPr>
            <w:r w:rsidRPr="006F2BD9">
              <w:rPr>
                <w:rFonts w:eastAsia="Times New Roman" w:cs="Arial"/>
                <w:lang w:eastAsia="en-GB"/>
              </w:rPr>
              <w:t>58.8%</w:t>
            </w:r>
          </w:p>
        </w:tc>
        <w:tc>
          <w:tcPr>
            <w:tcW w:w="1368" w:type="dxa"/>
            <w:tcBorders>
              <w:top w:val="nil"/>
              <w:left w:val="nil"/>
              <w:bottom w:val="single" w:sz="4" w:space="0" w:color="auto"/>
              <w:right w:val="single" w:sz="4" w:space="0" w:color="auto"/>
            </w:tcBorders>
            <w:shd w:val="clear" w:color="auto" w:fill="auto"/>
            <w:noWrap/>
            <w:vAlign w:val="center"/>
            <w:hideMark/>
          </w:tcPr>
          <w:p w:rsidR="007547D4" w:rsidRPr="006F2BD9" w:rsidRDefault="007547D4" w:rsidP="00031B92">
            <w:pPr>
              <w:spacing w:after="0" w:line="240" w:lineRule="auto"/>
              <w:jc w:val="center"/>
              <w:rPr>
                <w:rFonts w:eastAsia="Times New Roman" w:cs="Arial"/>
                <w:lang w:eastAsia="en-GB"/>
              </w:rPr>
            </w:pPr>
            <w:r w:rsidRPr="006F2BD9">
              <w:rPr>
                <w:rFonts w:eastAsia="Times New Roman" w:cs="Arial"/>
                <w:lang w:eastAsia="en-GB"/>
              </w:rPr>
              <w:t>25,005,300</w:t>
            </w:r>
          </w:p>
        </w:tc>
        <w:tc>
          <w:tcPr>
            <w:tcW w:w="851"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Arial"/>
                <w:lang w:eastAsia="en-GB"/>
              </w:rPr>
            </w:pPr>
            <w:r w:rsidRPr="006F2BD9">
              <w:rPr>
                <w:rFonts w:eastAsia="Times New Roman" w:cs="Arial"/>
                <w:lang w:eastAsia="en-GB"/>
              </w:rPr>
              <w:t>61.6%</w:t>
            </w:r>
          </w:p>
        </w:tc>
      </w:tr>
      <w:tr w:rsidR="007547D4" w:rsidRPr="006F2BD9" w:rsidTr="00031B92">
        <w:trPr>
          <w:trHeight w:val="255"/>
        </w:trPr>
        <w:tc>
          <w:tcPr>
            <w:tcW w:w="2579" w:type="dxa"/>
            <w:tcBorders>
              <w:top w:val="nil"/>
              <w:left w:val="single" w:sz="4" w:space="0" w:color="auto"/>
              <w:bottom w:val="single" w:sz="4" w:space="0" w:color="auto"/>
              <w:right w:val="single" w:sz="4" w:space="0" w:color="auto"/>
            </w:tcBorders>
            <w:shd w:val="clear" w:color="auto" w:fill="auto"/>
            <w:noWrap/>
            <w:vAlign w:val="center"/>
            <w:hideMark/>
          </w:tcPr>
          <w:p w:rsidR="007547D4" w:rsidRPr="006F2BD9" w:rsidRDefault="007547D4" w:rsidP="00031B92">
            <w:pPr>
              <w:spacing w:after="0" w:line="240" w:lineRule="auto"/>
              <w:jc w:val="both"/>
              <w:rPr>
                <w:rFonts w:eastAsia="Times New Roman" w:cs="Arial"/>
                <w:lang w:eastAsia="en-GB"/>
              </w:rPr>
            </w:pPr>
            <w:r w:rsidRPr="006F2BD9">
              <w:rPr>
                <w:rFonts w:eastAsia="Times New Roman" w:cs="Arial"/>
                <w:lang w:eastAsia="en-GB"/>
              </w:rPr>
              <w:t>Self-employed</w:t>
            </w:r>
          </w:p>
        </w:tc>
        <w:tc>
          <w:tcPr>
            <w:tcW w:w="1120" w:type="dxa"/>
            <w:tcBorders>
              <w:top w:val="nil"/>
              <w:left w:val="nil"/>
              <w:bottom w:val="single" w:sz="4" w:space="0" w:color="auto"/>
              <w:right w:val="single" w:sz="4" w:space="0" w:color="auto"/>
            </w:tcBorders>
            <w:shd w:val="clear" w:color="auto" w:fill="auto"/>
            <w:noWrap/>
            <w:vAlign w:val="center"/>
            <w:hideMark/>
          </w:tcPr>
          <w:p w:rsidR="007547D4" w:rsidRPr="006F2BD9" w:rsidRDefault="007547D4" w:rsidP="00031B92">
            <w:pPr>
              <w:spacing w:after="0" w:line="240" w:lineRule="auto"/>
              <w:jc w:val="center"/>
              <w:rPr>
                <w:rFonts w:eastAsia="Times New Roman" w:cs="Arial"/>
                <w:lang w:eastAsia="en-GB"/>
              </w:rPr>
            </w:pPr>
            <w:r w:rsidRPr="006F2BD9">
              <w:rPr>
                <w:rFonts w:eastAsia="Times New Roman" w:cs="Arial"/>
                <w:lang w:eastAsia="en-GB"/>
              </w:rPr>
              <w:t>45,004</w:t>
            </w:r>
          </w:p>
        </w:tc>
        <w:tc>
          <w:tcPr>
            <w:tcW w:w="764" w:type="dxa"/>
            <w:tcBorders>
              <w:top w:val="nil"/>
              <w:left w:val="nil"/>
              <w:bottom w:val="single" w:sz="4" w:space="0" w:color="auto"/>
              <w:right w:val="single" w:sz="4" w:space="0" w:color="auto"/>
            </w:tcBorders>
            <w:shd w:val="clear" w:color="auto" w:fill="auto"/>
            <w:noWrap/>
            <w:vAlign w:val="center"/>
            <w:hideMark/>
          </w:tcPr>
          <w:p w:rsidR="007547D4" w:rsidRPr="006F2BD9" w:rsidRDefault="007547D4" w:rsidP="00031B92">
            <w:pPr>
              <w:spacing w:after="0" w:line="240" w:lineRule="auto"/>
              <w:jc w:val="center"/>
              <w:rPr>
                <w:rFonts w:eastAsia="Times New Roman" w:cs="Arial"/>
                <w:lang w:eastAsia="en-GB"/>
              </w:rPr>
            </w:pPr>
            <w:r w:rsidRPr="006F2BD9">
              <w:rPr>
                <w:rFonts w:eastAsia="Times New Roman" w:cs="Arial"/>
                <w:lang w:eastAsia="en-GB"/>
              </w:rPr>
              <w:t>19.0%</w:t>
            </w:r>
          </w:p>
        </w:tc>
        <w:tc>
          <w:tcPr>
            <w:tcW w:w="1364" w:type="dxa"/>
            <w:tcBorders>
              <w:top w:val="nil"/>
              <w:left w:val="nil"/>
              <w:bottom w:val="single" w:sz="4" w:space="0" w:color="auto"/>
              <w:right w:val="single" w:sz="4" w:space="0" w:color="auto"/>
            </w:tcBorders>
            <w:shd w:val="clear" w:color="auto" w:fill="auto"/>
            <w:noWrap/>
            <w:vAlign w:val="center"/>
            <w:hideMark/>
          </w:tcPr>
          <w:p w:rsidR="007547D4" w:rsidRPr="006F2BD9" w:rsidRDefault="007547D4" w:rsidP="00031B92">
            <w:pPr>
              <w:spacing w:after="0" w:line="240" w:lineRule="auto"/>
              <w:jc w:val="center"/>
              <w:rPr>
                <w:rFonts w:eastAsia="Times New Roman" w:cs="Arial"/>
                <w:lang w:eastAsia="en-GB"/>
              </w:rPr>
            </w:pPr>
            <w:r w:rsidRPr="006F2BD9">
              <w:rPr>
                <w:rFonts w:eastAsia="Times New Roman" w:cs="Arial"/>
                <w:lang w:eastAsia="en-GB"/>
              </w:rPr>
              <w:t>412,700</w:t>
            </w:r>
          </w:p>
        </w:tc>
        <w:tc>
          <w:tcPr>
            <w:tcW w:w="900" w:type="dxa"/>
            <w:tcBorders>
              <w:top w:val="nil"/>
              <w:left w:val="nil"/>
              <w:bottom w:val="single" w:sz="4" w:space="0" w:color="auto"/>
              <w:right w:val="single" w:sz="4" w:space="0" w:color="auto"/>
            </w:tcBorders>
            <w:shd w:val="clear" w:color="auto" w:fill="auto"/>
            <w:noWrap/>
            <w:vAlign w:val="center"/>
            <w:hideMark/>
          </w:tcPr>
          <w:p w:rsidR="007547D4" w:rsidRPr="006F2BD9" w:rsidRDefault="007547D4" w:rsidP="00031B92">
            <w:pPr>
              <w:spacing w:after="0" w:line="240" w:lineRule="auto"/>
              <w:jc w:val="center"/>
              <w:rPr>
                <w:rFonts w:eastAsia="Times New Roman" w:cs="Arial"/>
                <w:lang w:eastAsia="en-GB"/>
              </w:rPr>
            </w:pPr>
            <w:r w:rsidRPr="006F2BD9">
              <w:rPr>
                <w:rFonts w:eastAsia="Times New Roman" w:cs="Arial"/>
                <w:lang w:eastAsia="en-GB"/>
              </w:rPr>
              <w:t>12.3%</w:t>
            </w:r>
          </w:p>
        </w:tc>
        <w:tc>
          <w:tcPr>
            <w:tcW w:w="1368" w:type="dxa"/>
            <w:tcBorders>
              <w:top w:val="nil"/>
              <w:left w:val="nil"/>
              <w:bottom w:val="single" w:sz="4" w:space="0" w:color="auto"/>
              <w:right w:val="single" w:sz="4" w:space="0" w:color="auto"/>
            </w:tcBorders>
            <w:shd w:val="clear" w:color="auto" w:fill="auto"/>
            <w:noWrap/>
            <w:vAlign w:val="center"/>
            <w:hideMark/>
          </w:tcPr>
          <w:p w:rsidR="007547D4" w:rsidRPr="006F2BD9" w:rsidRDefault="007547D4" w:rsidP="00031B92">
            <w:pPr>
              <w:spacing w:after="0" w:line="240" w:lineRule="auto"/>
              <w:jc w:val="center"/>
              <w:rPr>
                <w:rFonts w:eastAsia="Times New Roman" w:cs="Arial"/>
                <w:lang w:eastAsia="en-GB"/>
              </w:rPr>
            </w:pPr>
            <w:r w:rsidRPr="006F2BD9">
              <w:rPr>
                <w:rFonts w:eastAsia="Times New Roman" w:cs="Arial"/>
                <w:lang w:eastAsia="en-GB"/>
              </w:rPr>
              <w:t>4,054,500</w:t>
            </w:r>
          </w:p>
        </w:tc>
        <w:tc>
          <w:tcPr>
            <w:tcW w:w="851"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Arial"/>
                <w:lang w:eastAsia="en-GB"/>
              </w:rPr>
            </w:pPr>
            <w:r w:rsidRPr="006F2BD9">
              <w:rPr>
                <w:rFonts w:eastAsia="Times New Roman" w:cs="Arial"/>
                <w:lang w:eastAsia="en-GB"/>
              </w:rPr>
              <w:t>10.0%</w:t>
            </w:r>
          </w:p>
        </w:tc>
      </w:tr>
    </w:tbl>
    <w:p w:rsidR="007547D4" w:rsidRDefault="007547D4" w:rsidP="007547D4">
      <w:pPr>
        <w:spacing w:after="0" w:line="240" w:lineRule="auto"/>
        <w:jc w:val="both"/>
        <w:rPr>
          <w:rFonts w:cs="Arial"/>
        </w:rPr>
      </w:pPr>
      <w:r w:rsidRPr="006F2BD9">
        <w:rPr>
          <w:rFonts w:cs="Arial"/>
        </w:rPr>
        <w:t>Source: Labour Market Profile Nomis</w:t>
      </w:r>
      <w:r>
        <w:rPr>
          <w:rFonts w:cs="Arial"/>
        </w:rPr>
        <w:t>, 2015</w:t>
      </w:r>
    </w:p>
    <w:p w:rsidR="007547D4" w:rsidRPr="006F2BD9" w:rsidRDefault="007547D4" w:rsidP="007547D4">
      <w:pPr>
        <w:spacing w:after="0" w:line="240" w:lineRule="auto"/>
        <w:jc w:val="both"/>
        <w:rPr>
          <w:rFonts w:cs="Arial"/>
        </w:rPr>
      </w:pPr>
    </w:p>
    <w:p w:rsidR="007547D4" w:rsidRPr="006F2BD9" w:rsidRDefault="007547D4" w:rsidP="007547D4">
      <w:pPr>
        <w:pStyle w:val="ListParagraph"/>
        <w:numPr>
          <w:ilvl w:val="0"/>
          <w:numId w:val="24"/>
        </w:numPr>
        <w:jc w:val="both"/>
        <w:rPr>
          <w:rFonts w:cs="Arial"/>
        </w:rPr>
      </w:pPr>
      <w:r w:rsidRPr="006F2BD9">
        <w:rPr>
          <w:rFonts w:cs="Arial"/>
        </w:rPr>
        <w:t xml:space="preserve">By Ward in 2011, the highest rates of employment were located within East Finchley (74.9%); High Barnet (74.5%) and West Finchley (74.2%). </w:t>
      </w:r>
    </w:p>
    <w:p w:rsidR="007547D4" w:rsidRPr="006F2BD9" w:rsidRDefault="007547D4" w:rsidP="007547D4">
      <w:pPr>
        <w:pStyle w:val="ListParagraph"/>
        <w:numPr>
          <w:ilvl w:val="0"/>
          <w:numId w:val="24"/>
        </w:numPr>
        <w:jc w:val="both"/>
        <w:rPr>
          <w:rFonts w:cs="Arial"/>
        </w:rPr>
      </w:pPr>
      <w:r w:rsidRPr="006F2BD9">
        <w:rPr>
          <w:rFonts w:cs="Arial"/>
        </w:rPr>
        <w:t>Whereas, t</w:t>
      </w:r>
      <w:r>
        <w:rPr>
          <w:rFonts w:cs="Arial"/>
        </w:rPr>
        <w:t>he lowest employment levels are</w:t>
      </w:r>
      <w:r w:rsidRPr="006F2BD9">
        <w:rPr>
          <w:rFonts w:cs="Arial"/>
        </w:rPr>
        <w:t xml:space="preserve"> generally located in t</w:t>
      </w:r>
      <w:r>
        <w:rPr>
          <w:rFonts w:cs="Arial"/>
        </w:rPr>
        <w:t>he West of the Borough, with</w:t>
      </w:r>
      <w:r w:rsidRPr="006F2BD9">
        <w:rPr>
          <w:rFonts w:cs="Arial"/>
        </w:rPr>
        <w:t xml:space="preserve"> Colindale (61.9%) and Burnt Oak (63.7%), having the lowest employment rates.</w:t>
      </w:r>
    </w:p>
    <w:p w:rsidR="007547D4" w:rsidRPr="006F2BD9" w:rsidRDefault="007547D4" w:rsidP="007547D4">
      <w:pPr>
        <w:pStyle w:val="Heading2"/>
        <w:numPr>
          <w:ilvl w:val="1"/>
          <w:numId w:val="138"/>
        </w:numPr>
      </w:pPr>
      <w:bookmarkStart w:id="547" w:name="_Toc426723317"/>
      <w:bookmarkStart w:id="548" w:name="_Toc431225144"/>
      <w:r w:rsidRPr="006F2BD9">
        <w:t>Unemployment</w:t>
      </w:r>
      <w:bookmarkEnd w:id="547"/>
      <w:bookmarkEnd w:id="548"/>
    </w:p>
    <w:p w:rsidR="007547D4" w:rsidRPr="006F2BD9" w:rsidRDefault="007547D4" w:rsidP="007547D4">
      <w:pPr>
        <w:jc w:val="both"/>
      </w:pPr>
      <w:r w:rsidRPr="006F2BD9">
        <w:t xml:space="preserve">Following the recession, unemployment rates </w:t>
      </w:r>
      <w:r>
        <w:t xml:space="preserve">for </w:t>
      </w:r>
      <w:r w:rsidRPr="006F2BD9">
        <w:t>within Barnet raised from 5.0% in 2008 to 9.3% in 2012</w:t>
      </w:r>
      <w:r>
        <w:rPr>
          <w:rStyle w:val="FootnoteReference"/>
        </w:rPr>
        <w:footnoteReference w:id="18"/>
      </w:r>
      <w:r w:rsidRPr="006F2BD9">
        <w:t>.</w:t>
      </w:r>
      <w:r>
        <w:t xml:space="preserve"> </w:t>
      </w:r>
      <w:r w:rsidRPr="006F2BD9">
        <w:t>However</w:t>
      </w:r>
      <w:r>
        <w:t>,</w:t>
      </w:r>
      <w:r w:rsidRPr="006F2BD9">
        <w:t xml:space="preserve"> since this time, </w:t>
      </w:r>
      <w:r>
        <w:t xml:space="preserve">the </w:t>
      </w:r>
      <w:r w:rsidR="00DD3A76">
        <w:t>unemployment</w:t>
      </w:r>
      <w:r w:rsidR="00DD3A76" w:rsidRPr="006F2BD9">
        <w:t xml:space="preserve"> has</w:t>
      </w:r>
      <w:r w:rsidRPr="006F2BD9">
        <w:t xml:space="preserve"> begun to reduce with </w:t>
      </w:r>
      <w:r w:rsidR="00DD3A76">
        <w:t>a rate</w:t>
      </w:r>
      <w:r>
        <w:t xml:space="preserve"> of 5.0</w:t>
      </w:r>
      <w:r w:rsidRPr="006F2BD9">
        <w:t>%</w:t>
      </w:r>
      <w:r>
        <w:t xml:space="preserve"> in September 2014</w:t>
      </w:r>
      <w:r w:rsidRPr="006F2BD9">
        <w:t>. In line with national trends</w:t>
      </w:r>
      <w:r>
        <w:t>,</w:t>
      </w:r>
      <w:r w:rsidRPr="006F2BD9">
        <w:t xml:space="preserve"> the highest rate of unemployment (11.9%) i</w:t>
      </w:r>
      <w:r>
        <w:t xml:space="preserve">s within the 16-24 age </w:t>
      </w:r>
      <w:proofErr w:type="gramStart"/>
      <w:r>
        <w:t>group</w:t>
      </w:r>
      <w:proofErr w:type="gramEnd"/>
      <w:r>
        <w:t>, although this</w:t>
      </w:r>
      <w:r w:rsidRPr="006F2BD9">
        <w:t xml:space="preserve"> is </w:t>
      </w:r>
      <w:r>
        <w:t>b</w:t>
      </w:r>
      <w:r w:rsidRPr="006F2BD9">
        <w:t xml:space="preserve">elow the Outer London rate of 20.4% and the UK rate of 17.5%. </w:t>
      </w:r>
    </w:p>
    <w:p w:rsidR="007547D4" w:rsidRPr="009316C1" w:rsidRDefault="007547D4" w:rsidP="007547D4">
      <w:pPr>
        <w:pStyle w:val="ListParagraph"/>
        <w:numPr>
          <w:ilvl w:val="0"/>
          <w:numId w:val="24"/>
        </w:numPr>
        <w:jc w:val="both"/>
        <w:rPr>
          <w:rFonts w:cs="Arial"/>
        </w:rPr>
      </w:pPr>
      <w:r w:rsidRPr="006F2BD9">
        <w:t xml:space="preserve">By </w:t>
      </w:r>
      <w:r w:rsidRPr="009316C1">
        <w:rPr>
          <w:rFonts w:cs="Arial"/>
        </w:rPr>
        <w:t>Ward, the lowest rate of unemployment in 2011 was located in Garden Suburb (3.6%), Totteridge (4.1%) and High Barnet (4.5%).</w:t>
      </w:r>
    </w:p>
    <w:p w:rsidR="007547D4" w:rsidRDefault="007547D4" w:rsidP="007547D4">
      <w:pPr>
        <w:pStyle w:val="ListParagraph"/>
        <w:numPr>
          <w:ilvl w:val="0"/>
          <w:numId w:val="24"/>
        </w:numPr>
        <w:jc w:val="both"/>
        <w:rPr>
          <w:rFonts w:cs="Arial"/>
        </w:rPr>
      </w:pPr>
      <w:r w:rsidRPr="009316C1">
        <w:rPr>
          <w:rFonts w:cs="Arial"/>
        </w:rPr>
        <w:t xml:space="preserve">The Wards with the highest rates of unemployment were once again located towards the West of the </w:t>
      </w:r>
      <w:r>
        <w:rPr>
          <w:rFonts w:cs="Arial"/>
        </w:rPr>
        <w:t>Borough</w:t>
      </w:r>
      <w:r w:rsidRPr="009316C1">
        <w:rPr>
          <w:rFonts w:cs="Arial"/>
        </w:rPr>
        <w:t xml:space="preserve"> in Colindale (8.4%) and Burnt Oak (8.1%).</w:t>
      </w:r>
    </w:p>
    <w:p w:rsidR="007547D4" w:rsidRPr="00B44ACC" w:rsidRDefault="007547D4" w:rsidP="007547D4">
      <w:pPr>
        <w:pStyle w:val="Heading2"/>
        <w:numPr>
          <w:ilvl w:val="1"/>
          <w:numId w:val="138"/>
        </w:numPr>
      </w:pPr>
      <w:bookmarkStart w:id="549" w:name="_Toc426723318"/>
      <w:bookmarkStart w:id="550" w:name="_Toc431225145"/>
      <w:r w:rsidRPr="00B44ACC">
        <w:t>Skills and Qualifications</w:t>
      </w:r>
      <w:bookmarkEnd w:id="549"/>
      <w:bookmarkEnd w:id="550"/>
    </w:p>
    <w:p w:rsidR="007547D4" w:rsidRDefault="007547D4" w:rsidP="007547D4">
      <w:pPr>
        <w:jc w:val="both"/>
      </w:pPr>
      <w:r w:rsidRPr="00F917D7">
        <w:t>54%</w:t>
      </w:r>
      <w:r>
        <w:t xml:space="preserve"> of respondents to the 2014 CBI, Employment Trends Survey, claim that </w:t>
      </w:r>
      <w:r w:rsidRPr="00F917D7">
        <w:t>low skill levels</w:t>
      </w:r>
      <w:r>
        <w:t xml:space="preserve"> will be the </w:t>
      </w:r>
      <w:r w:rsidRPr="00F917D7">
        <w:t>biggest threat to the labour market</w:t>
      </w:r>
      <w:r>
        <w:t xml:space="preserve"> for the next five years. </w:t>
      </w:r>
      <w:r w:rsidRPr="00C008DE">
        <w:t xml:space="preserve">Skills gaps can reflect misalignment between the skills the workforce has and those that employers need, suggesting that the content of qualifications and training may not be fully meeting employer needs. </w:t>
      </w:r>
    </w:p>
    <w:p w:rsidR="00CF501E" w:rsidRDefault="00CF501E" w:rsidP="007547D4">
      <w:pPr>
        <w:jc w:val="both"/>
      </w:pPr>
    </w:p>
    <w:p w:rsidR="00CF501E" w:rsidRDefault="00CF501E" w:rsidP="007547D4">
      <w:pPr>
        <w:jc w:val="both"/>
      </w:pPr>
    </w:p>
    <w:p w:rsidR="007547D4" w:rsidRDefault="007547D4" w:rsidP="007547D4">
      <w:pPr>
        <w:pStyle w:val="Caption"/>
        <w:rPr>
          <w:b w:val="0"/>
        </w:rPr>
      </w:pPr>
      <w:r>
        <w:lastRenderedPageBreak/>
        <w:t xml:space="preserve">Table </w:t>
      </w:r>
      <w:fldSimple w:instr=" STYLEREF 1 \s ">
        <w:r w:rsidR="001663C2">
          <w:rPr>
            <w:noProof/>
          </w:rPr>
          <w:t>3</w:t>
        </w:r>
      </w:fldSimple>
      <w:r>
        <w:noBreakHyphen/>
      </w:r>
      <w:fldSimple w:instr=" SEQ Table \* ARABIC \s 1 ">
        <w:r w:rsidR="001663C2">
          <w:rPr>
            <w:noProof/>
          </w:rPr>
          <w:t>6</w:t>
        </w:r>
      </w:fldSimple>
      <w:r w:rsidRPr="001221C6">
        <w:rPr>
          <w:rFonts w:cs="Calibri"/>
        </w:rPr>
        <w:t>: Density of Skills Shortages by Occupation Type in Barnet, 2013</w:t>
      </w:r>
    </w:p>
    <w:tbl>
      <w:tblPr>
        <w:tblStyle w:val="TableGrid"/>
        <w:tblW w:w="0" w:type="auto"/>
        <w:jc w:val="center"/>
        <w:tblLayout w:type="fixed"/>
        <w:tblLook w:val="04A0" w:firstRow="1" w:lastRow="0" w:firstColumn="1" w:lastColumn="0" w:noHBand="0" w:noVBand="1"/>
      </w:tblPr>
      <w:tblGrid>
        <w:gridCol w:w="3699"/>
        <w:gridCol w:w="1754"/>
      </w:tblGrid>
      <w:tr w:rsidR="007547D4" w:rsidRPr="00D01734" w:rsidTr="00031B92">
        <w:trPr>
          <w:trHeight w:val="323"/>
          <w:jc w:val="center"/>
        </w:trPr>
        <w:tc>
          <w:tcPr>
            <w:tcW w:w="3699" w:type="dxa"/>
            <w:shd w:val="clear" w:color="auto" w:fill="BFBFBF" w:themeFill="background1" w:themeFillShade="BF"/>
            <w:vAlign w:val="center"/>
            <w:hideMark/>
          </w:tcPr>
          <w:p w:rsidR="007547D4" w:rsidRPr="00D01734" w:rsidRDefault="007547D4" w:rsidP="00031B92">
            <w:pPr>
              <w:jc w:val="center"/>
              <w:rPr>
                <w:b/>
              </w:rPr>
            </w:pPr>
            <w:r w:rsidRPr="00D01734">
              <w:rPr>
                <w:b/>
                <w:bCs/>
              </w:rPr>
              <w:t>Occupation Type</w:t>
            </w:r>
          </w:p>
        </w:tc>
        <w:tc>
          <w:tcPr>
            <w:tcW w:w="1754" w:type="dxa"/>
            <w:shd w:val="clear" w:color="auto" w:fill="BFBFBF" w:themeFill="background1" w:themeFillShade="BF"/>
            <w:vAlign w:val="center"/>
            <w:hideMark/>
          </w:tcPr>
          <w:p w:rsidR="007547D4" w:rsidRPr="00D01734" w:rsidRDefault="007547D4" w:rsidP="00031B92">
            <w:pPr>
              <w:jc w:val="center"/>
              <w:rPr>
                <w:b/>
              </w:rPr>
            </w:pPr>
            <w:r w:rsidRPr="00D01734">
              <w:rPr>
                <w:b/>
                <w:bCs/>
              </w:rPr>
              <w:t>% Skills Shortage</w:t>
            </w:r>
          </w:p>
        </w:tc>
      </w:tr>
      <w:tr w:rsidR="007547D4" w:rsidRPr="00D01734" w:rsidTr="00031B92">
        <w:trPr>
          <w:trHeight w:val="340"/>
          <w:jc w:val="center"/>
        </w:trPr>
        <w:tc>
          <w:tcPr>
            <w:tcW w:w="3699" w:type="dxa"/>
            <w:vAlign w:val="center"/>
            <w:hideMark/>
          </w:tcPr>
          <w:p w:rsidR="007547D4" w:rsidRPr="002053D0" w:rsidRDefault="007547D4" w:rsidP="00031B92">
            <w:pPr>
              <w:jc w:val="center"/>
            </w:pPr>
            <w:r w:rsidRPr="002053D0">
              <w:rPr>
                <w:bCs/>
              </w:rPr>
              <w:t>Managers</w:t>
            </w:r>
          </w:p>
        </w:tc>
        <w:tc>
          <w:tcPr>
            <w:tcW w:w="1754" w:type="dxa"/>
            <w:vAlign w:val="center"/>
            <w:hideMark/>
          </w:tcPr>
          <w:p w:rsidR="007547D4" w:rsidRPr="002053D0" w:rsidRDefault="007547D4" w:rsidP="00031B92">
            <w:pPr>
              <w:jc w:val="center"/>
            </w:pPr>
            <w:r w:rsidRPr="002053D0">
              <w:t>1.36%</w:t>
            </w:r>
          </w:p>
        </w:tc>
      </w:tr>
      <w:tr w:rsidR="007547D4" w:rsidRPr="00D01734" w:rsidTr="00031B92">
        <w:trPr>
          <w:trHeight w:val="340"/>
          <w:jc w:val="center"/>
        </w:trPr>
        <w:tc>
          <w:tcPr>
            <w:tcW w:w="3699" w:type="dxa"/>
            <w:vAlign w:val="center"/>
            <w:hideMark/>
          </w:tcPr>
          <w:p w:rsidR="007547D4" w:rsidRPr="002053D0" w:rsidRDefault="007547D4" w:rsidP="00031B92">
            <w:pPr>
              <w:jc w:val="center"/>
            </w:pPr>
            <w:r w:rsidRPr="002053D0">
              <w:rPr>
                <w:bCs/>
              </w:rPr>
              <w:t>Professionals</w:t>
            </w:r>
          </w:p>
        </w:tc>
        <w:tc>
          <w:tcPr>
            <w:tcW w:w="1754" w:type="dxa"/>
            <w:vAlign w:val="center"/>
            <w:hideMark/>
          </w:tcPr>
          <w:p w:rsidR="007547D4" w:rsidRPr="002053D0" w:rsidRDefault="007547D4" w:rsidP="00031B92">
            <w:pPr>
              <w:jc w:val="center"/>
            </w:pPr>
            <w:r w:rsidRPr="002053D0">
              <w:t>7.13%</w:t>
            </w:r>
          </w:p>
        </w:tc>
      </w:tr>
      <w:tr w:rsidR="007547D4" w:rsidRPr="00D01734" w:rsidTr="00031B92">
        <w:trPr>
          <w:trHeight w:val="340"/>
          <w:jc w:val="center"/>
        </w:trPr>
        <w:tc>
          <w:tcPr>
            <w:tcW w:w="3699" w:type="dxa"/>
            <w:vAlign w:val="center"/>
            <w:hideMark/>
          </w:tcPr>
          <w:p w:rsidR="007547D4" w:rsidRPr="002053D0" w:rsidRDefault="007547D4" w:rsidP="00031B92">
            <w:pPr>
              <w:jc w:val="center"/>
            </w:pPr>
            <w:r w:rsidRPr="002053D0">
              <w:rPr>
                <w:bCs/>
              </w:rPr>
              <w:t>Associate professionals</w:t>
            </w:r>
          </w:p>
        </w:tc>
        <w:tc>
          <w:tcPr>
            <w:tcW w:w="1754" w:type="dxa"/>
            <w:vAlign w:val="center"/>
            <w:hideMark/>
          </w:tcPr>
          <w:p w:rsidR="007547D4" w:rsidRPr="002053D0" w:rsidRDefault="007547D4" w:rsidP="00031B92">
            <w:pPr>
              <w:jc w:val="center"/>
            </w:pPr>
            <w:r w:rsidRPr="002053D0">
              <w:rPr>
                <w:bCs/>
                <w:color w:val="FF0000"/>
              </w:rPr>
              <w:t>37.61%</w:t>
            </w:r>
          </w:p>
        </w:tc>
      </w:tr>
      <w:tr w:rsidR="007547D4" w:rsidRPr="00D01734" w:rsidTr="00031B92">
        <w:trPr>
          <w:trHeight w:val="340"/>
          <w:jc w:val="center"/>
        </w:trPr>
        <w:tc>
          <w:tcPr>
            <w:tcW w:w="3699" w:type="dxa"/>
            <w:vAlign w:val="center"/>
            <w:hideMark/>
          </w:tcPr>
          <w:p w:rsidR="007547D4" w:rsidRPr="002053D0" w:rsidRDefault="007547D4" w:rsidP="00031B92">
            <w:pPr>
              <w:jc w:val="center"/>
            </w:pPr>
            <w:r w:rsidRPr="002053D0">
              <w:rPr>
                <w:bCs/>
              </w:rPr>
              <w:t>Administrative/clerical staff</w:t>
            </w:r>
          </w:p>
        </w:tc>
        <w:tc>
          <w:tcPr>
            <w:tcW w:w="1754" w:type="dxa"/>
            <w:vAlign w:val="center"/>
            <w:hideMark/>
          </w:tcPr>
          <w:p w:rsidR="007547D4" w:rsidRPr="002053D0" w:rsidRDefault="007547D4" w:rsidP="00031B92">
            <w:pPr>
              <w:jc w:val="center"/>
            </w:pPr>
            <w:r w:rsidRPr="002053D0">
              <w:t>1.46%</w:t>
            </w:r>
          </w:p>
        </w:tc>
      </w:tr>
      <w:tr w:rsidR="007547D4" w:rsidRPr="00D01734" w:rsidTr="00031B92">
        <w:trPr>
          <w:trHeight w:val="340"/>
          <w:jc w:val="center"/>
        </w:trPr>
        <w:tc>
          <w:tcPr>
            <w:tcW w:w="3699" w:type="dxa"/>
            <w:vAlign w:val="center"/>
            <w:hideMark/>
          </w:tcPr>
          <w:p w:rsidR="007547D4" w:rsidRPr="002053D0" w:rsidRDefault="007547D4" w:rsidP="00031B92">
            <w:pPr>
              <w:jc w:val="center"/>
            </w:pPr>
            <w:r w:rsidRPr="002053D0">
              <w:rPr>
                <w:bCs/>
              </w:rPr>
              <w:t>Skilled trades occupations</w:t>
            </w:r>
          </w:p>
        </w:tc>
        <w:tc>
          <w:tcPr>
            <w:tcW w:w="1754" w:type="dxa"/>
            <w:vAlign w:val="center"/>
            <w:hideMark/>
          </w:tcPr>
          <w:p w:rsidR="007547D4" w:rsidRPr="002053D0" w:rsidRDefault="007547D4" w:rsidP="00031B92">
            <w:pPr>
              <w:jc w:val="center"/>
            </w:pPr>
            <w:r w:rsidRPr="00D749F7">
              <w:t>13.23%</w:t>
            </w:r>
          </w:p>
        </w:tc>
      </w:tr>
      <w:tr w:rsidR="007547D4" w:rsidRPr="00D01734" w:rsidTr="00031B92">
        <w:trPr>
          <w:trHeight w:val="340"/>
          <w:jc w:val="center"/>
        </w:trPr>
        <w:tc>
          <w:tcPr>
            <w:tcW w:w="3699" w:type="dxa"/>
            <w:vAlign w:val="center"/>
            <w:hideMark/>
          </w:tcPr>
          <w:p w:rsidR="007547D4" w:rsidRPr="002053D0" w:rsidRDefault="007547D4" w:rsidP="00031B92">
            <w:pPr>
              <w:jc w:val="center"/>
            </w:pPr>
            <w:r w:rsidRPr="002053D0">
              <w:rPr>
                <w:bCs/>
              </w:rPr>
              <w:t>Caring, leisure and other services staff</w:t>
            </w:r>
          </w:p>
        </w:tc>
        <w:tc>
          <w:tcPr>
            <w:tcW w:w="1754" w:type="dxa"/>
            <w:vAlign w:val="center"/>
            <w:hideMark/>
          </w:tcPr>
          <w:p w:rsidR="007547D4" w:rsidRPr="002053D0" w:rsidRDefault="007547D4" w:rsidP="00031B92">
            <w:pPr>
              <w:jc w:val="center"/>
            </w:pPr>
            <w:r w:rsidRPr="002053D0">
              <w:rPr>
                <w:bCs/>
                <w:color w:val="FF0000"/>
              </w:rPr>
              <w:t>38.50%</w:t>
            </w:r>
          </w:p>
        </w:tc>
      </w:tr>
      <w:tr w:rsidR="007547D4" w:rsidRPr="00D01734" w:rsidTr="00031B92">
        <w:trPr>
          <w:trHeight w:val="340"/>
          <w:jc w:val="center"/>
        </w:trPr>
        <w:tc>
          <w:tcPr>
            <w:tcW w:w="3699" w:type="dxa"/>
            <w:vAlign w:val="center"/>
            <w:hideMark/>
          </w:tcPr>
          <w:p w:rsidR="007547D4" w:rsidRPr="002053D0" w:rsidRDefault="007547D4" w:rsidP="00031B92">
            <w:pPr>
              <w:jc w:val="center"/>
            </w:pPr>
            <w:r w:rsidRPr="002053D0">
              <w:rPr>
                <w:bCs/>
              </w:rPr>
              <w:t>Sales and customer services staff</w:t>
            </w:r>
          </w:p>
        </w:tc>
        <w:tc>
          <w:tcPr>
            <w:tcW w:w="1754" w:type="dxa"/>
            <w:vAlign w:val="center"/>
            <w:hideMark/>
          </w:tcPr>
          <w:p w:rsidR="007547D4" w:rsidRPr="002053D0" w:rsidRDefault="007547D4" w:rsidP="00031B92">
            <w:pPr>
              <w:jc w:val="center"/>
            </w:pPr>
            <w:r w:rsidRPr="002053D0">
              <w:t>0.71%</w:t>
            </w:r>
          </w:p>
        </w:tc>
      </w:tr>
      <w:tr w:rsidR="007547D4" w:rsidRPr="00D01734" w:rsidTr="00031B92">
        <w:trPr>
          <w:trHeight w:val="340"/>
          <w:jc w:val="center"/>
        </w:trPr>
        <w:tc>
          <w:tcPr>
            <w:tcW w:w="3699" w:type="dxa"/>
            <w:vAlign w:val="center"/>
            <w:hideMark/>
          </w:tcPr>
          <w:p w:rsidR="007547D4" w:rsidRPr="002053D0" w:rsidRDefault="007547D4" w:rsidP="00031B92">
            <w:pPr>
              <w:jc w:val="center"/>
            </w:pPr>
            <w:r w:rsidRPr="002053D0">
              <w:rPr>
                <w:bCs/>
              </w:rPr>
              <w:t>Machine operatives</w:t>
            </w:r>
          </w:p>
        </w:tc>
        <w:tc>
          <w:tcPr>
            <w:tcW w:w="1754" w:type="dxa"/>
            <w:vAlign w:val="center"/>
            <w:hideMark/>
          </w:tcPr>
          <w:p w:rsidR="007547D4" w:rsidRPr="002053D0" w:rsidRDefault="007547D4" w:rsidP="00031B92">
            <w:pPr>
              <w:jc w:val="center"/>
            </w:pPr>
            <w:r w:rsidRPr="002053D0">
              <w:t>0.0%</w:t>
            </w:r>
          </w:p>
        </w:tc>
      </w:tr>
      <w:tr w:rsidR="007547D4" w:rsidRPr="00D01734" w:rsidTr="00031B92">
        <w:trPr>
          <w:trHeight w:val="340"/>
          <w:jc w:val="center"/>
        </w:trPr>
        <w:tc>
          <w:tcPr>
            <w:tcW w:w="3699" w:type="dxa"/>
            <w:vAlign w:val="center"/>
            <w:hideMark/>
          </w:tcPr>
          <w:p w:rsidR="007547D4" w:rsidRPr="002053D0" w:rsidRDefault="007547D4" w:rsidP="00031B92">
            <w:pPr>
              <w:jc w:val="center"/>
            </w:pPr>
            <w:r w:rsidRPr="002053D0">
              <w:rPr>
                <w:bCs/>
              </w:rPr>
              <w:t>Elementary staff</w:t>
            </w:r>
          </w:p>
        </w:tc>
        <w:tc>
          <w:tcPr>
            <w:tcW w:w="1754" w:type="dxa"/>
            <w:vAlign w:val="center"/>
            <w:hideMark/>
          </w:tcPr>
          <w:p w:rsidR="007547D4" w:rsidRPr="002053D0" w:rsidRDefault="007547D4" w:rsidP="00031B92">
            <w:pPr>
              <w:jc w:val="center"/>
            </w:pPr>
            <w:r w:rsidRPr="002053D0">
              <w:t>0.0%</w:t>
            </w:r>
          </w:p>
        </w:tc>
      </w:tr>
      <w:tr w:rsidR="007547D4" w:rsidRPr="00D01734" w:rsidTr="00031B92">
        <w:trPr>
          <w:trHeight w:val="340"/>
          <w:jc w:val="center"/>
        </w:trPr>
        <w:tc>
          <w:tcPr>
            <w:tcW w:w="3699" w:type="dxa"/>
            <w:vAlign w:val="center"/>
            <w:hideMark/>
          </w:tcPr>
          <w:p w:rsidR="007547D4" w:rsidRPr="002053D0" w:rsidRDefault="007547D4" w:rsidP="00031B92">
            <w:pPr>
              <w:jc w:val="center"/>
            </w:pPr>
            <w:r w:rsidRPr="002053D0">
              <w:rPr>
                <w:bCs/>
              </w:rPr>
              <w:t>Unclassified staff</w:t>
            </w:r>
          </w:p>
        </w:tc>
        <w:tc>
          <w:tcPr>
            <w:tcW w:w="1754" w:type="dxa"/>
            <w:vAlign w:val="center"/>
            <w:hideMark/>
          </w:tcPr>
          <w:p w:rsidR="007547D4" w:rsidRPr="002053D0" w:rsidRDefault="007547D4" w:rsidP="00031B92">
            <w:pPr>
              <w:jc w:val="center"/>
            </w:pPr>
            <w:r w:rsidRPr="002053D0">
              <w:t>0.0%</w:t>
            </w:r>
          </w:p>
        </w:tc>
      </w:tr>
    </w:tbl>
    <w:p w:rsidR="007547D4" w:rsidRPr="00651594" w:rsidRDefault="007547D4" w:rsidP="005067E0">
      <w:pPr>
        <w:spacing w:after="0"/>
        <w:ind w:left="720" w:hanging="720"/>
      </w:pPr>
      <w:r w:rsidRPr="00651594">
        <w:t>Source: UK Commission Employer Skills Survey 2013</w:t>
      </w:r>
    </w:p>
    <w:p w:rsidR="007547D4" w:rsidRDefault="007547D4" w:rsidP="007547D4">
      <w:pPr>
        <w:pStyle w:val="ListParagraph"/>
        <w:spacing w:after="0"/>
        <w:jc w:val="both"/>
      </w:pPr>
    </w:p>
    <w:p w:rsidR="007547D4" w:rsidRPr="00D749F7" w:rsidRDefault="007547D4" w:rsidP="007547D4">
      <w:pPr>
        <w:pStyle w:val="ListParagraph"/>
        <w:numPr>
          <w:ilvl w:val="0"/>
          <w:numId w:val="33"/>
        </w:numPr>
        <w:spacing w:after="0"/>
        <w:jc w:val="both"/>
      </w:pPr>
      <w:r w:rsidRPr="00D749F7">
        <w:t>Caring, leisure and other service occupations have the highest density of skills shortages within Barnet (38.50</w:t>
      </w:r>
      <w:r>
        <w:t>%</w:t>
      </w:r>
      <w:r w:rsidRPr="00D749F7">
        <w:t xml:space="preserve">). The ageing population is projected to drive up demand for services within this sector and so there could be opportunity for substantial growth within this segment in the future. </w:t>
      </w:r>
    </w:p>
    <w:p w:rsidR="007547D4" w:rsidRDefault="007547D4" w:rsidP="007547D4">
      <w:pPr>
        <w:pStyle w:val="ListParagraph"/>
        <w:numPr>
          <w:ilvl w:val="0"/>
          <w:numId w:val="32"/>
        </w:numPr>
        <w:spacing w:after="0" w:line="240" w:lineRule="auto"/>
        <w:jc w:val="both"/>
      </w:pPr>
      <w:r w:rsidRPr="00D749F7">
        <w:t>Associate professionals are the third largest occupation type in Barnet, accounting</w:t>
      </w:r>
      <w:r>
        <w:t xml:space="preserve"> for 13.3% of total jobs; h</w:t>
      </w:r>
      <w:r w:rsidRPr="00D749F7">
        <w:t>owever, it has the second largest level of reported skills shortages</w:t>
      </w:r>
      <w:r>
        <w:t>. The reported skills shortages within this occupation could be why it is underrepresented when compared to the UK where it accounts for 14.0% of the total jobs market.</w:t>
      </w:r>
    </w:p>
    <w:p w:rsidR="007547D4" w:rsidRDefault="007547D4" w:rsidP="007547D4">
      <w:pPr>
        <w:pStyle w:val="ListParagraph"/>
        <w:spacing w:after="0" w:line="240" w:lineRule="auto"/>
        <w:jc w:val="both"/>
      </w:pPr>
    </w:p>
    <w:p w:rsidR="007547D4" w:rsidRDefault="007547D4" w:rsidP="007547D4">
      <w:pPr>
        <w:spacing w:after="0"/>
        <w:jc w:val="both"/>
      </w:pPr>
      <w:r w:rsidRPr="0034737B">
        <w:t>Barnet performs well on in job skills shortages</w:t>
      </w:r>
      <w:r>
        <w:t>, w</w:t>
      </w:r>
      <w:r w:rsidRPr="0034737B">
        <w:t xml:space="preserve">hen compared </w:t>
      </w:r>
      <w:r>
        <w:t xml:space="preserve">against other regions. </w:t>
      </w:r>
      <w:r w:rsidRPr="0034737B">
        <w:t xml:space="preserve">13.0% of </w:t>
      </w:r>
      <w:r>
        <w:t xml:space="preserve">Barnet </w:t>
      </w:r>
      <w:r w:rsidRPr="0034737B">
        <w:t>employer’s report that Barnet employees did not meet their skills requirement, the lowest in London where the average is 18.0%.</w:t>
      </w:r>
    </w:p>
    <w:p w:rsidR="007547D4" w:rsidRDefault="007547D4" w:rsidP="007547D4">
      <w:pPr>
        <w:spacing w:after="0"/>
        <w:jc w:val="both"/>
      </w:pPr>
    </w:p>
    <w:p w:rsidR="007547D4" w:rsidRPr="00BF2719" w:rsidRDefault="007547D4" w:rsidP="007547D4">
      <w:pPr>
        <w:spacing w:after="0"/>
        <w:jc w:val="both"/>
      </w:pPr>
      <w:r>
        <w:t>However, as can be seen from Figure 3-20, skills gaps vary significantly depending on the qualification level held by the employee. T</w:t>
      </w:r>
      <w:r w:rsidRPr="00BF2719">
        <w:t xml:space="preserve">here is a significant reduction in reported skills shortages for employees who have attended University or Higher Education. This is especially apparent within ‘lack of working/life experience or maturity’ and ‘poor attitude/personality or </w:t>
      </w:r>
      <w:proofErr w:type="gramStart"/>
      <w:r w:rsidRPr="00BF2719">
        <w:t>lack of motivation’ which reduce</w:t>
      </w:r>
      <w:proofErr w:type="gramEnd"/>
      <w:r w:rsidRPr="00BF2719">
        <w:t xml:space="preserve"> by 32% and 31% respectively. </w:t>
      </w:r>
    </w:p>
    <w:p w:rsidR="007547D4" w:rsidRDefault="007547D4" w:rsidP="007547D4">
      <w:pPr>
        <w:spacing w:after="0"/>
        <w:ind w:left="360"/>
        <w:jc w:val="both"/>
        <w:rPr>
          <w:b/>
          <w:i/>
        </w:rPr>
      </w:pPr>
    </w:p>
    <w:p w:rsidR="00CF501E" w:rsidRDefault="00CF501E" w:rsidP="007547D4">
      <w:pPr>
        <w:pStyle w:val="Caption"/>
      </w:pPr>
    </w:p>
    <w:p w:rsidR="00CF501E" w:rsidRDefault="00CF501E" w:rsidP="007547D4">
      <w:pPr>
        <w:pStyle w:val="Caption"/>
      </w:pPr>
    </w:p>
    <w:p w:rsidR="00CF501E" w:rsidRDefault="00CF501E" w:rsidP="007547D4">
      <w:pPr>
        <w:pStyle w:val="Caption"/>
      </w:pPr>
    </w:p>
    <w:p w:rsidR="00CF501E" w:rsidRDefault="00CF501E" w:rsidP="007547D4">
      <w:pPr>
        <w:pStyle w:val="Caption"/>
      </w:pPr>
    </w:p>
    <w:p w:rsidR="00CF501E" w:rsidRDefault="00CF501E" w:rsidP="007547D4">
      <w:pPr>
        <w:pStyle w:val="Caption"/>
      </w:pPr>
    </w:p>
    <w:p w:rsidR="00CF501E" w:rsidRDefault="00CF501E" w:rsidP="007547D4">
      <w:pPr>
        <w:pStyle w:val="Caption"/>
      </w:pPr>
    </w:p>
    <w:p w:rsidR="00CF501E" w:rsidRDefault="00CF501E" w:rsidP="007547D4">
      <w:pPr>
        <w:pStyle w:val="Caption"/>
      </w:pPr>
    </w:p>
    <w:p w:rsidR="00CF501E" w:rsidRDefault="00CF501E" w:rsidP="007547D4">
      <w:pPr>
        <w:pStyle w:val="Caption"/>
      </w:pPr>
    </w:p>
    <w:p w:rsidR="00CF501E" w:rsidRDefault="00CF501E" w:rsidP="007547D4">
      <w:pPr>
        <w:pStyle w:val="Caption"/>
      </w:pPr>
    </w:p>
    <w:p w:rsidR="00CF501E" w:rsidRDefault="00CF501E" w:rsidP="007547D4">
      <w:pPr>
        <w:pStyle w:val="Caption"/>
      </w:pPr>
    </w:p>
    <w:p w:rsidR="007547D4" w:rsidRDefault="007547D4" w:rsidP="007547D4">
      <w:pPr>
        <w:pStyle w:val="Caption"/>
        <w:rPr>
          <w:b w:val="0"/>
          <w:i/>
        </w:rPr>
      </w:pPr>
      <w:r>
        <w:lastRenderedPageBreak/>
        <w:t xml:space="preserve">Figure </w:t>
      </w:r>
      <w:fldSimple w:instr=" STYLEREF 1 \s ">
        <w:r w:rsidR="001663C2">
          <w:rPr>
            <w:noProof/>
          </w:rPr>
          <w:t>3</w:t>
        </w:r>
      </w:fldSimple>
      <w:r w:rsidR="00943DC2">
        <w:noBreakHyphen/>
      </w:r>
      <w:fldSimple w:instr=" SEQ Figure \* ARABIC \s 1 ">
        <w:r w:rsidR="001663C2">
          <w:rPr>
            <w:noProof/>
          </w:rPr>
          <w:t>20</w:t>
        </w:r>
      </w:fldSimple>
      <w:r w:rsidRPr="00897DBB">
        <w:t>: Percentage Skills Gaps within Barnet, by Qualification Type, 2013</w:t>
      </w:r>
    </w:p>
    <w:p w:rsidR="007547D4" w:rsidRDefault="007547D4" w:rsidP="007547D4">
      <w:pPr>
        <w:spacing w:after="0"/>
        <w:ind w:left="360" w:hanging="360"/>
        <w:rPr>
          <w:b/>
          <w:i/>
        </w:rPr>
      </w:pPr>
      <w:r w:rsidRPr="00450DD4">
        <w:rPr>
          <w:noProof/>
          <w:lang w:eastAsia="en-GB"/>
        </w:rPr>
        <w:drawing>
          <wp:inline distT="0" distB="0" distL="0" distR="0" wp14:anchorId="69A76A79" wp14:editId="56ACA3AC">
            <wp:extent cx="5862384" cy="2392326"/>
            <wp:effectExtent l="0" t="0" r="5080" b="825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882759" cy="2400641"/>
                    </a:xfrm>
                    <a:prstGeom prst="rect">
                      <a:avLst/>
                    </a:prstGeom>
                    <a:noFill/>
                  </pic:spPr>
                </pic:pic>
              </a:graphicData>
            </a:graphic>
          </wp:inline>
        </w:drawing>
      </w:r>
    </w:p>
    <w:p w:rsidR="007547D4" w:rsidRPr="00651594" w:rsidRDefault="007547D4" w:rsidP="007547D4">
      <w:pPr>
        <w:spacing w:after="0"/>
        <w:jc w:val="both"/>
      </w:pPr>
      <w:r w:rsidRPr="00651594">
        <w:t>Source: UK Commission Employer Skills Survey 2013</w:t>
      </w:r>
    </w:p>
    <w:p w:rsidR="007547D4" w:rsidRDefault="007547D4" w:rsidP="007547D4">
      <w:pPr>
        <w:spacing w:after="0"/>
        <w:jc w:val="both"/>
      </w:pPr>
    </w:p>
    <w:p w:rsidR="007547D4" w:rsidRDefault="007547D4" w:rsidP="007547D4">
      <w:pPr>
        <w:spacing w:after="0"/>
        <w:jc w:val="both"/>
      </w:pPr>
      <w:r w:rsidRPr="001270F3">
        <w:t>Positively, 50</w:t>
      </w:r>
      <w:r w:rsidRPr="002104C9">
        <w:t xml:space="preserve">.4% </w:t>
      </w:r>
      <w:r>
        <w:t xml:space="preserve">of </w:t>
      </w:r>
      <w:r w:rsidRPr="002104C9">
        <w:t>Barnet’s working</w:t>
      </w:r>
      <w:r>
        <w:t xml:space="preserve"> age</w:t>
      </w:r>
      <w:r w:rsidRPr="002104C9">
        <w:t xml:space="preserve"> population hold at least an NVQ level 4 </w:t>
      </w:r>
      <w:r w:rsidR="00DD3A76" w:rsidRPr="002104C9">
        <w:t>qualifications</w:t>
      </w:r>
      <w:r w:rsidRPr="002104C9">
        <w:t>. This is above the UK rate of 35.1% and the London rate of 48.4</w:t>
      </w:r>
      <w:r>
        <w:t>%</w:t>
      </w:r>
      <w:r>
        <w:rPr>
          <w:rStyle w:val="FootnoteReference"/>
        </w:rPr>
        <w:footnoteReference w:id="19"/>
      </w:r>
      <w:r>
        <w:t>. In line with national and local trends, the proportion of the Barnet population with NVQ level 4 or above qualifications is likely to increase in the future</w:t>
      </w:r>
      <w:r>
        <w:rPr>
          <w:rStyle w:val="FootnoteReference"/>
        </w:rPr>
        <w:footnoteReference w:id="20"/>
      </w:r>
      <w:r>
        <w:t xml:space="preserve">. </w:t>
      </w:r>
    </w:p>
    <w:p w:rsidR="007547D4" w:rsidRPr="00F712D2" w:rsidRDefault="007547D4" w:rsidP="007547D4">
      <w:pPr>
        <w:pStyle w:val="Heading2"/>
        <w:numPr>
          <w:ilvl w:val="1"/>
          <w:numId w:val="138"/>
        </w:numPr>
      </w:pPr>
      <w:bookmarkStart w:id="551" w:name="_Toc426723319"/>
      <w:bookmarkStart w:id="552" w:name="_Toc431225146"/>
      <w:r>
        <w:t>Welfare Reform</w:t>
      </w:r>
      <w:bookmarkEnd w:id="551"/>
      <w:bookmarkEnd w:id="552"/>
    </w:p>
    <w:p w:rsidR="007547D4" w:rsidRPr="00F3430B" w:rsidRDefault="007547D4" w:rsidP="007547D4">
      <w:pPr>
        <w:spacing w:after="0"/>
        <w:jc w:val="both"/>
      </w:pPr>
      <w:r w:rsidRPr="00F3430B">
        <w:t>The current programme of reform to the benefit system, which started in 2011, constitutes the biggest shake up of the welfare state in over 60 years.  The reforms that have been rolled out are wide ranging and include changes to some out of work and disability related state benefits, uprating of a wide range of benefits and the locally administered housing benefit and CTS schemes.</w:t>
      </w:r>
    </w:p>
    <w:p w:rsidR="007547D4" w:rsidRPr="00F3430B" w:rsidRDefault="007547D4" w:rsidP="007547D4">
      <w:pPr>
        <w:spacing w:after="0"/>
        <w:jc w:val="both"/>
      </w:pPr>
    </w:p>
    <w:p w:rsidR="007547D4" w:rsidRPr="00F3430B" w:rsidRDefault="007547D4" w:rsidP="007547D4">
      <w:pPr>
        <w:spacing w:after="0"/>
        <w:jc w:val="both"/>
      </w:pPr>
      <w:r w:rsidRPr="00F3430B">
        <w:t>As part of these changes, the Government expects reforms to reduce the overall benefits bill.  In Barnet, the total reduction in benefits received by eligible residents is expected to be £81.4m in 2015/16 – the 10th highest reduction in the country.  The average loss for each claimant household is £2,100</w:t>
      </w:r>
      <w:r>
        <w:rPr>
          <w:rStyle w:val="FootnoteReference"/>
        </w:rPr>
        <w:footnoteReference w:id="21"/>
      </w:r>
      <w:r>
        <w:t>.</w:t>
      </w:r>
      <w:r w:rsidRPr="00F3430B">
        <w:t xml:space="preserve"> </w:t>
      </w:r>
    </w:p>
    <w:p w:rsidR="007547D4" w:rsidRDefault="007547D4" w:rsidP="007547D4">
      <w:pPr>
        <w:pStyle w:val="Heading3"/>
        <w:numPr>
          <w:ilvl w:val="2"/>
          <w:numId w:val="138"/>
        </w:numPr>
      </w:pPr>
      <w:r>
        <w:t>The Impact of Welfare Reform in London</w:t>
      </w:r>
    </w:p>
    <w:p w:rsidR="007547D4" w:rsidRDefault="007547D4" w:rsidP="007547D4">
      <w:pPr>
        <w:spacing w:after="0"/>
        <w:jc w:val="both"/>
      </w:pPr>
      <w:r>
        <w:t xml:space="preserve">The London Poverty Profile shows that 26% of households in London received housing benefit in 2012, which was higher and has grown faster than the average for England. Average housing benefit values are also much higher in London at £134 per week compared with £92 per week for England. </w:t>
      </w:r>
    </w:p>
    <w:p w:rsidR="007547D4" w:rsidRDefault="007547D4" w:rsidP="007547D4">
      <w:pPr>
        <w:spacing w:after="0"/>
        <w:jc w:val="both"/>
      </w:pPr>
    </w:p>
    <w:p w:rsidR="007547D4" w:rsidRDefault="007547D4" w:rsidP="007547D4">
      <w:pPr>
        <w:spacing w:after="0"/>
        <w:jc w:val="both"/>
      </w:pPr>
      <w:r>
        <w:t xml:space="preserve">A quarter of households in London received council tax benefit in 2012, two percentage points higher than the average for England. As a result, the recent changes to Housing Benefit will likely have a wider and deeper impact in London. </w:t>
      </w:r>
    </w:p>
    <w:p w:rsidR="007547D4" w:rsidRDefault="007547D4" w:rsidP="007547D4">
      <w:pPr>
        <w:spacing w:after="0"/>
        <w:jc w:val="both"/>
      </w:pPr>
    </w:p>
    <w:p w:rsidR="007547D4" w:rsidRPr="00EB4432" w:rsidRDefault="007547D4" w:rsidP="007547D4">
      <w:pPr>
        <w:spacing w:after="0"/>
        <w:jc w:val="both"/>
      </w:pPr>
      <w:r w:rsidRPr="00EB4432">
        <w:lastRenderedPageBreak/>
        <w:t>Sheffield Hal</w:t>
      </w:r>
      <w:r>
        <w:t>lam</w:t>
      </w:r>
      <w:r w:rsidRPr="00EB4432">
        <w:t xml:space="preserve"> Un</w:t>
      </w:r>
      <w:r>
        <w:t>iv</w:t>
      </w:r>
      <w:r w:rsidRPr="00EB4432">
        <w:t xml:space="preserve">ersity </w:t>
      </w:r>
      <w:r>
        <w:t xml:space="preserve">has also researched the cumulative impacts of the reforms. Although </w:t>
      </w:r>
      <w:r w:rsidRPr="00EB4432">
        <w:t xml:space="preserve">the </w:t>
      </w:r>
      <w:r>
        <w:t xml:space="preserve">findings in the report are estimates, the data is taken from </w:t>
      </w:r>
      <w:r w:rsidRPr="00EB4432">
        <w:t xml:space="preserve">the Treasury’s estimates of the financial </w:t>
      </w:r>
      <w:r>
        <w:t>savings and the government’s impact assessment and benefit claimant data.</w:t>
      </w:r>
    </w:p>
    <w:p w:rsidR="007547D4" w:rsidRDefault="007547D4" w:rsidP="007547D4">
      <w:pPr>
        <w:spacing w:after="0"/>
        <w:jc w:val="both"/>
      </w:pPr>
    </w:p>
    <w:p w:rsidR="007547D4" w:rsidRPr="00EB4432" w:rsidRDefault="007547D4" w:rsidP="007547D4">
      <w:pPr>
        <w:spacing w:after="0"/>
        <w:jc w:val="both"/>
      </w:pPr>
      <w:r>
        <w:t>The findings indicate that the largest impact</w:t>
      </w:r>
      <w:r w:rsidRPr="00EB4432">
        <w:t xml:space="preserve"> of welfare reform</w:t>
      </w:r>
      <w:r>
        <w:t xml:space="preserve"> will be </w:t>
      </w:r>
      <w:r w:rsidRPr="00EB4432">
        <w:t>in London.</w:t>
      </w:r>
      <w:r>
        <w:t xml:space="preserve"> These include</w:t>
      </w:r>
      <w:r w:rsidRPr="00EB4432">
        <w:t xml:space="preserve"> not just those </w:t>
      </w:r>
      <w:r>
        <w:t xml:space="preserve">areas </w:t>
      </w:r>
      <w:r w:rsidRPr="00EB4432">
        <w:t xml:space="preserve">that have traditionally been identified as ‘deprived’ but also </w:t>
      </w:r>
      <w:r>
        <w:t>Boroughs</w:t>
      </w:r>
      <w:r w:rsidRPr="00EB4432">
        <w:t xml:space="preserve"> with high benefit receipt and exceptio</w:t>
      </w:r>
      <w:r>
        <w:t xml:space="preserve">nally high housing costs, which combine </w:t>
      </w:r>
      <w:r w:rsidRPr="00EB4432">
        <w:t>to give very large impacts per household, such as Westminster, Kensington and Chelsea and Enfield.</w:t>
      </w:r>
    </w:p>
    <w:p w:rsidR="007547D4" w:rsidRPr="00F3430B" w:rsidRDefault="007547D4" w:rsidP="007547D4">
      <w:pPr>
        <w:pStyle w:val="Heading3"/>
        <w:numPr>
          <w:ilvl w:val="2"/>
          <w:numId w:val="138"/>
        </w:numPr>
        <w:rPr>
          <w:rFonts w:asciiTheme="minorHAnsi" w:hAnsiTheme="minorHAnsi" w:cstheme="minorBidi"/>
        </w:rPr>
      </w:pPr>
      <w:r>
        <w:t>The Impact of Welfare Reform in Barnet</w:t>
      </w:r>
    </w:p>
    <w:p w:rsidR="007547D4" w:rsidRPr="00F3430B" w:rsidRDefault="007547D4" w:rsidP="007547D4">
      <w:pPr>
        <w:spacing w:after="0"/>
        <w:jc w:val="both"/>
      </w:pPr>
      <w:r w:rsidRPr="00F3430B">
        <w:t>In Barnet, high rents and high levels of benefit receipt have combined to mean that overall welfare reforms can lead to very large financial losses.  Research by the Centre for Economic &amp; Social Inclusion commissioned by LGA, estimates that in 2015/16</w:t>
      </w:r>
      <w:r>
        <w:t xml:space="preserve"> </w:t>
      </w:r>
      <w:r w:rsidRPr="00F3430B">
        <w:t xml:space="preserve">nearly 40,000 households in Barnet will be affected by at least one of the reforms, the 10th highest in England and the average loss per household will be the 7th highest after Westminster, Kensington &amp; Chelsea, Brent, </w:t>
      </w:r>
      <w:proofErr w:type="spellStart"/>
      <w:r w:rsidRPr="00F3430B">
        <w:t>Wandsworth</w:t>
      </w:r>
      <w:proofErr w:type="spellEnd"/>
      <w:r w:rsidRPr="00F3430B">
        <w:t xml:space="preserve">, Camden and Hackney.  </w:t>
      </w:r>
    </w:p>
    <w:p w:rsidR="007547D4" w:rsidRPr="00F3430B" w:rsidRDefault="007547D4" w:rsidP="007547D4">
      <w:pPr>
        <w:spacing w:after="0"/>
        <w:jc w:val="both"/>
      </w:pPr>
    </w:p>
    <w:p w:rsidR="007547D4" w:rsidRPr="00F3430B" w:rsidRDefault="007547D4" w:rsidP="007547D4">
      <w:pPr>
        <w:spacing w:after="0"/>
        <w:jc w:val="both"/>
      </w:pPr>
      <w:r w:rsidRPr="00F3430B">
        <w:t>In Barnet 60% of the losses from welfare reforms affect working households and the biggest financial losses are from changes to working tax credits (£26.5 m) and Local Housing Allowance rates (£23.2m). Of the 20,000 affected by the changes to Council Tax support, there are around 3,500 working households claiming Working Tax Credits.</w:t>
      </w:r>
    </w:p>
    <w:p w:rsidR="007547D4" w:rsidRPr="00F3430B" w:rsidRDefault="007547D4" w:rsidP="007547D4">
      <w:pPr>
        <w:spacing w:after="0"/>
        <w:jc w:val="both"/>
      </w:pPr>
    </w:p>
    <w:p w:rsidR="007547D4" w:rsidRPr="00F3430B" w:rsidRDefault="007547D4" w:rsidP="007547D4">
      <w:pPr>
        <w:spacing w:after="0"/>
        <w:jc w:val="both"/>
      </w:pPr>
      <w:r w:rsidRPr="00F3430B">
        <w:t>Overall, Welfare Reform means that the 20,000 or so working age claimants of C</w:t>
      </w:r>
      <w:r>
        <w:t xml:space="preserve">ouncil Tax </w:t>
      </w:r>
      <w:proofErr w:type="gramStart"/>
      <w:r>
        <w:t xml:space="preserve">support, </w:t>
      </w:r>
      <w:r w:rsidRPr="00F3430B">
        <w:t>that will be affected by any changes to Council Tax support</w:t>
      </w:r>
      <w:r>
        <w:t>,</w:t>
      </w:r>
      <w:proofErr w:type="gramEnd"/>
      <w:r w:rsidRPr="00F3430B">
        <w:t xml:space="preserve"> are currently losing nearly £20m already as a result of the locally administered HB and current localised Council Tax Support scheme.  In addition to these losses they will also be affected by one or more reductions to Central government administered benefits such as:</w:t>
      </w:r>
    </w:p>
    <w:p w:rsidR="007547D4" w:rsidRPr="00F3430B" w:rsidRDefault="007547D4" w:rsidP="007547D4">
      <w:pPr>
        <w:pStyle w:val="ListParagraph"/>
        <w:numPr>
          <w:ilvl w:val="0"/>
          <w:numId w:val="32"/>
        </w:numPr>
        <w:spacing w:after="0"/>
        <w:jc w:val="both"/>
      </w:pPr>
      <w:r w:rsidRPr="00F3430B">
        <w:t>Child Tax Credits</w:t>
      </w:r>
    </w:p>
    <w:p w:rsidR="007547D4" w:rsidRPr="00F3430B" w:rsidRDefault="007547D4" w:rsidP="007547D4">
      <w:pPr>
        <w:pStyle w:val="ListParagraph"/>
        <w:numPr>
          <w:ilvl w:val="0"/>
          <w:numId w:val="32"/>
        </w:numPr>
        <w:spacing w:after="0"/>
        <w:jc w:val="both"/>
      </w:pPr>
      <w:r w:rsidRPr="00F3430B">
        <w:t>Working Tax Credits</w:t>
      </w:r>
    </w:p>
    <w:p w:rsidR="007547D4" w:rsidRPr="00F3430B" w:rsidRDefault="007547D4" w:rsidP="007547D4">
      <w:pPr>
        <w:pStyle w:val="ListParagraph"/>
        <w:numPr>
          <w:ilvl w:val="0"/>
          <w:numId w:val="32"/>
        </w:numPr>
        <w:spacing w:after="0"/>
        <w:jc w:val="both"/>
      </w:pPr>
      <w:r w:rsidRPr="00F3430B">
        <w:t>DLA replacement with PIP</w:t>
      </w:r>
    </w:p>
    <w:p w:rsidR="007547D4" w:rsidRPr="00F3430B" w:rsidRDefault="007547D4" w:rsidP="007547D4">
      <w:pPr>
        <w:pStyle w:val="ListParagraph"/>
        <w:numPr>
          <w:ilvl w:val="0"/>
          <w:numId w:val="32"/>
        </w:numPr>
        <w:spacing w:after="0"/>
        <w:jc w:val="both"/>
      </w:pPr>
      <w:r w:rsidRPr="00F3430B">
        <w:t>1% up rating (instead of using consumer price index) of all benefits</w:t>
      </w:r>
    </w:p>
    <w:p w:rsidR="007547D4" w:rsidRPr="00F3430B" w:rsidRDefault="007547D4" w:rsidP="007547D4">
      <w:pPr>
        <w:pStyle w:val="ListParagraph"/>
        <w:numPr>
          <w:ilvl w:val="0"/>
          <w:numId w:val="32"/>
        </w:numPr>
        <w:spacing w:after="0"/>
        <w:jc w:val="both"/>
      </w:pPr>
      <w:r w:rsidRPr="00F3430B">
        <w:t xml:space="preserve">ESA </w:t>
      </w:r>
    </w:p>
    <w:p w:rsidR="007547D4" w:rsidRPr="006F2BD9" w:rsidRDefault="007547D4" w:rsidP="007547D4">
      <w:pPr>
        <w:pStyle w:val="Heading3"/>
        <w:numPr>
          <w:ilvl w:val="2"/>
          <w:numId w:val="138"/>
        </w:numPr>
      </w:pPr>
      <w:r w:rsidRPr="006F2BD9">
        <w:t>Out of Work Benefits</w:t>
      </w:r>
    </w:p>
    <w:p w:rsidR="007547D4" w:rsidRDefault="007547D4" w:rsidP="007547D4">
      <w:pPr>
        <w:jc w:val="both"/>
      </w:pPr>
      <w:r w:rsidRPr="006F2BD9">
        <w:t>In August 2014 there were 22,410 people claiming out-of-work benefits in Barnet, 9.5% of the total 16-64 population</w:t>
      </w:r>
      <w:r>
        <w:t xml:space="preserve"> (table 8</w:t>
      </w:r>
      <w:r w:rsidRPr="006F2BD9">
        <w:t>). This is below the Outer London and UK rates of 10.9% and 12.6% respectively.</w:t>
      </w:r>
    </w:p>
    <w:p w:rsidR="00CF501E" w:rsidRDefault="00CF501E" w:rsidP="007547D4">
      <w:pPr>
        <w:jc w:val="both"/>
      </w:pPr>
    </w:p>
    <w:p w:rsidR="00CF501E" w:rsidRDefault="00CF501E" w:rsidP="007547D4">
      <w:pPr>
        <w:jc w:val="both"/>
      </w:pPr>
    </w:p>
    <w:p w:rsidR="00CF501E" w:rsidRDefault="00CF501E" w:rsidP="007547D4">
      <w:pPr>
        <w:jc w:val="both"/>
      </w:pPr>
    </w:p>
    <w:p w:rsidR="00CF501E" w:rsidRDefault="00CF501E" w:rsidP="007547D4">
      <w:pPr>
        <w:jc w:val="both"/>
      </w:pPr>
    </w:p>
    <w:p w:rsidR="00CF501E" w:rsidRPr="006F2BD9" w:rsidRDefault="00CF501E" w:rsidP="007547D4">
      <w:pPr>
        <w:jc w:val="both"/>
      </w:pPr>
    </w:p>
    <w:p w:rsidR="007547D4" w:rsidRPr="006F2BD9" w:rsidRDefault="007547D4" w:rsidP="007547D4">
      <w:pPr>
        <w:pStyle w:val="Caption"/>
        <w:rPr>
          <w:b w:val="0"/>
          <w:i/>
        </w:rPr>
      </w:pPr>
      <w:r>
        <w:lastRenderedPageBreak/>
        <w:t xml:space="preserve">Table </w:t>
      </w:r>
      <w:fldSimple w:instr=" STYLEREF 1 \s ">
        <w:r w:rsidR="001663C2">
          <w:rPr>
            <w:noProof/>
          </w:rPr>
          <w:t>3</w:t>
        </w:r>
      </w:fldSimple>
      <w:r>
        <w:noBreakHyphen/>
      </w:r>
      <w:fldSimple w:instr=" SEQ Table \* ARABIC \s 1 ">
        <w:r w:rsidR="001663C2">
          <w:rPr>
            <w:noProof/>
          </w:rPr>
          <w:t>7</w:t>
        </w:r>
      </w:fldSimple>
      <w:r w:rsidRPr="001221C6">
        <w:rPr>
          <w:rFonts w:cs="Calibri"/>
        </w:rPr>
        <w:t>: Benefit Claimants, August 2014 (Barnet, Regional and National)</w:t>
      </w:r>
    </w:p>
    <w:tbl>
      <w:tblPr>
        <w:tblStyle w:val="TableGrid"/>
        <w:tblW w:w="9822" w:type="dxa"/>
        <w:jc w:val="center"/>
        <w:tblLook w:val="04A0" w:firstRow="1" w:lastRow="0" w:firstColumn="1" w:lastColumn="0" w:noHBand="0" w:noVBand="1"/>
      </w:tblPr>
      <w:tblGrid>
        <w:gridCol w:w="2802"/>
        <w:gridCol w:w="992"/>
        <w:gridCol w:w="1417"/>
        <w:gridCol w:w="993"/>
        <w:gridCol w:w="1275"/>
        <w:gridCol w:w="1107"/>
        <w:gridCol w:w="1236"/>
      </w:tblGrid>
      <w:tr w:rsidR="007547D4" w:rsidRPr="006F2BD9" w:rsidTr="00031B92">
        <w:trPr>
          <w:trHeight w:val="252"/>
          <w:jc w:val="center"/>
        </w:trPr>
        <w:tc>
          <w:tcPr>
            <w:tcW w:w="2802" w:type="dxa"/>
            <w:shd w:val="clear" w:color="auto" w:fill="BFBFBF" w:themeFill="background1" w:themeFillShade="BF"/>
            <w:vAlign w:val="center"/>
            <w:hideMark/>
          </w:tcPr>
          <w:p w:rsidR="007547D4" w:rsidRPr="006F2BD9" w:rsidRDefault="007547D4" w:rsidP="00031B92">
            <w:pPr>
              <w:rPr>
                <w:rFonts w:eastAsia="Times New Roman" w:cs="Arial"/>
                <w:b/>
                <w:bCs/>
                <w:lang w:eastAsia="en-GB"/>
              </w:rPr>
            </w:pPr>
          </w:p>
        </w:tc>
        <w:tc>
          <w:tcPr>
            <w:tcW w:w="2409" w:type="dxa"/>
            <w:gridSpan w:val="2"/>
            <w:shd w:val="clear" w:color="auto" w:fill="BFBFBF" w:themeFill="background1" w:themeFillShade="BF"/>
            <w:vAlign w:val="center"/>
            <w:hideMark/>
          </w:tcPr>
          <w:p w:rsidR="007547D4" w:rsidRPr="006F2BD9" w:rsidRDefault="007547D4" w:rsidP="00031B92">
            <w:pPr>
              <w:jc w:val="center"/>
              <w:rPr>
                <w:rFonts w:eastAsia="Times New Roman" w:cs="Arial"/>
                <w:b/>
                <w:bCs/>
                <w:lang w:eastAsia="en-GB"/>
              </w:rPr>
            </w:pPr>
            <w:r w:rsidRPr="006F2BD9">
              <w:rPr>
                <w:rFonts w:eastAsia="Times New Roman" w:cs="Arial"/>
                <w:b/>
                <w:bCs/>
                <w:lang w:eastAsia="en-GB"/>
              </w:rPr>
              <w:t>Barnet</w:t>
            </w:r>
          </w:p>
        </w:tc>
        <w:tc>
          <w:tcPr>
            <w:tcW w:w="2268" w:type="dxa"/>
            <w:gridSpan w:val="2"/>
            <w:shd w:val="clear" w:color="auto" w:fill="BFBFBF" w:themeFill="background1" w:themeFillShade="BF"/>
            <w:noWrap/>
            <w:vAlign w:val="center"/>
            <w:hideMark/>
          </w:tcPr>
          <w:p w:rsidR="007547D4" w:rsidRPr="006F2BD9" w:rsidRDefault="007547D4" w:rsidP="00031B92">
            <w:pPr>
              <w:jc w:val="center"/>
              <w:rPr>
                <w:rFonts w:eastAsia="Times New Roman" w:cs="Arial"/>
                <w:b/>
                <w:bCs/>
                <w:lang w:eastAsia="en-GB"/>
              </w:rPr>
            </w:pPr>
            <w:r w:rsidRPr="006F2BD9">
              <w:rPr>
                <w:rFonts w:eastAsia="Times New Roman" w:cs="Arial"/>
                <w:b/>
                <w:bCs/>
                <w:lang w:eastAsia="en-GB"/>
              </w:rPr>
              <w:t>Outer London</w:t>
            </w:r>
          </w:p>
        </w:tc>
        <w:tc>
          <w:tcPr>
            <w:tcW w:w="2343" w:type="dxa"/>
            <w:gridSpan w:val="2"/>
            <w:shd w:val="clear" w:color="auto" w:fill="BFBFBF" w:themeFill="background1" w:themeFillShade="BF"/>
            <w:noWrap/>
            <w:vAlign w:val="center"/>
            <w:hideMark/>
          </w:tcPr>
          <w:p w:rsidR="007547D4" w:rsidRPr="006F2BD9" w:rsidRDefault="007547D4" w:rsidP="00031B92">
            <w:pPr>
              <w:jc w:val="center"/>
              <w:rPr>
                <w:rFonts w:eastAsia="Times New Roman" w:cs="Arial"/>
                <w:b/>
                <w:bCs/>
                <w:lang w:eastAsia="en-GB"/>
              </w:rPr>
            </w:pPr>
            <w:r w:rsidRPr="006F2BD9">
              <w:rPr>
                <w:rFonts w:eastAsia="Times New Roman" w:cs="Arial"/>
                <w:b/>
                <w:bCs/>
                <w:lang w:eastAsia="en-GB"/>
              </w:rPr>
              <w:t>England and Wales</w:t>
            </w:r>
          </w:p>
        </w:tc>
      </w:tr>
      <w:tr w:rsidR="007547D4" w:rsidRPr="006F2BD9" w:rsidTr="00031B92">
        <w:trPr>
          <w:trHeight w:val="522"/>
          <w:jc w:val="center"/>
        </w:trPr>
        <w:tc>
          <w:tcPr>
            <w:tcW w:w="2802" w:type="dxa"/>
            <w:shd w:val="clear" w:color="auto" w:fill="BFBFBF" w:themeFill="background1" w:themeFillShade="BF"/>
            <w:noWrap/>
            <w:vAlign w:val="center"/>
            <w:hideMark/>
          </w:tcPr>
          <w:p w:rsidR="007547D4" w:rsidRPr="006F2BD9" w:rsidRDefault="007547D4" w:rsidP="00031B92">
            <w:pPr>
              <w:rPr>
                <w:rFonts w:eastAsia="Times New Roman" w:cs="Arial"/>
                <w:lang w:eastAsia="en-GB"/>
              </w:rPr>
            </w:pPr>
          </w:p>
        </w:tc>
        <w:tc>
          <w:tcPr>
            <w:tcW w:w="992" w:type="dxa"/>
            <w:shd w:val="clear" w:color="auto" w:fill="BFBFBF" w:themeFill="background1" w:themeFillShade="BF"/>
            <w:vAlign w:val="center"/>
            <w:hideMark/>
          </w:tcPr>
          <w:p w:rsidR="007547D4" w:rsidRPr="006F2BD9" w:rsidRDefault="007547D4" w:rsidP="00031B92">
            <w:pPr>
              <w:jc w:val="center"/>
              <w:rPr>
                <w:rFonts w:eastAsia="Times New Roman" w:cs="Arial"/>
                <w:b/>
                <w:bCs/>
                <w:lang w:eastAsia="en-GB"/>
              </w:rPr>
            </w:pPr>
            <w:r w:rsidRPr="006F2BD9">
              <w:rPr>
                <w:rFonts w:eastAsia="Times New Roman" w:cs="Arial"/>
                <w:b/>
                <w:bCs/>
                <w:lang w:eastAsia="en-GB"/>
              </w:rPr>
              <w:t>Number</w:t>
            </w:r>
          </w:p>
        </w:tc>
        <w:tc>
          <w:tcPr>
            <w:tcW w:w="1417" w:type="dxa"/>
            <w:shd w:val="clear" w:color="auto" w:fill="BFBFBF" w:themeFill="background1" w:themeFillShade="BF"/>
            <w:vAlign w:val="center"/>
            <w:hideMark/>
          </w:tcPr>
          <w:p w:rsidR="007547D4" w:rsidRPr="006F2BD9" w:rsidRDefault="007547D4" w:rsidP="00031B92">
            <w:pPr>
              <w:jc w:val="center"/>
              <w:rPr>
                <w:rFonts w:eastAsia="Times New Roman" w:cs="Arial"/>
                <w:b/>
                <w:bCs/>
                <w:lang w:eastAsia="en-GB"/>
              </w:rPr>
            </w:pPr>
            <w:r w:rsidRPr="006F2BD9">
              <w:rPr>
                <w:rFonts w:eastAsia="Times New Roman" w:cs="Arial"/>
                <w:b/>
                <w:bCs/>
                <w:lang w:eastAsia="en-GB"/>
              </w:rPr>
              <w:t>% of 16-64 Population</w:t>
            </w:r>
          </w:p>
        </w:tc>
        <w:tc>
          <w:tcPr>
            <w:tcW w:w="993" w:type="dxa"/>
            <w:shd w:val="clear" w:color="auto" w:fill="BFBFBF" w:themeFill="background1" w:themeFillShade="BF"/>
            <w:vAlign w:val="center"/>
            <w:hideMark/>
          </w:tcPr>
          <w:p w:rsidR="007547D4" w:rsidRPr="006F2BD9" w:rsidRDefault="007547D4" w:rsidP="00031B92">
            <w:pPr>
              <w:jc w:val="center"/>
              <w:rPr>
                <w:rFonts w:eastAsia="Times New Roman" w:cs="Arial"/>
                <w:b/>
                <w:bCs/>
                <w:lang w:eastAsia="en-GB"/>
              </w:rPr>
            </w:pPr>
            <w:r w:rsidRPr="006F2BD9">
              <w:rPr>
                <w:rFonts w:eastAsia="Times New Roman" w:cs="Arial"/>
                <w:b/>
                <w:bCs/>
                <w:lang w:eastAsia="en-GB"/>
              </w:rPr>
              <w:t>Number</w:t>
            </w:r>
          </w:p>
        </w:tc>
        <w:tc>
          <w:tcPr>
            <w:tcW w:w="1275" w:type="dxa"/>
            <w:shd w:val="clear" w:color="auto" w:fill="BFBFBF" w:themeFill="background1" w:themeFillShade="BF"/>
            <w:vAlign w:val="center"/>
            <w:hideMark/>
          </w:tcPr>
          <w:p w:rsidR="007547D4" w:rsidRPr="006F2BD9" w:rsidRDefault="007547D4" w:rsidP="00031B92">
            <w:pPr>
              <w:jc w:val="center"/>
              <w:rPr>
                <w:rFonts w:eastAsia="Times New Roman" w:cs="Arial"/>
                <w:b/>
                <w:bCs/>
                <w:lang w:eastAsia="en-GB"/>
              </w:rPr>
            </w:pPr>
            <w:r w:rsidRPr="006F2BD9">
              <w:rPr>
                <w:rFonts w:eastAsia="Times New Roman" w:cs="Arial"/>
                <w:b/>
                <w:bCs/>
                <w:lang w:eastAsia="en-GB"/>
              </w:rPr>
              <w:t>% of 16-64 Population</w:t>
            </w:r>
          </w:p>
        </w:tc>
        <w:tc>
          <w:tcPr>
            <w:tcW w:w="1107" w:type="dxa"/>
            <w:shd w:val="clear" w:color="auto" w:fill="BFBFBF" w:themeFill="background1" w:themeFillShade="BF"/>
            <w:vAlign w:val="center"/>
            <w:hideMark/>
          </w:tcPr>
          <w:p w:rsidR="007547D4" w:rsidRPr="006F2BD9" w:rsidRDefault="007547D4" w:rsidP="00031B92">
            <w:pPr>
              <w:jc w:val="center"/>
              <w:rPr>
                <w:rFonts w:eastAsia="Times New Roman" w:cs="Arial"/>
                <w:b/>
                <w:bCs/>
                <w:lang w:eastAsia="en-GB"/>
              </w:rPr>
            </w:pPr>
            <w:r w:rsidRPr="006F2BD9">
              <w:rPr>
                <w:rFonts w:eastAsia="Times New Roman" w:cs="Arial"/>
                <w:b/>
                <w:bCs/>
                <w:lang w:eastAsia="en-GB"/>
              </w:rPr>
              <w:t>Number</w:t>
            </w:r>
          </w:p>
        </w:tc>
        <w:tc>
          <w:tcPr>
            <w:tcW w:w="1236" w:type="dxa"/>
            <w:shd w:val="clear" w:color="auto" w:fill="BFBFBF" w:themeFill="background1" w:themeFillShade="BF"/>
            <w:vAlign w:val="center"/>
            <w:hideMark/>
          </w:tcPr>
          <w:p w:rsidR="007547D4" w:rsidRPr="006F2BD9" w:rsidRDefault="007547D4" w:rsidP="00031B92">
            <w:pPr>
              <w:jc w:val="center"/>
              <w:rPr>
                <w:rFonts w:eastAsia="Times New Roman" w:cs="Arial"/>
                <w:b/>
                <w:bCs/>
                <w:lang w:eastAsia="en-GB"/>
              </w:rPr>
            </w:pPr>
            <w:r w:rsidRPr="006F2BD9">
              <w:rPr>
                <w:rFonts w:eastAsia="Times New Roman" w:cs="Arial"/>
                <w:b/>
                <w:bCs/>
                <w:lang w:eastAsia="en-GB"/>
              </w:rPr>
              <w:t>% of 16-64 Population</w:t>
            </w:r>
          </w:p>
        </w:tc>
      </w:tr>
      <w:tr w:rsidR="007547D4" w:rsidRPr="006F2BD9" w:rsidTr="00031B92">
        <w:trPr>
          <w:trHeight w:val="300"/>
          <w:jc w:val="center"/>
        </w:trPr>
        <w:tc>
          <w:tcPr>
            <w:tcW w:w="2802" w:type="dxa"/>
            <w:noWrap/>
            <w:vAlign w:val="center"/>
            <w:hideMark/>
          </w:tcPr>
          <w:p w:rsidR="007547D4" w:rsidRPr="006F2BD9" w:rsidRDefault="007547D4" w:rsidP="00031B92">
            <w:pPr>
              <w:rPr>
                <w:rFonts w:eastAsia="Times New Roman" w:cs="Arial"/>
                <w:lang w:eastAsia="en-GB"/>
              </w:rPr>
            </w:pPr>
            <w:r w:rsidRPr="006F2BD9">
              <w:rPr>
                <w:rFonts w:eastAsia="Times New Roman" w:cs="Arial"/>
                <w:lang w:eastAsia="en-GB"/>
              </w:rPr>
              <w:t>Total Claimants</w:t>
            </w:r>
          </w:p>
        </w:tc>
        <w:tc>
          <w:tcPr>
            <w:tcW w:w="992" w:type="dxa"/>
            <w:noWrap/>
            <w:vAlign w:val="center"/>
            <w:hideMark/>
          </w:tcPr>
          <w:p w:rsidR="007547D4" w:rsidRPr="006F2BD9" w:rsidRDefault="007547D4" w:rsidP="00031B92">
            <w:pPr>
              <w:jc w:val="center"/>
              <w:rPr>
                <w:rFonts w:eastAsia="Times New Roman" w:cs="Arial"/>
                <w:lang w:eastAsia="en-GB"/>
              </w:rPr>
            </w:pPr>
            <w:r w:rsidRPr="006F2BD9">
              <w:rPr>
                <w:rFonts w:eastAsia="Times New Roman" w:cs="Arial"/>
                <w:lang w:eastAsia="en-GB"/>
              </w:rPr>
              <w:t>22,410</w:t>
            </w:r>
          </w:p>
        </w:tc>
        <w:tc>
          <w:tcPr>
            <w:tcW w:w="1417" w:type="dxa"/>
            <w:noWrap/>
            <w:vAlign w:val="center"/>
            <w:hideMark/>
          </w:tcPr>
          <w:p w:rsidR="007547D4" w:rsidRPr="006F2BD9" w:rsidRDefault="007547D4" w:rsidP="00031B92">
            <w:pPr>
              <w:jc w:val="center"/>
              <w:rPr>
                <w:rFonts w:eastAsia="Times New Roman" w:cs="Arial"/>
                <w:lang w:eastAsia="en-GB"/>
              </w:rPr>
            </w:pPr>
            <w:r w:rsidRPr="006F2BD9">
              <w:rPr>
                <w:rFonts w:eastAsia="Times New Roman" w:cs="Arial"/>
                <w:lang w:eastAsia="en-GB"/>
              </w:rPr>
              <w:t>9.5%</w:t>
            </w:r>
          </w:p>
        </w:tc>
        <w:tc>
          <w:tcPr>
            <w:tcW w:w="993" w:type="dxa"/>
            <w:noWrap/>
            <w:vAlign w:val="center"/>
            <w:hideMark/>
          </w:tcPr>
          <w:p w:rsidR="007547D4" w:rsidRPr="006F2BD9" w:rsidRDefault="007547D4" w:rsidP="00031B92">
            <w:pPr>
              <w:jc w:val="center"/>
              <w:rPr>
                <w:rFonts w:eastAsia="Times New Roman" w:cs="Arial"/>
                <w:lang w:eastAsia="en-GB"/>
              </w:rPr>
            </w:pPr>
            <w:r w:rsidRPr="006F2BD9">
              <w:rPr>
                <w:rFonts w:eastAsia="Times New Roman" w:cs="Arial"/>
                <w:lang w:eastAsia="en-GB"/>
              </w:rPr>
              <w:t>361,200</w:t>
            </w:r>
          </w:p>
        </w:tc>
        <w:tc>
          <w:tcPr>
            <w:tcW w:w="1275" w:type="dxa"/>
            <w:noWrap/>
            <w:vAlign w:val="center"/>
            <w:hideMark/>
          </w:tcPr>
          <w:p w:rsidR="007547D4" w:rsidRPr="006F2BD9" w:rsidRDefault="007547D4" w:rsidP="00031B92">
            <w:pPr>
              <w:jc w:val="center"/>
              <w:rPr>
                <w:rFonts w:eastAsia="Times New Roman" w:cs="Arial"/>
                <w:lang w:eastAsia="en-GB"/>
              </w:rPr>
            </w:pPr>
            <w:r w:rsidRPr="006F2BD9">
              <w:rPr>
                <w:rFonts w:eastAsia="Times New Roman" w:cs="Arial"/>
                <w:lang w:eastAsia="en-GB"/>
              </w:rPr>
              <w:t>10.8%</w:t>
            </w:r>
          </w:p>
        </w:tc>
        <w:tc>
          <w:tcPr>
            <w:tcW w:w="1107" w:type="dxa"/>
            <w:noWrap/>
            <w:vAlign w:val="center"/>
            <w:hideMark/>
          </w:tcPr>
          <w:p w:rsidR="007547D4" w:rsidRPr="006F2BD9" w:rsidRDefault="007547D4" w:rsidP="00031B92">
            <w:pPr>
              <w:jc w:val="center"/>
              <w:rPr>
                <w:rFonts w:eastAsia="Times New Roman" w:cs="Arial"/>
                <w:lang w:eastAsia="en-GB"/>
              </w:rPr>
            </w:pPr>
            <w:r w:rsidRPr="006F2BD9">
              <w:rPr>
                <w:rFonts w:eastAsia="Times New Roman" w:cs="Arial"/>
                <w:lang w:eastAsia="en-GB"/>
              </w:rPr>
              <w:t>4,553,720</w:t>
            </w:r>
          </w:p>
        </w:tc>
        <w:tc>
          <w:tcPr>
            <w:tcW w:w="1236" w:type="dxa"/>
            <w:noWrap/>
            <w:vAlign w:val="center"/>
            <w:hideMark/>
          </w:tcPr>
          <w:p w:rsidR="007547D4" w:rsidRPr="006F2BD9" w:rsidRDefault="007547D4" w:rsidP="00031B92">
            <w:pPr>
              <w:jc w:val="center"/>
              <w:rPr>
                <w:rFonts w:eastAsia="Times New Roman" w:cs="Arial"/>
                <w:lang w:eastAsia="en-GB"/>
              </w:rPr>
            </w:pPr>
            <w:r w:rsidRPr="006F2BD9">
              <w:rPr>
                <w:rFonts w:eastAsia="Times New Roman" w:cs="Arial"/>
                <w:lang w:eastAsia="en-GB"/>
              </w:rPr>
              <w:t>12.6%</w:t>
            </w:r>
          </w:p>
        </w:tc>
      </w:tr>
      <w:tr w:rsidR="007547D4" w:rsidRPr="006F2BD9" w:rsidTr="00031B92">
        <w:trPr>
          <w:trHeight w:val="300"/>
          <w:jc w:val="center"/>
        </w:trPr>
        <w:tc>
          <w:tcPr>
            <w:tcW w:w="2802" w:type="dxa"/>
            <w:noWrap/>
            <w:vAlign w:val="center"/>
            <w:hideMark/>
          </w:tcPr>
          <w:p w:rsidR="007547D4" w:rsidRPr="006F2BD9" w:rsidRDefault="007547D4" w:rsidP="00031B92">
            <w:pPr>
              <w:rPr>
                <w:rFonts w:eastAsia="Times New Roman" w:cs="Arial"/>
                <w:b/>
                <w:bCs/>
                <w:lang w:eastAsia="en-GB"/>
              </w:rPr>
            </w:pPr>
            <w:r w:rsidRPr="006F2BD9">
              <w:rPr>
                <w:rFonts w:eastAsia="Times New Roman" w:cs="Arial"/>
                <w:b/>
                <w:bCs/>
                <w:lang w:eastAsia="en-GB"/>
              </w:rPr>
              <w:t>By Statistical Group</w:t>
            </w:r>
          </w:p>
        </w:tc>
        <w:tc>
          <w:tcPr>
            <w:tcW w:w="992" w:type="dxa"/>
            <w:noWrap/>
            <w:vAlign w:val="center"/>
            <w:hideMark/>
          </w:tcPr>
          <w:p w:rsidR="007547D4" w:rsidRPr="006F2BD9" w:rsidRDefault="007547D4" w:rsidP="00031B92">
            <w:pPr>
              <w:jc w:val="center"/>
              <w:rPr>
                <w:rFonts w:eastAsia="Times New Roman" w:cs="Arial"/>
                <w:lang w:eastAsia="en-GB"/>
              </w:rPr>
            </w:pPr>
          </w:p>
        </w:tc>
        <w:tc>
          <w:tcPr>
            <w:tcW w:w="1417" w:type="dxa"/>
            <w:noWrap/>
            <w:vAlign w:val="center"/>
            <w:hideMark/>
          </w:tcPr>
          <w:p w:rsidR="007547D4" w:rsidRPr="006F2BD9" w:rsidRDefault="007547D4" w:rsidP="00031B92">
            <w:pPr>
              <w:jc w:val="center"/>
              <w:rPr>
                <w:rFonts w:eastAsia="Times New Roman" w:cs="Arial"/>
                <w:lang w:eastAsia="en-GB"/>
              </w:rPr>
            </w:pPr>
          </w:p>
        </w:tc>
        <w:tc>
          <w:tcPr>
            <w:tcW w:w="993" w:type="dxa"/>
            <w:noWrap/>
            <w:vAlign w:val="center"/>
            <w:hideMark/>
          </w:tcPr>
          <w:p w:rsidR="007547D4" w:rsidRPr="006F2BD9" w:rsidRDefault="007547D4" w:rsidP="00031B92">
            <w:pPr>
              <w:jc w:val="center"/>
              <w:rPr>
                <w:rFonts w:eastAsia="Times New Roman" w:cs="Arial"/>
                <w:lang w:eastAsia="en-GB"/>
              </w:rPr>
            </w:pPr>
          </w:p>
        </w:tc>
        <w:tc>
          <w:tcPr>
            <w:tcW w:w="1275" w:type="dxa"/>
            <w:noWrap/>
            <w:vAlign w:val="center"/>
            <w:hideMark/>
          </w:tcPr>
          <w:p w:rsidR="007547D4" w:rsidRPr="006F2BD9" w:rsidRDefault="007547D4" w:rsidP="00031B92">
            <w:pPr>
              <w:jc w:val="center"/>
              <w:rPr>
                <w:rFonts w:eastAsia="Times New Roman" w:cs="Arial"/>
                <w:lang w:eastAsia="en-GB"/>
              </w:rPr>
            </w:pPr>
          </w:p>
        </w:tc>
        <w:tc>
          <w:tcPr>
            <w:tcW w:w="1107" w:type="dxa"/>
            <w:noWrap/>
            <w:vAlign w:val="center"/>
            <w:hideMark/>
          </w:tcPr>
          <w:p w:rsidR="007547D4" w:rsidRPr="006F2BD9" w:rsidRDefault="007547D4" w:rsidP="00031B92">
            <w:pPr>
              <w:jc w:val="center"/>
              <w:rPr>
                <w:rFonts w:eastAsia="Times New Roman" w:cs="Arial"/>
                <w:lang w:eastAsia="en-GB"/>
              </w:rPr>
            </w:pPr>
          </w:p>
        </w:tc>
        <w:tc>
          <w:tcPr>
            <w:tcW w:w="1236" w:type="dxa"/>
            <w:noWrap/>
            <w:vAlign w:val="center"/>
            <w:hideMark/>
          </w:tcPr>
          <w:p w:rsidR="007547D4" w:rsidRPr="006F2BD9" w:rsidRDefault="007547D4" w:rsidP="00031B92">
            <w:pPr>
              <w:jc w:val="center"/>
              <w:rPr>
                <w:rFonts w:eastAsia="Times New Roman" w:cs="Arial"/>
                <w:lang w:eastAsia="en-GB"/>
              </w:rPr>
            </w:pPr>
          </w:p>
        </w:tc>
      </w:tr>
      <w:tr w:rsidR="007547D4" w:rsidRPr="006F2BD9" w:rsidTr="00031B92">
        <w:trPr>
          <w:trHeight w:val="300"/>
          <w:jc w:val="center"/>
        </w:trPr>
        <w:tc>
          <w:tcPr>
            <w:tcW w:w="2802" w:type="dxa"/>
            <w:noWrap/>
            <w:vAlign w:val="center"/>
            <w:hideMark/>
          </w:tcPr>
          <w:p w:rsidR="007547D4" w:rsidRPr="006F2BD9" w:rsidRDefault="007547D4" w:rsidP="00031B92">
            <w:pPr>
              <w:rPr>
                <w:rFonts w:eastAsia="Times New Roman" w:cs="Arial"/>
                <w:lang w:eastAsia="en-GB"/>
              </w:rPr>
            </w:pPr>
            <w:r w:rsidRPr="006F2BD9">
              <w:rPr>
                <w:rFonts w:eastAsia="Times New Roman" w:cs="Arial"/>
                <w:lang w:eastAsia="en-GB"/>
              </w:rPr>
              <w:t>Job seekers</w:t>
            </w:r>
          </w:p>
        </w:tc>
        <w:tc>
          <w:tcPr>
            <w:tcW w:w="992" w:type="dxa"/>
            <w:noWrap/>
            <w:vAlign w:val="center"/>
            <w:hideMark/>
          </w:tcPr>
          <w:p w:rsidR="007547D4" w:rsidRPr="006F2BD9" w:rsidRDefault="007547D4" w:rsidP="00031B92">
            <w:pPr>
              <w:jc w:val="center"/>
              <w:rPr>
                <w:rFonts w:eastAsia="Times New Roman" w:cs="Arial"/>
                <w:lang w:eastAsia="en-GB"/>
              </w:rPr>
            </w:pPr>
            <w:r w:rsidRPr="006F2BD9">
              <w:rPr>
                <w:rFonts w:eastAsia="Times New Roman" w:cs="Arial"/>
                <w:lang w:eastAsia="en-GB"/>
              </w:rPr>
              <w:t>4,150</w:t>
            </w:r>
          </w:p>
        </w:tc>
        <w:tc>
          <w:tcPr>
            <w:tcW w:w="1417" w:type="dxa"/>
            <w:noWrap/>
            <w:vAlign w:val="center"/>
            <w:hideMark/>
          </w:tcPr>
          <w:p w:rsidR="007547D4" w:rsidRPr="006F2BD9" w:rsidRDefault="007547D4" w:rsidP="00031B92">
            <w:pPr>
              <w:jc w:val="center"/>
              <w:rPr>
                <w:rFonts w:eastAsia="Times New Roman" w:cs="Arial"/>
                <w:lang w:eastAsia="en-GB"/>
              </w:rPr>
            </w:pPr>
            <w:r w:rsidRPr="006F2BD9">
              <w:rPr>
                <w:rFonts w:eastAsia="Times New Roman" w:cs="Arial"/>
                <w:lang w:eastAsia="en-GB"/>
              </w:rPr>
              <w:t>1.8%</w:t>
            </w:r>
          </w:p>
        </w:tc>
        <w:tc>
          <w:tcPr>
            <w:tcW w:w="993" w:type="dxa"/>
            <w:noWrap/>
            <w:vAlign w:val="center"/>
            <w:hideMark/>
          </w:tcPr>
          <w:p w:rsidR="007547D4" w:rsidRPr="006F2BD9" w:rsidRDefault="007547D4" w:rsidP="00031B92">
            <w:pPr>
              <w:jc w:val="center"/>
              <w:rPr>
                <w:rFonts w:eastAsia="Times New Roman" w:cs="Arial"/>
                <w:lang w:eastAsia="en-GB"/>
              </w:rPr>
            </w:pPr>
            <w:r w:rsidRPr="006F2BD9">
              <w:rPr>
                <w:rFonts w:eastAsia="Times New Roman" w:cs="Arial"/>
                <w:lang w:eastAsia="en-GB"/>
              </w:rPr>
              <w:t>70,940</w:t>
            </w:r>
          </w:p>
        </w:tc>
        <w:tc>
          <w:tcPr>
            <w:tcW w:w="1275" w:type="dxa"/>
            <w:noWrap/>
            <w:vAlign w:val="center"/>
            <w:hideMark/>
          </w:tcPr>
          <w:p w:rsidR="007547D4" w:rsidRPr="006F2BD9" w:rsidRDefault="007547D4" w:rsidP="00031B92">
            <w:pPr>
              <w:jc w:val="center"/>
              <w:rPr>
                <w:rFonts w:eastAsia="Times New Roman" w:cs="Arial"/>
                <w:lang w:eastAsia="en-GB"/>
              </w:rPr>
            </w:pPr>
            <w:r w:rsidRPr="006F2BD9">
              <w:rPr>
                <w:rFonts w:eastAsia="Times New Roman" w:cs="Arial"/>
                <w:lang w:eastAsia="en-GB"/>
              </w:rPr>
              <w:t>2.1%</w:t>
            </w:r>
          </w:p>
        </w:tc>
        <w:tc>
          <w:tcPr>
            <w:tcW w:w="1107" w:type="dxa"/>
            <w:noWrap/>
            <w:vAlign w:val="center"/>
            <w:hideMark/>
          </w:tcPr>
          <w:p w:rsidR="007547D4" w:rsidRPr="006F2BD9" w:rsidRDefault="007547D4" w:rsidP="00031B92">
            <w:pPr>
              <w:jc w:val="center"/>
              <w:rPr>
                <w:rFonts w:eastAsia="Times New Roman" w:cs="Arial"/>
                <w:lang w:eastAsia="en-GB"/>
              </w:rPr>
            </w:pPr>
            <w:r w:rsidRPr="006F2BD9">
              <w:rPr>
                <w:rFonts w:eastAsia="Times New Roman" w:cs="Arial"/>
                <w:lang w:eastAsia="en-GB"/>
              </w:rPr>
              <w:t>773,250</w:t>
            </w:r>
          </w:p>
        </w:tc>
        <w:tc>
          <w:tcPr>
            <w:tcW w:w="1236" w:type="dxa"/>
            <w:noWrap/>
            <w:vAlign w:val="center"/>
            <w:hideMark/>
          </w:tcPr>
          <w:p w:rsidR="007547D4" w:rsidRPr="006F2BD9" w:rsidRDefault="007547D4" w:rsidP="00031B92">
            <w:pPr>
              <w:jc w:val="center"/>
              <w:rPr>
                <w:rFonts w:eastAsia="Times New Roman" w:cs="Arial"/>
                <w:lang w:eastAsia="en-GB"/>
              </w:rPr>
            </w:pPr>
            <w:r w:rsidRPr="006F2BD9">
              <w:rPr>
                <w:rFonts w:eastAsia="Times New Roman" w:cs="Arial"/>
                <w:lang w:eastAsia="en-GB"/>
              </w:rPr>
              <w:t>2.1%</w:t>
            </w:r>
          </w:p>
        </w:tc>
      </w:tr>
      <w:tr w:rsidR="007547D4" w:rsidRPr="006F2BD9" w:rsidTr="00031B92">
        <w:trPr>
          <w:trHeight w:val="300"/>
          <w:jc w:val="center"/>
        </w:trPr>
        <w:tc>
          <w:tcPr>
            <w:tcW w:w="2802" w:type="dxa"/>
            <w:noWrap/>
            <w:vAlign w:val="center"/>
            <w:hideMark/>
          </w:tcPr>
          <w:p w:rsidR="007547D4" w:rsidRPr="006F2BD9" w:rsidRDefault="007547D4" w:rsidP="00031B92">
            <w:pPr>
              <w:rPr>
                <w:rFonts w:eastAsia="Times New Roman" w:cs="Arial"/>
                <w:lang w:eastAsia="en-GB"/>
              </w:rPr>
            </w:pPr>
            <w:r w:rsidRPr="006F2BD9">
              <w:rPr>
                <w:rFonts w:eastAsia="Times New Roman" w:cs="Arial"/>
                <w:lang w:eastAsia="en-GB"/>
              </w:rPr>
              <w:t>ESA and incapacity benefits</w:t>
            </w:r>
          </w:p>
        </w:tc>
        <w:tc>
          <w:tcPr>
            <w:tcW w:w="992" w:type="dxa"/>
            <w:noWrap/>
            <w:vAlign w:val="center"/>
            <w:hideMark/>
          </w:tcPr>
          <w:p w:rsidR="007547D4" w:rsidRPr="006F2BD9" w:rsidRDefault="007547D4" w:rsidP="00031B92">
            <w:pPr>
              <w:jc w:val="center"/>
              <w:rPr>
                <w:rFonts w:eastAsia="Times New Roman" w:cs="Arial"/>
                <w:lang w:eastAsia="en-GB"/>
              </w:rPr>
            </w:pPr>
            <w:r w:rsidRPr="006F2BD9">
              <w:rPr>
                <w:rFonts w:eastAsia="Times New Roman" w:cs="Arial"/>
                <w:lang w:eastAsia="en-GB"/>
              </w:rPr>
              <w:t>11,030</w:t>
            </w:r>
          </w:p>
        </w:tc>
        <w:tc>
          <w:tcPr>
            <w:tcW w:w="1417" w:type="dxa"/>
            <w:noWrap/>
            <w:vAlign w:val="center"/>
            <w:hideMark/>
          </w:tcPr>
          <w:p w:rsidR="007547D4" w:rsidRPr="006F2BD9" w:rsidRDefault="007547D4" w:rsidP="00031B92">
            <w:pPr>
              <w:jc w:val="center"/>
              <w:rPr>
                <w:rFonts w:eastAsia="Times New Roman" w:cs="Arial"/>
                <w:lang w:eastAsia="en-GB"/>
              </w:rPr>
            </w:pPr>
            <w:r w:rsidRPr="006F2BD9">
              <w:rPr>
                <w:rFonts w:eastAsia="Times New Roman" w:cs="Arial"/>
                <w:lang w:eastAsia="en-GB"/>
              </w:rPr>
              <w:t>4.7%</w:t>
            </w:r>
          </w:p>
        </w:tc>
        <w:tc>
          <w:tcPr>
            <w:tcW w:w="993" w:type="dxa"/>
            <w:noWrap/>
            <w:vAlign w:val="center"/>
            <w:hideMark/>
          </w:tcPr>
          <w:p w:rsidR="007547D4" w:rsidRPr="006F2BD9" w:rsidRDefault="007547D4" w:rsidP="00031B92">
            <w:pPr>
              <w:jc w:val="center"/>
              <w:rPr>
                <w:rFonts w:eastAsia="Times New Roman" w:cs="Arial"/>
                <w:lang w:eastAsia="en-GB"/>
              </w:rPr>
            </w:pPr>
            <w:r w:rsidRPr="006F2BD9">
              <w:rPr>
                <w:rFonts w:eastAsia="Times New Roman" w:cs="Arial"/>
                <w:lang w:eastAsia="en-GB"/>
              </w:rPr>
              <w:t>167,350</w:t>
            </w:r>
          </w:p>
        </w:tc>
        <w:tc>
          <w:tcPr>
            <w:tcW w:w="1275" w:type="dxa"/>
            <w:noWrap/>
            <w:vAlign w:val="center"/>
            <w:hideMark/>
          </w:tcPr>
          <w:p w:rsidR="007547D4" w:rsidRPr="006F2BD9" w:rsidRDefault="007547D4" w:rsidP="00031B92">
            <w:pPr>
              <w:jc w:val="center"/>
              <w:rPr>
                <w:rFonts w:eastAsia="Times New Roman" w:cs="Arial"/>
                <w:lang w:eastAsia="en-GB"/>
              </w:rPr>
            </w:pPr>
            <w:r w:rsidRPr="006F2BD9">
              <w:rPr>
                <w:rFonts w:eastAsia="Times New Roman" w:cs="Arial"/>
                <w:lang w:eastAsia="en-GB"/>
              </w:rPr>
              <w:t>5.0%</w:t>
            </w:r>
          </w:p>
        </w:tc>
        <w:tc>
          <w:tcPr>
            <w:tcW w:w="1107" w:type="dxa"/>
            <w:noWrap/>
            <w:vAlign w:val="center"/>
            <w:hideMark/>
          </w:tcPr>
          <w:p w:rsidR="007547D4" w:rsidRPr="006F2BD9" w:rsidRDefault="007547D4" w:rsidP="00031B92">
            <w:pPr>
              <w:jc w:val="center"/>
              <w:rPr>
                <w:rFonts w:eastAsia="Times New Roman" w:cs="Arial"/>
                <w:lang w:eastAsia="en-GB"/>
              </w:rPr>
            </w:pPr>
            <w:r w:rsidRPr="006F2BD9">
              <w:rPr>
                <w:rFonts w:eastAsia="Times New Roman" w:cs="Arial"/>
                <w:lang w:eastAsia="en-GB"/>
              </w:rPr>
              <w:t>2,229,760</w:t>
            </w:r>
          </w:p>
        </w:tc>
        <w:tc>
          <w:tcPr>
            <w:tcW w:w="1236" w:type="dxa"/>
            <w:noWrap/>
            <w:vAlign w:val="center"/>
            <w:hideMark/>
          </w:tcPr>
          <w:p w:rsidR="007547D4" w:rsidRPr="006F2BD9" w:rsidRDefault="007547D4" w:rsidP="00031B92">
            <w:pPr>
              <w:jc w:val="center"/>
              <w:rPr>
                <w:rFonts w:eastAsia="Times New Roman" w:cs="Arial"/>
                <w:lang w:eastAsia="en-GB"/>
              </w:rPr>
            </w:pPr>
            <w:r w:rsidRPr="006F2BD9">
              <w:rPr>
                <w:rFonts w:eastAsia="Times New Roman" w:cs="Arial"/>
                <w:lang w:eastAsia="en-GB"/>
              </w:rPr>
              <w:t>6.1%</w:t>
            </w:r>
          </w:p>
        </w:tc>
      </w:tr>
      <w:tr w:rsidR="007547D4" w:rsidRPr="006F2BD9" w:rsidTr="00031B92">
        <w:trPr>
          <w:trHeight w:val="300"/>
          <w:jc w:val="center"/>
        </w:trPr>
        <w:tc>
          <w:tcPr>
            <w:tcW w:w="2802" w:type="dxa"/>
            <w:noWrap/>
            <w:vAlign w:val="center"/>
            <w:hideMark/>
          </w:tcPr>
          <w:p w:rsidR="007547D4" w:rsidRPr="006F2BD9" w:rsidRDefault="007547D4" w:rsidP="00031B92">
            <w:pPr>
              <w:rPr>
                <w:rFonts w:eastAsia="Times New Roman" w:cs="Arial"/>
                <w:lang w:eastAsia="en-GB"/>
              </w:rPr>
            </w:pPr>
            <w:r w:rsidRPr="006F2BD9">
              <w:rPr>
                <w:rFonts w:eastAsia="Times New Roman" w:cs="Arial"/>
                <w:lang w:eastAsia="en-GB"/>
              </w:rPr>
              <w:t>Lone parent</w:t>
            </w:r>
          </w:p>
        </w:tc>
        <w:tc>
          <w:tcPr>
            <w:tcW w:w="992" w:type="dxa"/>
            <w:noWrap/>
            <w:vAlign w:val="center"/>
            <w:hideMark/>
          </w:tcPr>
          <w:p w:rsidR="007547D4" w:rsidRPr="006F2BD9" w:rsidRDefault="007547D4" w:rsidP="00031B92">
            <w:pPr>
              <w:jc w:val="center"/>
              <w:rPr>
                <w:rFonts w:eastAsia="Times New Roman" w:cs="Arial"/>
                <w:lang w:eastAsia="en-GB"/>
              </w:rPr>
            </w:pPr>
            <w:r w:rsidRPr="006F2BD9">
              <w:rPr>
                <w:rFonts w:eastAsia="Times New Roman" w:cs="Arial"/>
                <w:lang w:eastAsia="en-GB"/>
              </w:rPr>
              <w:t>2,160</w:t>
            </w:r>
          </w:p>
        </w:tc>
        <w:tc>
          <w:tcPr>
            <w:tcW w:w="1417" w:type="dxa"/>
            <w:noWrap/>
            <w:vAlign w:val="center"/>
            <w:hideMark/>
          </w:tcPr>
          <w:p w:rsidR="007547D4" w:rsidRPr="006F2BD9" w:rsidRDefault="007547D4" w:rsidP="00031B92">
            <w:pPr>
              <w:jc w:val="center"/>
              <w:rPr>
                <w:rFonts w:eastAsia="Times New Roman" w:cs="Arial"/>
                <w:lang w:eastAsia="en-GB"/>
              </w:rPr>
            </w:pPr>
            <w:r w:rsidRPr="006F2BD9">
              <w:rPr>
                <w:rFonts w:eastAsia="Times New Roman" w:cs="Arial"/>
                <w:lang w:eastAsia="en-GB"/>
              </w:rPr>
              <w:t>0.9%</w:t>
            </w:r>
          </w:p>
        </w:tc>
        <w:tc>
          <w:tcPr>
            <w:tcW w:w="993" w:type="dxa"/>
            <w:noWrap/>
            <w:vAlign w:val="center"/>
            <w:hideMark/>
          </w:tcPr>
          <w:p w:rsidR="007547D4" w:rsidRPr="006F2BD9" w:rsidRDefault="007547D4" w:rsidP="00031B92">
            <w:pPr>
              <w:jc w:val="center"/>
              <w:rPr>
                <w:rFonts w:eastAsia="Times New Roman" w:cs="Arial"/>
                <w:lang w:eastAsia="en-GB"/>
              </w:rPr>
            </w:pPr>
            <w:r w:rsidRPr="006F2BD9">
              <w:rPr>
                <w:rFonts w:eastAsia="Times New Roman" w:cs="Arial"/>
                <w:lang w:eastAsia="en-GB"/>
              </w:rPr>
              <w:t>41,220</w:t>
            </w:r>
          </w:p>
        </w:tc>
        <w:tc>
          <w:tcPr>
            <w:tcW w:w="1275" w:type="dxa"/>
            <w:noWrap/>
            <w:vAlign w:val="center"/>
            <w:hideMark/>
          </w:tcPr>
          <w:p w:rsidR="007547D4" w:rsidRPr="006F2BD9" w:rsidRDefault="007547D4" w:rsidP="00031B92">
            <w:pPr>
              <w:jc w:val="center"/>
              <w:rPr>
                <w:rFonts w:eastAsia="Times New Roman" w:cs="Arial"/>
                <w:lang w:eastAsia="en-GB"/>
              </w:rPr>
            </w:pPr>
            <w:r w:rsidRPr="006F2BD9">
              <w:rPr>
                <w:rFonts w:eastAsia="Times New Roman" w:cs="Arial"/>
                <w:lang w:eastAsia="en-GB"/>
              </w:rPr>
              <w:t>1.2%</w:t>
            </w:r>
          </w:p>
        </w:tc>
        <w:tc>
          <w:tcPr>
            <w:tcW w:w="1107" w:type="dxa"/>
            <w:noWrap/>
            <w:vAlign w:val="center"/>
            <w:hideMark/>
          </w:tcPr>
          <w:p w:rsidR="007547D4" w:rsidRPr="006F2BD9" w:rsidRDefault="007547D4" w:rsidP="00031B92">
            <w:pPr>
              <w:jc w:val="center"/>
              <w:rPr>
                <w:rFonts w:eastAsia="Times New Roman" w:cs="Arial"/>
                <w:lang w:eastAsia="en-GB"/>
              </w:rPr>
            </w:pPr>
            <w:r w:rsidRPr="006F2BD9">
              <w:rPr>
                <w:rFonts w:eastAsia="Times New Roman" w:cs="Arial"/>
                <w:lang w:eastAsia="en-GB"/>
              </w:rPr>
              <w:t>433,190</w:t>
            </w:r>
          </w:p>
        </w:tc>
        <w:tc>
          <w:tcPr>
            <w:tcW w:w="1236" w:type="dxa"/>
            <w:noWrap/>
            <w:vAlign w:val="center"/>
            <w:hideMark/>
          </w:tcPr>
          <w:p w:rsidR="007547D4" w:rsidRPr="006F2BD9" w:rsidRDefault="007547D4" w:rsidP="00031B92">
            <w:pPr>
              <w:jc w:val="center"/>
              <w:rPr>
                <w:rFonts w:eastAsia="Times New Roman" w:cs="Arial"/>
                <w:lang w:eastAsia="en-GB"/>
              </w:rPr>
            </w:pPr>
            <w:r w:rsidRPr="006F2BD9">
              <w:rPr>
                <w:rFonts w:eastAsia="Times New Roman" w:cs="Arial"/>
                <w:lang w:eastAsia="en-GB"/>
              </w:rPr>
              <w:t>1.2%</w:t>
            </w:r>
          </w:p>
        </w:tc>
      </w:tr>
      <w:tr w:rsidR="007547D4" w:rsidRPr="006F2BD9" w:rsidTr="00031B92">
        <w:trPr>
          <w:trHeight w:val="300"/>
          <w:jc w:val="center"/>
        </w:trPr>
        <w:tc>
          <w:tcPr>
            <w:tcW w:w="2802" w:type="dxa"/>
            <w:noWrap/>
            <w:vAlign w:val="center"/>
            <w:hideMark/>
          </w:tcPr>
          <w:p w:rsidR="007547D4" w:rsidRPr="006F2BD9" w:rsidRDefault="007547D4" w:rsidP="00031B92">
            <w:pPr>
              <w:rPr>
                <w:rFonts w:eastAsia="Times New Roman" w:cs="Arial"/>
                <w:lang w:eastAsia="en-GB"/>
              </w:rPr>
            </w:pPr>
            <w:r w:rsidRPr="006F2BD9">
              <w:rPr>
                <w:rFonts w:eastAsia="Times New Roman" w:cs="Arial"/>
                <w:lang w:eastAsia="en-GB"/>
              </w:rPr>
              <w:t>Carer</w:t>
            </w:r>
          </w:p>
        </w:tc>
        <w:tc>
          <w:tcPr>
            <w:tcW w:w="992" w:type="dxa"/>
            <w:noWrap/>
            <w:vAlign w:val="center"/>
            <w:hideMark/>
          </w:tcPr>
          <w:p w:rsidR="007547D4" w:rsidRPr="006F2BD9" w:rsidRDefault="007547D4" w:rsidP="00031B92">
            <w:pPr>
              <w:jc w:val="center"/>
              <w:rPr>
                <w:rFonts w:eastAsia="Times New Roman" w:cs="Arial"/>
                <w:lang w:eastAsia="en-GB"/>
              </w:rPr>
            </w:pPr>
            <w:r w:rsidRPr="006F2BD9">
              <w:rPr>
                <w:rFonts w:eastAsia="Times New Roman" w:cs="Arial"/>
                <w:lang w:eastAsia="en-GB"/>
              </w:rPr>
              <w:t>2,260</w:t>
            </w:r>
          </w:p>
        </w:tc>
        <w:tc>
          <w:tcPr>
            <w:tcW w:w="1417" w:type="dxa"/>
            <w:noWrap/>
            <w:vAlign w:val="center"/>
            <w:hideMark/>
          </w:tcPr>
          <w:p w:rsidR="007547D4" w:rsidRPr="006F2BD9" w:rsidRDefault="007547D4" w:rsidP="00031B92">
            <w:pPr>
              <w:jc w:val="center"/>
              <w:rPr>
                <w:rFonts w:eastAsia="Times New Roman" w:cs="Arial"/>
                <w:lang w:eastAsia="en-GB"/>
              </w:rPr>
            </w:pPr>
            <w:r w:rsidRPr="006F2BD9">
              <w:rPr>
                <w:rFonts w:eastAsia="Times New Roman" w:cs="Arial"/>
                <w:lang w:eastAsia="en-GB"/>
              </w:rPr>
              <w:t>1.0%</w:t>
            </w:r>
          </w:p>
        </w:tc>
        <w:tc>
          <w:tcPr>
            <w:tcW w:w="993" w:type="dxa"/>
            <w:noWrap/>
            <w:vAlign w:val="center"/>
            <w:hideMark/>
          </w:tcPr>
          <w:p w:rsidR="007547D4" w:rsidRPr="006F2BD9" w:rsidRDefault="007547D4" w:rsidP="00031B92">
            <w:pPr>
              <w:jc w:val="center"/>
              <w:rPr>
                <w:rFonts w:eastAsia="Times New Roman" w:cs="Arial"/>
                <w:lang w:eastAsia="en-GB"/>
              </w:rPr>
            </w:pPr>
            <w:r w:rsidRPr="006F2BD9">
              <w:rPr>
                <w:rFonts w:eastAsia="Times New Roman" w:cs="Arial"/>
                <w:lang w:eastAsia="en-GB"/>
              </w:rPr>
              <w:t>36,810</w:t>
            </w:r>
          </w:p>
        </w:tc>
        <w:tc>
          <w:tcPr>
            <w:tcW w:w="1275" w:type="dxa"/>
            <w:noWrap/>
            <w:vAlign w:val="center"/>
            <w:hideMark/>
          </w:tcPr>
          <w:p w:rsidR="007547D4" w:rsidRPr="006F2BD9" w:rsidRDefault="007547D4" w:rsidP="00031B92">
            <w:pPr>
              <w:jc w:val="center"/>
              <w:rPr>
                <w:rFonts w:eastAsia="Times New Roman" w:cs="Arial"/>
                <w:lang w:eastAsia="en-GB"/>
              </w:rPr>
            </w:pPr>
            <w:r w:rsidRPr="006F2BD9">
              <w:rPr>
                <w:rFonts w:eastAsia="Times New Roman" w:cs="Arial"/>
                <w:lang w:eastAsia="en-GB"/>
              </w:rPr>
              <w:t>1.1%</w:t>
            </w:r>
          </w:p>
        </w:tc>
        <w:tc>
          <w:tcPr>
            <w:tcW w:w="1107" w:type="dxa"/>
            <w:noWrap/>
            <w:vAlign w:val="center"/>
            <w:hideMark/>
          </w:tcPr>
          <w:p w:rsidR="007547D4" w:rsidRPr="006F2BD9" w:rsidRDefault="007547D4" w:rsidP="00031B92">
            <w:pPr>
              <w:jc w:val="center"/>
              <w:rPr>
                <w:rFonts w:eastAsia="Times New Roman" w:cs="Arial"/>
                <w:lang w:eastAsia="en-GB"/>
              </w:rPr>
            </w:pPr>
            <w:r w:rsidRPr="006F2BD9">
              <w:rPr>
                <w:rFonts w:eastAsia="Times New Roman" w:cs="Arial"/>
                <w:lang w:eastAsia="en-GB"/>
              </w:rPr>
              <w:t>520,400</w:t>
            </w:r>
          </w:p>
        </w:tc>
        <w:tc>
          <w:tcPr>
            <w:tcW w:w="1236" w:type="dxa"/>
            <w:noWrap/>
            <w:vAlign w:val="center"/>
            <w:hideMark/>
          </w:tcPr>
          <w:p w:rsidR="007547D4" w:rsidRPr="006F2BD9" w:rsidRDefault="007547D4" w:rsidP="00031B92">
            <w:pPr>
              <w:jc w:val="center"/>
              <w:rPr>
                <w:rFonts w:eastAsia="Times New Roman" w:cs="Arial"/>
                <w:lang w:eastAsia="en-GB"/>
              </w:rPr>
            </w:pPr>
            <w:r w:rsidRPr="006F2BD9">
              <w:rPr>
                <w:rFonts w:eastAsia="Times New Roman" w:cs="Arial"/>
                <w:lang w:eastAsia="en-GB"/>
              </w:rPr>
              <w:t>1.4%</w:t>
            </w:r>
          </w:p>
        </w:tc>
      </w:tr>
      <w:tr w:rsidR="007547D4" w:rsidRPr="006F2BD9" w:rsidTr="00031B92">
        <w:trPr>
          <w:trHeight w:val="300"/>
          <w:jc w:val="center"/>
        </w:trPr>
        <w:tc>
          <w:tcPr>
            <w:tcW w:w="2802" w:type="dxa"/>
            <w:noWrap/>
            <w:vAlign w:val="center"/>
            <w:hideMark/>
          </w:tcPr>
          <w:p w:rsidR="007547D4" w:rsidRPr="006F2BD9" w:rsidRDefault="007547D4" w:rsidP="00031B92">
            <w:pPr>
              <w:rPr>
                <w:rFonts w:eastAsia="Times New Roman" w:cs="Arial"/>
                <w:lang w:eastAsia="en-GB"/>
              </w:rPr>
            </w:pPr>
            <w:r w:rsidRPr="006F2BD9">
              <w:rPr>
                <w:rFonts w:eastAsia="Times New Roman" w:cs="Arial"/>
                <w:lang w:eastAsia="en-GB"/>
              </w:rPr>
              <w:t>Others on income related benefit</w:t>
            </w:r>
          </w:p>
        </w:tc>
        <w:tc>
          <w:tcPr>
            <w:tcW w:w="992" w:type="dxa"/>
            <w:noWrap/>
            <w:vAlign w:val="center"/>
            <w:hideMark/>
          </w:tcPr>
          <w:p w:rsidR="007547D4" w:rsidRPr="006F2BD9" w:rsidRDefault="007547D4" w:rsidP="00031B92">
            <w:pPr>
              <w:jc w:val="center"/>
              <w:rPr>
                <w:rFonts w:eastAsia="Times New Roman" w:cs="Arial"/>
                <w:lang w:eastAsia="en-GB"/>
              </w:rPr>
            </w:pPr>
            <w:r w:rsidRPr="006F2BD9">
              <w:rPr>
                <w:rFonts w:eastAsia="Times New Roman" w:cs="Arial"/>
                <w:lang w:eastAsia="en-GB"/>
              </w:rPr>
              <w:t>540</w:t>
            </w:r>
          </w:p>
        </w:tc>
        <w:tc>
          <w:tcPr>
            <w:tcW w:w="1417" w:type="dxa"/>
            <w:noWrap/>
            <w:vAlign w:val="center"/>
            <w:hideMark/>
          </w:tcPr>
          <w:p w:rsidR="007547D4" w:rsidRPr="006F2BD9" w:rsidRDefault="007547D4" w:rsidP="00031B92">
            <w:pPr>
              <w:jc w:val="center"/>
              <w:rPr>
                <w:rFonts w:eastAsia="Times New Roman" w:cs="Arial"/>
                <w:lang w:eastAsia="en-GB"/>
              </w:rPr>
            </w:pPr>
            <w:r w:rsidRPr="006F2BD9">
              <w:rPr>
                <w:rFonts w:eastAsia="Times New Roman" w:cs="Arial"/>
                <w:lang w:eastAsia="en-GB"/>
              </w:rPr>
              <w:t>0.2%</w:t>
            </w:r>
          </w:p>
        </w:tc>
        <w:tc>
          <w:tcPr>
            <w:tcW w:w="993" w:type="dxa"/>
            <w:noWrap/>
            <w:vAlign w:val="center"/>
            <w:hideMark/>
          </w:tcPr>
          <w:p w:rsidR="007547D4" w:rsidRPr="006F2BD9" w:rsidRDefault="007547D4" w:rsidP="00031B92">
            <w:pPr>
              <w:jc w:val="center"/>
              <w:rPr>
                <w:rFonts w:eastAsia="Times New Roman" w:cs="Arial"/>
                <w:lang w:eastAsia="en-GB"/>
              </w:rPr>
            </w:pPr>
            <w:r w:rsidRPr="006F2BD9">
              <w:rPr>
                <w:rFonts w:eastAsia="Times New Roman" w:cs="Arial"/>
                <w:lang w:eastAsia="en-GB"/>
              </w:rPr>
              <w:t>9,070</w:t>
            </w:r>
          </w:p>
        </w:tc>
        <w:tc>
          <w:tcPr>
            <w:tcW w:w="1275" w:type="dxa"/>
            <w:noWrap/>
            <w:vAlign w:val="center"/>
            <w:hideMark/>
          </w:tcPr>
          <w:p w:rsidR="007547D4" w:rsidRPr="006F2BD9" w:rsidRDefault="007547D4" w:rsidP="00031B92">
            <w:pPr>
              <w:jc w:val="center"/>
              <w:rPr>
                <w:rFonts w:eastAsia="Times New Roman" w:cs="Arial"/>
                <w:lang w:eastAsia="en-GB"/>
              </w:rPr>
            </w:pPr>
            <w:r w:rsidRPr="006F2BD9">
              <w:rPr>
                <w:rFonts w:eastAsia="Times New Roman" w:cs="Arial"/>
                <w:lang w:eastAsia="en-GB"/>
              </w:rPr>
              <w:t>0.3%</w:t>
            </w:r>
          </w:p>
        </w:tc>
        <w:tc>
          <w:tcPr>
            <w:tcW w:w="1107" w:type="dxa"/>
            <w:noWrap/>
            <w:vAlign w:val="center"/>
            <w:hideMark/>
          </w:tcPr>
          <w:p w:rsidR="007547D4" w:rsidRPr="006F2BD9" w:rsidRDefault="007547D4" w:rsidP="00031B92">
            <w:pPr>
              <w:jc w:val="center"/>
              <w:rPr>
                <w:rFonts w:eastAsia="Times New Roman" w:cs="Arial"/>
                <w:lang w:eastAsia="en-GB"/>
              </w:rPr>
            </w:pPr>
            <w:r w:rsidRPr="006F2BD9">
              <w:rPr>
                <w:rFonts w:eastAsia="Times New Roman" w:cs="Arial"/>
                <w:lang w:eastAsia="en-GB"/>
              </w:rPr>
              <w:t>115,410</w:t>
            </w:r>
          </w:p>
        </w:tc>
        <w:tc>
          <w:tcPr>
            <w:tcW w:w="1236" w:type="dxa"/>
            <w:noWrap/>
            <w:vAlign w:val="center"/>
            <w:hideMark/>
          </w:tcPr>
          <w:p w:rsidR="007547D4" w:rsidRPr="006F2BD9" w:rsidRDefault="007547D4" w:rsidP="00031B92">
            <w:pPr>
              <w:jc w:val="center"/>
              <w:rPr>
                <w:rFonts w:eastAsia="Times New Roman" w:cs="Arial"/>
                <w:lang w:eastAsia="en-GB"/>
              </w:rPr>
            </w:pPr>
            <w:r w:rsidRPr="006F2BD9">
              <w:rPr>
                <w:rFonts w:eastAsia="Times New Roman" w:cs="Arial"/>
                <w:lang w:eastAsia="en-GB"/>
              </w:rPr>
              <w:t>0.3%</w:t>
            </w:r>
          </w:p>
        </w:tc>
      </w:tr>
      <w:tr w:rsidR="007547D4" w:rsidRPr="006F2BD9" w:rsidTr="00031B92">
        <w:trPr>
          <w:trHeight w:val="300"/>
          <w:jc w:val="center"/>
        </w:trPr>
        <w:tc>
          <w:tcPr>
            <w:tcW w:w="2802" w:type="dxa"/>
            <w:noWrap/>
            <w:vAlign w:val="center"/>
            <w:hideMark/>
          </w:tcPr>
          <w:p w:rsidR="007547D4" w:rsidRPr="006F2BD9" w:rsidRDefault="007547D4" w:rsidP="00031B92">
            <w:pPr>
              <w:rPr>
                <w:rFonts w:eastAsia="Times New Roman" w:cs="Arial"/>
                <w:lang w:eastAsia="en-GB"/>
              </w:rPr>
            </w:pPr>
            <w:r w:rsidRPr="006F2BD9">
              <w:rPr>
                <w:rFonts w:eastAsia="Times New Roman" w:cs="Arial"/>
                <w:lang w:eastAsia="en-GB"/>
              </w:rPr>
              <w:t>Disabled</w:t>
            </w:r>
          </w:p>
        </w:tc>
        <w:tc>
          <w:tcPr>
            <w:tcW w:w="992" w:type="dxa"/>
            <w:noWrap/>
            <w:vAlign w:val="center"/>
            <w:hideMark/>
          </w:tcPr>
          <w:p w:rsidR="007547D4" w:rsidRPr="006F2BD9" w:rsidRDefault="007547D4" w:rsidP="00031B92">
            <w:pPr>
              <w:jc w:val="center"/>
              <w:rPr>
                <w:rFonts w:eastAsia="Times New Roman" w:cs="Arial"/>
                <w:lang w:eastAsia="en-GB"/>
              </w:rPr>
            </w:pPr>
            <w:r w:rsidRPr="006F2BD9">
              <w:rPr>
                <w:rFonts w:eastAsia="Times New Roman" w:cs="Arial"/>
                <w:lang w:eastAsia="en-GB"/>
              </w:rPr>
              <w:t>1,920</w:t>
            </w:r>
          </w:p>
        </w:tc>
        <w:tc>
          <w:tcPr>
            <w:tcW w:w="1417" w:type="dxa"/>
            <w:noWrap/>
            <w:vAlign w:val="center"/>
            <w:hideMark/>
          </w:tcPr>
          <w:p w:rsidR="007547D4" w:rsidRPr="006F2BD9" w:rsidRDefault="007547D4" w:rsidP="00031B92">
            <w:pPr>
              <w:jc w:val="center"/>
              <w:rPr>
                <w:rFonts w:eastAsia="Times New Roman" w:cs="Arial"/>
                <w:lang w:eastAsia="en-GB"/>
              </w:rPr>
            </w:pPr>
            <w:r w:rsidRPr="006F2BD9">
              <w:rPr>
                <w:rFonts w:eastAsia="Times New Roman" w:cs="Arial"/>
                <w:lang w:eastAsia="en-GB"/>
              </w:rPr>
              <w:t>0.8%</w:t>
            </w:r>
          </w:p>
        </w:tc>
        <w:tc>
          <w:tcPr>
            <w:tcW w:w="993" w:type="dxa"/>
            <w:noWrap/>
            <w:vAlign w:val="center"/>
            <w:hideMark/>
          </w:tcPr>
          <w:p w:rsidR="007547D4" w:rsidRPr="006F2BD9" w:rsidRDefault="007547D4" w:rsidP="00031B92">
            <w:pPr>
              <w:jc w:val="center"/>
              <w:rPr>
                <w:rFonts w:eastAsia="Times New Roman" w:cs="Arial"/>
                <w:lang w:eastAsia="en-GB"/>
              </w:rPr>
            </w:pPr>
            <w:r w:rsidRPr="006F2BD9">
              <w:rPr>
                <w:rFonts w:eastAsia="Times New Roman" w:cs="Arial"/>
                <w:lang w:eastAsia="en-GB"/>
              </w:rPr>
              <w:t>30,330</w:t>
            </w:r>
          </w:p>
        </w:tc>
        <w:tc>
          <w:tcPr>
            <w:tcW w:w="1275" w:type="dxa"/>
            <w:noWrap/>
            <w:vAlign w:val="center"/>
            <w:hideMark/>
          </w:tcPr>
          <w:p w:rsidR="007547D4" w:rsidRPr="006F2BD9" w:rsidRDefault="007547D4" w:rsidP="00031B92">
            <w:pPr>
              <w:jc w:val="center"/>
              <w:rPr>
                <w:rFonts w:eastAsia="Times New Roman" w:cs="Arial"/>
                <w:lang w:eastAsia="en-GB"/>
              </w:rPr>
            </w:pPr>
            <w:r w:rsidRPr="006F2BD9">
              <w:rPr>
                <w:rFonts w:eastAsia="Times New Roman" w:cs="Arial"/>
                <w:lang w:eastAsia="en-GB"/>
              </w:rPr>
              <w:t>0.9%</w:t>
            </w:r>
          </w:p>
        </w:tc>
        <w:tc>
          <w:tcPr>
            <w:tcW w:w="1107" w:type="dxa"/>
            <w:noWrap/>
            <w:vAlign w:val="center"/>
            <w:hideMark/>
          </w:tcPr>
          <w:p w:rsidR="007547D4" w:rsidRPr="006F2BD9" w:rsidRDefault="007547D4" w:rsidP="00031B92">
            <w:pPr>
              <w:jc w:val="center"/>
              <w:rPr>
                <w:rFonts w:eastAsia="Times New Roman" w:cs="Arial"/>
                <w:lang w:eastAsia="en-GB"/>
              </w:rPr>
            </w:pPr>
            <w:r w:rsidRPr="006F2BD9">
              <w:rPr>
                <w:rFonts w:eastAsia="Times New Roman" w:cs="Arial"/>
                <w:lang w:eastAsia="en-GB"/>
              </w:rPr>
              <w:t>416,820</w:t>
            </w:r>
          </w:p>
        </w:tc>
        <w:tc>
          <w:tcPr>
            <w:tcW w:w="1236" w:type="dxa"/>
            <w:noWrap/>
            <w:vAlign w:val="center"/>
            <w:hideMark/>
          </w:tcPr>
          <w:p w:rsidR="007547D4" w:rsidRPr="006F2BD9" w:rsidRDefault="007547D4" w:rsidP="00031B92">
            <w:pPr>
              <w:jc w:val="center"/>
              <w:rPr>
                <w:rFonts w:eastAsia="Times New Roman" w:cs="Arial"/>
                <w:lang w:eastAsia="en-GB"/>
              </w:rPr>
            </w:pPr>
            <w:r w:rsidRPr="006F2BD9">
              <w:rPr>
                <w:rFonts w:eastAsia="Times New Roman" w:cs="Arial"/>
                <w:lang w:eastAsia="en-GB"/>
              </w:rPr>
              <w:t>1.1%</w:t>
            </w:r>
          </w:p>
        </w:tc>
      </w:tr>
      <w:tr w:rsidR="007547D4" w:rsidRPr="006F2BD9" w:rsidTr="00031B92">
        <w:trPr>
          <w:trHeight w:val="300"/>
          <w:jc w:val="center"/>
        </w:trPr>
        <w:tc>
          <w:tcPr>
            <w:tcW w:w="2802" w:type="dxa"/>
            <w:noWrap/>
            <w:vAlign w:val="center"/>
            <w:hideMark/>
          </w:tcPr>
          <w:p w:rsidR="007547D4" w:rsidRPr="006F2BD9" w:rsidRDefault="007547D4" w:rsidP="00031B92">
            <w:pPr>
              <w:rPr>
                <w:rFonts w:eastAsia="Times New Roman" w:cs="Arial"/>
                <w:lang w:eastAsia="en-GB"/>
              </w:rPr>
            </w:pPr>
            <w:r w:rsidRPr="006F2BD9">
              <w:rPr>
                <w:rFonts w:eastAsia="Times New Roman" w:cs="Arial"/>
                <w:lang w:eastAsia="en-GB"/>
              </w:rPr>
              <w:t>Bereaved</w:t>
            </w:r>
          </w:p>
        </w:tc>
        <w:tc>
          <w:tcPr>
            <w:tcW w:w="992" w:type="dxa"/>
            <w:noWrap/>
            <w:vAlign w:val="center"/>
            <w:hideMark/>
          </w:tcPr>
          <w:p w:rsidR="007547D4" w:rsidRPr="006F2BD9" w:rsidRDefault="007547D4" w:rsidP="00031B92">
            <w:pPr>
              <w:jc w:val="center"/>
              <w:rPr>
                <w:rFonts w:eastAsia="Times New Roman" w:cs="Arial"/>
                <w:lang w:eastAsia="en-GB"/>
              </w:rPr>
            </w:pPr>
            <w:r w:rsidRPr="006F2BD9">
              <w:rPr>
                <w:rFonts w:eastAsia="Times New Roman" w:cs="Arial"/>
                <w:lang w:eastAsia="en-GB"/>
              </w:rPr>
              <w:t>360</w:t>
            </w:r>
          </w:p>
        </w:tc>
        <w:tc>
          <w:tcPr>
            <w:tcW w:w="1417" w:type="dxa"/>
            <w:noWrap/>
            <w:vAlign w:val="center"/>
            <w:hideMark/>
          </w:tcPr>
          <w:p w:rsidR="007547D4" w:rsidRPr="006F2BD9" w:rsidRDefault="007547D4" w:rsidP="00031B92">
            <w:pPr>
              <w:jc w:val="center"/>
              <w:rPr>
                <w:rFonts w:eastAsia="Times New Roman" w:cs="Arial"/>
                <w:lang w:eastAsia="en-GB"/>
              </w:rPr>
            </w:pPr>
            <w:r w:rsidRPr="006F2BD9">
              <w:rPr>
                <w:rFonts w:eastAsia="Times New Roman" w:cs="Arial"/>
                <w:lang w:eastAsia="en-GB"/>
              </w:rPr>
              <w:t>0.2%</w:t>
            </w:r>
          </w:p>
        </w:tc>
        <w:tc>
          <w:tcPr>
            <w:tcW w:w="993" w:type="dxa"/>
            <w:noWrap/>
            <w:vAlign w:val="center"/>
            <w:hideMark/>
          </w:tcPr>
          <w:p w:rsidR="007547D4" w:rsidRPr="006F2BD9" w:rsidRDefault="007547D4" w:rsidP="00031B92">
            <w:pPr>
              <w:jc w:val="center"/>
              <w:rPr>
                <w:rFonts w:eastAsia="Times New Roman" w:cs="Arial"/>
                <w:lang w:eastAsia="en-GB"/>
              </w:rPr>
            </w:pPr>
            <w:r w:rsidRPr="006F2BD9">
              <w:rPr>
                <w:rFonts w:eastAsia="Times New Roman" w:cs="Arial"/>
                <w:lang w:eastAsia="en-GB"/>
              </w:rPr>
              <w:t>5,470</w:t>
            </w:r>
          </w:p>
        </w:tc>
        <w:tc>
          <w:tcPr>
            <w:tcW w:w="1275" w:type="dxa"/>
            <w:noWrap/>
            <w:vAlign w:val="center"/>
            <w:hideMark/>
          </w:tcPr>
          <w:p w:rsidR="007547D4" w:rsidRPr="006F2BD9" w:rsidRDefault="007547D4" w:rsidP="00031B92">
            <w:pPr>
              <w:jc w:val="center"/>
              <w:rPr>
                <w:rFonts w:eastAsia="Times New Roman" w:cs="Arial"/>
                <w:lang w:eastAsia="en-GB"/>
              </w:rPr>
            </w:pPr>
            <w:r w:rsidRPr="006F2BD9">
              <w:rPr>
                <w:rFonts w:eastAsia="Times New Roman" w:cs="Arial"/>
                <w:lang w:eastAsia="en-GB"/>
              </w:rPr>
              <w:t>0.2%</w:t>
            </w:r>
          </w:p>
        </w:tc>
        <w:tc>
          <w:tcPr>
            <w:tcW w:w="1107" w:type="dxa"/>
            <w:noWrap/>
            <w:vAlign w:val="center"/>
            <w:hideMark/>
          </w:tcPr>
          <w:p w:rsidR="007547D4" w:rsidRPr="006F2BD9" w:rsidRDefault="007547D4" w:rsidP="00031B92">
            <w:pPr>
              <w:jc w:val="center"/>
              <w:rPr>
                <w:rFonts w:eastAsia="Times New Roman" w:cs="Arial"/>
                <w:lang w:eastAsia="en-GB"/>
              </w:rPr>
            </w:pPr>
            <w:r w:rsidRPr="006F2BD9">
              <w:rPr>
                <w:rFonts w:eastAsia="Times New Roman" w:cs="Arial"/>
                <w:lang w:eastAsia="en-GB"/>
              </w:rPr>
              <w:t>64,900</w:t>
            </w:r>
          </w:p>
        </w:tc>
        <w:tc>
          <w:tcPr>
            <w:tcW w:w="1236" w:type="dxa"/>
            <w:noWrap/>
            <w:vAlign w:val="center"/>
            <w:hideMark/>
          </w:tcPr>
          <w:p w:rsidR="007547D4" w:rsidRPr="006F2BD9" w:rsidRDefault="007547D4" w:rsidP="00031B92">
            <w:pPr>
              <w:jc w:val="center"/>
              <w:rPr>
                <w:rFonts w:eastAsia="Times New Roman" w:cs="Arial"/>
                <w:lang w:eastAsia="en-GB"/>
              </w:rPr>
            </w:pPr>
            <w:r w:rsidRPr="006F2BD9">
              <w:rPr>
                <w:rFonts w:eastAsia="Times New Roman" w:cs="Arial"/>
                <w:lang w:eastAsia="en-GB"/>
              </w:rPr>
              <w:t>0.2%</w:t>
            </w:r>
          </w:p>
        </w:tc>
      </w:tr>
      <w:tr w:rsidR="007547D4" w:rsidRPr="006F2BD9" w:rsidTr="00031B92">
        <w:trPr>
          <w:trHeight w:val="300"/>
          <w:jc w:val="center"/>
        </w:trPr>
        <w:tc>
          <w:tcPr>
            <w:tcW w:w="2802" w:type="dxa"/>
            <w:noWrap/>
            <w:vAlign w:val="center"/>
            <w:hideMark/>
          </w:tcPr>
          <w:p w:rsidR="007547D4" w:rsidRPr="006F2BD9" w:rsidRDefault="007547D4" w:rsidP="00031B92">
            <w:pPr>
              <w:rPr>
                <w:rFonts w:eastAsia="Times New Roman" w:cs="Arial"/>
                <w:b/>
                <w:bCs/>
                <w:lang w:eastAsia="en-GB"/>
              </w:rPr>
            </w:pPr>
            <w:r w:rsidRPr="006F2BD9">
              <w:rPr>
                <w:rFonts w:eastAsia="Times New Roman" w:cs="Arial"/>
                <w:b/>
                <w:bCs/>
                <w:lang w:eastAsia="en-GB"/>
              </w:rPr>
              <w:t>Key out-of-work benefits</w:t>
            </w:r>
            <w:r w:rsidRPr="006F2BD9">
              <w:rPr>
                <w:rStyle w:val="FootnoteReference"/>
                <w:rFonts w:eastAsia="Times New Roman" w:cs="Arial"/>
                <w:lang w:eastAsia="en-GB"/>
              </w:rPr>
              <w:footnoteReference w:id="22"/>
            </w:r>
          </w:p>
        </w:tc>
        <w:tc>
          <w:tcPr>
            <w:tcW w:w="992" w:type="dxa"/>
            <w:noWrap/>
            <w:vAlign w:val="center"/>
            <w:hideMark/>
          </w:tcPr>
          <w:p w:rsidR="007547D4" w:rsidRPr="006F2BD9" w:rsidRDefault="007547D4" w:rsidP="00031B92">
            <w:pPr>
              <w:jc w:val="center"/>
              <w:rPr>
                <w:rFonts w:eastAsia="Times New Roman" w:cs="Arial"/>
                <w:lang w:eastAsia="en-GB"/>
              </w:rPr>
            </w:pPr>
            <w:r w:rsidRPr="006F2BD9">
              <w:rPr>
                <w:rFonts w:eastAsia="Times New Roman" w:cs="Arial"/>
                <w:lang w:eastAsia="en-GB"/>
              </w:rPr>
              <w:t>17,880</w:t>
            </w:r>
          </w:p>
        </w:tc>
        <w:tc>
          <w:tcPr>
            <w:tcW w:w="1417" w:type="dxa"/>
            <w:noWrap/>
            <w:vAlign w:val="center"/>
            <w:hideMark/>
          </w:tcPr>
          <w:p w:rsidR="007547D4" w:rsidRPr="006F2BD9" w:rsidRDefault="007547D4" w:rsidP="00031B92">
            <w:pPr>
              <w:jc w:val="center"/>
              <w:rPr>
                <w:rFonts w:eastAsia="Times New Roman" w:cs="Arial"/>
                <w:lang w:eastAsia="en-GB"/>
              </w:rPr>
            </w:pPr>
            <w:r w:rsidRPr="006F2BD9">
              <w:rPr>
                <w:rFonts w:eastAsia="Times New Roman" w:cs="Arial"/>
                <w:lang w:eastAsia="en-GB"/>
              </w:rPr>
              <w:t>7.6%</w:t>
            </w:r>
          </w:p>
        </w:tc>
        <w:tc>
          <w:tcPr>
            <w:tcW w:w="993" w:type="dxa"/>
            <w:noWrap/>
            <w:vAlign w:val="center"/>
            <w:hideMark/>
          </w:tcPr>
          <w:p w:rsidR="007547D4" w:rsidRPr="006F2BD9" w:rsidRDefault="007547D4" w:rsidP="00031B92">
            <w:pPr>
              <w:jc w:val="center"/>
              <w:rPr>
                <w:rFonts w:eastAsia="Times New Roman" w:cs="Arial"/>
                <w:lang w:eastAsia="en-GB"/>
              </w:rPr>
            </w:pPr>
            <w:r w:rsidRPr="006F2BD9">
              <w:rPr>
                <w:rFonts w:eastAsia="Times New Roman" w:cs="Arial"/>
                <w:lang w:eastAsia="en-GB"/>
              </w:rPr>
              <w:t>288,590</w:t>
            </w:r>
          </w:p>
        </w:tc>
        <w:tc>
          <w:tcPr>
            <w:tcW w:w="1275" w:type="dxa"/>
            <w:noWrap/>
            <w:vAlign w:val="center"/>
            <w:hideMark/>
          </w:tcPr>
          <w:p w:rsidR="007547D4" w:rsidRPr="006F2BD9" w:rsidRDefault="007547D4" w:rsidP="00031B92">
            <w:pPr>
              <w:jc w:val="center"/>
              <w:rPr>
                <w:rFonts w:eastAsia="Times New Roman" w:cs="Arial"/>
                <w:lang w:eastAsia="en-GB"/>
              </w:rPr>
            </w:pPr>
            <w:r w:rsidRPr="006F2BD9">
              <w:rPr>
                <w:rFonts w:eastAsia="Times New Roman" w:cs="Arial"/>
                <w:lang w:eastAsia="en-GB"/>
              </w:rPr>
              <w:t>8.6%</w:t>
            </w:r>
          </w:p>
        </w:tc>
        <w:tc>
          <w:tcPr>
            <w:tcW w:w="1107" w:type="dxa"/>
            <w:noWrap/>
            <w:vAlign w:val="center"/>
            <w:hideMark/>
          </w:tcPr>
          <w:p w:rsidR="007547D4" w:rsidRPr="006F2BD9" w:rsidRDefault="007547D4" w:rsidP="00031B92">
            <w:pPr>
              <w:jc w:val="center"/>
              <w:rPr>
                <w:rFonts w:eastAsia="Times New Roman" w:cs="Arial"/>
                <w:lang w:eastAsia="en-GB"/>
              </w:rPr>
            </w:pPr>
            <w:r w:rsidRPr="006F2BD9">
              <w:rPr>
                <w:rFonts w:eastAsia="Times New Roman" w:cs="Arial"/>
                <w:lang w:eastAsia="en-GB"/>
              </w:rPr>
              <w:t>3,551,610</w:t>
            </w:r>
          </w:p>
        </w:tc>
        <w:tc>
          <w:tcPr>
            <w:tcW w:w="1236" w:type="dxa"/>
            <w:noWrap/>
            <w:vAlign w:val="center"/>
            <w:hideMark/>
          </w:tcPr>
          <w:p w:rsidR="007547D4" w:rsidRPr="006F2BD9" w:rsidRDefault="007547D4" w:rsidP="00031B92">
            <w:pPr>
              <w:jc w:val="center"/>
              <w:rPr>
                <w:rFonts w:eastAsia="Times New Roman" w:cs="Arial"/>
                <w:lang w:eastAsia="en-GB"/>
              </w:rPr>
            </w:pPr>
            <w:r w:rsidRPr="006F2BD9">
              <w:rPr>
                <w:rFonts w:eastAsia="Times New Roman" w:cs="Arial"/>
                <w:lang w:eastAsia="en-GB"/>
              </w:rPr>
              <w:t>9.8%</w:t>
            </w:r>
          </w:p>
        </w:tc>
      </w:tr>
    </w:tbl>
    <w:p w:rsidR="007547D4" w:rsidRPr="00651594" w:rsidRDefault="007547D4" w:rsidP="007547D4">
      <w:pPr>
        <w:spacing w:after="0" w:line="240" w:lineRule="auto"/>
        <w:jc w:val="both"/>
      </w:pPr>
      <w:r w:rsidRPr="00651594">
        <w:t xml:space="preserve">Source: </w:t>
      </w:r>
      <w:r w:rsidRPr="00651594">
        <w:rPr>
          <w:rStyle w:val="apple-converted-space"/>
          <w:color w:val="333333"/>
          <w:shd w:val="clear" w:color="auto" w:fill="FFFFFF"/>
        </w:rPr>
        <w:t> </w:t>
      </w:r>
      <w:r w:rsidRPr="00651594">
        <w:rPr>
          <w:color w:val="333333"/>
          <w:shd w:val="clear" w:color="auto" w:fill="FFFFFF"/>
        </w:rPr>
        <w:t>DWP benefit claimants - working age client group</w:t>
      </w:r>
      <w:r>
        <w:rPr>
          <w:color w:val="333333"/>
          <w:shd w:val="clear" w:color="auto" w:fill="FFFFFF"/>
        </w:rPr>
        <w:t xml:space="preserve"> 2015</w:t>
      </w:r>
    </w:p>
    <w:p w:rsidR="007547D4" w:rsidRPr="006F2BD9" w:rsidRDefault="007547D4" w:rsidP="007547D4">
      <w:pPr>
        <w:spacing w:after="0" w:line="240" w:lineRule="auto"/>
        <w:jc w:val="both"/>
      </w:pPr>
    </w:p>
    <w:p w:rsidR="007547D4" w:rsidRDefault="007547D4" w:rsidP="007547D4">
      <w:pPr>
        <w:jc w:val="both"/>
        <w:rPr>
          <w:rFonts w:cs="Arial"/>
        </w:rPr>
      </w:pPr>
      <w:r w:rsidRPr="006F2BD9">
        <w:rPr>
          <w:rFonts w:cs="Arial"/>
        </w:rPr>
        <w:t>The latest data from the ONS indicates that in February 2015, 3,932 (1.7%) people in Barnet were receiving Job Seekers Allowance (JSA). Of those</w:t>
      </w:r>
      <w:r>
        <w:rPr>
          <w:rFonts w:cs="Arial"/>
        </w:rPr>
        <w:t>,</w:t>
      </w:r>
      <w:r w:rsidRPr="006F2BD9">
        <w:rPr>
          <w:rFonts w:cs="Arial"/>
        </w:rPr>
        <w:t xml:space="preserve"> 2,327 (59.2%) were male and 1,605 (40.8%) were female. This is below the Outer London and UK rates of 1.9% and 2.1% respectively.</w:t>
      </w:r>
    </w:p>
    <w:p w:rsidR="007547D4" w:rsidRDefault="007547D4" w:rsidP="007547D4">
      <w:pPr>
        <w:jc w:val="both"/>
        <w:rPr>
          <w:rFonts w:cs="Arial"/>
        </w:rPr>
      </w:pPr>
      <w:r>
        <w:rPr>
          <w:rFonts w:cs="Arial"/>
        </w:rPr>
        <w:t xml:space="preserve">Figure </w:t>
      </w:r>
      <w:r>
        <w:t>3-</w:t>
      </w:r>
      <w:r>
        <w:rPr>
          <w:rFonts w:cs="Arial"/>
        </w:rPr>
        <w:t>21</w:t>
      </w:r>
      <w:r w:rsidRPr="006F2BD9">
        <w:rPr>
          <w:rFonts w:cs="Arial"/>
        </w:rPr>
        <w:t xml:space="preserve"> shows that</w:t>
      </w:r>
      <w:r>
        <w:rPr>
          <w:rFonts w:cs="Arial"/>
        </w:rPr>
        <w:t>,</w:t>
      </w:r>
      <w:r w:rsidRPr="006F2BD9">
        <w:rPr>
          <w:rFonts w:cs="Arial"/>
        </w:rPr>
        <w:t xml:space="preserve"> apart from a slight increase in JSA claimants in 2012, there has been an overall downward trend in the amount of JSA claimant</w:t>
      </w:r>
      <w:r>
        <w:rPr>
          <w:rFonts w:cs="Arial"/>
        </w:rPr>
        <w:t>s within the Borough, this has also occurred with the level of  regional and national claimants</w:t>
      </w:r>
      <w:r w:rsidRPr="006F2BD9">
        <w:rPr>
          <w:rFonts w:cs="Arial"/>
        </w:rPr>
        <w:t>.</w:t>
      </w:r>
    </w:p>
    <w:p w:rsidR="007547D4" w:rsidRPr="006F2BD9" w:rsidRDefault="007547D4" w:rsidP="007547D4">
      <w:pPr>
        <w:pStyle w:val="Caption"/>
        <w:rPr>
          <w:b w:val="0"/>
          <w:i/>
        </w:rPr>
      </w:pPr>
      <w:r>
        <w:t xml:space="preserve">Figure </w:t>
      </w:r>
      <w:fldSimple w:instr=" STYLEREF 1 \s ">
        <w:r w:rsidR="001663C2">
          <w:rPr>
            <w:noProof/>
          </w:rPr>
          <w:t>3</w:t>
        </w:r>
      </w:fldSimple>
      <w:r w:rsidR="00943DC2">
        <w:noBreakHyphen/>
      </w:r>
      <w:fldSimple w:instr=" SEQ Figure \* ARABIC \s 1 ">
        <w:r w:rsidR="001663C2">
          <w:rPr>
            <w:noProof/>
          </w:rPr>
          <w:t>21</w:t>
        </w:r>
      </w:fldSimple>
      <w:r>
        <w:t xml:space="preserve">: </w:t>
      </w:r>
      <w:r w:rsidRPr="00897DBB">
        <w:t xml:space="preserve">The </w:t>
      </w:r>
      <w:r>
        <w:t>Percentage</w:t>
      </w:r>
      <w:r w:rsidRPr="00897DBB">
        <w:t xml:space="preserve"> of People Claiming JSA, 2011-2015 (Barnet, Outer London and United </w:t>
      </w:r>
      <w:r w:rsidRPr="000F7B39">
        <w:t>Kingdom)</w:t>
      </w:r>
      <w:r w:rsidRPr="006F2BD9">
        <w:rPr>
          <w:noProof/>
          <w:lang w:eastAsia="en-GB"/>
        </w:rPr>
        <w:drawing>
          <wp:inline distT="0" distB="0" distL="0" distR="0" wp14:anchorId="380FDB72" wp14:editId="536275B6">
            <wp:extent cx="6060558" cy="2020186"/>
            <wp:effectExtent l="0" t="0" r="16510" b="18415"/>
            <wp:docPr id="41"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7547D4" w:rsidRDefault="007547D4" w:rsidP="007547D4">
      <w:pPr>
        <w:spacing w:after="0" w:line="240" w:lineRule="auto"/>
        <w:contextualSpacing/>
        <w:jc w:val="both"/>
        <w:rPr>
          <w:color w:val="333333"/>
          <w:shd w:val="clear" w:color="auto" w:fill="FFFFFF"/>
        </w:rPr>
      </w:pPr>
      <w:r w:rsidRPr="00651594">
        <w:t xml:space="preserve">Source: </w:t>
      </w:r>
      <w:r w:rsidRPr="00651594">
        <w:rPr>
          <w:color w:val="333333"/>
          <w:shd w:val="clear" w:color="auto" w:fill="FFFFFF"/>
        </w:rPr>
        <w:t>ONS claimant count</w:t>
      </w:r>
      <w:r>
        <w:rPr>
          <w:color w:val="333333"/>
          <w:shd w:val="clear" w:color="auto" w:fill="FFFFFF"/>
        </w:rPr>
        <w:t xml:space="preserve"> 2015</w:t>
      </w:r>
    </w:p>
    <w:p w:rsidR="007547D4" w:rsidRPr="00651594" w:rsidRDefault="007547D4" w:rsidP="007547D4">
      <w:pPr>
        <w:spacing w:after="0" w:line="240" w:lineRule="auto"/>
        <w:contextualSpacing/>
        <w:jc w:val="both"/>
        <w:rPr>
          <w:color w:val="333333"/>
          <w:shd w:val="clear" w:color="auto" w:fill="FFFFFF"/>
        </w:rPr>
      </w:pPr>
    </w:p>
    <w:p w:rsidR="007547D4" w:rsidRDefault="007547D4" w:rsidP="007547D4">
      <w:pPr>
        <w:pStyle w:val="Caption"/>
        <w:rPr>
          <w:rFonts w:cs="Arial"/>
          <w:b w:val="0"/>
        </w:rPr>
      </w:pPr>
      <w:r w:rsidRPr="009E5732">
        <w:rPr>
          <w:rFonts w:cs="Arial"/>
          <w:b w:val="0"/>
        </w:rPr>
        <w:t xml:space="preserve">Figure </w:t>
      </w:r>
      <w:r w:rsidRPr="009E5732">
        <w:rPr>
          <w:b w:val="0"/>
        </w:rPr>
        <w:t>3-</w:t>
      </w:r>
      <w:r w:rsidRPr="009E5732">
        <w:rPr>
          <w:rFonts w:cs="Arial"/>
          <w:b w:val="0"/>
        </w:rPr>
        <w:t xml:space="preserve">22 shows the proportion of JSA claimants by Ward. Many of the areas with high rates of JSA claimants are situated in the West of the </w:t>
      </w:r>
      <w:r>
        <w:rPr>
          <w:rFonts w:cs="Arial"/>
          <w:b w:val="0"/>
        </w:rPr>
        <w:t>Borough</w:t>
      </w:r>
      <w:r w:rsidRPr="009E5732">
        <w:rPr>
          <w:rFonts w:cs="Arial"/>
          <w:b w:val="0"/>
        </w:rPr>
        <w:t>, with Child Hills having the largest proportion (2.3%).</w:t>
      </w:r>
    </w:p>
    <w:p w:rsidR="00CF501E" w:rsidRDefault="00CF501E" w:rsidP="007547D4">
      <w:pPr>
        <w:pStyle w:val="Caption"/>
      </w:pPr>
    </w:p>
    <w:p w:rsidR="00CF501E" w:rsidRDefault="00CF501E" w:rsidP="007547D4">
      <w:pPr>
        <w:pStyle w:val="Caption"/>
      </w:pPr>
    </w:p>
    <w:p w:rsidR="007547D4" w:rsidRPr="006F2BD9" w:rsidRDefault="007547D4" w:rsidP="007547D4">
      <w:pPr>
        <w:pStyle w:val="Caption"/>
        <w:rPr>
          <w:b w:val="0"/>
          <w:i/>
        </w:rPr>
      </w:pPr>
      <w:r>
        <w:lastRenderedPageBreak/>
        <w:t xml:space="preserve">Figure </w:t>
      </w:r>
      <w:fldSimple w:instr=" STYLEREF 1 \s ">
        <w:r w:rsidR="001663C2">
          <w:rPr>
            <w:noProof/>
          </w:rPr>
          <w:t>3</w:t>
        </w:r>
      </w:fldSimple>
      <w:r w:rsidR="00943DC2">
        <w:noBreakHyphen/>
      </w:r>
      <w:fldSimple w:instr=" SEQ Figure \* ARABIC \s 1 ">
        <w:r w:rsidR="001663C2">
          <w:rPr>
            <w:noProof/>
          </w:rPr>
          <w:t>22</w:t>
        </w:r>
      </w:fldSimple>
      <w:r w:rsidRPr="00897DBB">
        <w:t>: Proportion of JSA Claimants by Ward by total 16-64 Population, February 2015</w:t>
      </w:r>
    </w:p>
    <w:p w:rsidR="007547D4" w:rsidRDefault="007547D4" w:rsidP="007547D4">
      <w:pPr>
        <w:spacing w:after="0" w:line="240" w:lineRule="auto"/>
        <w:jc w:val="center"/>
        <w:rPr>
          <w:rFonts w:cs="Arial"/>
        </w:rPr>
      </w:pPr>
      <w:r w:rsidRPr="006F2BD9">
        <w:rPr>
          <w:noProof/>
          <w:lang w:eastAsia="en-GB"/>
        </w:rPr>
        <w:drawing>
          <wp:inline distT="0" distB="0" distL="0" distR="0" wp14:anchorId="034AA408" wp14:editId="6183835F">
            <wp:extent cx="4333875" cy="37338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extLst>
                        <a:ext uri="{28A0092B-C50C-407E-A947-70E740481C1C}">
                          <a14:useLocalDpi xmlns:a14="http://schemas.microsoft.com/office/drawing/2010/main" val="0"/>
                        </a:ext>
                      </a:extLst>
                    </a:blip>
                    <a:srcRect l="20853" t="18081" r="36070" b="13397"/>
                    <a:stretch/>
                  </pic:blipFill>
                  <pic:spPr bwMode="auto">
                    <a:xfrm>
                      <a:off x="0" y="0"/>
                      <a:ext cx="4333875" cy="3733800"/>
                    </a:xfrm>
                    <a:prstGeom prst="rect">
                      <a:avLst/>
                    </a:prstGeom>
                    <a:ln>
                      <a:noFill/>
                    </a:ln>
                    <a:extLst>
                      <a:ext uri="{53640926-AAD7-44D8-BBD7-CCE9431645EC}">
                        <a14:shadowObscured xmlns:a14="http://schemas.microsoft.com/office/drawing/2010/main"/>
                      </a:ext>
                    </a:extLst>
                  </pic:spPr>
                </pic:pic>
              </a:graphicData>
            </a:graphic>
          </wp:inline>
        </w:drawing>
      </w:r>
    </w:p>
    <w:p w:rsidR="007547D4" w:rsidRPr="00283C7B" w:rsidRDefault="007547D4" w:rsidP="007547D4">
      <w:pPr>
        <w:jc w:val="both"/>
      </w:pPr>
      <w:r>
        <w:t>S</w:t>
      </w:r>
      <w:r w:rsidRPr="00A431DB">
        <w:t xml:space="preserve">ource: </w:t>
      </w:r>
      <w:r w:rsidRPr="00A431DB">
        <w:rPr>
          <w:color w:val="333333"/>
          <w:shd w:val="clear" w:color="auto" w:fill="FFFFFF"/>
        </w:rPr>
        <w:t xml:space="preserve">ONS claimant count </w:t>
      </w:r>
      <w:r w:rsidR="005067E0">
        <w:rPr>
          <w:color w:val="333333"/>
          <w:shd w:val="clear" w:color="auto" w:fill="FFFFFF"/>
        </w:rPr>
        <w:t>2015</w:t>
      </w:r>
    </w:p>
    <w:p w:rsidR="007547D4" w:rsidRDefault="007547D4" w:rsidP="007547D4">
      <w:pPr>
        <w:jc w:val="both"/>
        <w:rPr>
          <w:rFonts w:cs="Arial"/>
        </w:rPr>
      </w:pPr>
      <w:r w:rsidRPr="006F2BD9">
        <w:rPr>
          <w:rFonts w:cs="Arial"/>
        </w:rPr>
        <w:t xml:space="preserve">Table </w:t>
      </w:r>
      <w:r>
        <w:rPr>
          <w:rFonts w:cs="Arial"/>
        </w:rPr>
        <w:t xml:space="preserve">3-8 </w:t>
      </w:r>
      <w:r w:rsidRPr="006F2BD9">
        <w:rPr>
          <w:rFonts w:cs="Arial"/>
        </w:rPr>
        <w:t>breaks down JSA claimants by</w:t>
      </w:r>
      <w:r>
        <w:rPr>
          <w:rFonts w:cs="Arial"/>
        </w:rPr>
        <w:t xml:space="preserve"> the</w:t>
      </w:r>
      <w:r w:rsidRPr="006F2BD9">
        <w:rPr>
          <w:rFonts w:cs="Arial"/>
        </w:rPr>
        <w:t xml:space="preserve"> average length of time the person has been claiming; less than 6 months; 6-12 months; and over 12 months. </w:t>
      </w:r>
      <w:r>
        <w:rPr>
          <w:rFonts w:cs="Arial"/>
        </w:rPr>
        <w:t>Interestingly, a</w:t>
      </w:r>
      <w:r w:rsidRPr="006F2BD9">
        <w:rPr>
          <w:rFonts w:cs="Arial"/>
        </w:rPr>
        <w:t xml:space="preserve">lthough Child’s Hill has the largest proportion of claimants who have been claiming for over 6 months (33.8%), over a quarter of High Barnet’s and Garden Suburb’s claimants have been claiming for over 12 months. </w:t>
      </w:r>
    </w:p>
    <w:p w:rsidR="00CF501E" w:rsidRDefault="00CF501E" w:rsidP="007547D4">
      <w:pPr>
        <w:pStyle w:val="Caption"/>
      </w:pPr>
    </w:p>
    <w:p w:rsidR="00CF501E" w:rsidRDefault="00CF501E" w:rsidP="007547D4">
      <w:pPr>
        <w:pStyle w:val="Caption"/>
      </w:pPr>
    </w:p>
    <w:p w:rsidR="00CF501E" w:rsidRDefault="00CF501E" w:rsidP="007547D4">
      <w:pPr>
        <w:pStyle w:val="Caption"/>
      </w:pPr>
    </w:p>
    <w:p w:rsidR="00CF501E" w:rsidRDefault="00CF501E" w:rsidP="007547D4">
      <w:pPr>
        <w:pStyle w:val="Caption"/>
      </w:pPr>
    </w:p>
    <w:p w:rsidR="00CF501E" w:rsidRDefault="00CF501E" w:rsidP="007547D4">
      <w:pPr>
        <w:pStyle w:val="Caption"/>
      </w:pPr>
    </w:p>
    <w:p w:rsidR="00CF501E" w:rsidRDefault="00CF501E" w:rsidP="007547D4">
      <w:pPr>
        <w:pStyle w:val="Caption"/>
      </w:pPr>
    </w:p>
    <w:p w:rsidR="00CF501E" w:rsidRDefault="00CF501E" w:rsidP="007547D4">
      <w:pPr>
        <w:pStyle w:val="Caption"/>
      </w:pPr>
    </w:p>
    <w:p w:rsidR="00CF501E" w:rsidRDefault="00CF501E" w:rsidP="007547D4">
      <w:pPr>
        <w:pStyle w:val="Caption"/>
      </w:pPr>
    </w:p>
    <w:p w:rsidR="00CF501E" w:rsidRDefault="00CF501E" w:rsidP="007547D4">
      <w:pPr>
        <w:pStyle w:val="Caption"/>
      </w:pPr>
    </w:p>
    <w:p w:rsidR="00CF501E" w:rsidRDefault="00CF501E" w:rsidP="007547D4">
      <w:pPr>
        <w:pStyle w:val="Caption"/>
      </w:pPr>
    </w:p>
    <w:p w:rsidR="00CF501E" w:rsidRDefault="00CF501E" w:rsidP="007547D4">
      <w:pPr>
        <w:pStyle w:val="Caption"/>
      </w:pPr>
    </w:p>
    <w:p w:rsidR="00CF501E" w:rsidRDefault="00CF501E" w:rsidP="007547D4">
      <w:pPr>
        <w:pStyle w:val="Caption"/>
      </w:pPr>
    </w:p>
    <w:p w:rsidR="00CF501E" w:rsidRDefault="00CF501E" w:rsidP="007547D4">
      <w:pPr>
        <w:pStyle w:val="Caption"/>
      </w:pPr>
    </w:p>
    <w:p w:rsidR="00CF501E" w:rsidRDefault="00CF501E" w:rsidP="007547D4">
      <w:pPr>
        <w:pStyle w:val="Caption"/>
      </w:pPr>
    </w:p>
    <w:p w:rsidR="00CF501E" w:rsidRDefault="00CF501E" w:rsidP="007547D4">
      <w:pPr>
        <w:pStyle w:val="Caption"/>
      </w:pPr>
    </w:p>
    <w:p w:rsidR="00CF501E" w:rsidRDefault="00CF501E" w:rsidP="007547D4">
      <w:pPr>
        <w:pStyle w:val="Caption"/>
      </w:pPr>
    </w:p>
    <w:p w:rsidR="00CF501E" w:rsidRDefault="00CF501E" w:rsidP="007547D4">
      <w:pPr>
        <w:pStyle w:val="Caption"/>
      </w:pPr>
    </w:p>
    <w:p w:rsidR="007547D4" w:rsidRPr="006F2BD9" w:rsidRDefault="007547D4" w:rsidP="007547D4">
      <w:pPr>
        <w:pStyle w:val="Caption"/>
      </w:pPr>
      <w:r>
        <w:lastRenderedPageBreak/>
        <w:t xml:space="preserve">Table </w:t>
      </w:r>
      <w:fldSimple w:instr=" STYLEREF 1 \s ">
        <w:r w:rsidR="001663C2">
          <w:rPr>
            <w:noProof/>
          </w:rPr>
          <w:t>3</w:t>
        </w:r>
      </w:fldSimple>
      <w:r>
        <w:noBreakHyphen/>
      </w:r>
      <w:fldSimple w:instr=" SEQ Table \* ARABIC \s 1 ">
        <w:r w:rsidR="001663C2">
          <w:rPr>
            <w:noProof/>
          </w:rPr>
          <w:t>8</w:t>
        </w:r>
      </w:fldSimple>
      <w:r w:rsidRPr="001221C6">
        <w:rPr>
          <w:rFonts w:cs="Calibri"/>
        </w:rPr>
        <w:t>: JSA Claimants by Ward by Length of Time Claiming, February 2015</w:t>
      </w:r>
    </w:p>
    <w:tbl>
      <w:tblPr>
        <w:tblW w:w="8527" w:type="dxa"/>
        <w:jc w:val="center"/>
        <w:tblLook w:val="04A0" w:firstRow="1" w:lastRow="0" w:firstColumn="1" w:lastColumn="0" w:noHBand="0" w:noVBand="1"/>
      </w:tblPr>
      <w:tblGrid>
        <w:gridCol w:w="2202"/>
        <w:gridCol w:w="965"/>
        <w:gridCol w:w="1217"/>
        <w:gridCol w:w="1580"/>
        <w:gridCol w:w="1240"/>
        <w:gridCol w:w="1580"/>
      </w:tblGrid>
      <w:tr w:rsidR="007547D4" w:rsidRPr="006F2BD9" w:rsidTr="00031B92">
        <w:trPr>
          <w:trHeight w:val="300"/>
          <w:jc w:val="center"/>
        </w:trPr>
        <w:tc>
          <w:tcPr>
            <w:tcW w:w="2202"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7547D4" w:rsidRPr="006F2BD9" w:rsidRDefault="007547D4" w:rsidP="00031B92">
            <w:pPr>
              <w:spacing w:after="0" w:line="240" w:lineRule="auto"/>
              <w:jc w:val="center"/>
              <w:rPr>
                <w:rFonts w:eastAsia="Times New Roman" w:cs="Times New Roman"/>
                <w:b/>
                <w:color w:val="000000"/>
                <w:lang w:eastAsia="en-GB"/>
              </w:rPr>
            </w:pPr>
            <w:r w:rsidRPr="006F2BD9">
              <w:rPr>
                <w:rFonts w:eastAsia="Times New Roman" w:cs="Times New Roman"/>
                <w:b/>
                <w:color w:val="000000"/>
                <w:lang w:eastAsia="en-GB"/>
              </w:rPr>
              <w:t>Ward Name</w:t>
            </w:r>
          </w:p>
        </w:tc>
        <w:tc>
          <w:tcPr>
            <w:tcW w:w="965"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7547D4" w:rsidRPr="006F2BD9" w:rsidRDefault="007547D4" w:rsidP="00031B92">
            <w:pPr>
              <w:spacing w:after="0" w:line="240" w:lineRule="auto"/>
              <w:jc w:val="center"/>
              <w:rPr>
                <w:rFonts w:eastAsia="Times New Roman" w:cs="Times New Roman"/>
                <w:b/>
                <w:color w:val="000000"/>
                <w:lang w:eastAsia="en-GB"/>
              </w:rPr>
            </w:pPr>
            <w:r w:rsidRPr="006F2BD9">
              <w:rPr>
                <w:rFonts w:eastAsia="Times New Roman" w:cs="Times New Roman"/>
                <w:b/>
                <w:color w:val="000000"/>
                <w:lang w:eastAsia="en-GB"/>
              </w:rPr>
              <w:t>Number</w:t>
            </w:r>
          </w:p>
        </w:tc>
        <w:tc>
          <w:tcPr>
            <w:tcW w:w="960"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7547D4" w:rsidRPr="006F2BD9" w:rsidRDefault="007547D4" w:rsidP="00031B92">
            <w:pPr>
              <w:spacing w:after="0" w:line="240" w:lineRule="auto"/>
              <w:jc w:val="center"/>
              <w:rPr>
                <w:rFonts w:eastAsia="Times New Roman" w:cs="Times New Roman"/>
                <w:b/>
                <w:color w:val="000000"/>
                <w:lang w:eastAsia="en-GB"/>
              </w:rPr>
            </w:pPr>
            <w:r w:rsidRPr="006F2BD9">
              <w:rPr>
                <w:rFonts w:eastAsia="Times New Roman" w:cs="Times New Roman"/>
                <w:b/>
                <w:color w:val="000000"/>
                <w:lang w:eastAsia="en-GB"/>
              </w:rPr>
              <w:t>% of Total Population</w:t>
            </w:r>
          </w:p>
        </w:tc>
        <w:tc>
          <w:tcPr>
            <w:tcW w:w="1580"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7547D4" w:rsidRPr="006F2BD9" w:rsidRDefault="007547D4" w:rsidP="00031B92">
            <w:pPr>
              <w:spacing w:after="0" w:line="240" w:lineRule="auto"/>
              <w:jc w:val="center"/>
              <w:rPr>
                <w:rFonts w:eastAsia="Times New Roman" w:cs="Times New Roman"/>
                <w:b/>
                <w:color w:val="000000"/>
                <w:lang w:eastAsia="en-GB"/>
              </w:rPr>
            </w:pPr>
            <w:r w:rsidRPr="006F2BD9">
              <w:rPr>
                <w:rFonts w:eastAsia="Times New Roman" w:cs="Times New Roman"/>
                <w:b/>
                <w:color w:val="000000"/>
                <w:lang w:eastAsia="en-GB"/>
              </w:rPr>
              <w:t>Up to 6 Months</w:t>
            </w:r>
          </w:p>
        </w:tc>
        <w:tc>
          <w:tcPr>
            <w:tcW w:w="1240"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7547D4" w:rsidRPr="006F2BD9" w:rsidRDefault="007547D4" w:rsidP="00031B92">
            <w:pPr>
              <w:spacing w:after="0" w:line="240" w:lineRule="auto"/>
              <w:jc w:val="center"/>
              <w:rPr>
                <w:rFonts w:eastAsia="Times New Roman" w:cs="Times New Roman"/>
                <w:b/>
                <w:color w:val="000000"/>
                <w:lang w:eastAsia="en-GB"/>
              </w:rPr>
            </w:pPr>
            <w:r w:rsidRPr="006F2BD9">
              <w:rPr>
                <w:rFonts w:eastAsia="Times New Roman" w:cs="Times New Roman"/>
                <w:b/>
                <w:color w:val="000000"/>
                <w:lang w:eastAsia="en-GB"/>
              </w:rPr>
              <w:t>6-12 Months</w:t>
            </w:r>
          </w:p>
        </w:tc>
        <w:tc>
          <w:tcPr>
            <w:tcW w:w="1580"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7547D4" w:rsidRPr="006F2BD9" w:rsidRDefault="007547D4" w:rsidP="00031B92">
            <w:pPr>
              <w:spacing w:after="0" w:line="240" w:lineRule="auto"/>
              <w:jc w:val="center"/>
              <w:rPr>
                <w:rFonts w:eastAsia="Times New Roman" w:cs="Times New Roman"/>
                <w:b/>
                <w:color w:val="000000"/>
                <w:lang w:eastAsia="en-GB"/>
              </w:rPr>
            </w:pPr>
            <w:r w:rsidRPr="006F2BD9">
              <w:rPr>
                <w:rFonts w:eastAsia="Times New Roman" w:cs="Times New Roman"/>
                <w:b/>
                <w:color w:val="000000"/>
                <w:lang w:eastAsia="en-GB"/>
              </w:rPr>
              <w:t>Over 12 Months</w:t>
            </w:r>
          </w:p>
        </w:tc>
      </w:tr>
      <w:tr w:rsidR="007547D4" w:rsidRPr="006F2BD9" w:rsidTr="00031B92">
        <w:trPr>
          <w:trHeight w:val="300"/>
          <w:jc w:val="center"/>
        </w:trPr>
        <w:tc>
          <w:tcPr>
            <w:tcW w:w="2202" w:type="dxa"/>
            <w:tcBorders>
              <w:top w:val="nil"/>
              <w:left w:val="single" w:sz="4" w:space="0" w:color="auto"/>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rPr>
                <w:rFonts w:eastAsia="Times New Roman" w:cs="Times New Roman"/>
                <w:color w:val="000000"/>
                <w:lang w:eastAsia="en-GB"/>
              </w:rPr>
            </w:pPr>
            <w:r w:rsidRPr="006F2BD9">
              <w:rPr>
                <w:rFonts w:eastAsia="Times New Roman" w:cs="Times New Roman"/>
                <w:color w:val="000000"/>
                <w:lang w:eastAsia="en-GB"/>
              </w:rPr>
              <w:t>Brunswick Park</w:t>
            </w:r>
          </w:p>
        </w:tc>
        <w:tc>
          <w:tcPr>
            <w:tcW w:w="965"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147</w:t>
            </w:r>
          </w:p>
        </w:tc>
        <w:tc>
          <w:tcPr>
            <w:tcW w:w="96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1.4%</w:t>
            </w:r>
          </w:p>
        </w:tc>
        <w:tc>
          <w:tcPr>
            <w:tcW w:w="158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63.3%</w:t>
            </w:r>
          </w:p>
        </w:tc>
        <w:tc>
          <w:tcPr>
            <w:tcW w:w="124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16.7%</w:t>
            </w:r>
          </w:p>
        </w:tc>
        <w:tc>
          <w:tcPr>
            <w:tcW w:w="158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20.0%</w:t>
            </w:r>
          </w:p>
        </w:tc>
      </w:tr>
      <w:tr w:rsidR="007547D4" w:rsidRPr="006F2BD9" w:rsidTr="00031B92">
        <w:trPr>
          <w:trHeight w:val="300"/>
          <w:jc w:val="center"/>
        </w:trPr>
        <w:tc>
          <w:tcPr>
            <w:tcW w:w="2202" w:type="dxa"/>
            <w:tcBorders>
              <w:top w:val="nil"/>
              <w:left w:val="single" w:sz="4" w:space="0" w:color="auto"/>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rPr>
                <w:rFonts w:eastAsia="Times New Roman" w:cs="Times New Roman"/>
                <w:color w:val="000000"/>
                <w:lang w:eastAsia="en-GB"/>
              </w:rPr>
            </w:pPr>
            <w:r w:rsidRPr="006F2BD9">
              <w:rPr>
                <w:rFonts w:eastAsia="Times New Roman" w:cs="Times New Roman"/>
                <w:color w:val="000000"/>
                <w:lang w:eastAsia="en-GB"/>
              </w:rPr>
              <w:t>Burnt Oak</w:t>
            </w:r>
          </w:p>
        </w:tc>
        <w:tc>
          <w:tcPr>
            <w:tcW w:w="965"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265</w:t>
            </w:r>
          </w:p>
        </w:tc>
        <w:tc>
          <w:tcPr>
            <w:tcW w:w="96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2.2%</w:t>
            </w:r>
          </w:p>
        </w:tc>
        <w:tc>
          <w:tcPr>
            <w:tcW w:w="158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62.3%</w:t>
            </w:r>
          </w:p>
        </w:tc>
        <w:tc>
          <w:tcPr>
            <w:tcW w:w="124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17.0%</w:t>
            </w:r>
          </w:p>
        </w:tc>
        <w:tc>
          <w:tcPr>
            <w:tcW w:w="158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20.8%</w:t>
            </w:r>
          </w:p>
        </w:tc>
      </w:tr>
      <w:tr w:rsidR="007547D4" w:rsidRPr="006F2BD9" w:rsidTr="00031B92">
        <w:trPr>
          <w:trHeight w:val="300"/>
          <w:jc w:val="center"/>
        </w:trPr>
        <w:tc>
          <w:tcPr>
            <w:tcW w:w="2202" w:type="dxa"/>
            <w:tcBorders>
              <w:top w:val="nil"/>
              <w:left w:val="single" w:sz="4" w:space="0" w:color="auto"/>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rPr>
                <w:rFonts w:eastAsia="Times New Roman" w:cs="Times New Roman"/>
                <w:color w:val="000000"/>
                <w:lang w:eastAsia="en-GB"/>
              </w:rPr>
            </w:pPr>
            <w:r w:rsidRPr="006F2BD9">
              <w:rPr>
                <w:rFonts w:eastAsia="Times New Roman" w:cs="Times New Roman"/>
                <w:color w:val="000000"/>
                <w:lang w:eastAsia="en-GB"/>
              </w:rPr>
              <w:t>Childs Hill</w:t>
            </w:r>
          </w:p>
        </w:tc>
        <w:tc>
          <w:tcPr>
            <w:tcW w:w="965"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325</w:t>
            </w:r>
          </w:p>
        </w:tc>
        <w:tc>
          <w:tcPr>
            <w:tcW w:w="96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2.3%</w:t>
            </w:r>
          </w:p>
        </w:tc>
        <w:tc>
          <w:tcPr>
            <w:tcW w:w="158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55.4%</w:t>
            </w:r>
          </w:p>
        </w:tc>
        <w:tc>
          <w:tcPr>
            <w:tcW w:w="124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10.8%</w:t>
            </w:r>
          </w:p>
        </w:tc>
        <w:tc>
          <w:tcPr>
            <w:tcW w:w="158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33.8%</w:t>
            </w:r>
          </w:p>
        </w:tc>
      </w:tr>
      <w:tr w:rsidR="007547D4" w:rsidRPr="006F2BD9" w:rsidTr="00031B92">
        <w:trPr>
          <w:trHeight w:val="300"/>
          <w:jc w:val="center"/>
        </w:trPr>
        <w:tc>
          <w:tcPr>
            <w:tcW w:w="2202" w:type="dxa"/>
            <w:tcBorders>
              <w:top w:val="nil"/>
              <w:left w:val="single" w:sz="4" w:space="0" w:color="auto"/>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rPr>
                <w:rFonts w:eastAsia="Times New Roman" w:cs="Times New Roman"/>
                <w:color w:val="000000"/>
                <w:lang w:eastAsia="en-GB"/>
              </w:rPr>
            </w:pPr>
            <w:r w:rsidRPr="006F2BD9">
              <w:rPr>
                <w:rFonts w:eastAsia="Times New Roman" w:cs="Times New Roman"/>
                <w:color w:val="000000"/>
                <w:lang w:eastAsia="en-GB"/>
              </w:rPr>
              <w:t>Colindale</w:t>
            </w:r>
          </w:p>
        </w:tc>
        <w:tc>
          <w:tcPr>
            <w:tcW w:w="965"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293</w:t>
            </w:r>
          </w:p>
        </w:tc>
        <w:tc>
          <w:tcPr>
            <w:tcW w:w="96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2.0%</w:t>
            </w:r>
          </w:p>
        </w:tc>
        <w:tc>
          <w:tcPr>
            <w:tcW w:w="158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67.8%</w:t>
            </w:r>
          </w:p>
        </w:tc>
        <w:tc>
          <w:tcPr>
            <w:tcW w:w="124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11.9%</w:t>
            </w:r>
          </w:p>
        </w:tc>
        <w:tc>
          <w:tcPr>
            <w:tcW w:w="158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20.3%</w:t>
            </w:r>
          </w:p>
        </w:tc>
      </w:tr>
      <w:tr w:rsidR="007547D4" w:rsidRPr="006F2BD9" w:rsidTr="00031B92">
        <w:trPr>
          <w:trHeight w:val="300"/>
          <w:jc w:val="center"/>
        </w:trPr>
        <w:tc>
          <w:tcPr>
            <w:tcW w:w="2202" w:type="dxa"/>
            <w:tcBorders>
              <w:top w:val="nil"/>
              <w:left w:val="single" w:sz="4" w:space="0" w:color="auto"/>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rPr>
                <w:rFonts w:eastAsia="Times New Roman" w:cs="Times New Roman"/>
                <w:color w:val="000000"/>
                <w:lang w:eastAsia="en-GB"/>
              </w:rPr>
            </w:pPr>
            <w:r w:rsidRPr="006F2BD9">
              <w:rPr>
                <w:rFonts w:eastAsia="Times New Roman" w:cs="Times New Roman"/>
                <w:color w:val="000000"/>
                <w:lang w:eastAsia="en-GB"/>
              </w:rPr>
              <w:t>Coppetts</w:t>
            </w:r>
          </w:p>
        </w:tc>
        <w:tc>
          <w:tcPr>
            <w:tcW w:w="965"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213</w:t>
            </w:r>
          </w:p>
        </w:tc>
        <w:tc>
          <w:tcPr>
            <w:tcW w:w="96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1.8%</w:t>
            </w:r>
          </w:p>
        </w:tc>
        <w:tc>
          <w:tcPr>
            <w:tcW w:w="158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61.9%</w:t>
            </w:r>
          </w:p>
        </w:tc>
        <w:tc>
          <w:tcPr>
            <w:tcW w:w="124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11.9%</w:t>
            </w:r>
          </w:p>
        </w:tc>
        <w:tc>
          <w:tcPr>
            <w:tcW w:w="158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26.2%</w:t>
            </w:r>
          </w:p>
        </w:tc>
      </w:tr>
      <w:tr w:rsidR="007547D4" w:rsidRPr="006F2BD9" w:rsidTr="00031B92">
        <w:trPr>
          <w:trHeight w:val="300"/>
          <w:jc w:val="center"/>
        </w:trPr>
        <w:tc>
          <w:tcPr>
            <w:tcW w:w="2202" w:type="dxa"/>
            <w:tcBorders>
              <w:top w:val="nil"/>
              <w:left w:val="single" w:sz="4" w:space="0" w:color="auto"/>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rPr>
                <w:rFonts w:eastAsia="Times New Roman" w:cs="Times New Roman"/>
                <w:color w:val="000000"/>
                <w:lang w:eastAsia="en-GB"/>
              </w:rPr>
            </w:pPr>
            <w:r w:rsidRPr="006F2BD9">
              <w:rPr>
                <w:rFonts w:eastAsia="Times New Roman" w:cs="Times New Roman"/>
                <w:color w:val="000000"/>
                <w:lang w:eastAsia="en-GB"/>
              </w:rPr>
              <w:t>East Barnet</w:t>
            </w:r>
          </w:p>
        </w:tc>
        <w:tc>
          <w:tcPr>
            <w:tcW w:w="965"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190</w:t>
            </w:r>
          </w:p>
        </w:tc>
        <w:tc>
          <w:tcPr>
            <w:tcW w:w="96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1.8%</w:t>
            </w:r>
          </w:p>
        </w:tc>
        <w:tc>
          <w:tcPr>
            <w:tcW w:w="158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61.5%</w:t>
            </w:r>
          </w:p>
        </w:tc>
        <w:tc>
          <w:tcPr>
            <w:tcW w:w="124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15.4%</w:t>
            </w:r>
          </w:p>
        </w:tc>
        <w:tc>
          <w:tcPr>
            <w:tcW w:w="158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23.1%</w:t>
            </w:r>
          </w:p>
        </w:tc>
      </w:tr>
      <w:tr w:rsidR="007547D4" w:rsidRPr="006F2BD9" w:rsidTr="00031B92">
        <w:trPr>
          <w:trHeight w:val="300"/>
          <w:jc w:val="center"/>
        </w:trPr>
        <w:tc>
          <w:tcPr>
            <w:tcW w:w="2202" w:type="dxa"/>
            <w:tcBorders>
              <w:top w:val="nil"/>
              <w:left w:val="single" w:sz="4" w:space="0" w:color="auto"/>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rPr>
                <w:rFonts w:eastAsia="Times New Roman" w:cs="Times New Roman"/>
                <w:color w:val="000000"/>
                <w:lang w:eastAsia="en-GB"/>
              </w:rPr>
            </w:pPr>
            <w:r w:rsidRPr="006F2BD9">
              <w:rPr>
                <w:rFonts w:eastAsia="Times New Roman" w:cs="Times New Roman"/>
                <w:color w:val="000000"/>
                <w:lang w:eastAsia="en-GB"/>
              </w:rPr>
              <w:t>East Finchley</w:t>
            </w:r>
          </w:p>
        </w:tc>
        <w:tc>
          <w:tcPr>
            <w:tcW w:w="965"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173</w:t>
            </w:r>
          </w:p>
        </w:tc>
        <w:tc>
          <w:tcPr>
            <w:tcW w:w="96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1.6%</w:t>
            </w:r>
          </w:p>
        </w:tc>
        <w:tc>
          <w:tcPr>
            <w:tcW w:w="158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68.6%</w:t>
            </w:r>
          </w:p>
        </w:tc>
        <w:tc>
          <w:tcPr>
            <w:tcW w:w="124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14.3%</w:t>
            </w:r>
          </w:p>
        </w:tc>
        <w:tc>
          <w:tcPr>
            <w:tcW w:w="158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17.1%</w:t>
            </w:r>
          </w:p>
        </w:tc>
      </w:tr>
      <w:tr w:rsidR="007547D4" w:rsidRPr="006F2BD9" w:rsidTr="00031B92">
        <w:trPr>
          <w:trHeight w:val="300"/>
          <w:jc w:val="center"/>
        </w:trPr>
        <w:tc>
          <w:tcPr>
            <w:tcW w:w="2202" w:type="dxa"/>
            <w:tcBorders>
              <w:top w:val="nil"/>
              <w:left w:val="single" w:sz="4" w:space="0" w:color="auto"/>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rPr>
                <w:rFonts w:eastAsia="Times New Roman" w:cs="Times New Roman"/>
                <w:color w:val="000000"/>
                <w:lang w:eastAsia="en-GB"/>
              </w:rPr>
            </w:pPr>
            <w:r w:rsidRPr="006F2BD9">
              <w:rPr>
                <w:rFonts w:eastAsia="Times New Roman" w:cs="Times New Roman"/>
                <w:color w:val="000000"/>
                <w:lang w:eastAsia="en-GB"/>
              </w:rPr>
              <w:t>Edgware</w:t>
            </w:r>
          </w:p>
        </w:tc>
        <w:tc>
          <w:tcPr>
            <w:tcW w:w="965"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131</w:t>
            </w:r>
          </w:p>
        </w:tc>
        <w:tc>
          <w:tcPr>
            <w:tcW w:w="96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1.2%</w:t>
            </w:r>
          </w:p>
        </w:tc>
        <w:tc>
          <w:tcPr>
            <w:tcW w:w="158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59.3%</w:t>
            </w:r>
          </w:p>
        </w:tc>
        <w:tc>
          <w:tcPr>
            <w:tcW w:w="124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18.5%</w:t>
            </w:r>
          </w:p>
        </w:tc>
        <w:tc>
          <w:tcPr>
            <w:tcW w:w="158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22.2%</w:t>
            </w:r>
          </w:p>
        </w:tc>
      </w:tr>
      <w:tr w:rsidR="007547D4" w:rsidRPr="006F2BD9" w:rsidTr="00031B92">
        <w:trPr>
          <w:trHeight w:val="300"/>
          <w:jc w:val="center"/>
        </w:trPr>
        <w:tc>
          <w:tcPr>
            <w:tcW w:w="2202" w:type="dxa"/>
            <w:tcBorders>
              <w:top w:val="nil"/>
              <w:left w:val="single" w:sz="4" w:space="0" w:color="auto"/>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rPr>
                <w:rFonts w:eastAsia="Times New Roman" w:cs="Times New Roman"/>
                <w:color w:val="000000"/>
                <w:lang w:eastAsia="en-GB"/>
              </w:rPr>
            </w:pPr>
            <w:r w:rsidRPr="006F2BD9">
              <w:rPr>
                <w:rFonts w:eastAsia="Times New Roman" w:cs="Times New Roman"/>
                <w:color w:val="000000"/>
                <w:lang w:eastAsia="en-GB"/>
              </w:rPr>
              <w:t>Finchley Church End</w:t>
            </w:r>
          </w:p>
        </w:tc>
        <w:tc>
          <w:tcPr>
            <w:tcW w:w="965"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145</w:t>
            </w:r>
          </w:p>
        </w:tc>
        <w:tc>
          <w:tcPr>
            <w:tcW w:w="96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1.4%</w:t>
            </w:r>
          </w:p>
        </w:tc>
        <w:tc>
          <w:tcPr>
            <w:tcW w:w="158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62.1%</w:t>
            </w:r>
          </w:p>
        </w:tc>
        <w:tc>
          <w:tcPr>
            <w:tcW w:w="124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13.8%</w:t>
            </w:r>
          </w:p>
        </w:tc>
        <w:tc>
          <w:tcPr>
            <w:tcW w:w="158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24.1%</w:t>
            </w:r>
          </w:p>
        </w:tc>
      </w:tr>
      <w:tr w:rsidR="007547D4" w:rsidRPr="006F2BD9" w:rsidTr="00031B92">
        <w:trPr>
          <w:trHeight w:val="300"/>
          <w:jc w:val="center"/>
        </w:trPr>
        <w:tc>
          <w:tcPr>
            <w:tcW w:w="2202" w:type="dxa"/>
            <w:tcBorders>
              <w:top w:val="nil"/>
              <w:left w:val="single" w:sz="4" w:space="0" w:color="auto"/>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rPr>
                <w:rFonts w:eastAsia="Times New Roman" w:cs="Times New Roman"/>
                <w:color w:val="000000"/>
                <w:lang w:eastAsia="en-GB"/>
              </w:rPr>
            </w:pPr>
            <w:r w:rsidRPr="006F2BD9">
              <w:rPr>
                <w:rFonts w:eastAsia="Times New Roman" w:cs="Times New Roman"/>
                <w:color w:val="000000"/>
                <w:lang w:eastAsia="en-GB"/>
              </w:rPr>
              <w:t>Garden Suburb</w:t>
            </w:r>
          </w:p>
        </w:tc>
        <w:tc>
          <w:tcPr>
            <w:tcW w:w="965"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100</w:t>
            </w:r>
          </w:p>
        </w:tc>
        <w:tc>
          <w:tcPr>
            <w:tcW w:w="96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1.0%</w:t>
            </w:r>
          </w:p>
        </w:tc>
        <w:tc>
          <w:tcPr>
            <w:tcW w:w="158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60.0%</w:t>
            </w:r>
          </w:p>
        </w:tc>
        <w:tc>
          <w:tcPr>
            <w:tcW w:w="124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15.0%</w:t>
            </w:r>
          </w:p>
        </w:tc>
        <w:tc>
          <w:tcPr>
            <w:tcW w:w="158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25.0%</w:t>
            </w:r>
          </w:p>
        </w:tc>
      </w:tr>
      <w:tr w:rsidR="007547D4" w:rsidRPr="006F2BD9" w:rsidTr="00031B92">
        <w:trPr>
          <w:trHeight w:val="300"/>
          <w:jc w:val="center"/>
        </w:trPr>
        <w:tc>
          <w:tcPr>
            <w:tcW w:w="2202" w:type="dxa"/>
            <w:tcBorders>
              <w:top w:val="nil"/>
              <w:left w:val="single" w:sz="4" w:space="0" w:color="auto"/>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rPr>
                <w:rFonts w:eastAsia="Times New Roman" w:cs="Times New Roman"/>
                <w:color w:val="000000"/>
                <w:lang w:eastAsia="en-GB"/>
              </w:rPr>
            </w:pPr>
            <w:r w:rsidRPr="006F2BD9">
              <w:rPr>
                <w:rFonts w:eastAsia="Times New Roman" w:cs="Times New Roman"/>
                <w:color w:val="000000"/>
                <w:lang w:eastAsia="en-GB"/>
              </w:rPr>
              <w:t>Golders Green</w:t>
            </w:r>
          </w:p>
        </w:tc>
        <w:tc>
          <w:tcPr>
            <w:tcW w:w="965"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216</w:t>
            </w:r>
          </w:p>
        </w:tc>
        <w:tc>
          <w:tcPr>
            <w:tcW w:w="96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1.9%</w:t>
            </w:r>
          </w:p>
        </w:tc>
        <w:tc>
          <w:tcPr>
            <w:tcW w:w="158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51.2%</w:t>
            </w:r>
          </w:p>
        </w:tc>
        <w:tc>
          <w:tcPr>
            <w:tcW w:w="124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16.3%</w:t>
            </w:r>
          </w:p>
        </w:tc>
        <w:tc>
          <w:tcPr>
            <w:tcW w:w="158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32.6%</w:t>
            </w:r>
          </w:p>
        </w:tc>
      </w:tr>
      <w:tr w:rsidR="007547D4" w:rsidRPr="006F2BD9" w:rsidTr="00031B92">
        <w:trPr>
          <w:trHeight w:val="300"/>
          <w:jc w:val="center"/>
        </w:trPr>
        <w:tc>
          <w:tcPr>
            <w:tcW w:w="2202" w:type="dxa"/>
            <w:tcBorders>
              <w:top w:val="nil"/>
              <w:left w:val="single" w:sz="4" w:space="0" w:color="auto"/>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rPr>
                <w:rFonts w:eastAsia="Times New Roman" w:cs="Times New Roman"/>
                <w:color w:val="000000"/>
                <w:lang w:eastAsia="en-GB"/>
              </w:rPr>
            </w:pPr>
            <w:r w:rsidRPr="006F2BD9">
              <w:rPr>
                <w:rFonts w:eastAsia="Times New Roman" w:cs="Times New Roman"/>
                <w:color w:val="000000"/>
                <w:lang w:eastAsia="en-GB"/>
              </w:rPr>
              <w:t>Hale</w:t>
            </w:r>
          </w:p>
        </w:tc>
        <w:tc>
          <w:tcPr>
            <w:tcW w:w="965"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176</w:t>
            </w:r>
          </w:p>
        </w:tc>
        <w:tc>
          <w:tcPr>
            <w:tcW w:w="96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1.6%</w:t>
            </w:r>
          </w:p>
        </w:tc>
        <w:tc>
          <w:tcPr>
            <w:tcW w:w="158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65.7%</w:t>
            </w:r>
          </w:p>
        </w:tc>
        <w:tc>
          <w:tcPr>
            <w:tcW w:w="124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14.3%</w:t>
            </w:r>
          </w:p>
        </w:tc>
        <w:tc>
          <w:tcPr>
            <w:tcW w:w="158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20.0%</w:t>
            </w:r>
          </w:p>
        </w:tc>
      </w:tr>
      <w:tr w:rsidR="007547D4" w:rsidRPr="006F2BD9" w:rsidTr="00031B92">
        <w:trPr>
          <w:trHeight w:val="300"/>
          <w:jc w:val="center"/>
        </w:trPr>
        <w:tc>
          <w:tcPr>
            <w:tcW w:w="2202" w:type="dxa"/>
            <w:tcBorders>
              <w:top w:val="nil"/>
              <w:left w:val="single" w:sz="4" w:space="0" w:color="auto"/>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rPr>
                <w:rFonts w:eastAsia="Times New Roman" w:cs="Times New Roman"/>
                <w:color w:val="000000"/>
                <w:lang w:eastAsia="en-GB"/>
              </w:rPr>
            </w:pPr>
            <w:r w:rsidRPr="006F2BD9">
              <w:rPr>
                <w:rFonts w:eastAsia="Times New Roman" w:cs="Times New Roman"/>
                <w:color w:val="000000"/>
                <w:lang w:eastAsia="en-GB"/>
              </w:rPr>
              <w:t>Hendon</w:t>
            </w:r>
          </w:p>
        </w:tc>
        <w:tc>
          <w:tcPr>
            <w:tcW w:w="965"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202</w:t>
            </w:r>
          </w:p>
        </w:tc>
        <w:tc>
          <w:tcPr>
            <w:tcW w:w="96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1.6%</w:t>
            </w:r>
          </w:p>
        </w:tc>
        <w:tc>
          <w:tcPr>
            <w:tcW w:w="158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62.5%</w:t>
            </w:r>
          </w:p>
        </w:tc>
        <w:tc>
          <w:tcPr>
            <w:tcW w:w="124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15.0%</w:t>
            </w:r>
          </w:p>
        </w:tc>
        <w:tc>
          <w:tcPr>
            <w:tcW w:w="158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22.5%</w:t>
            </w:r>
          </w:p>
        </w:tc>
      </w:tr>
      <w:tr w:rsidR="007547D4" w:rsidRPr="006F2BD9" w:rsidTr="00031B92">
        <w:trPr>
          <w:trHeight w:val="300"/>
          <w:jc w:val="center"/>
        </w:trPr>
        <w:tc>
          <w:tcPr>
            <w:tcW w:w="2202" w:type="dxa"/>
            <w:tcBorders>
              <w:top w:val="nil"/>
              <w:left w:val="single" w:sz="4" w:space="0" w:color="auto"/>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rPr>
                <w:rFonts w:eastAsia="Times New Roman" w:cs="Times New Roman"/>
                <w:color w:val="000000"/>
                <w:lang w:eastAsia="en-GB"/>
              </w:rPr>
            </w:pPr>
            <w:r w:rsidRPr="006F2BD9">
              <w:rPr>
                <w:rFonts w:eastAsia="Times New Roman" w:cs="Times New Roman"/>
                <w:color w:val="000000"/>
                <w:lang w:eastAsia="en-GB"/>
              </w:rPr>
              <w:t>High Barnet</w:t>
            </w:r>
          </w:p>
        </w:tc>
        <w:tc>
          <w:tcPr>
            <w:tcW w:w="965"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125</w:t>
            </w:r>
          </w:p>
        </w:tc>
        <w:tc>
          <w:tcPr>
            <w:tcW w:w="96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1.3%</w:t>
            </w:r>
          </w:p>
        </w:tc>
        <w:tc>
          <w:tcPr>
            <w:tcW w:w="158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60.0%</w:t>
            </w:r>
          </w:p>
        </w:tc>
        <w:tc>
          <w:tcPr>
            <w:tcW w:w="124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8.0%</w:t>
            </w:r>
          </w:p>
        </w:tc>
        <w:tc>
          <w:tcPr>
            <w:tcW w:w="158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32.0%</w:t>
            </w:r>
          </w:p>
        </w:tc>
      </w:tr>
      <w:tr w:rsidR="007547D4" w:rsidRPr="006F2BD9" w:rsidTr="00031B92">
        <w:trPr>
          <w:trHeight w:val="300"/>
          <w:jc w:val="center"/>
        </w:trPr>
        <w:tc>
          <w:tcPr>
            <w:tcW w:w="2202" w:type="dxa"/>
            <w:tcBorders>
              <w:top w:val="nil"/>
              <w:left w:val="single" w:sz="4" w:space="0" w:color="auto"/>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rPr>
                <w:rFonts w:eastAsia="Times New Roman" w:cs="Times New Roman"/>
                <w:color w:val="000000"/>
                <w:lang w:eastAsia="en-GB"/>
              </w:rPr>
            </w:pPr>
            <w:r w:rsidRPr="006F2BD9">
              <w:rPr>
                <w:rFonts w:eastAsia="Times New Roman" w:cs="Times New Roman"/>
                <w:color w:val="000000"/>
                <w:lang w:eastAsia="en-GB"/>
              </w:rPr>
              <w:t>Mill Hill</w:t>
            </w:r>
          </w:p>
        </w:tc>
        <w:tc>
          <w:tcPr>
            <w:tcW w:w="965"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146</w:t>
            </w:r>
          </w:p>
        </w:tc>
        <w:tc>
          <w:tcPr>
            <w:tcW w:w="96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1.1%</w:t>
            </w:r>
          </w:p>
        </w:tc>
        <w:tc>
          <w:tcPr>
            <w:tcW w:w="158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62.1%</w:t>
            </w:r>
          </w:p>
        </w:tc>
        <w:tc>
          <w:tcPr>
            <w:tcW w:w="124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17.2%</w:t>
            </w:r>
          </w:p>
        </w:tc>
        <w:tc>
          <w:tcPr>
            <w:tcW w:w="158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20.7%</w:t>
            </w:r>
          </w:p>
        </w:tc>
      </w:tr>
      <w:tr w:rsidR="007547D4" w:rsidRPr="006F2BD9" w:rsidTr="00031B92">
        <w:trPr>
          <w:trHeight w:val="300"/>
          <w:jc w:val="center"/>
        </w:trPr>
        <w:tc>
          <w:tcPr>
            <w:tcW w:w="2202" w:type="dxa"/>
            <w:tcBorders>
              <w:top w:val="nil"/>
              <w:left w:val="single" w:sz="4" w:space="0" w:color="auto"/>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rPr>
                <w:rFonts w:eastAsia="Times New Roman" w:cs="Times New Roman"/>
                <w:color w:val="000000"/>
                <w:lang w:eastAsia="en-GB"/>
              </w:rPr>
            </w:pPr>
            <w:r w:rsidRPr="006F2BD9">
              <w:rPr>
                <w:rFonts w:eastAsia="Times New Roman" w:cs="Times New Roman"/>
                <w:color w:val="000000"/>
                <w:lang w:eastAsia="en-GB"/>
              </w:rPr>
              <w:t>Oakleigh</w:t>
            </w:r>
          </w:p>
        </w:tc>
        <w:tc>
          <w:tcPr>
            <w:tcW w:w="965"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149</w:t>
            </w:r>
          </w:p>
        </w:tc>
        <w:tc>
          <w:tcPr>
            <w:tcW w:w="96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1.5%</w:t>
            </w:r>
          </w:p>
        </w:tc>
        <w:tc>
          <w:tcPr>
            <w:tcW w:w="158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70.0%</w:t>
            </w:r>
          </w:p>
        </w:tc>
        <w:tc>
          <w:tcPr>
            <w:tcW w:w="124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10.0%</w:t>
            </w:r>
          </w:p>
        </w:tc>
        <w:tc>
          <w:tcPr>
            <w:tcW w:w="158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20.0%</w:t>
            </w:r>
          </w:p>
        </w:tc>
      </w:tr>
      <w:tr w:rsidR="007547D4" w:rsidRPr="006F2BD9" w:rsidTr="00031B92">
        <w:trPr>
          <w:trHeight w:val="300"/>
          <w:jc w:val="center"/>
        </w:trPr>
        <w:tc>
          <w:tcPr>
            <w:tcW w:w="2202" w:type="dxa"/>
            <w:tcBorders>
              <w:top w:val="nil"/>
              <w:left w:val="single" w:sz="4" w:space="0" w:color="auto"/>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rPr>
                <w:rFonts w:eastAsia="Times New Roman" w:cs="Times New Roman"/>
                <w:color w:val="000000"/>
                <w:lang w:eastAsia="en-GB"/>
              </w:rPr>
            </w:pPr>
            <w:r w:rsidRPr="006F2BD9">
              <w:rPr>
                <w:rFonts w:eastAsia="Times New Roman" w:cs="Times New Roman"/>
                <w:color w:val="000000"/>
                <w:lang w:eastAsia="en-GB"/>
              </w:rPr>
              <w:t>Totteridge</w:t>
            </w:r>
          </w:p>
        </w:tc>
        <w:tc>
          <w:tcPr>
            <w:tcW w:w="965"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87</w:t>
            </w:r>
          </w:p>
        </w:tc>
        <w:tc>
          <w:tcPr>
            <w:tcW w:w="96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0.9%</w:t>
            </w:r>
          </w:p>
        </w:tc>
        <w:tc>
          <w:tcPr>
            <w:tcW w:w="158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64.7%</w:t>
            </w:r>
          </w:p>
        </w:tc>
        <w:tc>
          <w:tcPr>
            <w:tcW w:w="124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17.6%</w:t>
            </w:r>
          </w:p>
        </w:tc>
        <w:tc>
          <w:tcPr>
            <w:tcW w:w="158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17.6%</w:t>
            </w:r>
          </w:p>
        </w:tc>
      </w:tr>
      <w:tr w:rsidR="007547D4" w:rsidRPr="006F2BD9" w:rsidTr="00031B92">
        <w:trPr>
          <w:trHeight w:val="300"/>
          <w:jc w:val="center"/>
        </w:trPr>
        <w:tc>
          <w:tcPr>
            <w:tcW w:w="2202" w:type="dxa"/>
            <w:tcBorders>
              <w:top w:val="nil"/>
              <w:left w:val="single" w:sz="4" w:space="0" w:color="auto"/>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rPr>
                <w:rFonts w:eastAsia="Times New Roman" w:cs="Times New Roman"/>
                <w:color w:val="000000"/>
                <w:lang w:eastAsia="en-GB"/>
              </w:rPr>
            </w:pPr>
            <w:r w:rsidRPr="006F2BD9">
              <w:rPr>
                <w:rFonts w:eastAsia="Times New Roman" w:cs="Times New Roman"/>
                <w:color w:val="000000"/>
                <w:lang w:eastAsia="en-GB"/>
              </w:rPr>
              <w:t>Underhill</w:t>
            </w:r>
          </w:p>
        </w:tc>
        <w:tc>
          <w:tcPr>
            <w:tcW w:w="965"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210</w:t>
            </w:r>
          </w:p>
        </w:tc>
        <w:tc>
          <w:tcPr>
            <w:tcW w:w="96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2.1%</w:t>
            </w:r>
          </w:p>
        </w:tc>
        <w:tc>
          <w:tcPr>
            <w:tcW w:w="158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65.9%</w:t>
            </w:r>
          </w:p>
        </w:tc>
        <w:tc>
          <w:tcPr>
            <w:tcW w:w="124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12.2%</w:t>
            </w:r>
          </w:p>
        </w:tc>
        <w:tc>
          <w:tcPr>
            <w:tcW w:w="158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22.0%</w:t>
            </w:r>
          </w:p>
        </w:tc>
      </w:tr>
      <w:tr w:rsidR="007547D4" w:rsidRPr="006F2BD9" w:rsidTr="00031B92">
        <w:trPr>
          <w:trHeight w:val="300"/>
          <w:jc w:val="center"/>
        </w:trPr>
        <w:tc>
          <w:tcPr>
            <w:tcW w:w="2202" w:type="dxa"/>
            <w:tcBorders>
              <w:top w:val="nil"/>
              <w:left w:val="single" w:sz="4" w:space="0" w:color="auto"/>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rPr>
                <w:rFonts w:eastAsia="Times New Roman" w:cs="Times New Roman"/>
                <w:color w:val="000000"/>
                <w:lang w:eastAsia="en-GB"/>
              </w:rPr>
            </w:pPr>
            <w:r w:rsidRPr="006F2BD9">
              <w:rPr>
                <w:rFonts w:eastAsia="Times New Roman" w:cs="Times New Roman"/>
                <w:color w:val="000000"/>
                <w:lang w:eastAsia="en-GB"/>
              </w:rPr>
              <w:t>West Finchley</w:t>
            </w:r>
          </w:p>
        </w:tc>
        <w:tc>
          <w:tcPr>
            <w:tcW w:w="965"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184</w:t>
            </w:r>
          </w:p>
        </w:tc>
        <w:tc>
          <w:tcPr>
            <w:tcW w:w="96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1.6%</w:t>
            </w:r>
          </w:p>
        </w:tc>
        <w:tc>
          <w:tcPr>
            <w:tcW w:w="158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65.8%</w:t>
            </w:r>
          </w:p>
        </w:tc>
        <w:tc>
          <w:tcPr>
            <w:tcW w:w="124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15.8%</w:t>
            </w:r>
          </w:p>
        </w:tc>
        <w:tc>
          <w:tcPr>
            <w:tcW w:w="158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18.4%</w:t>
            </w:r>
          </w:p>
        </w:tc>
      </w:tr>
      <w:tr w:rsidR="007547D4" w:rsidRPr="006F2BD9" w:rsidTr="00031B92">
        <w:trPr>
          <w:trHeight w:val="300"/>
          <w:jc w:val="center"/>
        </w:trPr>
        <w:tc>
          <w:tcPr>
            <w:tcW w:w="2202" w:type="dxa"/>
            <w:tcBorders>
              <w:top w:val="nil"/>
              <w:left w:val="single" w:sz="4" w:space="0" w:color="auto"/>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rPr>
                <w:rFonts w:eastAsia="Times New Roman" w:cs="Times New Roman"/>
                <w:color w:val="000000"/>
                <w:lang w:eastAsia="en-GB"/>
              </w:rPr>
            </w:pPr>
            <w:r w:rsidRPr="006F2BD9">
              <w:rPr>
                <w:rFonts w:eastAsia="Times New Roman" w:cs="Times New Roman"/>
                <w:color w:val="000000"/>
                <w:lang w:eastAsia="en-GB"/>
              </w:rPr>
              <w:t>West Hendon</w:t>
            </w:r>
          </w:p>
        </w:tc>
        <w:tc>
          <w:tcPr>
            <w:tcW w:w="965"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234</w:t>
            </w:r>
          </w:p>
        </w:tc>
        <w:tc>
          <w:tcPr>
            <w:tcW w:w="96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1.9%</w:t>
            </w:r>
          </w:p>
        </w:tc>
        <w:tc>
          <w:tcPr>
            <w:tcW w:w="158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60.4%</w:t>
            </w:r>
          </w:p>
        </w:tc>
        <w:tc>
          <w:tcPr>
            <w:tcW w:w="124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16.7%</w:t>
            </w:r>
          </w:p>
        </w:tc>
        <w:tc>
          <w:tcPr>
            <w:tcW w:w="158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22.9%</w:t>
            </w:r>
          </w:p>
        </w:tc>
      </w:tr>
      <w:tr w:rsidR="007547D4" w:rsidRPr="006F2BD9" w:rsidTr="00031B92">
        <w:trPr>
          <w:trHeight w:val="300"/>
          <w:jc w:val="center"/>
        </w:trPr>
        <w:tc>
          <w:tcPr>
            <w:tcW w:w="2202" w:type="dxa"/>
            <w:tcBorders>
              <w:top w:val="nil"/>
              <w:left w:val="single" w:sz="4" w:space="0" w:color="auto"/>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rPr>
                <w:rFonts w:eastAsia="Times New Roman" w:cs="Times New Roman"/>
                <w:color w:val="000000"/>
                <w:lang w:eastAsia="en-GB"/>
              </w:rPr>
            </w:pPr>
            <w:r w:rsidRPr="006F2BD9">
              <w:rPr>
                <w:rFonts w:eastAsia="Times New Roman" w:cs="Times New Roman"/>
                <w:color w:val="000000"/>
                <w:lang w:eastAsia="en-GB"/>
              </w:rPr>
              <w:t>Woodhouse</w:t>
            </w:r>
          </w:p>
        </w:tc>
        <w:tc>
          <w:tcPr>
            <w:tcW w:w="965"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221</w:t>
            </w:r>
          </w:p>
        </w:tc>
        <w:tc>
          <w:tcPr>
            <w:tcW w:w="96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1.8%</w:t>
            </w:r>
          </w:p>
        </w:tc>
        <w:tc>
          <w:tcPr>
            <w:tcW w:w="158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66.7%</w:t>
            </w:r>
          </w:p>
        </w:tc>
        <w:tc>
          <w:tcPr>
            <w:tcW w:w="124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11.1%</w:t>
            </w:r>
          </w:p>
        </w:tc>
        <w:tc>
          <w:tcPr>
            <w:tcW w:w="158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22.2%</w:t>
            </w:r>
          </w:p>
        </w:tc>
      </w:tr>
      <w:tr w:rsidR="007547D4" w:rsidRPr="006F2BD9" w:rsidTr="00031B92">
        <w:trPr>
          <w:trHeight w:val="300"/>
          <w:jc w:val="center"/>
        </w:trPr>
        <w:tc>
          <w:tcPr>
            <w:tcW w:w="2202" w:type="dxa"/>
            <w:tcBorders>
              <w:top w:val="nil"/>
              <w:left w:val="single" w:sz="4" w:space="0" w:color="auto"/>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rPr>
                <w:rFonts w:eastAsia="Times New Roman" w:cs="Times New Roman"/>
                <w:color w:val="000000"/>
                <w:lang w:eastAsia="en-GB"/>
              </w:rPr>
            </w:pPr>
            <w:r w:rsidRPr="006F2BD9">
              <w:rPr>
                <w:rFonts w:eastAsia="Times New Roman" w:cs="Times New Roman"/>
                <w:color w:val="000000"/>
                <w:lang w:eastAsia="en-GB"/>
              </w:rPr>
              <w:t>Barnet</w:t>
            </w:r>
          </w:p>
        </w:tc>
        <w:tc>
          <w:tcPr>
            <w:tcW w:w="965"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3,932</w:t>
            </w:r>
          </w:p>
        </w:tc>
        <w:tc>
          <w:tcPr>
            <w:tcW w:w="96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1.70%</w:t>
            </w:r>
          </w:p>
        </w:tc>
        <w:tc>
          <w:tcPr>
            <w:tcW w:w="158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62.5%</w:t>
            </w:r>
          </w:p>
        </w:tc>
        <w:tc>
          <w:tcPr>
            <w:tcW w:w="124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14.1%</w:t>
            </w:r>
          </w:p>
        </w:tc>
        <w:tc>
          <w:tcPr>
            <w:tcW w:w="1580" w:type="dxa"/>
            <w:tcBorders>
              <w:top w:val="nil"/>
              <w:left w:val="nil"/>
              <w:bottom w:val="single" w:sz="4" w:space="0" w:color="auto"/>
              <w:right w:val="single" w:sz="4" w:space="0" w:color="auto"/>
            </w:tcBorders>
            <w:shd w:val="clear" w:color="auto" w:fill="auto"/>
            <w:noWrap/>
            <w:vAlign w:val="bottom"/>
            <w:hideMark/>
          </w:tcPr>
          <w:p w:rsidR="007547D4" w:rsidRPr="006F2BD9" w:rsidRDefault="007547D4" w:rsidP="00031B92">
            <w:pPr>
              <w:spacing w:after="0" w:line="240" w:lineRule="auto"/>
              <w:jc w:val="center"/>
              <w:rPr>
                <w:rFonts w:eastAsia="Times New Roman" w:cs="Times New Roman"/>
                <w:color w:val="000000"/>
                <w:lang w:eastAsia="en-GB"/>
              </w:rPr>
            </w:pPr>
            <w:r w:rsidRPr="006F2BD9">
              <w:rPr>
                <w:rFonts w:eastAsia="Times New Roman" w:cs="Times New Roman"/>
                <w:color w:val="000000"/>
                <w:lang w:eastAsia="en-GB"/>
              </w:rPr>
              <w:t>23.4%</w:t>
            </w:r>
          </w:p>
        </w:tc>
      </w:tr>
    </w:tbl>
    <w:p w:rsidR="007547D4" w:rsidRPr="00651594" w:rsidRDefault="007547D4" w:rsidP="007547D4">
      <w:pPr>
        <w:rPr>
          <w:rFonts w:ascii="Calibri" w:hAnsi="Calibri" w:cs="Calibri"/>
        </w:rPr>
      </w:pPr>
      <w:r w:rsidRPr="00651594">
        <w:rPr>
          <w:rFonts w:ascii="Calibri" w:hAnsi="Calibri" w:cs="Calibri"/>
        </w:rPr>
        <w:t xml:space="preserve">Source: ONS </w:t>
      </w:r>
      <w:r w:rsidRPr="00651594">
        <w:t>claimant</w:t>
      </w:r>
      <w:r w:rsidRPr="00651594">
        <w:rPr>
          <w:rFonts w:ascii="Calibri" w:hAnsi="Calibri" w:cs="Calibri"/>
        </w:rPr>
        <w:t xml:space="preserve"> count</w:t>
      </w:r>
      <w:r w:rsidR="005067E0">
        <w:rPr>
          <w:rFonts w:ascii="Calibri" w:hAnsi="Calibri" w:cs="Calibri"/>
        </w:rPr>
        <w:t xml:space="preserve"> 2015</w:t>
      </w:r>
    </w:p>
    <w:p w:rsidR="007547D4" w:rsidRDefault="007547D4" w:rsidP="007547D4">
      <w:r>
        <w:t>In August 2014 there were just over 11,000 people on a health related benefit within Barnet (ESA &amp; IB), the 15</w:t>
      </w:r>
      <w:r w:rsidRPr="00DB1196">
        <w:rPr>
          <w:vertAlign w:val="superscript"/>
        </w:rPr>
        <w:t>th</w:t>
      </w:r>
      <w:r>
        <w:t xml:space="preserve"> largest amount in London</w:t>
      </w:r>
      <w:r>
        <w:rPr>
          <w:rStyle w:val="FootnoteReference"/>
        </w:rPr>
        <w:footnoteReference w:id="23"/>
      </w:r>
      <w:r>
        <w:t>.  Taking population size into account, this only represents 4.7% of the 16-64 population, the 12</w:t>
      </w:r>
      <w:r w:rsidRPr="00DB1196">
        <w:rPr>
          <w:vertAlign w:val="superscript"/>
        </w:rPr>
        <w:t>th</w:t>
      </w:r>
      <w:r>
        <w:t xml:space="preserve"> lowest across all London Boroughs, and below the Outer London average of 5.0%.</w:t>
      </w:r>
    </w:p>
    <w:p w:rsidR="007547D4" w:rsidRDefault="007547D4" w:rsidP="007547D4">
      <w:pPr>
        <w:spacing w:after="0" w:line="240" w:lineRule="auto"/>
        <w:jc w:val="both"/>
      </w:pPr>
      <w:r>
        <w:t xml:space="preserve">Table 3-9 shows the top five conditions of claimants of either Incapacity Benefit (IB) or Severe Disablement Allowance (SDA) within Barnet in August 2014. </w:t>
      </w:r>
    </w:p>
    <w:p w:rsidR="007547D4" w:rsidRDefault="007547D4" w:rsidP="007547D4">
      <w:pPr>
        <w:spacing w:after="0" w:line="240" w:lineRule="auto"/>
        <w:jc w:val="both"/>
      </w:pPr>
    </w:p>
    <w:p w:rsidR="007547D4" w:rsidRDefault="007547D4" w:rsidP="007547D4">
      <w:pPr>
        <w:pStyle w:val="ListParagraph"/>
        <w:numPr>
          <w:ilvl w:val="0"/>
          <w:numId w:val="29"/>
        </w:numPr>
        <w:spacing w:after="0" w:line="240" w:lineRule="auto"/>
        <w:jc w:val="both"/>
      </w:pPr>
      <w:r>
        <w:t>Across all locations ‘mental and behavioural disorders’ are the most common condition reported by claimants. Although only small, there is a higher proportion of claimants with these conditions in Barnet (44.9%) compared to London (44.5%) and these are both above the England rate (43.5%).</w:t>
      </w:r>
    </w:p>
    <w:p w:rsidR="007547D4" w:rsidRPr="002F44DD" w:rsidRDefault="007547D4" w:rsidP="007547D4">
      <w:pPr>
        <w:pStyle w:val="ListParagraph"/>
        <w:numPr>
          <w:ilvl w:val="0"/>
          <w:numId w:val="29"/>
        </w:numPr>
        <w:spacing w:after="0" w:line="240" w:lineRule="auto"/>
        <w:jc w:val="both"/>
        <w:rPr>
          <w:b/>
          <w:i/>
        </w:rPr>
      </w:pPr>
      <w:r>
        <w:t>In comparison to London, Barnet is also overrepresented with the proportion of ‘diseases of the nervous system’ 6.8% and 8.0% respectively. Although Barnet is still below the England rate of 9.1%.</w:t>
      </w:r>
    </w:p>
    <w:p w:rsidR="007547D4" w:rsidRDefault="007547D4" w:rsidP="007547D4">
      <w:pPr>
        <w:pStyle w:val="ListParagraph"/>
        <w:spacing w:after="0" w:line="240" w:lineRule="auto"/>
        <w:jc w:val="both"/>
        <w:rPr>
          <w:b/>
          <w:i/>
        </w:rPr>
      </w:pPr>
    </w:p>
    <w:p w:rsidR="005067E0" w:rsidRDefault="005067E0" w:rsidP="007547D4">
      <w:pPr>
        <w:pStyle w:val="Caption"/>
      </w:pPr>
    </w:p>
    <w:p w:rsidR="007547D4" w:rsidRDefault="007547D4" w:rsidP="007547D4">
      <w:pPr>
        <w:pStyle w:val="Caption"/>
        <w:rPr>
          <w:b w:val="0"/>
          <w:i/>
        </w:rPr>
      </w:pPr>
      <w:r>
        <w:t xml:space="preserve">Table </w:t>
      </w:r>
      <w:fldSimple w:instr=" STYLEREF 1 \s ">
        <w:r w:rsidR="001663C2">
          <w:rPr>
            <w:noProof/>
          </w:rPr>
          <w:t>3</w:t>
        </w:r>
      </w:fldSimple>
      <w:r>
        <w:noBreakHyphen/>
      </w:r>
      <w:fldSimple w:instr=" SEQ Table \* ARABIC \s 1 ">
        <w:r w:rsidR="001663C2">
          <w:rPr>
            <w:noProof/>
          </w:rPr>
          <w:t>9</w:t>
        </w:r>
      </w:fldSimple>
      <w:r w:rsidRPr="001221C6">
        <w:rPr>
          <w:rFonts w:cs="Calibri"/>
        </w:rPr>
        <w:t>: Incapacity Benefit (IB) &amp; Severe Disablement Allowance (SDA) by Claimant Type, August 2014 (Barnet, Regional and National)</w:t>
      </w:r>
    </w:p>
    <w:tbl>
      <w:tblPr>
        <w:tblW w:w="9219" w:type="dxa"/>
        <w:jc w:val="center"/>
        <w:tblInd w:w="689" w:type="dxa"/>
        <w:tblLook w:val="04A0" w:firstRow="1" w:lastRow="0" w:firstColumn="1" w:lastColumn="0" w:noHBand="0" w:noVBand="1"/>
      </w:tblPr>
      <w:tblGrid>
        <w:gridCol w:w="6339"/>
        <w:gridCol w:w="960"/>
        <w:gridCol w:w="960"/>
        <w:gridCol w:w="960"/>
      </w:tblGrid>
      <w:tr w:rsidR="007547D4" w:rsidRPr="004B0B7A" w:rsidTr="00031B92">
        <w:trPr>
          <w:trHeight w:val="255"/>
          <w:jc w:val="center"/>
        </w:trPr>
        <w:tc>
          <w:tcPr>
            <w:tcW w:w="633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7547D4" w:rsidRPr="004B0B7A" w:rsidRDefault="007547D4" w:rsidP="00031B92">
            <w:pPr>
              <w:spacing w:after="0" w:line="240" w:lineRule="auto"/>
              <w:rPr>
                <w:rFonts w:eastAsia="Times New Roman" w:cs="Arial"/>
                <w:b/>
                <w:bCs/>
                <w:lang w:eastAsia="en-GB"/>
              </w:rPr>
            </w:pPr>
            <w:r w:rsidRPr="004B0B7A">
              <w:rPr>
                <w:rFonts w:eastAsia="Times New Roman" w:cs="Arial"/>
                <w:b/>
                <w:bCs/>
                <w:lang w:eastAsia="en-GB"/>
              </w:rPr>
              <w:lastRenderedPageBreak/>
              <w:t>Condition</w:t>
            </w:r>
          </w:p>
        </w:tc>
        <w:tc>
          <w:tcPr>
            <w:tcW w:w="96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7547D4" w:rsidRPr="004B0B7A" w:rsidRDefault="007547D4" w:rsidP="00031B92">
            <w:pPr>
              <w:spacing w:after="0" w:line="240" w:lineRule="auto"/>
              <w:jc w:val="center"/>
              <w:rPr>
                <w:rFonts w:eastAsia="Times New Roman" w:cs="Arial"/>
                <w:b/>
                <w:bCs/>
                <w:lang w:eastAsia="en-GB"/>
              </w:rPr>
            </w:pPr>
            <w:r w:rsidRPr="004B0B7A">
              <w:rPr>
                <w:rFonts w:eastAsia="Times New Roman" w:cs="Arial"/>
                <w:b/>
                <w:bCs/>
                <w:lang w:eastAsia="en-GB"/>
              </w:rPr>
              <w:t>Barnet</w:t>
            </w:r>
          </w:p>
        </w:tc>
        <w:tc>
          <w:tcPr>
            <w:tcW w:w="96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7547D4" w:rsidRPr="004B0B7A" w:rsidRDefault="007547D4" w:rsidP="00031B92">
            <w:pPr>
              <w:spacing w:after="0" w:line="240" w:lineRule="auto"/>
              <w:jc w:val="center"/>
              <w:rPr>
                <w:rFonts w:eastAsia="Times New Roman" w:cs="Arial"/>
                <w:b/>
                <w:bCs/>
                <w:lang w:eastAsia="en-GB"/>
              </w:rPr>
            </w:pPr>
            <w:r w:rsidRPr="004B0B7A">
              <w:rPr>
                <w:rFonts w:eastAsia="Times New Roman" w:cs="Arial"/>
                <w:b/>
                <w:bCs/>
                <w:lang w:eastAsia="en-GB"/>
              </w:rPr>
              <w:t>London</w:t>
            </w:r>
          </w:p>
        </w:tc>
        <w:tc>
          <w:tcPr>
            <w:tcW w:w="96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7547D4" w:rsidRPr="004B0B7A" w:rsidRDefault="007547D4" w:rsidP="00031B92">
            <w:pPr>
              <w:spacing w:after="0" w:line="240" w:lineRule="auto"/>
              <w:jc w:val="center"/>
              <w:rPr>
                <w:rFonts w:eastAsia="Times New Roman" w:cs="Arial"/>
                <w:b/>
                <w:bCs/>
                <w:lang w:eastAsia="en-GB"/>
              </w:rPr>
            </w:pPr>
            <w:r w:rsidRPr="004B0B7A">
              <w:rPr>
                <w:rFonts w:eastAsia="Times New Roman" w:cs="Arial"/>
                <w:b/>
                <w:bCs/>
                <w:lang w:eastAsia="en-GB"/>
              </w:rPr>
              <w:t>England</w:t>
            </w:r>
          </w:p>
        </w:tc>
      </w:tr>
      <w:tr w:rsidR="007547D4" w:rsidRPr="004B0B7A" w:rsidTr="00031B92">
        <w:trPr>
          <w:trHeight w:val="255"/>
          <w:jc w:val="center"/>
        </w:trPr>
        <w:tc>
          <w:tcPr>
            <w:tcW w:w="6339" w:type="dxa"/>
            <w:tcBorders>
              <w:top w:val="nil"/>
              <w:left w:val="single" w:sz="4" w:space="0" w:color="auto"/>
              <w:bottom w:val="single" w:sz="4" w:space="0" w:color="auto"/>
              <w:right w:val="single" w:sz="4" w:space="0" w:color="auto"/>
            </w:tcBorders>
            <w:shd w:val="clear" w:color="auto" w:fill="auto"/>
            <w:noWrap/>
            <w:vAlign w:val="center"/>
            <w:hideMark/>
          </w:tcPr>
          <w:p w:rsidR="007547D4" w:rsidRPr="004B0B7A" w:rsidRDefault="007547D4" w:rsidP="00031B92">
            <w:pPr>
              <w:spacing w:after="0" w:line="240" w:lineRule="auto"/>
              <w:rPr>
                <w:rFonts w:eastAsia="Times New Roman" w:cs="Arial"/>
                <w:lang w:eastAsia="en-GB"/>
              </w:rPr>
            </w:pPr>
            <w:r w:rsidRPr="004B0B7A">
              <w:rPr>
                <w:rFonts w:eastAsia="Times New Roman" w:cs="Arial"/>
                <w:lang w:eastAsia="en-GB"/>
              </w:rPr>
              <w:t>Mental and behavioural disorders</w:t>
            </w:r>
          </w:p>
        </w:tc>
        <w:tc>
          <w:tcPr>
            <w:tcW w:w="960" w:type="dxa"/>
            <w:tcBorders>
              <w:top w:val="nil"/>
              <w:left w:val="nil"/>
              <w:bottom w:val="single" w:sz="4" w:space="0" w:color="auto"/>
              <w:right w:val="single" w:sz="4" w:space="0" w:color="auto"/>
            </w:tcBorders>
            <w:shd w:val="clear" w:color="auto" w:fill="auto"/>
            <w:noWrap/>
            <w:vAlign w:val="center"/>
            <w:hideMark/>
          </w:tcPr>
          <w:p w:rsidR="007547D4" w:rsidRPr="004B0B7A" w:rsidRDefault="007547D4" w:rsidP="00031B92">
            <w:pPr>
              <w:spacing w:after="0" w:line="240" w:lineRule="auto"/>
              <w:jc w:val="center"/>
              <w:rPr>
                <w:rFonts w:eastAsia="Times New Roman" w:cs="Arial"/>
                <w:lang w:eastAsia="en-GB"/>
              </w:rPr>
            </w:pPr>
            <w:r w:rsidRPr="004B0B7A">
              <w:rPr>
                <w:rFonts w:eastAsia="Times New Roman" w:cs="Arial"/>
                <w:lang w:eastAsia="en-GB"/>
              </w:rPr>
              <w:t>44.9%</w:t>
            </w:r>
          </w:p>
        </w:tc>
        <w:tc>
          <w:tcPr>
            <w:tcW w:w="960" w:type="dxa"/>
            <w:tcBorders>
              <w:top w:val="nil"/>
              <w:left w:val="nil"/>
              <w:bottom w:val="single" w:sz="4" w:space="0" w:color="auto"/>
              <w:right w:val="single" w:sz="4" w:space="0" w:color="auto"/>
            </w:tcBorders>
            <w:shd w:val="clear" w:color="auto" w:fill="auto"/>
            <w:noWrap/>
            <w:vAlign w:val="center"/>
            <w:hideMark/>
          </w:tcPr>
          <w:p w:rsidR="007547D4" w:rsidRPr="004B0B7A" w:rsidRDefault="007547D4" w:rsidP="00031B92">
            <w:pPr>
              <w:spacing w:after="0" w:line="240" w:lineRule="auto"/>
              <w:jc w:val="center"/>
              <w:rPr>
                <w:rFonts w:eastAsia="Times New Roman" w:cs="Arial"/>
                <w:lang w:eastAsia="en-GB"/>
              </w:rPr>
            </w:pPr>
            <w:r w:rsidRPr="004B0B7A">
              <w:rPr>
                <w:rFonts w:eastAsia="Times New Roman" w:cs="Arial"/>
                <w:lang w:eastAsia="en-GB"/>
              </w:rPr>
              <w:t>44.5%</w:t>
            </w:r>
          </w:p>
        </w:tc>
        <w:tc>
          <w:tcPr>
            <w:tcW w:w="960" w:type="dxa"/>
            <w:tcBorders>
              <w:top w:val="nil"/>
              <w:left w:val="nil"/>
              <w:bottom w:val="single" w:sz="4" w:space="0" w:color="auto"/>
              <w:right w:val="single" w:sz="4" w:space="0" w:color="auto"/>
            </w:tcBorders>
            <w:shd w:val="clear" w:color="auto" w:fill="auto"/>
            <w:noWrap/>
            <w:vAlign w:val="center"/>
            <w:hideMark/>
          </w:tcPr>
          <w:p w:rsidR="007547D4" w:rsidRPr="004B0B7A" w:rsidRDefault="007547D4" w:rsidP="00031B92">
            <w:pPr>
              <w:spacing w:after="0" w:line="240" w:lineRule="auto"/>
              <w:jc w:val="center"/>
              <w:rPr>
                <w:rFonts w:eastAsia="Times New Roman" w:cs="Arial"/>
                <w:lang w:eastAsia="en-GB"/>
              </w:rPr>
            </w:pPr>
            <w:r w:rsidRPr="004B0B7A">
              <w:rPr>
                <w:rFonts w:eastAsia="Times New Roman" w:cs="Arial"/>
                <w:lang w:eastAsia="en-GB"/>
              </w:rPr>
              <w:t>43.5%</w:t>
            </w:r>
          </w:p>
        </w:tc>
      </w:tr>
      <w:tr w:rsidR="007547D4" w:rsidRPr="004B0B7A" w:rsidTr="00031B92">
        <w:trPr>
          <w:trHeight w:val="255"/>
          <w:jc w:val="center"/>
        </w:trPr>
        <w:tc>
          <w:tcPr>
            <w:tcW w:w="6339" w:type="dxa"/>
            <w:tcBorders>
              <w:top w:val="nil"/>
              <w:left w:val="single" w:sz="4" w:space="0" w:color="auto"/>
              <w:bottom w:val="single" w:sz="4" w:space="0" w:color="auto"/>
              <w:right w:val="single" w:sz="4" w:space="0" w:color="auto"/>
            </w:tcBorders>
            <w:shd w:val="clear" w:color="auto" w:fill="auto"/>
            <w:noWrap/>
            <w:vAlign w:val="center"/>
            <w:hideMark/>
          </w:tcPr>
          <w:p w:rsidR="007547D4" w:rsidRPr="004B0B7A" w:rsidRDefault="007547D4" w:rsidP="00031B92">
            <w:pPr>
              <w:spacing w:after="0" w:line="240" w:lineRule="auto"/>
              <w:rPr>
                <w:rFonts w:eastAsia="Times New Roman" w:cs="Arial"/>
                <w:lang w:eastAsia="en-GB"/>
              </w:rPr>
            </w:pPr>
            <w:r w:rsidRPr="004B0B7A">
              <w:rPr>
                <w:rFonts w:eastAsia="Times New Roman" w:cs="Arial"/>
                <w:lang w:eastAsia="en-GB"/>
              </w:rPr>
              <w:t>Symptoms, signs and abnormal clinical and laboratory findings, not elsewhere classified</w:t>
            </w:r>
          </w:p>
        </w:tc>
        <w:tc>
          <w:tcPr>
            <w:tcW w:w="960" w:type="dxa"/>
            <w:tcBorders>
              <w:top w:val="nil"/>
              <w:left w:val="nil"/>
              <w:bottom w:val="single" w:sz="4" w:space="0" w:color="auto"/>
              <w:right w:val="single" w:sz="4" w:space="0" w:color="auto"/>
            </w:tcBorders>
            <w:shd w:val="clear" w:color="auto" w:fill="auto"/>
            <w:noWrap/>
            <w:vAlign w:val="center"/>
            <w:hideMark/>
          </w:tcPr>
          <w:p w:rsidR="007547D4" w:rsidRPr="004B0B7A" w:rsidRDefault="007547D4" w:rsidP="00031B92">
            <w:pPr>
              <w:spacing w:after="0" w:line="240" w:lineRule="auto"/>
              <w:jc w:val="center"/>
              <w:rPr>
                <w:rFonts w:eastAsia="Times New Roman" w:cs="Arial"/>
                <w:lang w:eastAsia="en-GB"/>
              </w:rPr>
            </w:pPr>
            <w:r w:rsidRPr="004B0B7A">
              <w:rPr>
                <w:rFonts w:eastAsia="Times New Roman" w:cs="Arial"/>
                <w:lang w:eastAsia="en-GB"/>
              </w:rPr>
              <w:t>12.8%</w:t>
            </w:r>
          </w:p>
        </w:tc>
        <w:tc>
          <w:tcPr>
            <w:tcW w:w="960" w:type="dxa"/>
            <w:tcBorders>
              <w:top w:val="nil"/>
              <w:left w:val="nil"/>
              <w:bottom w:val="single" w:sz="4" w:space="0" w:color="auto"/>
              <w:right w:val="single" w:sz="4" w:space="0" w:color="auto"/>
            </w:tcBorders>
            <w:shd w:val="clear" w:color="auto" w:fill="auto"/>
            <w:noWrap/>
            <w:vAlign w:val="center"/>
            <w:hideMark/>
          </w:tcPr>
          <w:p w:rsidR="007547D4" w:rsidRPr="004B0B7A" w:rsidRDefault="007547D4" w:rsidP="00031B92">
            <w:pPr>
              <w:spacing w:after="0" w:line="240" w:lineRule="auto"/>
              <w:jc w:val="center"/>
              <w:rPr>
                <w:rFonts w:eastAsia="Times New Roman" w:cs="Arial"/>
                <w:lang w:eastAsia="en-GB"/>
              </w:rPr>
            </w:pPr>
            <w:r w:rsidRPr="004B0B7A">
              <w:rPr>
                <w:rFonts w:eastAsia="Times New Roman" w:cs="Arial"/>
                <w:lang w:eastAsia="en-GB"/>
              </w:rPr>
              <w:t>13.9%</w:t>
            </w:r>
          </w:p>
        </w:tc>
        <w:tc>
          <w:tcPr>
            <w:tcW w:w="960" w:type="dxa"/>
            <w:tcBorders>
              <w:top w:val="nil"/>
              <w:left w:val="nil"/>
              <w:bottom w:val="single" w:sz="4" w:space="0" w:color="auto"/>
              <w:right w:val="single" w:sz="4" w:space="0" w:color="auto"/>
            </w:tcBorders>
            <w:shd w:val="clear" w:color="auto" w:fill="auto"/>
            <w:noWrap/>
            <w:vAlign w:val="center"/>
            <w:hideMark/>
          </w:tcPr>
          <w:p w:rsidR="007547D4" w:rsidRPr="004B0B7A" w:rsidRDefault="007547D4" w:rsidP="00031B92">
            <w:pPr>
              <w:spacing w:after="0" w:line="240" w:lineRule="auto"/>
              <w:jc w:val="center"/>
              <w:rPr>
                <w:rFonts w:eastAsia="Times New Roman" w:cs="Arial"/>
                <w:lang w:eastAsia="en-GB"/>
              </w:rPr>
            </w:pPr>
            <w:r w:rsidRPr="004B0B7A">
              <w:rPr>
                <w:rFonts w:eastAsia="Times New Roman" w:cs="Arial"/>
                <w:lang w:eastAsia="en-GB"/>
              </w:rPr>
              <w:t>15.0%</w:t>
            </w:r>
          </w:p>
        </w:tc>
      </w:tr>
      <w:tr w:rsidR="007547D4" w:rsidRPr="004B0B7A" w:rsidTr="00031B92">
        <w:trPr>
          <w:trHeight w:val="255"/>
          <w:jc w:val="center"/>
        </w:trPr>
        <w:tc>
          <w:tcPr>
            <w:tcW w:w="6339" w:type="dxa"/>
            <w:tcBorders>
              <w:top w:val="nil"/>
              <w:left w:val="single" w:sz="4" w:space="0" w:color="auto"/>
              <w:bottom w:val="single" w:sz="4" w:space="0" w:color="auto"/>
              <w:right w:val="single" w:sz="4" w:space="0" w:color="auto"/>
            </w:tcBorders>
            <w:shd w:val="clear" w:color="auto" w:fill="auto"/>
            <w:noWrap/>
            <w:vAlign w:val="center"/>
            <w:hideMark/>
          </w:tcPr>
          <w:p w:rsidR="007547D4" w:rsidRPr="004B0B7A" w:rsidRDefault="007547D4" w:rsidP="00031B92">
            <w:pPr>
              <w:spacing w:after="0" w:line="240" w:lineRule="auto"/>
              <w:rPr>
                <w:rFonts w:eastAsia="Times New Roman" w:cs="Arial"/>
                <w:lang w:eastAsia="en-GB"/>
              </w:rPr>
            </w:pPr>
            <w:r w:rsidRPr="004B0B7A">
              <w:rPr>
                <w:rFonts w:eastAsia="Times New Roman" w:cs="Arial"/>
                <w:lang w:eastAsia="en-GB"/>
              </w:rPr>
              <w:t>Diseases of the musculoskeletal system and connective tissue</w:t>
            </w:r>
          </w:p>
        </w:tc>
        <w:tc>
          <w:tcPr>
            <w:tcW w:w="960" w:type="dxa"/>
            <w:tcBorders>
              <w:top w:val="nil"/>
              <w:left w:val="nil"/>
              <w:bottom w:val="single" w:sz="4" w:space="0" w:color="auto"/>
              <w:right w:val="single" w:sz="4" w:space="0" w:color="auto"/>
            </w:tcBorders>
            <w:shd w:val="clear" w:color="auto" w:fill="auto"/>
            <w:noWrap/>
            <w:vAlign w:val="center"/>
            <w:hideMark/>
          </w:tcPr>
          <w:p w:rsidR="007547D4" w:rsidRPr="004B0B7A" w:rsidRDefault="007547D4" w:rsidP="00031B92">
            <w:pPr>
              <w:spacing w:after="0" w:line="240" w:lineRule="auto"/>
              <w:jc w:val="center"/>
              <w:rPr>
                <w:rFonts w:eastAsia="Times New Roman" w:cs="Arial"/>
                <w:lang w:eastAsia="en-GB"/>
              </w:rPr>
            </w:pPr>
            <w:r w:rsidRPr="004B0B7A">
              <w:rPr>
                <w:rFonts w:eastAsia="Times New Roman" w:cs="Arial"/>
                <w:lang w:eastAsia="en-GB"/>
              </w:rPr>
              <w:t>11.8%</w:t>
            </w:r>
          </w:p>
        </w:tc>
        <w:tc>
          <w:tcPr>
            <w:tcW w:w="960" w:type="dxa"/>
            <w:tcBorders>
              <w:top w:val="nil"/>
              <w:left w:val="nil"/>
              <w:bottom w:val="single" w:sz="4" w:space="0" w:color="auto"/>
              <w:right w:val="single" w:sz="4" w:space="0" w:color="auto"/>
            </w:tcBorders>
            <w:shd w:val="clear" w:color="auto" w:fill="auto"/>
            <w:noWrap/>
            <w:vAlign w:val="center"/>
            <w:hideMark/>
          </w:tcPr>
          <w:p w:rsidR="007547D4" w:rsidRPr="004B0B7A" w:rsidRDefault="007547D4" w:rsidP="00031B92">
            <w:pPr>
              <w:spacing w:after="0" w:line="240" w:lineRule="auto"/>
              <w:jc w:val="center"/>
              <w:rPr>
                <w:rFonts w:eastAsia="Times New Roman" w:cs="Arial"/>
                <w:lang w:eastAsia="en-GB"/>
              </w:rPr>
            </w:pPr>
            <w:r w:rsidRPr="004B0B7A">
              <w:rPr>
                <w:rFonts w:eastAsia="Times New Roman" w:cs="Arial"/>
                <w:lang w:eastAsia="en-GB"/>
              </w:rPr>
              <w:t>12.2%</w:t>
            </w:r>
          </w:p>
        </w:tc>
        <w:tc>
          <w:tcPr>
            <w:tcW w:w="960" w:type="dxa"/>
            <w:tcBorders>
              <w:top w:val="nil"/>
              <w:left w:val="nil"/>
              <w:bottom w:val="single" w:sz="4" w:space="0" w:color="auto"/>
              <w:right w:val="single" w:sz="4" w:space="0" w:color="auto"/>
            </w:tcBorders>
            <w:shd w:val="clear" w:color="auto" w:fill="auto"/>
            <w:noWrap/>
            <w:vAlign w:val="center"/>
            <w:hideMark/>
          </w:tcPr>
          <w:p w:rsidR="007547D4" w:rsidRPr="004B0B7A" w:rsidRDefault="007547D4" w:rsidP="00031B92">
            <w:pPr>
              <w:spacing w:after="0" w:line="240" w:lineRule="auto"/>
              <w:jc w:val="center"/>
              <w:rPr>
                <w:rFonts w:eastAsia="Times New Roman" w:cs="Arial"/>
                <w:lang w:eastAsia="en-GB"/>
              </w:rPr>
            </w:pPr>
            <w:r w:rsidRPr="004B0B7A">
              <w:rPr>
                <w:rFonts w:eastAsia="Times New Roman" w:cs="Arial"/>
                <w:lang w:eastAsia="en-GB"/>
              </w:rPr>
              <w:t>12.1%</w:t>
            </w:r>
          </w:p>
        </w:tc>
      </w:tr>
      <w:tr w:rsidR="007547D4" w:rsidRPr="004B0B7A" w:rsidTr="00031B92">
        <w:trPr>
          <w:trHeight w:val="255"/>
          <w:jc w:val="center"/>
        </w:trPr>
        <w:tc>
          <w:tcPr>
            <w:tcW w:w="6339" w:type="dxa"/>
            <w:tcBorders>
              <w:top w:val="nil"/>
              <w:left w:val="single" w:sz="4" w:space="0" w:color="auto"/>
              <w:bottom w:val="single" w:sz="4" w:space="0" w:color="auto"/>
              <w:right w:val="single" w:sz="4" w:space="0" w:color="auto"/>
            </w:tcBorders>
            <w:shd w:val="clear" w:color="auto" w:fill="auto"/>
            <w:noWrap/>
            <w:vAlign w:val="center"/>
            <w:hideMark/>
          </w:tcPr>
          <w:p w:rsidR="007547D4" w:rsidRPr="004B0B7A" w:rsidRDefault="007547D4" w:rsidP="00031B92">
            <w:pPr>
              <w:spacing w:after="0" w:line="240" w:lineRule="auto"/>
              <w:rPr>
                <w:rFonts w:eastAsia="Times New Roman" w:cs="Arial"/>
                <w:lang w:eastAsia="en-GB"/>
              </w:rPr>
            </w:pPr>
            <w:r w:rsidRPr="004B0B7A">
              <w:rPr>
                <w:rFonts w:eastAsia="Times New Roman" w:cs="Arial"/>
                <w:lang w:eastAsia="en-GB"/>
              </w:rPr>
              <w:t>Diseases of the nervous system</w:t>
            </w:r>
          </w:p>
        </w:tc>
        <w:tc>
          <w:tcPr>
            <w:tcW w:w="960" w:type="dxa"/>
            <w:tcBorders>
              <w:top w:val="nil"/>
              <w:left w:val="nil"/>
              <w:bottom w:val="single" w:sz="4" w:space="0" w:color="auto"/>
              <w:right w:val="single" w:sz="4" w:space="0" w:color="auto"/>
            </w:tcBorders>
            <w:shd w:val="clear" w:color="auto" w:fill="auto"/>
            <w:noWrap/>
            <w:vAlign w:val="center"/>
            <w:hideMark/>
          </w:tcPr>
          <w:p w:rsidR="007547D4" w:rsidRPr="004B0B7A" w:rsidRDefault="007547D4" w:rsidP="00031B92">
            <w:pPr>
              <w:spacing w:after="0" w:line="240" w:lineRule="auto"/>
              <w:jc w:val="center"/>
              <w:rPr>
                <w:rFonts w:eastAsia="Times New Roman" w:cs="Arial"/>
                <w:lang w:eastAsia="en-GB"/>
              </w:rPr>
            </w:pPr>
            <w:r w:rsidRPr="004B0B7A">
              <w:rPr>
                <w:rFonts w:eastAsia="Times New Roman" w:cs="Arial"/>
                <w:lang w:eastAsia="en-GB"/>
              </w:rPr>
              <w:t>8.0%</w:t>
            </w:r>
          </w:p>
        </w:tc>
        <w:tc>
          <w:tcPr>
            <w:tcW w:w="960" w:type="dxa"/>
            <w:tcBorders>
              <w:top w:val="nil"/>
              <w:left w:val="nil"/>
              <w:bottom w:val="single" w:sz="4" w:space="0" w:color="auto"/>
              <w:right w:val="single" w:sz="4" w:space="0" w:color="auto"/>
            </w:tcBorders>
            <w:shd w:val="clear" w:color="auto" w:fill="auto"/>
            <w:noWrap/>
            <w:vAlign w:val="center"/>
            <w:hideMark/>
          </w:tcPr>
          <w:p w:rsidR="007547D4" w:rsidRPr="004B0B7A" w:rsidRDefault="007547D4" w:rsidP="00031B92">
            <w:pPr>
              <w:spacing w:after="0" w:line="240" w:lineRule="auto"/>
              <w:jc w:val="center"/>
              <w:rPr>
                <w:rFonts w:eastAsia="Times New Roman" w:cs="Arial"/>
                <w:lang w:eastAsia="en-GB"/>
              </w:rPr>
            </w:pPr>
            <w:r w:rsidRPr="004B0B7A">
              <w:rPr>
                <w:rFonts w:eastAsia="Times New Roman" w:cs="Arial"/>
                <w:lang w:eastAsia="en-GB"/>
              </w:rPr>
              <w:t>6.8%</w:t>
            </w:r>
          </w:p>
        </w:tc>
        <w:tc>
          <w:tcPr>
            <w:tcW w:w="960" w:type="dxa"/>
            <w:tcBorders>
              <w:top w:val="nil"/>
              <w:left w:val="nil"/>
              <w:bottom w:val="single" w:sz="4" w:space="0" w:color="auto"/>
              <w:right w:val="single" w:sz="4" w:space="0" w:color="auto"/>
            </w:tcBorders>
            <w:shd w:val="clear" w:color="auto" w:fill="auto"/>
            <w:noWrap/>
            <w:vAlign w:val="center"/>
            <w:hideMark/>
          </w:tcPr>
          <w:p w:rsidR="007547D4" w:rsidRPr="004B0B7A" w:rsidRDefault="007547D4" w:rsidP="00031B92">
            <w:pPr>
              <w:spacing w:after="0" w:line="240" w:lineRule="auto"/>
              <w:jc w:val="center"/>
              <w:rPr>
                <w:rFonts w:eastAsia="Times New Roman" w:cs="Arial"/>
                <w:lang w:eastAsia="en-GB"/>
              </w:rPr>
            </w:pPr>
            <w:r w:rsidRPr="004B0B7A">
              <w:rPr>
                <w:rFonts w:eastAsia="Times New Roman" w:cs="Arial"/>
                <w:lang w:eastAsia="en-GB"/>
              </w:rPr>
              <w:t>9.1%</w:t>
            </w:r>
          </w:p>
        </w:tc>
      </w:tr>
      <w:tr w:rsidR="007547D4" w:rsidRPr="004B0B7A" w:rsidTr="00031B92">
        <w:trPr>
          <w:trHeight w:val="255"/>
          <w:jc w:val="center"/>
        </w:trPr>
        <w:tc>
          <w:tcPr>
            <w:tcW w:w="6339" w:type="dxa"/>
            <w:tcBorders>
              <w:top w:val="nil"/>
              <w:left w:val="single" w:sz="4" w:space="0" w:color="auto"/>
              <w:bottom w:val="single" w:sz="4" w:space="0" w:color="auto"/>
              <w:right w:val="single" w:sz="4" w:space="0" w:color="auto"/>
            </w:tcBorders>
            <w:shd w:val="clear" w:color="auto" w:fill="auto"/>
            <w:noWrap/>
            <w:vAlign w:val="center"/>
            <w:hideMark/>
          </w:tcPr>
          <w:p w:rsidR="007547D4" w:rsidRPr="004B0B7A" w:rsidRDefault="007547D4" w:rsidP="00031B92">
            <w:pPr>
              <w:spacing w:after="0" w:line="240" w:lineRule="auto"/>
              <w:rPr>
                <w:rFonts w:eastAsia="Times New Roman" w:cs="Arial"/>
                <w:lang w:eastAsia="en-GB"/>
              </w:rPr>
            </w:pPr>
            <w:r w:rsidRPr="004B0B7A">
              <w:rPr>
                <w:rFonts w:eastAsia="Times New Roman" w:cs="Arial"/>
                <w:lang w:eastAsia="en-GB"/>
              </w:rPr>
              <w:t>Injury, poisoning and certain other consequences of external causes</w:t>
            </w:r>
          </w:p>
        </w:tc>
        <w:tc>
          <w:tcPr>
            <w:tcW w:w="960" w:type="dxa"/>
            <w:tcBorders>
              <w:top w:val="nil"/>
              <w:left w:val="nil"/>
              <w:bottom w:val="single" w:sz="4" w:space="0" w:color="auto"/>
              <w:right w:val="single" w:sz="4" w:space="0" w:color="auto"/>
            </w:tcBorders>
            <w:shd w:val="clear" w:color="auto" w:fill="auto"/>
            <w:noWrap/>
            <w:vAlign w:val="center"/>
            <w:hideMark/>
          </w:tcPr>
          <w:p w:rsidR="007547D4" w:rsidRPr="004B0B7A" w:rsidRDefault="007547D4" w:rsidP="00031B92">
            <w:pPr>
              <w:spacing w:after="0" w:line="240" w:lineRule="auto"/>
              <w:jc w:val="center"/>
              <w:rPr>
                <w:rFonts w:eastAsia="Times New Roman" w:cs="Arial"/>
                <w:lang w:eastAsia="en-GB"/>
              </w:rPr>
            </w:pPr>
            <w:r w:rsidRPr="004B0B7A">
              <w:rPr>
                <w:rFonts w:eastAsia="Times New Roman" w:cs="Arial"/>
                <w:lang w:eastAsia="en-GB"/>
              </w:rPr>
              <w:t>3.7%</w:t>
            </w:r>
          </w:p>
        </w:tc>
        <w:tc>
          <w:tcPr>
            <w:tcW w:w="960" w:type="dxa"/>
            <w:tcBorders>
              <w:top w:val="nil"/>
              <w:left w:val="nil"/>
              <w:bottom w:val="single" w:sz="4" w:space="0" w:color="auto"/>
              <w:right w:val="single" w:sz="4" w:space="0" w:color="auto"/>
            </w:tcBorders>
            <w:shd w:val="clear" w:color="auto" w:fill="auto"/>
            <w:noWrap/>
            <w:vAlign w:val="center"/>
            <w:hideMark/>
          </w:tcPr>
          <w:p w:rsidR="007547D4" w:rsidRPr="004B0B7A" w:rsidRDefault="007547D4" w:rsidP="00031B92">
            <w:pPr>
              <w:spacing w:after="0" w:line="240" w:lineRule="auto"/>
              <w:jc w:val="center"/>
              <w:rPr>
                <w:rFonts w:eastAsia="Times New Roman" w:cs="Arial"/>
                <w:lang w:eastAsia="en-GB"/>
              </w:rPr>
            </w:pPr>
            <w:r w:rsidRPr="004B0B7A">
              <w:rPr>
                <w:rFonts w:eastAsia="Times New Roman" w:cs="Arial"/>
                <w:lang w:eastAsia="en-GB"/>
              </w:rPr>
              <w:t>3.5%</w:t>
            </w:r>
          </w:p>
        </w:tc>
        <w:tc>
          <w:tcPr>
            <w:tcW w:w="960" w:type="dxa"/>
            <w:tcBorders>
              <w:top w:val="nil"/>
              <w:left w:val="nil"/>
              <w:bottom w:val="single" w:sz="4" w:space="0" w:color="auto"/>
              <w:right w:val="single" w:sz="4" w:space="0" w:color="auto"/>
            </w:tcBorders>
            <w:shd w:val="clear" w:color="auto" w:fill="auto"/>
            <w:noWrap/>
            <w:vAlign w:val="center"/>
            <w:hideMark/>
          </w:tcPr>
          <w:p w:rsidR="007547D4" w:rsidRPr="004B0B7A" w:rsidRDefault="007547D4" w:rsidP="00031B92">
            <w:pPr>
              <w:spacing w:after="0" w:line="240" w:lineRule="auto"/>
              <w:jc w:val="center"/>
              <w:rPr>
                <w:rFonts w:eastAsia="Times New Roman" w:cs="Arial"/>
                <w:lang w:eastAsia="en-GB"/>
              </w:rPr>
            </w:pPr>
            <w:r w:rsidRPr="004B0B7A">
              <w:rPr>
                <w:rFonts w:eastAsia="Times New Roman" w:cs="Arial"/>
                <w:lang w:eastAsia="en-GB"/>
              </w:rPr>
              <w:t>3.2%</w:t>
            </w:r>
          </w:p>
        </w:tc>
      </w:tr>
    </w:tbl>
    <w:p w:rsidR="007547D4" w:rsidRPr="00651594" w:rsidRDefault="007547D4" w:rsidP="007547D4">
      <w:r w:rsidRPr="00651594">
        <w:t>Source: NOMIS Labour Market Profile: DWP benefit payments - incapacity benefit/severe disablement August 2014</w:t>
      </w:r>
    </w:p>
    <w:p w:rsidR="007547D4" w:rsidRDefault="007547D4" w:rsidP="007547D4">
      <w:pPr>
        <w:pStyle w:val="Heading2"/>
        <w:numPr>
          <w:ilvl w:val="1"/>
          <w:numId w:val="138"/>
        </w:numPr>
      </w:pPr>
      <w:bookmarkStart w:id="553" w:name="_Toc426723320"/>
      <w:bookmarkStart w:id="554" w:name="_Toc431225147"/>
      <w:r w:rsidRPr="006F2BD9">
        <w:t>Di</w:t>
      </w:r>
      <w:r>
        <w:t>sability</w:t>
      </w:r>
      <w:r w:rsidRPr="006F2BD9">
        <w:t xml:space="preserve"> and </w:t>
      </w:r>
      <w:r w:rsidRPr="00DA683F">
        <w:t>Employment</w:t>
      </w:r>
      <w:bookmarkEnd w:id="553"/>
      <w:bookmarkEnd w:id="554"/>
    </w:p>
    <w:p w:rsidR="007547D4" w:rsidRDefault="007547D4" w:rsidP="007547D4">
      <w:pPr>
        <w:pStyle w:val="Heading3"/>
        <w:numPr>
          <w:ilvl w:val="2"/>
          <w:numId w:val="138"/>
        </w:numPr>
        <w:jc w:val="both"/>
      </w:pPr>
      <w:r>
        <w:t>Mental Health</w:t>
      </w:r>
    </w:p>
    <w:p w:rsidR="007547D4" w:rsidRDefault="007547D4" w:rsidP="007547D4">
      <w:pPr>
        <w:spacing w:after="0"/>
        <w:jc w:val="both"/>
      </w:pPr>
      <w:r>
        <w:t>Unemployment can lead to diminished social networks and social functioning, as well as decreased motivation and interest which can lead to apathy. People suffering from mental health problems are especially sensitive to these negative effects of unemployment</w:t>
      </w:r>
      <w:r>
        <w:rPr>
          <w:rStyle w:val="FootnoteReference"/>
        </w:rPr>
        <w:footnoteReference w:id="24"/>
      </w:r>
      <w:r>
        <w:t>. Whereas, the social exclusion that they experience as a result of mental ill health is reduced by work and aggravated by unemployment</w:t>
      </w:r>
      <w:r>
        <w:rPr>
          <w:rStyle w:val="FootnoteReference"/>
        </w:rPr>
        <w:footnoteReference w:id="25"/>
      </w:r>
      <w:r>
        <w:t xml:space="preserve">. </w:t>
      </w:r>
    </w:p>
    <w:p w:rsidR="007547D4" w:rsidRDefault="007547D4" w:rsidP="007547D4">
      <w:pPr>
        <w:spacing w:after="0"/>
        <w:jc w:val="both"/>
      </w:pPr>
    </w:p>
    <w:p w:rsidR="007547D4" w:rsidRDefault="007547D4" w:rsidP="007547D4">
      <w:pPr>
        <w:spacing w:after="0"/>
        <w:jc w:val="both"/>
      </w:pPr>
      <w:r w:rsidRPr="006F2BD9">
        <w:t xml:space="preserve">The Health and Social Care Information Centre </w:t>
      </w:r>
      <w:r>
        <w:t xml:space="preserve">measures the number of people by Borough who are </w:t>
      </w:r>
      <w:r w:rsidRPr="006F2BD9">
        <w:t xml:space="preserve">in contact with Mental </w:t>
      </w:r>
      <w:r>
        <w:t xml:space="preserve">Health Services and </w:t>
      </w:r>
      <w:r w:rsidRPr="006F2BD9">
        <w:t>in employment</w:t>
      </w:r>
      <w:r>
        <w:rPr>
          <w:rStyle w:val="FootnoteReference"/>
        </w:rPr>
        <w:footnoteReference w:id="26"/>
      </w:r>
      <w:r>
        <w:t>, the latest data for Barnet is displayed in Table 3-10.</w:t>
      </w:r>
    </w:p>
    <w:p w:rsidR="007547D4" w:rsidRDefault="007547D4" w:rsidP="007547D4">
      <w:pPr>
        <w:pStyle w:val="ListParagraph"/>
        <w:numPr>
          <w:ilvl w:val="0"/>
          <w:numId w:val="30"/>
        </w:numPr>
        <w:spacing w:after="0"/>
        <w:jc w:val="both"/>
      </w:pPr>
      <w:r>
        <w:t>W</w:t>
      </w:r>
      <w:r w:rsidRPr="006F2BD9">
        <w:t>it</w:t>
      </w:r>
      <w:r w:rsidR="00270AEE">
        <w:t>hin Barnet, for the period 2013/</w:t>
      </w:r>
      <w:r w:rsidRPr="006F2BD9">
        <w:t>2014</w:t>
      </w:r>
      <w:r>
        <w:t>,</w:t>
      </w:r>
      <w:r w:rsidRPr="006F2BD9">
        <w:t xml:space="preserve"> 5.7% of people who were known to mental health services were in employment. In comparison to</w:t>
      </w:r>
      <w:r>
        <w:t xml:space="preserve"> other regions this is </w:t>
      </w:r>
      <w:r w:rsidRPr="006F2BD9">
        <w:t xml:space="preserve">quite low; </w:t>
      </w:r>
      <w:r>
        <w:t xml:space="preserve">as </w:t>
      </w:r>
      <w:r w:rsidRPr="006F2BD9">
        <w:t xml:space="preserve">only Bromley, </w:t>
      </w:r>
      <w:r>
        <w:t>Redbridge and Milton Keynes had</w:t>
      </w:r>
      <w:r w:rsidRPr="006F2BD9">
        <w:t xml:space="preserve"> a lower rate. </w:t>
      </w:r>
    </w:p>
    <w:p w:rsidR="007547D4" w:rsidRDefault="007547D4" w:rsidP="007547D4">
      <w:pPr>
        <w:pStyle w:val="ListParagraph"/>
        <w:numPr>
          <w:ilvl w:val="0"/>
          <w:numId w:val="30"/>
        </w:numPr>
        <w:spacing w:after="0" w:line="240" w:lineRule="auto"/>
        <w:jc w:val="both"/>
      </w:pPr>
      <w:r w:rsidRPr="006F2BD9">
        <w:t>By gender,</w:t>
      </w:r>
      <w:r>
        <w:t xml:space="preserve"> </w:t>
      </w:r>
      <w:r w:rsidRPr="006F2BD9">
        <w:t>Barnet is performing better for women where 7.3% of people known to mental health services are known to be in employment. This is above the Outer London average of 7.0%, although it is still below the England av</w:t>
      </w:r>
      <w:r>
        <w:t>erage of 8.5%.</w:t>
      </w:r>
    </w:p>
    <w:p w:rsidR="007547D4" w:rsidRDefault="007547D4" w:rsidP="007547D4">
      <w:pPr>
        <w:pStyle w:val="ListParagraph"/>
        <w:numPr>
          <w:ilvl w:val="0"/>
          <w:numId w:val="30"/>
        </w:numPr>
        <w:spacing w:after="0" w:line="240" w:lineRule="auto"/>
        <w:jc w:val="both"/>
      </w:pPr>
      <w:r w:rsidRPr="006F2BD9">
        <w:t>For men, only 4.5% of males known to mental health services in</w:t>
      </w:r>
      <w:r>
        <w:t xml:space="preserve"> Ba</w:t>
      </w:r>
      <w:r w:rsidR="00270AEE">
        <w:t>rnet were in employment in 2013/</w:t>
      </w:r>
      <w:r>
        <w:t>14. This was</w:t>
      </w:r>
      <w:r w:rsidRPr="006F2BD9">
        <w:t xml:space="preserve"> the second lowest rate of all statistical neighbours, and below the Outer London and England averages of 5.0% and 5.8% respectively.</w:t>
      </w:r>
    </w:p>
    <w:p w:rsidR="007547D4" w:rsidRDefault="007547D4" w:rsidP="007547D4">
      <w:pPr>
        <w:spacing w:after="0" w:line="240" w:lineRule="auto"/>
        <w:jc w:val="both"/>
      </w:pPr>
    </w:p>
    <w:p w:rsidR="005067E0" w:rsidRDefault="005067E0" w:rsidP="007547D4">
      <w:pPr>
        <w:pStyle w:val="Caption"/>
      </w:pPr>
    </w:p>
    <w:p w:rsidR="005067E0" w:rsidRDefault="005067E0" w:rsidP="007547D4">
      <w:pPr>
        <w:pStyle w:val="Caption"/>
      </w:pPr>
    </w:p>
    <w:p w:rsidR="005067E0" w:rsidRDefault="005067E0" w:rsidP="007547D4">
      <w:pPr>
        <w:pStyle w:val="Caption"/>
      </w:pPr>
    </w:p>
    <w:p w:rsidR="005067E0" w:rsidRDefault="005067E0" w:rsidP="007547D4">
      <w:pPr>
        <w:pStyle w:val="Caption"/>
      </w:pPr>
    </w:p>
    <w:p w:rsidR="005067E0" w:rsidRDefault="005067E0" w:rsidP="007547D4">
      <w:pPr>
        <w:pStyle w:val="Caption"/>
      </w:pPr>
    </w:p>
    <w:p w:rsidR="005067E0" w:rsidRDefault="005067E0" w:rsidP="007547D4">
      <w:pPr>
        <w:pStyle w:val="Caption"/>
      </w:pPr>
    </w:p>
    <w:p w:rsidR="00C25AB1" w:rsidRPr="00C25AB1" w:rsidRDefault="00C25AB1" w:rsidP="00C25AB1"/>
    <w:p w:rsidR="005067E0" w:rsidRDefault="005067E0" w:rsidP="007547D4">
      <w:pPr>
        <w:pStyle w:val="Caption"/>
      </w:pPr>
    </w:p>
    <w:p w:rsidR="005067E0" w:rsidRDefault="005067E0" w:rsidP="007547D4">
      <w:pPr>
        <w:pStyle w:val="Caption"/>
      </w:pPr>
    </w:p>
    <w:p w:rsidR="005067E0" w:rsidRDefault="005067E0" w:rsidP="007547D4">
      <w:pPr>
        <w:pStyle w:val="Caption"/>
      </w:pPr>
    </w:p>
    <w:p w:rsidR="007547D4" w:rsidRDefault="007547D4" w:rsidP="007547D4">
      <w:pPr>
        <w:pStyle w:val="Caption"/>
        <w:rPr>
          <w:b w:val="0"/>
          <w:i/>
        </w:rPr>
      </w:pPr>
      <w:r>
        <w:lastRenderedPageBreak/>
        <w:t xml:space="preserve">Table </w:t>
      </w:r>
      <w:fldSimple w:instr=" STYLEREF 1 \s ">
        <w:r w:rsidR="001663C2">
          <w:rPr>
            <w:noProof/>
          </w:rPr>
          <w:t>3</w:t>
        </w:r>
      </w:fldSimple>
      <w:r>
        <w:noBreakHyphen/>
      </w:r>
      <w:fldSimple w:instr=" SEQ Table \* ARABIC \s 1 ">
        <w:r w:rsidR="001663C2">
          <w:rPr>
            <w:noProof/>
          </w:rPr>
          <w:t>10</w:t>
        </w:r>
      </w:fldSimple>
      <w:r w:rsidRPr="001221C6">
        <w:rPr>
          <w:rFonts w:cs="Calibri"/>
        </w:rPr>
        <w:t xml:space="preserve">: Proportion of adults in contact with secondary mental health services in paid employment, </w:t>
      </w:r>
      <w:r w:rsidR="00C25AB1">
        <w:rPr>
          <w:rFonts w:cs="Calibri"/>
        </w:rPr>
        <w:t>2013/14</w:t>
      </w:r>
    </w:p>
    <w:tbl>
      <w:tblPr>
        <w:tblW w:w="5140" w:type="dxa"/>
        <w:jc w:val="center"/>
        <w:tblInd w:w="93" w:type="dxa"/>
        <w:tblLook w:val="04A0" w:firstRow="1" w:lastRow="0" w:firstColumn="1" w:lastColumn="0" w:noHBand="0" w:noVBand="1"/>
      </w:tblPr>
      <w:tblGrid>
        <w:gridCol w:w="2260"/>
        <w:gridCol w:w="960"/>
        <w:gridCol w:w="960"/>
        <w:gridCol w:w="960"/>
      </w:tblGrid>
      <w:tr w:rsidR="007547D4" w:rsidRPr="005265B2" w:rsidTr="00031B92">
        <w:trPr>
          <w:trHeight w:val="300"/>
          <w:jc w:val="center"/>
        </w:trPr>
        <w:tc>
          <w:tcPr>
            <w:tcW w:w="226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7547D4" w:rsidRPr="005265B2" w:rsidRDefault="007547D4" w:rsidP="00031B92">
            <w:pPr>
              <w:spacing w:after="0" w:line="240" w:lineRule="auto"/>
              <w:jc w:val="center"/>
              <w:rPr>
                <w:rFonts w:ascii="Calibri" w:eastAsia="Times New Roman" w:hAnsi="Calibri" w:cs="Times New Roman"/>
                <w:b/>
                <w:bCs/>
                <w:color w:val="000000"/>
                <w:lang w:eastAsia="en-GB"/>
              </w:rPr>
            </w:pPr>
            <w:r w:rsidRPr="005265B2">
              <w:rPr>
                <w:rFonts w:ascii="Calibri" w:eastAsia="Times New Roman" w:hAnsi="Calibri" w:cs="Times New Roman"/>
                <w:b/>
                <w:bCs/>
                <w:color w:val="000000"/>
                <w:lang w:eastAsia="en-GB"/>
              </w:rPr>
              <w:t>Area</w:t>
            </w:r>
          </w:p>
        </w:tc>
        <w:tc>
          <w:tcPr>
            <w:tcW w:w="960" w:type="dxa"/>
            <w:tcBorders>
              <w:top w:val="single" w:sz="4" w:space="0" w:color="auto"/>
              <w:left w:val="nil"/>
              <w:bottom w:val="single" w:sz="4" w:space="0" w:color="auto"/>
              <w:right w:val="single" w:sz="4" w:space="0" w:color="auto"/>
            </w:tcBorders>
            <w:shd w:val="clear" w:color="000000" w:fill="BFBFBF"/>
            <w:noWrap/>
            <w:vAlign w:val="center"/>
            <w:hideMark/>
          </w:tcPr>
          <w:p w:rsidR="007547D4" w:rsidRPr="005265B2" w:rsidRDefault="007547D4" w:rsidP="00031B92">
            <w:pPr>
              <w:spacing w:after="0" w:line="240" w:lineRule="auto"/>
              <w:jc w:val="center"/>
              <w:rPr>
                <w:rFonts w:ascii="Calibri" w:eastAsia="Times New Roman" w:hAnsi="Calibri" w:cs="Times New Roman"/>
                <w:b/>
                <w:bCs/>
                <w:color w:val="000000"/>
                <w:lang w:eastAsia="en-GB"/>
              </w:rPr>
            </w:pPr>
            <w:r w:rsidRPr="005265B2">
              <w:rPr>
                <w:rFonts w:ascii="Calibri" w:eastAsia="Times New Roman" w:hAnsi="Calibri" w:cs="Times New Roman"/>
                <w:b/>
                <w:bCs/>
                <w:color w:val="000000"/>
                <w:lang w:eastAsia="en-GB"/>
              </w:rPr>
              <w:t>Total</w:t>
            </w:r>
          </w:p>
        </w:tc>
        <w:tc>
          <w:tcPr>
            <w:tcW w:w="960" w:type="dxa"/>
            <w:tcBorders>
              <w:top w:val="single" w:sz="4" w:space="0" w:color="auto"/>
              <w:left w:val="nil"/>
              <w:bottom w:val="single" w:sz="4" w:space="0" w:color="auto"/>
              <w:right w:val="single" w:sz="4" w:space="0" w:color="auto"/>
            </w:tcBorders>
            <w:shd w:val="clear" w:color="000000" w:fill="BFBFBF"/>
            <w:noWrap/>
            <w:vAlign w:val="center"/>
            <w:hideMark/>
          </w:tcPr>
          <w:p w:rsidR="007547D4" w:rsidRPr="005265B2" w:rsidRDefault="007547D4" w:rsidP="00031B92">
            <w:pPr>
              <w:spacing w:after="0" w:line="240" w:lineRule="auto"/>
              <w:jc w:val="center"/>
              <w:rPr>
                <w:rFonts w:ascii="Calibri" w:eastAsia="Times New Roman" w:hAnsi="Calibri" w:cs="Times New Roman"/>
                <w:b/>
                <w:bCs/>
                <w:color w:val="000000"/>
                <w:lang w:eastAsia="en-GB"/>
              </w:rPr>
            </w:pPr>
            <w:r w:rsidRPr="005265B2">
              <w:rPr>
                <w:rFonts w:ascii="Calibri" w:eastAsia="Times New Roman" w:hAnsi="Calibri" w:cs="Times New Roman"/>
                <w:b/>
                <w:bCs/>
                <w:color w:val="000000"/>
                <w:lang w:eastAsia="en-GB"/>
              </w:rPr>
              <w:t>Male</w:t>
            </w:r>
          </w:p>
        </w:tc>
        <w:tc>
          <w:tcPr>
            <w:tcW w:w="960" w:type="dxa"/>
            <w:tcBorders>
              <w:top w:val="single" w:sz="4" w:space="0" w:color="auto"/>
              <w:left w:val="nil"/>
              <w:bottom w:val="single" w:sz="4" w:space="0" w:color="auto"/>
              <w:right w:val="single" w:sz="4" w:space="0" w:color="auto"/>
            </w:tcBorders>
            <w:shd w:val="clear" w:color="000000" w:fill="BFBFBF"/>
            <w:noWrap/>
            <w:vAlign w:val="center"/>
            <w:hideMark/>
          </w:tcPr>
          <w:p w:rsidR="007547D4" w:rsidRPr="005265B2" w:rsidRDefault="007547D4" w:rsidP="00031B92">
            <w:pPr>
              <w:spacing w:after="0" w:line="240" w:lineRule="auto"/>
              <w:jc w:val="center"/>
              <w:rPr>
                <w:rFonts w:ascii="Calibri" w:eastAsia="Times New Roman" w:hAnsi="Calibri" w:cs="Times New Roman"/>
                <w:b/>
                <w:bCs/>
                <w:color w:val="000000"/>
                <w:lang w:eastAsia="en-GB"/>
              </w:rPr>
            </w:pPr>
            <w:r w:rsidRPr="005265B2">
              <w:rPr>
                <w:rFonts w:ascii="Calibri" w:eastAsia="Times New Roman" w:hAnsi="Calibri" w:cs="Times New Roman"/>
                <w:b/>
                <w:bCs/>
                <w:color w:val="000000"/>
                <w:lang w:eastAsia="en-GB"/>
              </w:rPr>
              <w:t>Female</w:t>
            </w:r>
          </w:p>
        </w:tc>
      </w:tr>
      <w:tr w:rsidR="007547D4" w:rsidRPr="005265B2" w:rsidTr="00031B92">
        <w:trPr>
          <w:trHeight w:val="30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7547D4" w:rsidRPr="005265B2" w:rsidRDefault="007547D4" w:rsidP="00031B92">
            <w:pPr>
              <w:spacing w:after="0" w:line="240" w:lineRule="auto"/>
              <w:rPr>
                <w:rFonts w:ascii="Calibri" w:eastAsia="Times New Roman" w:hAnsi="Calibri" w:cs="Times New Roman"/>
                <w:color w:val="000000"/>
                <w:lang w:eastAsia="en-GB"/>
              </w:rPr>
            </w:pPr>
            <w:r w:rsidRPr="005265B2">
              <w:rPr>
                <w:rFonts w:ascii="Calibri" w:eastAsia="Times New Roman" w:hAnsi="Calibri" w:cs="Times New Roman"/>
                <w:color w:val="000000"/>
                <w:lang w:eastAsia="en-GB"/>
              </w:rPr>
              <w:t>Reading</w:t>
            </w:r>
          </w:p>
        </w:tc>
        <w:tc>
          <w:tcPr>
            <w:tcW w:w="960" w:type="dxa"/>
            <w:tcBorders>
              <w:top w:val="nil"/>
              <w:left w:val="nil"/>
              <w:bottom w:val="single" w:sz="4" w:space="0" w:color="auto"/>
              <w:right w:val="single" w:sz="4" w:space="0" w:color="auto"/>
            </w:tcBorders>
            <w:shd w:val="clear" w:color="auto" w:fill="auto"/>
            <w:noWrap/>
            <w:vAlign w:val="center"/>
            <w:hideMark/>
          </w:tcPr>
          <w:p w:rsidR="007547D4" w:rsidRPr="005265B2" w:rsidRDefault="007547D4" w:rsidP="00031B92">
            <w:pPr>
              <w:spacing w:after="0" w:line="240" w:lineRule="auto"/>
              <w:jc w:val="center"/>
              <w:rPr>
                <w:rFonts w:ascii="Calibri" w:eastAsia="Times New Roman" w:hAnsi="Calibri" w:cs="Times New Roman"/>
                <w:color w:val="000000"/>
                <w:lang w:eastAsia="en-GB"/>
              </w:rPr>
            </w:pPr>
            <w:r w:rsidRPr="005265B2">
              <w:rPr>
                <w:rFonts w:ascii="Calibri" w:eastAsia="Times New Roman" w:hAnsi="Calibri" w:cs="Times New Roman"/>
                <w:color w:val="000000"/>
                <w:lang w:eastAsia="en-GB"/>
              </w:rPr>
              <w:t>12.7</w:t>
            </w:r>
            <w:r>
              <w:rPr>
                <w:rFonts w:ascii="Calibri" w:eastAsia="Times New Roman" w:hAnsi="Calibri" w:cs="Times New Roman"/>
                <w:color w:val="000000"/>
                <w:lang w:eastAsia="en-GB"/>
              </w:rPr>
              <w:t>%</w:t>
            </w:r>
          </w:p>
        </w:tc>
        <w:tc>
          <w:tcPr>
            <w:tcW w:w="960" w:type="dxa"/>
            <w:tcBorders>
              <w:top w:val="nil"/>
              <w:left w:val="nil"/>
              <w:bottom w:val="single" w:sz="4" w:space="0" w:color="auto"/>
              <w:right w:val="single" w:sz="4" w:space="0" w:color="auto"/>
            </w:tcBorders>
            <w:shd w:val="clear" w:color="auto" w:fill="auto"/>
            <w:noWrap/>
            <w:vAlign w:val="center"/>
            <w:hideMark/>
          </w:tcPr>
          <w:p w:rsidR="007547D4" w:rsidRPr="005265B2" w:rsidRDefault="007547D4" w:rsidP="00031B92">
            <w:pPr>
              <w:spacing w:after="0" w:line="240" w:lineRule="auto"/>
              <w:jc w:val="center"/>
              <w:rPr>
                <w:rFonts w:ascii="Calibri" w:eastAsia="Times New Roman" w:hAnsi="Calibri" w:cs="Times New Roman"/>
                <w:color w:val="000000"/>
                <w:lang w:eastAsia="en-GB"/>
              </w:rPr>
            </w:pPr>
            <w:r w:rsidRPr="005265B2">
              <w:rPr>
                <w:rFonts w:ascii="Calibri" w:eastAsia="Times New Roman" w:hAnsi="Calibri" w:cs="Times New Roman"/>
                <w:color w:val="000000"/>
                <w:lang w:eastAsia="en-GB"/>
              </w:rPr>
              <w:t>10.6</w:t>
            </w:r>
            <w:r>
              <w:rPr>
                <w:rFonts w:ascii="Calibri" w:eastAsia="Times New Roman" w:hAnsi="Calibri" w:cs="Times New Roman"/>
                <w:color w:val="000000"/>
                <w:lang w:eastAsia="en-GB"/>
              </w:rPr>
              <w:t>%</w:t>
            </w:r>
          </w:p>
        </w:tc>
        <w:tc>
          <w:tcPr>
            <w:tcW w:w="960" w:type="dxa"/>
            <w:tcBorders>
              <w:top w:val="nil"/>
              <w:left w:val="nil"/>
              <w:bottom w:val="single" w:sz="4" w:space="0" w:color="auto"/>
              <w:right w:val="single" w:sz="4" w:space="0" w:color="auto"/>
            </w:tcBorders>
            <w:shd w:val="clear" w:color="auto" w:fill="auto"/>
            <w:noWrap/>
            <w:vAlign w:val="center"/>
            <w:hideMark/>
          </w:tcPr>
          <w:p w:rsidR="007547D4" w:rsidRPr="005265B2" w:rsidRDefault="007547D4" w:rsidP="00031B92">
            <w:pPr>
              <w:spacing w:after="0" w:line="240" w:lineRule="auto"/>
              <w:jc w:val="center"/>
              <w:rPr>
                <w:rFonts w:ascii="Calibri" w:eastAsia="Times New Roman" w:hAnsi="Calibri" w:cs="Times New Roman"/>
                <w:color w:val="000000"/>
                <w:lang w:eastAsia="en-GB"/>
              </w:rPr>
            </w:pPr>
            <w:r w:rsidRPr="005265B2">
              <w:rPr>
                <w:rFonts w:ascii="Calibri" w:eastAsia="Times New Roman" w:hAnsi="Calibri" w:cs="Times New Roman"/>
                <w:color w:val="000000"/>
                <w:lang w:eastAsia="en-GB"/>
              </w:rPr>
              <w:t>15.9</w:t>
            </w:r>
            <w:r>
              <w:rPr>
                <w:rFonts w:ascii="Calibri" w:eastAsia="Times New Roman" w:hAnsi="Calibri" w:cs="Times New Roman"/>
                <w:color w:val="000000"/>
                <w:lang w:eastAsia="en-GB"/>
              </w:rPr>
              <w:t>%</w:t>
            </w:r>
          </w:p>
        </w:tc>
      </w:tr>
      <w:tr w:rsidR="007547D4" w:rsidRPr="005265B2" w:rsidTr="00031B92">
        <w:trPr>
          <w:trHeight w:val="30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7547D4" w:rsidRPr="005265B2" w:rsidRDefault="007547D4" w:rsidP="00031B92">
            <w:pPr>
              <w:spacing w:after="0" w:line="240" w:lineRule="auto"/>
              <w:rPr>
                <w:rFonts w:ascii="Calibri" w:eastAsia="Times New Roman" w:hAnsi="Calibri" w:cs="Times New Roman"/>
                <w:color w:val="000000"/>
                <w:lang w:eastAsia="en-GB"/>
              </w:rPr>
            </w:pPr>
            <w:r w:rsidRPr="005265B2">
              <w:rPr>
                <w:rFonts w:ascii="Calibri" w:eastAsia="Times New Roman" w:hAnsi="Calibri" w:cs="Times New Roman"/>
                <w:color w:val="000000"/>
                <w:lang w:eastAsia="en-GB"/>
              </w:rPr>
              <w:t>Sutton</w:t>
            </w:r>
          </w:p>
        </w:tc>
        <w:tc>
          <w:tcPr>
            <w:tcW w:w="960" w:type="dxa"/>
            <w:tcBorders>
              <w:top w:val="nil"/>
              <w:left w:val="nil"/>
              <w:bottom w:val="single" w:sz="4" w:space="0" w:color="auto"/>
              <w:right w:val="single" w:sz="4" w:space="0" w:color="auto"/>
            </w:tcBorders>
            <w:shd w:val="clear" w:color="auto" w:fill="auto"/>
            <w:noWrap/>
            <w:vAlign w:val="center"/>
            <w:hideMark/>
          </w:tcPr>
          <w:p w:rsidR="007547D4" w:rsidRPr="005265B2" w:rsidRDefault="007547D4" w:rsidP="00031B92">
            <w:pPr>
              <w:spacing w:after="0" w:line="240" w:lineRule="auto"/>
              <w:jc w:val="center"/>
              <w:rPr>
                <w:rFonts w:ascii="Calibri" w:eastAsia="Times New Roman" w:hAnsi="Calibri" w:cs="Times New Roman"/>
                <w:color w:val="000000"/>
                <w:lang w:eastAsia="en-GB"/>
              </w:rPr>
            </w:pPr>
            <w:r w:rsidRPr="005265B2">
              <w:rPr>
                <w:rFonts w:ascii="Calibri" w:eastAsia="Times New Roman" w:hAnsi="Calibri" w:cs="Times New Roman"/>
                <w:color w:val="000000"/>
                <w:lang w:eastAsia="en-GB"/>
              </w:rPr>
              <w:t>9.7</w:t>
            </w:r>
            <w:r>
              <w:rPr>
                <w:rFonts w:ascii="Calibri" w:eastAsia="Times New Roman" w:hAnsi="Calibri" w:cs="Times New Roman"/>
                <w:color w:val="000000"/>
                <w:lang w:eastAsia="en-GB"/>
              </w:rPr>
              <w:t>%</w:t>
            </w:r>
          </w:p>
        </w:tc>
        <w:tc>
          <w:tcPr>
            <w:tcW w:w="960" w:type="dxa"/>
            <w:tcBorders>
              <w:top w:val="nil"/>
              <w:left w:val="nil"/>
              <w:bottom w:val="single" w:sz="4" w:space="0" w:color="auto"/>
              <w:right w:val="single" w:sz="4" w:space="0" w:color="auto"/>
            </w:tcBorders>
            <w:shd w:val="clear" w:color="auto" w:fill="auto"/>
            <w:noWrap/>
            <w:vAlign w:val="center"/>
            <w:hideMark/>
          </w:tcPr>
          <w:p w:rsidR="007547D4" w:rsidRPr="005265B2" w:rsidRDefault="007547D4" w:rsidP="00031B92">
            <w:pPr>
              <w:spacing w:after="0" w:line="240" w:lineRule="auto"/>
              <w:jc w:val="center"/>
              <w:rPr>
                <w:rFonts w:ascii="Calibri" w:eastAsia="Times New Roman" w:hAnsi="Calibri" w:cs="Times New Roman"/>
                <w:color w:val="000000"/>
                <w:lang w:eastAsia="en-GB"/>
              </w:rPr>
            </w:pPr>
            <w:r w:rsidRPr="005265B2">
              <w:rPr>
                <w:rFonts w:ascii="Calibri" w:eastAsia="Times New Roman" w:hAnsi="Calibri" w:cs="Times New Roman"/>
                <w:color w:val="000000"/>
                <w:lang w:eastAsia="en-GB"/>
              </w:rPr>
              <w:t>8</w:t>
            </w:r>
            <w:r>
              <w:rPr>
                <w:rFonts w:ascii="Calibri" w:eastAsia="Times New Roman" w:hAnsi="Calibri" w:cs="Times New Roman"/>
                <w:color w:val="000000"/>
                <w:lang w:eastAsia="en-GB"/>
              </w:rPr>
              <w:t>.0%</w:t>
            </w:r>
          </w:p>
        </w:tc>
        <w:tc>
          <w:tcPr>
            <w:tcW w:w="960" w:type="dxa"/>
            <w:tcBorders>
              <w:top w:val="nil"/>
              <w:left w:val="nil"/>
              <w:bottom w:val="single" w:sz="4" w:space="0" w:color="auto"/>
              <w:right w:val="single" w:sz="4" w:space="0" w:color="auto"/>
            </w:tcBorders>
            <w:shd w:val="clear" w:color="auto" w:fill="auto"/>
            <w:noWrap/>
            <w:vAlign w:val="center"/>
            <w:hideMark/>
          </w:tcPr>
          <w:p w:rsidR="007547D4" w:rsidRPr="005265B2" w:rsidRDefault="007547D4" w:rsidP="00031B92">
            <w:pPr>
              <w:spacing w:after="0" w:line="240" w:lineRule="auto"/>
              <w:jc w:val="center"/>
              <w:rPr>
                <w:rFonts w:ascii="Calibri" w:eastAsia="Times New Roman" w:hAnsi="Calibri" w:cs="Times New Roman"/>
                <w:color w:val="000000"/>
                <w:lang w:eastAsia="en-GB"/>
              </w:rPr>
            </w:pPr>
            <w:r w:rsidRPr="005265B2">
              <w:rPr>
                <w:rFonts w:ascii="Calibri" w:eastAsia="Times New Roman" w:hAnsi="Calibri" w:cs="Times New Roman"/>
                <w:color w:val="000000"/>
                <w:lang w:eastAsia="en-GB"/>
              </w:rPr>
              <w:t>11.7</w:t>
            </w:r>
            <w:r>
              <w:rPr>
                <w:rFonts w:ascii="Calibri" w:eastAsia="Times New Roman" w:hAnsi="Calibri" w:cs="Times New Roman"/>
                <w:color w:val="000000"/>
                <w:lang w:eastAsia="en-GB"/>
              </w:rPr>
              <w:t>%</w:t>
            </w:r>
          </w:p>
        </w:tc>
      </w:tr>
      <w:tr w:rsidR="007547D4" w:rsidRPr="005265B2" w:rsidTr="00031B92">
        <w:trPr>
          <w:trHeight w:val="30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7547D4" w:rsidRPr="005265B2" w:rsidRDefault="007547D4" w:rsidP="00031B92">
            <w:pPr>
              <w:spacing w:after="0" w:line="240" w:lineRule="auto"/>
              <w:rPr>
                <w:rFonts w:ascii="Calibri" w:eastAsia="Times New Roman" w:hAnsi="Calibri" w:cs="Times New Roman"/>
                <w:color w:val="000000"/>
                <w:lang w:eastAsia="en-GB"/>
              </w:rPr>
            </w:pPr>
            <w:r w:rsidRPr="005265B2">
              <w:rPr>
                <w:rFonts w:ascii="Calibri" w:eastAsia="Times New Roman" w:hAnsi="Calibri" w:cs="Times New Roman"/>
                <w:color w:val="000000"/>
                <w:lang w:eastAsia="en-GB"/>
              </w:rPr>
              <w:t>Merton</w:t>
            </w:r>
          </w:p>
        </w:tc>
        <w:tc>
          <w:tcPr>
            <w:tcW w:w="960" w:type="dxa"/>
            <w:tcBorders>
              <w:top w:val="nil"/>
              <w:left w:val="nil"/>
              <w:bottom w:val="single" w:sz="4" w:space="0" w:color="auto"/>
              <w:right w:val="single" w:sz="4" w:space="0" w:color="auto"/>
            </w:tcBorders>
            <w:shd w:val="clear" w:color="auto" w:fill="auto"/>
            <w:noWrap/>
            <w:vAlign w:val="center"/>
            <w:hideMark/>
          </w:tcPr>
          <w:p w:rsidR="007547D4" w:rsidRPr="005265B2" w:rsidRDefault="007547D4" w:rsidP="00031B92">
            <w:pPr>
              <w:spacing w:after="0" w:line="240" w:lineRule="auto"/>
              <w:jc w:val="center"/>
              <w:rPr>
                <w:rFonts w:ascii="Calibri" w:eastAsia="Times New Roman" w:hAnsi="Calibri" w:cs="Times New Roman"/>
                <w:color w:val="000000"/>
                <w:lang w:eastAsia="en-GB"/>
              </w:rPr>
            </w:pPr>
            <w:r w:rsidRPr="005265B2">
              <w:rPr>
                <w:rFonts w:ascii="Calibri" w:eastAsia="Times New Roman" w:hAnsi="Calibri" w:cs="Times New Roman"/>
                <w:color w:val="000000"/>
                <w:lang w:eastAsia="en-GB"/>
              </w:rPr>
              <w:t>9.2</w:t>
            </w:r>
            <w:r>
              <w:rPr>
                <w:rFonts w:ascii="Calibri" w:eastAsia="Times New Roman" w:hAnsi="Calibri" w:cs="Times New Roman"/>
                <w:color w:val="000000"/>
                <w:lang w:eastAsia="en-GB"/>
              </w:rPr>
              <w:t>%</w:t>
            </w:r>
          </w:p>
        </w:tc>
        <w:tc>
          <w:tcPr>
            <w:tcW w:w="960" w:type="dxa"/>
            <w:tcBorders>
              <w:top w:val="nil"/>
              <w:left w:val="nil"/>
              <w:bottom w:val="single" w:sz="4" w:space="0" w:color="auto"/>
              <w:right w:val="single" w:sz="4" w:space="0" w:color="auto"/>
            </w:tcBorders>
            <w:shd w:val="clear" w:color="auto" w:fill="auto"/>
            <w:noWrap/>
            <w:vAlign w:val="center"/>
            <w:hideMark/>
          </w:tcPr>
          <w:p w:rsidR="007547D4" w:rsidRPr="005265B2" w:rsidRDefault="007547D4" w:rsidP="00031B92">
            <w:pPr>
              <w:spacing w:after="0" w:line="240" w:lineRule="auto"/>
              <w:jc w:val="center"/>
              <w:rPr>
                <w:rFonts w:ascii="Calibri" w:eastAsia="Times New Roman" w:hAnsi="Calibri" w:cs="Times New Roman"/>
                <w:color w:val="000000"/>
                <w:lang w:eastAsia="en-GB"/>
              </w:rPr>
            </w:pPr>
            <w:r w:rsidRPr="005265B2">
              <w:rPr>
                <w:rFonts w:ascii="Calibri" w:eastAsia="Times New Roman" w:hAnsi="Calibri" w:cs="Times New Roman"/>
                <w:color w:val="000000"/>
                <w:lang w:eastAsia="en-GB"/>
              </w:rPr>
              <w:t>7.1</w:t>
            </w:r>
            <w:r>
              <w:rPr>
                <w:rFonts w:ascii="Calibri" w:eastAsia="Times New Roman" w:hAnsi="Calibri" w:cs="Times New Roman"/>
                <w:color w:val="000000"/>
                <w:lang w:eastAsia="en-GB"/>
              </w:rPr>
              <w:t>%</w:t>
            </w:r>
          </w:p>
        </w:tc>
        <w:tc>
          <w:tcPr>
            <w:tcW w:w="960" w:type="dxa"/>
            <w:tcBorders>
              <w:top w:val="nil"/>
              <w:left w:val="nil"/>
              <w:bottom w:val="single" w:sz="4" w:space="0" w:color="auto"/>
              <w:right w:val="single" w:sz="4" w:space="0" w:color="auto"/>
            </w:tcBorders>
            <w:shd w:val="clear" w:color="auto" w:fill="auto"/>
            <w:noWrap/>
            <w:vAlign w:val="center"/>
            <w:hideMark/>
          </w:tcPr>
          <w:p w:rsidR="007547D4" w:rsidRPr="005265B2" w:rsidRDefault="007547D4" w:rsidP="00031B92">
            <w:pPr>
              <w:spacing w:after="0" w:line="240" w:lineRule="auto"/>
              <w:jc w:val="center"/>
              <w:rPr>
                <w:rFonts w:ascii="Calibri" w:eastAsia="Times New Roman" w:hAnsi="Calibri" w:cs="Times New Roman"/>
                <w:color w:val="000000"/>
                <w:lang w:eastAsia="en-GB"/>
              </w:rPr>
            </w:pPr>
            <w:r w:rsidRPr="005265B2">
              <w:rPr>
                <w:rFonts w:ascii="Calibri" w:eastAsia="Times New Roman" w:hAnsi="Calibri" w:cs="Times New Roman"/>
                <w:color w:val="000000"/>
                <w:lang w:eastAsia="en-GB"/>
              </w:rPr>
              <w:t>11.9</w:t>
            </w:r>
            <w:r>
              <w:rPr>
                <w:rFonts w:ascii="Calibri" w:eastAsia="Times New Roman" w:hAnsi="Calibri" w:cs="Times New Roman"/>
                <w:color w:val="000000"/>
                <w:lang w:eastAsia="en-GB"/>
              </w:rPr>
              <w:t>%</w:t>
            </w:r>
          </w:p>
        </w:tc>
      </w:tr>
      <w:tr w:rsidR="007547D4" w:rsidRPr="005265B2" w:rsidTr="00031B92">
        <w:trPr>
          <w:trHeight w:val="30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7547D4" w:rsidRPr="005265B2" w:rsidRDefault="007547D4" w:rsidP="00031B92">
            <w:pPr>
              <w:spacing w:after="0" w:line="240" w:lineRule="auto"/>
              <w:rPr>
                <w:rFonts w:ascii="Calibri" w:eastAsia="Times New Roman" w:hAnsi="Calibri" w:cs="Times New Roman"/>
                <w:color w:val="000000"/>
                <w:lang w:eastAsia="en-GB"/>
              </w:rPr>
            </w:pPr>
            <w:r w:rsidRPr="005265B2">
              <w:rPr>
                <w:rFonts w:ascii="Calibri" w:eastAsia="Times New Roman" w:hAnsi="Calibri" w:cs="Times New Roman"/>
                <w:color w:val="000000"/>
                <w:lang w:eastAsia="en-GB"/>
              </w:rPr>
              <w:t>Kingston upon Thames</w:t>
            </w:r>
          </w:p>
        </w:tc>
        <w:tc>
          <w:tcPr>
            <w:tcW w:w="960" w:type="dxa"/>
            <w:tcBorders>
              <w:top w:val="nil"/>
              <w:left w:val="nil"/>
              <w:bottom w:val="single" w:sz="4" w:space="0" w:color="auto"/>
              <w:right w:val="single" w:sz="4" w:space="0" w:color="auto"/>
            </w:tcBorders>
            <w:shd w:val="clear" w:color="auto" w:fill="auto"/>
            <w:noWrap/>
            <w:vAlign w:val="center"/>
            <w:hideMark/>
          </w:tcPr>
          <w:p w:rsidR="007547D4" w:rsidRPr="005265B2" w:rsidRDefault="007547D4" w:rsidP="00031B92">
            <w:pPr>
              <w:spacing w:after="0" w:line="240" w:lineRule="auto"/>
              <w:jc w:val="center"/>
              <w:rPr>
                <w:rFonts w:ascii="Calibri" w:eastAsia="Times New Roman" w:hAnsi="Calibri" w:cs="Times New Roman"/>
                <w:color w:val="000000"/>
                <w:lang w:eastAsia="en-GB"/>
              </w:rPr>
            </w:pPr>
            <w:r w:rsidRPr="005265B2">
              <w:rPr>
                <w:rFonts w:ascii="Calibri" w:eastAsia="Times New Roman" w:hAnsi="Calibri" w:cs="Times New Roman"/>
                <w:color w:val="000000"/>
                <w:lang w:eastAsia="en-GB"/>
              </w:rPr>
              <w:t>8.6</w:t>
            </w:r>
            <w:r>
              <w:rPr>
                <w:rFonts w:ascii="Calibri" w:eastAsia="Times New Roman" w:hAnsi="Calibri" w:cs="Times New Roman"/>
                <w:color w:val="000000"/>
                <w:lang w:eastAsia="en-GB"/>
              </w:rPr>
              <w:t>%</w:t>
            </w:r>
          </w:p>
        </w:tc>
        <w:tc>
          <w:tcPr>
            <w:tcW w:w="960" w:type="dxa"/>
            <w:tcBorders>
              <w:top w:val="nil"/>
              <w:left w:val="nil"/>
              <w:bottom w:val="single" w:sz="4" w:space="0" w:color="auto"/>
              <w:right w:val="single" w:sz="4" w:space="0" w:color="auto"/>
            </w:tcBorders>
            <w:shd w:val="clear" w:color="auto" w:fill="auto"/>
            <w:noWrap/>
            <w:vAlign w:val="center"/>
            <w:hideMark/>
          </w:tcPr>
          <w:p w:rsidR="007547D4" w:rsidRPr="005265B2" w:rsidRDefault="007547D4" w:rsidP="00031B92">
            <w:pPr>
              <w:spacing w:after="0" w:line="240" w:lineRule="auto"/>
              <w:jc w:val="center"/>
              <w:rPr>
                <w:rFonts w:ascii="Calibri" w:eastAsia="Times New Roman" w:hAnsi="Calibri" w:cs="Times New Roman"/>
                <w:color w:val="000000"/>
                <w:lang w:eastAsia="en-GB"/>
              </w:rPr>
            </w:pPr>
            <w:r w:rsidRPr="005265B2">
              <w:rPr>
                <w:rFonts w:ascii="Calibri" w:eastAsia="Times New Roman" w:hAnsi="Calibri" w:cs="Times New Roman"/>
                <w:color w:val="000000"/>
                <w:lang w:eastAsia="en-GB"/>
              </w:rPr>
              <w:t>5.8</w:t>
            </w:r>
            <w:r>
              <w:rPr>
                <w:rFonts w:ascii="Calibri" w:eastAsia="Times New Roman" w:hAnsi="Calibri" w:cs="Times New Roman"/>
                <w:color w:val="000000"/>
                <w:lang w:eastAsia="en-GB"/>
              </w:rPr>
              <w:t>%</w:t>
            </w:r>
          </w:p>
        </w:tc>
        <w:tc>
          <w:tcPr>
            <w:tcW w:w="960" w:type="dxa"/>
            <w:tcBorders>
              <w:top w:val="nil"/>
              <w:left w:val="nil"/>
              <w:bottom w:val="single" w:sz="4" w:space="0" w:color="auto"/>
              <w:right w:val="single" w:sz="4" w:space="0" w:color="auto"/>
            </w:tcBorders>
            <w:shd w:val="clear" w:color="auto" w:fill="auto"/>
            <w:noWrap/>
            <w:vAlign w:val="center"/>
            <w:hideMark/>
          </w:tcPr>
          <w:p w:rsidR="007547D4" w:rsidRPr="005265B2" w:rsidRDefault="007547D4" w:rsidP="00031B92">
            <w:pPr>
              <w:spacing w:after="0" w:line="240" w:lineRule="auto"/>
              <w:jc w:val="center"/>
              <w:rPr>
                <w:rFonts w:ascii="Calibri" w:eastAsia="Times New Roman" w:hAnsi="Calibri" w:cs="Times New Roman"/>
                <w:color w:val="000000"/>
                <w:lang w:eastAsia="en-GB"/>
              </w:rPr>
            </w:pPr>
            <w:r w:rsidRPr="005265B2">
              <w:rPr>
                <w:rFonts w:ascii="Calibri" w:eastAsia="Times New Roman" w:hAnsi="Calibri" w:cs="Times New Roman"/>
                <w:color w:val="000000"/>
                <w:lang w:eastAsia="en-GB"/>
              </w:rPr>
              <w:t>11.7</w:t>
            </w:r>
            <w:r>
              <w:rPr>
                <w:rFonts w:ascii="Calibri" w:eastAsia="Times New Roman" w:hAnsi="Calibri" w:cs="Times New Roman"/>
                <w:color w:val="000000"/>
                <w:lang w:eastAsia="en-GB"/>
              </w:rPr>
              <w:t>%</w:t>
            </w:r>
          </w:p>
        </w:tc>
      </w:tr>
      <w:tr w:rsidR="007547D4" w:rsidRPr="005265B2" w:rsidTr="00031B92">
        <w:trPr>
          <w:trHeight w:val="30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7547D4" w:rsidRPr="005265B2" w:rsidRDefault="007547D4" w:rsidP="00031B92">
            <w:pPr>
              <w:spacing w:after="0" w:line="240" w:lineRule="auto"/>
              <w:rPr>
                <w:rFonts w:ascii="Calibri" w:eastAsia="Times New Roman" w:hAnsi="Calibri" w:cs="Times New Roman"/>
                <w:color w:val="000000"/>
                <w:lang w:eastAsia="en-GB"/>
              </w:rPr>
            </w:pPr>
            <w:r w:rsidRPr="005265B2">
              <w:rPr>
                <w:rFonts w:ascii="Calibri" w:eastAsia="Times New Roman" w:hAnsi="Calibri" w:cs="Times New Roman"/>
                <w:color w:val="000000"/>
                <w:lang w:eastAsia="en-GB"/>
              </w:rPr>
              <w:t>Hillingdon</w:t>
            </w:r>
          </w:p>
        </w:tc>
        <w:tc>
          <w:tcPr>
            <w:tcW w:w="960" w:type="dxa"/>
            <w:tcBorders>
              <w:top w:val="nil"/>
              <w:left w:val="nil"/>
              <w:bottom w:val="single" w:sz="4" w:space="0" w:color="auto"/>
              <w:right w:val="single" w:sz="4" w:space="0" w:color="auto"/>
            </w:tcBorders>
            <w:shd w:val="clear" w:color="auto" w:fill="auto"/>
            <w:noWrap/>
            <w:vAlign w:val="center"/>
            <w:hideMark/>
          </w:tcPr>
          <w:p w:rsidR="007547D4" w:rsidRPr="005265B2" w:rsidRDefault="007547D4" w:rsidP="00031B92">
            <w:pPr>
              <w:spacing w:after="0" w:line="240" w:lineRule="auto"/>
              <w:jc w:val="center"/>
              <w:rPr>
                <w:rFonts w:ascii="Calibri" w:eastAsia="Times New Roman" w:hAnsi="Calibri" w:cs="Times New Roman"/>
                <w:color w:val="000000"/>
                <w:lang w:eastAsia="en-GB"/>
              </w:rPr>
            </w:pPr>
            <w:r w:rsidRPr="005265B2">
              <w:rPr>
                <w:rFonts w:ascii="Calibri" w:eastAsia="Times New Roman" w:hAnsi="Calibri" w:cs="Times New Roman"/>
                <w:color w:val="000000"/>
                <w:lang w:eastAsia="en-GB"/>
              </w:rPr>
              <w:t>8.3</w:t>
            </w:r>
            <w:r>
              <w:rPr>
                <w:rFonts w:ascii="Calibri" w:eastAsia="Times New Roman" w:hAnsi="Calibri" w:cs="Times New Roman"/>
                <w:color w:val="000000"/>
                <w:lang w:eastAsia="en-GB"/>
              </w:rPr>
              <w:t>%</w:t>
            </w:r>
          </w:p>
        </w:tc>
        <w:tc>
          <w:tcPr>
            <w:tcW w:w="960" w:type="dxa"/>
            <w:tcBorders>
              <w:top w:val="nil"/>
              <w:left w:val="nil"/>
              <w:bottom w:val="single" w:sz="4" w:space="0" w:color="auto"/>
              <w:right w:val="single" w:sz="4" w:space="0" w:color="auto"/>
            </w:tcBorders>
            <w:shd w:val="clear" w:color="auto" w:fill="auto"/>
            <w:noWrap/>
            <w:vAlign w:val="center"/>
            <w:hideMark/>
          </w:tcPr>
          <w:p w:rsidR="007547D4" w:rsidRPr="005265B2" w:rsidRDefault="007547D4" w:rsidP="00031B92">
            <w:pPr>
              <w:spacing w:after="0" w:line="240" w:lineRule="auto"/>
              <w:jc w:val="center"/>
              <w:rPr>
                <w:rFonts w:ascii="Calibri" w:eastAsia="Times New Roman" w:hAnsi="Calibri" w:cs="Times New Roman"/>
                <w:color w:val="000000"/>
                <w:lang w:eastAsia="en-GB"/>
              </w:rPr>
            </w:pPr>
            <w:r w:rsidRPr="005265B2">
              <w:rPr>
                <w:rFonts w:ascii="Calibri" w:eastAsia="Times New Roman" w:hAnsi="Calibri" w:cs="Times New Roman"/>
                <w:color w:val="000000"/>
                <w:lang w:eastAsia="en-GB"/>
              </w:rPr>
              <w:t>7.2</w:t>
            </w:r>
            <w:r>
              <w:rPr>
                <w:rFonts w:ascii="Calibri" w:eastAsia="Times New Roman" w:hAnsi="Calibri" w:cs="Times New Roman"/>
                <w:color w:val="000000"/>
                <w:lang w:eastAsia="en-GB"/>
              </w:rPr>
              <w:t>%</w:t>
            </w:r>
          </w:p>
        </w:tc>
        <w:tc>
          <w:tcPr>
            <w:tcW w:w="960" w:type="dxa"/>
            <w:tcBorders>
              <w:top w:val="nil"/>
              <w:left w:val="nil"/>
              <w:bottom w:val="single" w:sz="4" w:space="0" w:color="auto"/>
              <w:right w:val="single" w:sz="4" w:space="0" w:color="auto"/>
            </w:tcBorders>
            <w:shd w:val="clear" w:color="auto" w:fill="auto"/>
            <w:noWrap/>
            <w:vAlign w:val="center"/>
            <w:hideMark/>
          </w:tcPr>
          <w:p w:rsidR="007547D4" w:rsidRPr="005265B2" w:rsidRDefault="007547D4" w:rsidP="00031B92">
            <w:pPr>
              <w:spacing w:after="0" w:line="240" w:lineRule="auto"/>
              <w:jc w:val="center"/>
              <w:rPr>
                <w:rFonts w:ascii="Calibri" w:eastAsia="Times New Roman" w:hAnsi="Calibri" w:cs="Times New Roman"/>
                <w:color w:val="000000"/>
                <w:lang w:eastAsia="en-GB"/>
              </w:rPr>
            </w:pPr>
            <w:r w:rsidRPr="005265B2">
              <w:rPr>
                <w:rFonts w:ascii="Calibri" w:eastAsia="Times New Roman" w:hAnsi="Calibri" w:cs="Times New Roman"/>
                <w:color w:val="000000"/>
                <w:lang w:eastAsia="en-GB"/>
              </w:rPr>
              <w:t>9.8</w:t>
            </w:r>
            <w:r>
              <w:rPr>
                <w:rFonts w:ascii="Calibri" w:eastAsia="Times New Roman" w:hAnsi="Calibri" w:cs="Times New Roman"/>
                <w:color w:val="000000"/>
                <w:lang w:eastAsia="en-GB"/>
              </w:rPr>
              <w:t>%</w:t>
            </w:r>
          </w:p>
        </w:tc>
      </w:tr>
      <w:tr w:rsidR="007547D4" w:rsidRPr="005265B2" w:rsidTr="00031B92">
        <w:trPr>
          <w:trHeight w:val="30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7547D4" w:rsidRPr="005265B2" w:rsidRDefault="007547D4" w:rsidP="00031B92">
            <w:pPr>
              <w:spacing w:after="0" w:line="240" w:lineRule="auto"/>
              <w:rPr>
                <w:rFonts w:ascii="Calibri" w:eastAsia="Times New Roman" w:hAnsi="Calibri" w:cs="Times New Roman"/>
                <w:color w:val="000000"/>
                <w:lang w:eastAsia="en-GB"/>
              </w:rPr>
            </w:pPr>
            <w:r w:rsidRPr="005265B2">
              <w:rPr>
                <w:rFonts w:ascii="Calibri" w:eastAsia="Times New Roman" w:hAnsi="Calibri" w:cs="Times New Roman"/>
                <w:color w:val="000000"/>
                <w:lang w:eastAsia="en-GB"/>
              </w:rPr>
              <w:t>England</w:t>
            </w:r>
          </w:p>
        </w:tc>
        <w:tc>
          <w:tcPr>
            <w:tcW w:w="960" w:type="dxa"/>
            <w:tcBorders>
              <w:top w:val="nil"/>
              <w:left w:val="nil"/>
              <w:bottom w:val="single" w:sz="4" w:space="0" w:color="auto"/>
              <w:right w:val="single" w:sz="4" w:space="0" w:color="auto"/>
            </w:tcBorders>
            <w:shd w:val="clear" w:color="auto" w:fill="auto"/>
            <w:noWrap/>
            <w:vAlign w:val="center"/>
            <w:hideMark/>
          </w:tcPr>
          <w:p w:rsidR="007547D4" w:rsidRPr="005265B2" w:rsidRDefault="007547D4" w:rsidP="00031B92">
            <w:pPr>
              <w:spacing w:after="0" w:line="240" w:lineRule="auto"/>
              <w:jc w:val="center"/>
              <w:rPr>
                <w:rFonts w:ascii="Calibri" w:eastAsia="Times New Roman" w:hAnsi="Calibri" w:cs="Times New Roman"/>
                <w:color w:val="000000"/>
                <w:lang w:eastAsia="en-GB"/>
              </w:rPr>
            </w:pPr>
            <w:r w:rsidRPr="005265B2">
              <w:rPr>
                <w:rFonts w:ascii="Calibri" w:eastAsia="Times New Roman" w:hAnsi="Calibri" w:cs="Times New Roman"/>
                <w:color w:val="000000"/>
                <w:lang w:eastAsia="en-GB"/>
              </w:rPr>
              <w:t>7</w:t>
            </w:r>
            <w:r>
              <w:rPr>
                <w:rFonts w:ascii="Calibri" w:eastAsia="Times New Roman" w:hAnsi="Calibri" w:cs="Times New Roman"/>
                <w:color w:val="000000"/>
                <w:lang w:eastAsia="en-GB"/>
              </w:rPr>
              <w:t>.0%</w:t>
            </w:r>
          </w:p>
        </w:tc>
        <w:tc>
          <w:tcPr>
            <w:tcW w:w="960" w:type="dxa"/>
            <w:tcBorders>
              <w:top w:val="nil"/>
              <w:left w:val="nil"/>
              <w:bottom w:val="single" w:sz="4" w:space="0" w:color="auto"/>
              <w:right w:val="single" w:sz="4" w:space="0" w:color="auto"/>
            </w:tcBorders>
            <w:shd w:val="clear" w:color="auto" w:fill="auto"/>
            <w:noWrap/>
            <w:vAlign w:val="center"/>
            <w:hideMark/>
          </w:tcPr>
          <w:p w:rsidR="007547D4" w:rsidRPr="005265B2" w:rsidRDefault="007547D4" w:rsidP="00031B92">
            <w:pPr>
              <w:spacing w:after="0" w:line="240" w:lineRule="auto"/>
              <w:jc w:val="center"/>
              <w:rPr>
                <w:rFonts w:ascii="Calibri" w:eastAsia="Times New Roman" w:hAnsi="Calibri" w:cs="Times New Roman"/>
                <w:color w:val="000000"/>
                <w:lang w:eastAsia="en-GB"/>
              </w:rPr>
            </w:pPr>
            <w:r w:rsidRPr="005265B2">
              <w:rPr>
                <w:rFonts w:ascii="Calibri" w:eastAsia="Times New Roman" w:hAnsi="Calibri" w:cs="Times New Roman"/>
                <w:color w:val="000000"/>
                <w:lang w:eastAsia="en-GB"/>
              </w:rPr>
              <w:t>5.8</w:t>
            </w:r>
            <w:r>
              <w:rPr>
                <w:rFonts w:ascii="Calibri" w:eastAsia="Times New Roman" w:hAnsi="Calibri" w:cs="Times New Roman"/>
                <w:color w:val="000000"/>
                <w:lang w:eastAsia="en-GB"/>
              </w:rPr>
              <w:t>%</w:t>
            </w:r>
          </w:p>
        </w:tc>
        <w:tc>
          <w:tcPr>
            <w:tcW w:w="960" w:type="dxa"/>
            <w:tcBorders>
              <w:top w:val="nil"/>
              <w:left w:val="nil"/>
              <w:bottom w:val="single" w:sz="4" w:space="0" w:color="auto"/>
              <w:right w:val="single" w:sz="4" w:space="0" w:color="auto"/>
            </w:tcBorders>
            <w:shd w:val="clear" w:color="auto" w:fill="auto"/>
            <w:noWrap/>
            <w:vAlign w:val="center"/>
            <w:hideMark/>
          </w:tcPr>
          <w:p w:rsidR="007547D4" w:rsidRPr="005265B2" w:rsidRDefault="007547D4" w:rsidP="00031B92">
            <w:pPr>
              <w:spacing w:after="0" w:line="240" w:lineRule="auto"/>
              <w:jc w:val="center"/>
              <w:rPr>
                <w:rFonts w:ascii="Calibri" w:eastAsia="Times New Roman" w:hAnsi="Calibri" w:cs="Times New Roman"/>
                <w:color w:val="000000"/>
                <w:lang w:eastAsia="en-GB"/>
              </w:rPr>
            </w:pPr>
            <w:r w:rsidRPr="005265B2">
              <w:rPr>
                <w:rFonts w:ascii="Calibri" w:eastAsia="Times New Roman" w:hAnsi="Calibri" w:cs="Times New Roman"/>
                <w:color w:val="000000"/>
                <w:lang w:eastAsia="en-GB"/>
              </w:rPr>
              <w:t>8.5</w:t>
            </w:r>
            <w:r>
              <w:rPr>
                <w:rFonts w:ascii="Calibri" w:eastAsia="Times New Roman" w:hAnsi="Calibri" w:cs="Times New Roman"/>
                <w:color w:val="000000"/>
                <w:lang w:eastAsia="en-GB"/>
              </w:rPr>
              <w:t>%</w:t>
            </w:r>
          </w:p>
        </w:tc>
      </w:tr>
      <w:tr w:rsidR="007547D4" w:rsidRPr="005265B2" w:rsidTr="00031B92">
        <w:trPr>
          <w:trHeight w:val="30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7547D4" w:rsidRPr="005265B2" w:rsidRDefault="007547D4" w:rsidP="00031B92">
            <w:pPr>
              <w:spacing w:after="0" w:line="240" w:lineRule="auto"/>
              <w:rPr>
                <w:rFonts w:ascii="Calibri" w:eastAsia="Times New Roman" w:hAnsi="Calibri" w:cs="Times New Roman"/>
                <w:color w:val="000000"/>
                <w:lang w:eastAsia="en-GB"/>
              </w:rPr>
            </w:pPr>
            <w:r w:rsidRPr="005265B2">
              <w:rPr>
                <w:rFonts w:ascii="Calibri" w:eastAsia="Times New Roman" w:hAnsi="Calibri" w:cs="Times New Roman"/>
                <w:color w:val="000000"/>
                <w:lang w:eastAsia="en-GB"/>
              </w:rPr>
              <w:t>Hounslow</w:t>
            </w:r>
          </w:p>
        </w:tc>
        <w:tc>
          <w:tcPr>
            <w:tcW w:w="960" w:type="dxa"/>
            <w:tcBorders>
              <w:top w:val="nil"/>
              <w:left w:val="nil"/>
              <w:bottom w:val="single" w:sz="4" w:space="0" w:color="auto"/>
              <w:right w:val="single" w:sz="4" w:space="0" w:color="auto"/>
            </w:tcBorders>
            <w:shd w:val="clear" w:color="auto" w:fill="auto"/>
            <w:noWrap/>
            <w:vAlign w:val="center"/>
            <w:hideMark/>
          </w:tcPr>
          <w:p w:rsidR="007547D4" w:rsidRPr="005265B2" w:rsidRDefault="007547D4" w:rsidP="00031B92">
            <w:pPr>
              <w:spacing w:after="0" w:line="240" w:lineRule="auto"/>
              <w:jc w:val="center"/>
              <w:rPr>
                <w:rFonts w:ascii="Calibri" w:eastAsia="Times New Roman" w:hAnsi="Calibri" w:cs="Times New Roman"/>
                <w:color w:val="000000"/>
                <w:lang w:eastAsia="en-GB"/>
              </w:rPr>
            </w:pPr>
            <w:r w:rsidRPr="005265B2">
              <w:rPr>
                <w:rFonts w:ascii="Calibri" w:eastAsia="Times New Roman" w:hAnsi="Calibri" w:cs="Times New Roman"/>
                <w:color w:val="000000"/>
                <w:lang w:eastAsia="en-GB"/>
              </w:rPr>
              <w:t>6.7</w:t>
            </w:r>
            <w:r>
              <w:rPr>
                <w:rFonts w:ascii="Calibri" w:eastAsia="Times New Roman" w:hAnsi="Calibri" w:cs="Times New Roman"/>
                <w:color w:val="000000"/>
                <w:lang w:eastAsia="en-GB"/>
              </w:rPr>
              <w:t>%</w:t>
            </w:r>
          </w:p>
        </w:tc>
        <w:tc>
          <w:tcPr>
            <w:tcW w:w="960" w:type="dxa"/>
            <w:tcBorders>
              <w:top w:val="nil"/>
              <w:left w:val="nil"/>
              <w:bottom w:val="single" w:sz="4" w:space="0" w:color="auto"/>
              <w:right w:val="single" w:sz="4" w:space="0" w:color="auto"/>
            </w:tcBorders>
            <w:shd w:val="clear" w:color="auto" w:fill="auto"/>
            <w:noWrap/>
            <w:vAlign w:val="center"/>
            <w:hideMark/>
          </w:tcPr>
          <w:p w:rsidR="007547D4" w:rsidRPr="005265B2" w:rsidRDefault="007547D4" w:rsidP="00031B92">
            <w:pPr>
              <w:spacing w:after="0" w:line="240" w:lineRule="auto"/>
              <w:jc w:val="center"/>
              <w:rPr>
                <w:rFonts w:ascii="Calibri" w:eastAsia="Times New Roman" w:hAnsi="Calibri" w:cs="Times New Roman"/>
                <w:color w:val="000000"/>
                <w:lang w:eastAsia="en-GB"/>
              </w:rPr>
            </w:pPr>
            <w:r w:rsidRPr="005265B2">
              <w:rPr>
                <w:rFonts w:ascii="Calibri" w:eastAsia="Times New Roman" w:hAnsi="Calibri" w:cs="Times New Roman"/>
                <w:color w:val="000000"/>
                <w:lang w:eastAsia="en-GB"/>
              </w:rPr>
              <w:t>6.6</w:t>
            </w:r>
            <w:r>
              <w:rPr>
                <w:rFonts w:ascii="Calibri" w:eastAsia="Times New Roman" w:hAnsi="Calibri" w:cs="Times New Roman"/>
                <w:color w:val="000000"/>
                <w:lang w:eastAsia="en-GB"/>
              </w:rPr>
              <w:t>%</w:t>
            </w:r>
          </w:p>
        </w:tc>
        <w:tc>
          <w:tcPr>
            <w:tcW w:w="960" w:type="dxa"/>
            <w:tcBorders>
              <w:top w:val="nil"/>
              <w:left w:val="nil"/>
              <w:bottom w:val="single" w:sz="4" w:space="0" w:color="auto"/>
              <w:right w:val="single" w:sz="4" w:space="0" w:color="auto"/>
            </w:tcBorders>
            <w:shd w:val="clear" w:color="auto" w:fill="auto"/>
            <w:noWrap/>
            <w:vAlign w:val="center"/>
            <w:hideMark/>
          </w:tcPr>
          <w:p w:rsidR="007547D4" w:rsidRPr="005265B2" w:rsidRDefault="007547D4" w:rsidP="00031B92">
            <w:pPr>
              <w:spacing w:after="0" w:line="240" w:lineRule="auto"/>
              <w:jc w:val="center"/>
              <w:rPr>
                <w:rFonts w:ascii="Calibri" w:eastAsia="Times New Roman" w:hAnsi="Calibri" w:cs="Times New Roman"/>
                <w:color w:val="000000"/>
                <w:lang w:eastAsia="en-GB"/>
              </w:rPr>
            </w:pPr>
            <w:r w:rsidRPr="005265B2">
              <w:rPr>
                <w:rFonts w:ascii="Calibri" w:eastAsia="Times New Roman" w:hAnsi="Calibri" w:cs="Times New Roman"/>
                <w:color w:val="000000"/>
                <w:lang w:eastAsia="en-GB"/>
              </w:rPr>
              <w:t>6.8</w:t>
            </w:r>
            <w:r>
              <w:rPr>
                <w:rFonts w:ascii="Calibri" w:eastAsia="Times New Roman" w:hAnsi="Calibri" w:cs="Times New Roman"/>
                <w:color w:val="000000"/>
                <w:lang w:eastAsia="en-GB"/>
              </w:rPr>
              <w:t>%</w:t>
            </w:r>
          </w:p>
        </w:tc>
      </w:tr>
      <w:tr w:rsidR="007547D4" w:rsidRPr="005265B2" w:rsidTr="00031B92">
        <w:trPr>
          <w:trHeight w:val="30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7547D4" w:rsidRPr="005265B2" w:rsidRDefault="007547D4" w:rsidP="00031B92">
            <w:pPr>
              <w:spacing w:after="0" w:line="240" w:lineRule="auto"/>
              <w:rPr>
                <w:rFonts w:ascii="Calibri" w:eastAsia="Times New Roman" w:hAnsi="Calibri" w:cs="Times New Roman"/>
                <w:color w:val="000000"/>
                <w:lang w:eastAsia="en-GB"/>
              </w:rPr>
            </w:pPr>
            <w:r w:rsidRPr="005265B2">
              <w:rPr>
                <w:rFonts w:ascii="Calibri" w:eastAsia="Times New Roman" w:hAnsi="Calibri" w:cs="Times New Roman"/>
                <w:color w:val="000000"/>
                <w:lang w:eastAsia="en-GB"/>
              </w:rPr>
              <w:t>Ealing</w:t>
            </w:r>
          </w:p>
        </w:tc>
        <w:tc>
          <w:tcPr>
            <w:tcW w:w="960" w:type="dxa"/>
            <w:tcBorders>
              <w:top w:val="nil"/>
              <w:left w:val="nil"/>
              <w:bottom w:val="single" w:sz="4" w:space="0" w:color="auto"/>
              <w:right w:val="single" w:sz="4" w:space="0" w:color="auto"/>
            </w:tcBorders>
            <w:shd w:val="clear" w:color="auto" w:fill="auto"/>
            <w:noWrap/>
            <w:vAlign w:val="center"/>
            <w:hideMark/>
          </w:tcPr>
          <w:p w:rsidR="007547D4" w:rsidRPr="005265B2" w:rsidRDefault="007547D4" w:rsidP="00031B92">
            <w:pPr>
              <w:spacing w:after="0" w:line="240" w:lineRule="auto"/>
              <w:jc w:val="center"/>
              <w:rPr>
                <w:rFonts w:ascii="Calibri" w:eastAsia="Times New Roman" w:hAnsi="Calibri" w:cs="Times New Roman"/>
                <w:color w:val="000000"/>
                <w:lang w:eastAsia="en-GB"/>
              </w:rPr>
            </w:pPr>
            <w:r w:rsidRPr="005265B2">
              <w:rPr>
                <w:rFonts w:ascii="Calibri" w:eastAsia="Times New Roman" w:hAnsi="Calibri" w:cs="Times New Roman"/>
                <w:color w:val="000000"/>
                <w:lang w:eastAsia="en-GB"/>
              </w:rPr>
              <w:t>5.8</w:t>
            </w:r>
            <w:r>
              <w:rPr>
                <w:rFonts w:ascii="Calibri" w:eastAsia="Times New Roman" w:hAnsi="Calibri" w:cs="Times New Roman"/>
                <w:color w:val="000000"/>
                <w:lang w:eastAsia="en-GB"/>
              </w:rPr>
              <w:t>%</w:t>
            </w:r>
          </w:p>
        </w:tc>
        <w:tc>
          <w:tcPr>
            <w:tcW w:w="960" w:type="dxa"/>
            <w:tcBorders>
              <w:top w:val="nil"/>
              <w:left w:val="nil"/>
              <w:bottom w:val="single" w:sz="4" w:space="0" w:color="auto"/>
              <w:right w:val="single" w:sz="4" w:space="0" w:color="auto"/>
            </w:tcBorders>
            <w:shd w:val="clear" w:color="auto" w:fill="auto"/>
            <w:noWrap/>
            <w:vAlign w:val="center"/>
            <w:hideMark/>
          </w:tcPr>
          <w:p w:rsidR="007547D4" w:rsidRPr="005265B2" w:rsidRDefault="007547D4" w:rsidP="00031B92">
            <w:pPr>
              <w:spacing w:after="0" w:line="240" w:lineRule="auto"/>
              <w:jc w:val="center"/>
              <w:rPr>
                <w:rFonts w:ascii="Calibri" w:eastAsia="Times New Roman" w:hAnsi="Calibri" w:cs="Times New Roman"/>
                <w:color w:val="000000"/>
                <w:lang w:eastAsia="en-GB"/>
              </w:rPr>
            </w:pPr>
            <w:r w:rsidRPr="005265B2">
              <w:rPr>
                <w:rFonts w:ascii="Calibri" w:eastAsia="Times New Roman" w:hAnsi="Calibri" w:cs="Times New Roman"/>
                <w:color w:val="000000"/>
                <w:lang w:eastAsia="en-GB"/>
              </w:rPr>
              <w:t>5.2</w:t>
            </w:r>
            <w:r>
              <w:rPr>
                <w:rFonts w:ascii="Calibri" w:eastAsia="Times New Roman" w:hAnsi="Calibri" w:cs="Times New Roman"/>
                <w:color w:val="000000"/>
                <w:lang w:eastAsia="en-GB"/>
              </w:rPr>
              <w:t>%</w:t>
            </w:r>
          </w:p>
        </w:tc>
        <w:tc>
          <w:tcPr>
            <w:tcW w:w="960" w:type="dxa"/>
            <w:tcBorders>
              <w:top w:val="nil"/>
              <w:left w:val="nil"/>
              <w:bottom w:val="single" w:sz="4" w:space="0" w:color="auto"/>
              <w:right w:val="single" w:sz="4" w:space="0" w:color="auto"/>
            </w:tcBorders>
            <w:shd w:val="clear" w:color="auto" w:fill="auto"/>
            <w:noWrap/>
            <w:vAlign w:val="center"/>
            <w:hideMark/>
          </w:tcPr>
          <w:p w:rsidR="007547D4" w:rsidRPr="005265B2" w:rsidRDefault="007547D4" w:rsidP="00031B92">
            <w:pPr>
              <w:spacing w:after="0" w:line="240" w:lineRule="auto"/>
              <w:jc w:val="center"/>
              <w:rPr>
                <w:rFonts w:ascii="Calibri" w:eastAsia="Times New Roman" w:hAnsi="Calibri" w:cs="Times New Roman"/>
                <w:color w:val="000000"/>
                <w:lang w:eastAsia="en-GB"/>
              </w:rPr>
            </w:pPr>
            <w:r w:rsidRPr="005265B2">
              <w:rPr>
                <w:rFonts w:ascii="Calibri" w:eastAsia="Times New Roman" w:hAnsi="Calibri" w:cs="Times New Roman"/>
                <w:color w:val="000000"/>
                <w:lang w:eastAsia="en-GB"/>
              </w:rPr>
              <w:t>6.5</w:t>
            </w:r>
            <w:r>
              <w:rPr>
                <w:rFonts w:ascii="Calibri" w:eastAsia="Times New Roman" w:hAnsi="Calibri" w:cs="Times New Roman"/>
                <w:color w:val="000000"/>
                <w:lang w:eastAsia="en-GB"/>
              </w:rPr>
              <w:t>%</w:t>
            </w:r>
          </w:p>
        </w:tc>
      </w:tr>
      <w:tr w:rsidR="007547D4" w:rsidRPr="005265B2" w:rsidTr="00031B92">
        <w:trPr>
          <w:trHeight w:val="30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7547D4" w:rsidRPr="005265B2" w:rsidRDefault="007547D4" w:rsidP="00031B92">
            <w:pPr>
              <w:spacing w:after="0" w:line="240" w:lineRule="auto"/>
              <w:rPr>
                <w:rFonts w:ascii="Calibri" w:eastAsia="Times New Roman" w:hAnsi="Calibri" w:cs="Times New Roman"/>
                <w:color w:val="000000"/>
                <w:lang w:eastAsia="en-GB"/>
              </w:rPr>
            </w:pPr>
            <w:r w:rsidRPr="005265B2">
              <w:rPr>
                <w:rFonts w:ascii="Calibri" w:eastAsia="Times New Roman" w:hAnsi="Calibri" w:cs="Times New Roman"/>
                <w:color w:val="000000"/>
                <w:lang w:eastAsia="en-GB"/>
              </w:rPr>
              <w:t>Outer London</w:t>
            </w:r>
          </w:p>
        </w:tc>
        <w:tc>
          <w:tcPr>
            <w:tcW w:w="960" w:type="dxa"/>
            <w:tcBorders>
              <w:top w:val="nil"/>
              <w:left w:val="nil"/>
              <w:bottom w:val="single" w:sz="4" w:space="0" w:color="auto"/>
              <w:right w:val="single" w:sz="4" w:space="0" w:color="auto"/>
            </w:tcBorders>
            <w:shd w:val="clear" w:color="auto" w:fill="auto"/>
            <w:noWrap/>
            <w:vAlign w:val="center"/>
            <w:hideMark/>
          </w:tcPr>
          <w:p w:rsidR="007547D4" w:rsidRPr="005265B2" w:rsidRDefault="007547D4" w:rsidP="00031B92">
            <w:pPr>
              <w:spacing w:after="0" w:line="240" w:lineRule="auto"/>
              <w:jc w:val="center"/>
              <w:rPr>
                <w:rFonts w:ascii="Calibri" w:eastAsia="Times New Roman" w:hAnsi="Calibri" w:cs="Times New Roman"/>
                <w:color w:val="000000"/>
                <w:lang w:eastAsia="en-GB"/>
              </w:rPr>
            </w:pPr>
            <w:r w:rsidRPr="005265B2">
              <w:rPr>
                <w:rFonts w:ascii="Calibri" w:eastAsia="Times New Roman" w:hAnsi="Calibri" w:cs="Times New Roman"/>
                <w:color w:val="000000"/>
                <w:lang w:eastAsia="en-GB"/>
              </w:rPr>
              <w:t>5.8</w:t>
            </w:r>
            <w:r>
              <w:rPr>
                <w:rFonts w:ascii="Calibri" w:eastAsia="Times New Roman" w:hAnsi="Calibri" w:cs="Times New Roman"/>
                <w:color w:val="000000"/>
                <w:lang w:eastAsia="en-GB"/>
              </w:rPr>
              <w:t>%</w:t>
            </w:r>
          </w:p>
        </w:tc>
        <w:tc>
          <w:tcPr>
            <w:tcW w:w="960" w:type="dxa"/>
            <w:tcBorders>
              <w:top w:val="nil"/>
              <w:left w:val="nil"/>
              <w:bottom w:val="single" w:sz="4" w:space="0" w:color="auto"/>
              <w:right w:val="single" w:sz="4" w:space="0" w:color="auto"/>
            </w:tcBorders>
            <w:shd w:val="clear" w:color="auto" w:fill="auto"/>
            <w:noWrap/>
            <w:vAlign w:val="center"/>
            <w:hideMark/>
          </w:tcPr>
          <w:p w:rsidR="007547D4" w:rsidRPr="005265B2" w:rsidRDefault="007547D4" w:rsidP="00031B92">
            <w:pPr>
              <w:spacing w:after="0" w:line="240" w:lineRule="auto"/>
              <w:jc w:val="center"/>
              <w:rPr>
                <w:rFonts w:ascii="Calibri" w:eastAsia="Times New Roman" w:hAnsi="Calibri" w:cs="Times New Roman"/>
                <w:color w:val="000000"/>
                <w:lang w:eastAsia="en-GB"/>
              </w:rPr>
            </w:pPr>
            <w:r w:rsidRPr="005265B2">
              <w:rPr>
                <w:rFonts w:ascii="Calibri" w:eastAsia="Times New Roman" w:hAnsi="Calibri" w:cs="Times New Roman"/>
                <w:color w:val="000000"/>
                <w:lang w:eastAsia="en-GB"/>
              </w:rPr>
              <w:t>5</w:t>
            </w:r>
            <w:r>
              <w:rPr>
                <w:rFonts w:ascii="Calibri" w:eastAsia="Times New Roman" w:hAnsi="Calibri" w:cs="Times New Roman"/>
                <w:color w:val="000000"/>
                <w:lang w:eastAsia="en-GB"/>
              </w:rPr>
              <w:t>.0%</w:t>
            </w:r>
          </w:p>
        </w:tc>
        <w:tc>
          <w:tcPr>
            <w:tcW w:w="960" w:type="dxa"/>
            <w:tcBorders>
              <w:top w:val="nil"/>
              <w:left w:val="nil"/>
              <w:bottom w:val="single" w:sz="4" w:space="0" w:color="auto"/>
              <w:right w:val="single" w:sz="4" w:space="0" w:color="auto"/>
            </w:tcBorders>
            <w:shd w:val="clear" w:color="auto" w:fill="auto"/>
            <w:noWrap/>
            <w:vAlign w:val="center"/>
            <w:hideMark/>
          </w:tcPr>
          <w:p w:rsidR="007547D4" w:rsidRPr="005265B2" w:rsidRDefault="007547D4" w:rsidP="00031B92">
            <w:pPr>
              <w:spacing w:after="0" w:line="240" w:lineRule="auto"/>
              <w:jc w:val="center"/>
              <w:rPr>
                <w:rFonts w:ascii="Calibri" w:eastAsia="Times New Roman" w:hAnsi="Calibri" w:cs="Times New Roman"/>
                <w:color w:val="000000"/>
                <w:lang w:eastAsia="en-GB"/>
              </w:rPr>
            </w:pPr>
            <w:r w:rsidRPr="005265B2">
              <w:rPr>
                <w:rFonts w:ascii="Calibri" w:eastAsia="Times New Roman" w:hAnsi="Calibri" w:cs="Times New Roman"/>
                <w:color w:val="000000"/>
                <w:lang w:eastAsia="en-GB"/>
              </w:rPr>
              <w:t>7</w:t>
            </w:r>
            <w:r>
              <w:rPr>
                <w:rFonts w:ascii="Calibri" w:eastAsia="Times New Roman" w:hAnsi="Calibri" w:cs="Times New Roman"/>
                <w:color w:val="000000"/>
                <w:lang w:eastAsia="en-GB"/>
              </w:rPr>
              <w:t>.0%</w:t>
            </w:r>
          </w:p>
        </w:tc>
      </w:tr>
      <w:tr w:rsidR="007547D4" w:rsidRPr="005265B2" w:rsidTr="00031B92">
        <w:trPr>
          <w:trHeight w:val="30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7547D4" w:rsidRPr="005265B2" w:rsidRDefault="007547D4" w:rsidP="00031B92">
            <w:pPr>
              <w:spacing w:after="0" w:line="240" w:lineRule="auto"/>
              <w:rPr>
                <w:rFonts w:ascii="Calibri" w:eastAsia="Times New Roman" w:hAnsi="Calibri" w:cs="Times New Roman"/>
                <w:b/>
                <w:bCs/>
                <w:color w:val="000000"/>
                <w:lang w:eastAsia="en-GB"/>
              </w:rPr>
            </w:pPr>
            <w:r w:rsidRPr="005265B2">
              <w:rPr>
                <w:rFonts w:ascii="Calibri" w:eastAsia="Times New Roman" w:hAnsi="Calibri" w:cs="Times New Roman"/>
                <w:b/>
                <w:bCs/>
                <w:color w:val="000000"/>
                <w:lang w:eastAsia="en-GB"/>
              </w:rPr>
              <w:t>Barnet</w:t>
            </w:r>
          </w:p>
        </w:tc>
        <w:tc>
          <w:tcPr>
            <w:tcW w:w="960" w:type="dxa"/>
            <w:tcBorders>
              <w:top w:val="nil"/>
              <w:left w:val="nil"/>
              <w:bottom w:val="single" w:sz="4" w:space="0" w:color="auto"/>
              <w:right w:val="single" w:sz="4" w:space="0" w:color="auto"/>
            </w:tcBorders>
            <w:shd w:val="clear" w:color="auto" w:fill="auto"/>
            <w:noWrap/>
            <w:vAlign w:val="center"/>
            <w:hideMark/>
          </w:tcPr>
          <w:p w:rsidR="007547D4" w:rsidRPr="005265B2" w:rsidRDefault="007547D4" w:rsidP="00031B92">
            <w:pPr>
              <w:spacing w:after="0" w:line="240" w:lineRule="auto"/>
              <w:jc w:val="center"/>
              <w:rPr>
                <w:rFonts w:ascii="Calibri" w:eastAsia="Times New Roman" w:hAnsi="Calibri" w:cs="Times New Roman"/>
                <w:b/>
                <w:bCs/>
                <w:color w:val="000000"/>
                <w:lang w:eastAsia="en-GB"/>
              </w:rPr>
            </w:pPr>
            <w:r w:rsidRPr="005265B2">
              <w:rPr>
                <w:rFonts w:ascii="Calibri" w:eastAsia="Times New Roman" w:hAnsi="Calibri" w:cs="Times New Roman"/>
                <w:b/>
                <w:bCs/>
                <w:color w:val="000000"/>
                <w:lang w:eastAsia="en-GB"/>
              </w:rPr>
              <w:t>5.7</w:t>
            </w:r>
            <w:r>
              <w:rPr>
                <w:rFonts w:ascii="Calibri" w:eastAsia="Times New Roman" w:hAnsi="Calibri" w:cs="Times New Roman"/>
                <w:b/>
                <w:bCs/>
                <w:color w:val="000000"/>
                <w:lang w:eastAsia="en-GB"/>
              </w:rPr>
              <w:t>%</w:t>
            </w:r>
          </w:p>
        </w:tc>
        <w:tc>
          <w:tcPr>
            <w:tcW w:w="960" w:type="dxa"/>
            <w:tcBorders>
              <w:top w:val="nil"/>
              <w:left w:val="nil"/>
              <w:bottom w:val="single" w:sz="4" w:space="0" w:color="auto"/>
              <w:right w:val="single" w:sz="4" w:space="0" w:color="auto"/>
            </w:tcBorders>
            <w:shd w:val="clear" w:color="auto" w:fill="auto"/>
            <w:noWrap/>
            <w:vAlign w:val="center"/>
            <w:hideMark/>
          </w:tcPr>
          <w:p w:rsidR="007547D4" w:rsidRPr="005265B2" w:rsidRDefault="007547D4" w:rsidP="00031B92">
            <w:pPr>
              <w:spacing w:after="0" w:line="240" w:lineRule="auto"/>
              <w:jc w:val="center"/>
              <w:rPr>
                <w:rFonts w:ascii="Calibri" w:eastAsia="Times New Roman" w:hAnsi="Calibri" w:cs="Times New Roman"/>
                <w:b/>
                <w:bCs/>
                <w:color w:val="000000"/>
                <w:lang w:eastAsia="en-GB"/>
              </w:rPr>
            </w:pPr>
            <w:r w:rsidRPr="005265B2">
              <w:rPr>
                <w:rFonts w:ascii="Calibri" w:eastAsia="Times New Roman" w:hAnsi="Calibri" w:cs="Times New Roman"/>
                <w:b/>
                <w:bCs/>
                <w:color w:val="000000"/>
                <w:lang w:eastAsia="en-GB"/>
              </w:rPr>
              <w:t>4.5</w:t>
            </w:r>
            <w:r>
              <w:rPr>
                <w:rFonts w:ascii="Calibri" w:eastAsia="Times New Roman" w:hAnsi="Calibri" w:cs="Times New Roman"/>
                <w:b/>
                <w:bCs/>
                <w:color w:val="000000"/>
                <w:lang w:eastAsia="en-GB"/>
              </w:rPr>
              <w:t>%</w:t>
            </w:r>
          </w:p>
        </w:tc>
        <w:tc>
          <w:tcPr>
            <w:tcW w:w="960" w:type="dxa"/>
            <w:tcBorders>
              <w:top w:val="nil"/>
              <w:left w:val="nil"/>
              <w:bottom w:val="single" w:sz="4" w:space="0" w:color="auto"/>
              <w:right w:val="single" w:sz="4" w:space="0" w:color="auto"/>
            </w:tcBorders>
            <w:shd w:val="clear" w:color="auto" w:fill="auto"/>
            <w:noWrap/>
            <w:vAlign w:val="center"/>
            <w:hideMark/>
          </w:tcPr>
          <w:p w:rsidR="007547D4" w:rsidRPr="005265B2" w:rsidRDefault="007547D4" w:rsidP="00031B92">
            <w:pPr>
              <w:spacing w:after="0" w:line="240" w:lineRule="auto"/>
              <w:jc w:val="center"/>
              <w:rPr>
                <w:rFonts w:ascii="Calibri" w:eastAsia="Times New Roman" w:hAnsi="Calibri" w:cs="Times New Roman"/>
                <w:b/>
                <w:bCs/>
                <w:color w:val="000000"/>
                <w:lang w:eastAsia="en-GB"/>
              </w:rPr>
            </w:pPr>
            <w:r w:rsidRPr="005265B2">
              <w:rPr>
                <w:rFonts w:ascii="Calibri" w:eastAsia="Times New Roman" w:hAnsi="Calibri" w:cs="Times New Roman"/>
                <w:b/>
                <w:bCs/>
                <w:color w:val="000000"/>
                <w:lang w:eastAsia="en-GB"/>
              </w:rPr>
              <w:t>7.3</w:t>
            </w:r>
            <w:r>
              <w:rPr>
                <w:rFonts w:ascii="Calibri" w:eastAsia="Times New Roman" w:hAnsi="Calibri" w:cs="Times New Roman"/>
                <w:b/>
                <w:bCs/>
                <w:color w:val="000000"/>
                <w:lang w:eastAsia="en-GB"/>
              </w:rPr>
              <w:t>%</w:t>
            </w:r>
          </w:p>
        </w:tc>
      </w:tr>
      <w:tr w:rsidR="007547D4" w:rsidRPr="005265B2" w:rsidTr="00031B92">
        <w:trPr>
          <w:trHeight w:val="30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7547D4" w:rsidRPr="005265B2" w:rsidRDefault="007547D4" w:rsidP="00031B92">
            <w:pPr>
              <w:spacing w:after="0" w:line="240" w:lineRule="auto"/>
              <w:rPr>
                <w:rFonts w:ascii="Calibri" w:eastAsia="Times New Roman" w:hAnsi="Calibri" w:cs="Times New Roman"/>
                <w:color w:val="000000"/>
                <w:lang w:eastAsia="en-GB"/>
              </w:rPr>
            </w:pPr>
            <w:r w:rsidRPr="005265B2">
              <w:rPr>
                <w:rFonts w:ascii="Calibri" w:eastAsia="Times New Roman" w:hAnsi="Calibri" w:cs="Times New Roman"/>
                <w:color w:val="000000"/>
                <w:lang w:eastAsia="en-GB"/>
              </w:rPr>
              <w:t>Bromley</w:t>
            </w:r>
          </w:p>
        </w:tc>
        <w:tc>
          <w:tcPr>
            <w:tcW w:w="960" w:type="dxa"/>
            <w:tcBorders>
              <w:top w:val="nil"/>
              <w:left w:val="nil"/>
              <w:bottom w:val="single" w:sz="4" w:space="0" w:color="auto"/>
              <w:right w:val="single" w:sz="4" w:space="0" w:color="auto"/>
            </w:tcBorders>
            <w:shd w:val="clear" w:color="auto" w:fill="auto"/>
            <w:noWrap/>
            <w:vAlign w:val="center"/>
            <w:hideMark/>
          </w:tcPr>
          <w:p w:rsidR="007547D4" w:rsidRPr="005265B2" w:rsidRDefault="007547D4" w:rsidP="00031B92">
            <w:pPr>
              <w:spacing w:after="0" w:line="240" w:lineRule="auto"/>
              <w:jc w:val="center"/>
              <w:rPr>
                <w:rFonts w:ascii="Calibri" w:eastAsia="Times New Roman" w:hAnsi="Calibri" w:cs="Times New Roman"/>
                <w:color w:val="000000"/>
                <w:lang w:eastAsia="en-GB"/>
              </w:rPr>
            </w:pPr>
            <w:r w:rsidRPr="005265B2">
              <w:rPr>
                <w:rFonts w:ascii="Calibri" w:eastAsia="Times New Roman" w:hAnsi="Calibri" w:cs="Times New Roman"/>
                <w:color w:val="000000"/>
                <w:lang w:eastAsia="en-GB"/>
              </w:rPr>
              <w:t>5.5</w:t>
            </w:r>
            <w:r>
              <w:rPr>
                <w:rFonts w:ascii="Calibri" w:eastAsia="Times New Roman" w:hAnsi="Calibri" w:cs="Times New Roman"/>
                <w:color w:val="000000"/>
                <w:lang w:eastAsia="en-GB"/>
              </w:rPr>
              <w:t>%</w:t>
            </w:r>
          </w:p>
        </w:tc>
        <w:tc>
          <w:tcPr>
            <w:tcW w:w="960" w:type="dxa"/>
            <w:tcBorders>
              <w:top w:val="nil"/>
              <w:left w:val="nil"/>
              <w:bottom w:val="single" w:sz="4" w:space="0" w:color="auto"/>
              <w:right w:val="single" w:sz="4" w:space="0" w:color="auto"/>
            </w:tcBorders>
            <w:shd w:val="clear" w:color="auto" w:fill="auto"/>
            <w:noWrap/>
            <w:vAlign w:val="center"/>
            <w:hideMark/>
          </w:tcPr>
          <w:p w:rsidR="007547D4" w:rsidRPr="005265B2" w:rsidRDefault="007547D4" w:rsidP="00031B92">
            <w:pPr>
              <w:spacing w:after="0" w:line="240" w:lineRule="auto"/>
              <w:jc w:val="center"/>
              <w:rPr>
                <w:rFonts w:ascii="Calibri" w:eastAsia="Times New Roman" w:hAnsi="Calibri" w:cs="Times New Roman"/>
                <w:color w:val="000000"/>
                <w:lang w:eastAsia="en-GB"/>
              </w:rPr>
            </w:pPr>
            <w:r w:rsidRPr="005265B2">
              <w:rPr>
                <w:rFonts w:ascii="Calibri" w:eastAsia="Times New Roman" w:hAnsi="Calibri" w:cs="Times New Roman"/>
                <w:color w:val="000000"/>
                <w:lang w:eastAsia="en-GB"/>
              </w:rPr>
              <w:t>4.7</w:t>
            </w:r>
            <w:r>
              <w:rPr>
                <w:rFonts w:ascii="Calibri" w:eastAsia="Times New Roman" w:hAnsi="Calibri" w:cs="Times New Roman"/>
                <w:color w:val="000000"/>
                <w:lang w:eastAsia="en-GB"/>
              </w:rPr>
              <w:t>%</w:t>
            </w:r>
          </w:p>
        </w:tc>
        <w:tc>
          <w:tcPr>
            <w:tcW w:w="960" w:type="dxa"/>
            <w:tcBorders>
              <w:top w:val="nil"/>
              <w:left w:val="nil"/>
              <w:bottom w:val="single" w:sz="4" w:space="0" w:color="auto"/>
              <w:right w:val="single" w:sz="4" w:space="0" w:color="auto"/>
            </w:tcBorders>
            <w:shd w:val="clear" w:color="auto" w:fill="auto"/>
            <w:noWrap/>
            <w:vAlign w:val="center"/>
            <w:hideMark/>
          </w:tcPr>
          <w:p w:rsidR="007547D4" w:rsidRPr="005265B2" w:rsidRDefault="007547D4" w:rsidP="00031B92">
            <w:pPr>
              <w:spacing w:after="0" w:line="240" w:lineRule="auto"/>
              <w:jc w:val="center"/>
              <w:rPr>
                <w:rFonts w:ascii="Calibri" w:eastAsia="Times New Roman" w:hAnsi="Calibri" w:cs="Times New Roman"/>
                <w:color w:val="000000"/>
                <w:lang w:eastAsia="en-GB"/>
              </w:rPr>
            </w:pPr>
            <w:r w:rsidRPr="005265B2">
              <w:rPr>
                <w:rFonts w:ascii="Calibri" w:eastAsia="Times New Roman" w:hAnsi="Calibri" w:cs="Times New Roman"/>
                <w:color w:val="000000"/>
                <w:lang w:eastAsia="en-GB"/>
              </w:rPr>
              <w:t>6.7</w:t>
            </w:r>
            <w:r>
              <w:rPr>
                <w:rFonts w:ascii="Calibri" w:eastAsia="Times New Roman" w:hAnsi="Calibri" w:cs="Times New Roman"/>
                <w:color w:val="000000"/>
                <w:lang w:eastAsia="en-GB"/>
              </w:rPr>
              <w:t>%</w:t>
            </w:r>
          </w:p>
        </w:tc>
      </w:tr>
      <w:tr w:rsidR="007547D4" w:rsidRPr="005265B2" w:rsidTr="00031B92">
        <w:trPr>
          <w:trHeight w:val="30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7547D4" w:rsidRPr="005265B2" w:rsidRDefault="007547D4" w:rsidP="00031B92">
            <w:pPr>
              <w:spacing w:after="0" w:line="240" w:lineRule="auto"/>
              <w:rPr>
                <w:rFonts w:ascii="Calibri" w:eastAsia="Times New Roman" w:hAnsi="Calibri" w:cs="Times New Roman"/>
                <w:color w:val="000000"/>
                <w:lang w:eastAsia="en-GB"/>
              </w:rPr>
            </w:pPr>
            <w:r w:rsidRPr="005265B2">
              <w:rPr>
                <w:rFonts w:ascii="Calibri" w:eastAsia="Times New Roman" w:hAnsi="Calibri" w:cs="Times New Roman"/>
                <w:color w:val="000000"/>
                <w:lang w:eastAsia="en-GB"/>
              </w:rPr>
              <w:t>Redbridge</w:t>
            </w:r>
          </w:p>
        </w:tc>
        <w:tc>
          <w:tcPr>
            <w:tcW w:w="960" w:type="dxa"/>
            <w:tcBorders>
              <w:top w:val="nil"/>
              <w:left w:val="nil"/>
              <w:bottom w:val="single" w:sz="4" w:space="0" w:color="auto"/>
              <w:right w:val="single" w:sz="4" w:space="0" w:color="auto"/>
            </w:tcBorders>
            <w:shd w:val="clear" w:color="auto" w:fill="auto"/>
            <w:noWrap/>
            <w:vAlign w:val="center"/>
            <w:hideMark/>
          </w:tcPr>
          <w:p w:rsidR="007547D4" w:rsidRPr="005265B2" w:rsidRDefault="007547D4" w:rsidP="00031B92">
            <w:pPr>
              <w:spacing w:after="0" w:line="240" w:lineRule="auto"/>
              <w:jc w:val="center"/>
              <w:rPr>
                <w:rFonts w:ascii="Calibri" w:eastAsia="Times New Roman" w:hAnsi="Calibri" w:cs="Times New Roman"/>
                <w:color w:val="000000"/>
                <w:lang w:eastAsia="en-GB"/>
              </w:rPr>
            </w:pPr>
            <w:r w:rsidRPr="005265B2">
              <w:rPr>
                <w:rFonts w:ascii="Calibri" w:eastAsia="Times New Roman" w:hAnsi="Calibri" w:cs="Times New Roman"/>
                <w:color w:val="000000"/>
                <w:lang w:eastAsia="en-GB"/>
              </w:rPr>
              <w:t>4.4</w:t>
            </w:r>
            <w:r>
              <w:rPr>
                <w:rFonts w:ascii="Calibri" w:eastAsia="Times New Roman" w:hAnsi="Calibri" w:cs="Times New Roman"/>
                <w:color w:val="000000"/>
                <w:lang w:eastAsia="en-GB"/>
              </w:rPr>
              <w:t>%</w:t>
            </w:r>
          </w:p>
        </w:tc>
        <w:tc>
          <w:tcPr>
            <w:tcW w:w="960" w:type="dxa"/>
            <w:tcBorders>
              <w:top w:val="nil"/>
              <w:left w:val="nil"/>
              <w:bottom w:val="single" w:sz="4" w:space="0" w:color="auto"/>
              <w:right w:val="single" w:sz="4" w:space="0" w:color="auto"/>
            </w:tcBorders>
            <w:shd w:val="clear" w:color="auto" w:fill="auto"/>
            <w:noWrap/>
            <w:vAlign w:val="center"/>
            <w:hideMark/>
          </w:tcPr>
          <w:p w:rsidR="007547D4" w:rsidRPr="005265B2" w:rsidRDefault="007547D4" w:rsidP="00031B92">
            <w:pPr>
              <w:spacing w:after="0" w:line="240" w:lineRule="auto"/>
              <w:jc w:val="center"/>
              <w:rPr>
                <w:rFonts w:ascii="Calibri" w:eastAsia="Times New Roman" w:hAnsi="Calibri" w:cs="Times New Roman"/>
                <w:color w:val="000000"/>
                <w:lang w:eastAsia="en-GB"/>
              </w:rPr>
            </w:pPr>
            <w:r w:rsidRPr="005265B2">
              <w:rPr>
                <w:rFonts w:ascii="Calibri" w:eastAsia="Times New Roman" w:hAnsi="Calibri" w:cs="Times New Roman"/>
                <w:color w:val="000000"/>
                <w:lang w:eastAsia="en-GB"/>
              </w:rPr>
              <w:t>3.7</w:t>
            </w:r>
            <w:r>
              <w:rPr>
                <w:rFonts w:ascii="Calibri" w:eastAsia="Times New Roman" w:hAnsi="Calibri" w:cs="Times New Roman"/>
                <w:color w:val="000000"/>
                <w:lang w:eastAsia="en-GB"/>
              </w:rPr>
              <w:t>%</w:t>
            </w:r>
          </w:p>
        </w:tc>
        <w:tc>
          <w:tcPr>
            <w:tcW w:w="960" w:type="dxa"/>
            <w:tcBorders>
              <w:top w:val="nil"/>
              <w:left w:val="nil"/>
              <w:bottom w:val="single" w:sz="4" w:space="0" w:color="auto"/>
              <w:right w:val="single" w:sz="4" w:space="0" w:color="auto"/>
            </w:tcBorders>
            <w:shd w:val="clear" w:color="auto" w:fill="auto"/>
            <w:noWrap/>
            <w:vAlign w:val="center"/>
            <w:hideMark/>
          </w:tcPr>
          <w:p w:rsidR="007547D4" w:rsidRPr="005265B2" w:rsidRDefault="007547D4" w:rsidP="00031B92">
            <w:pPr>
              <w:spacing w:after="0" w:line="240" w:lineRule="auto"/>
              <w:jc w:val="center"/>
              <w:rPr>
                <w:rFonts w:ascii="Calibri" w:eastAsia="Times New Roman" w:hAnsi="Calibri" w:cs="Times New Roman"/>
                <w:color w:val="000000"/>
                <w:lang w:eastAsia="en-GB"/>
              </w:rPr>
            </w:pPr>
            <w:r w:rsidRPr="005265B2">
              <w:rPr>
                <w:rFonts w:ascii="Calibri" w:eastAsia="Times New Roman" w:hAnsi="Calibri" w:cs="Times New Roman"/>
                <w:color w:val="000000"/>
                <w:lang w:eastAsia="en-GB"/>
              </w:rPr>
              <w:t>5.4</w:t>
            </w:r>
            <w:r>
              <w:rPr>
                <w:rFonts w:ascii="Calibri" w:eastAsia="Times New Roman" w:hAnsi="Calibri" w:cs="Times New Roman"/>
                <w:color w:val="000000"/>
                <w:lang w:eastAsia="en-GB"/>
              </w:rPr>
              <w:t>%</w:t>
            </w:r>
          </w:p>
        </w:tc>
      </w:tr>
      <w:tr w:rsidR="007547D4" w:rsidRPr="005265B2" w:rsidTr="00031B92">
        <w:trPr>
          <w:trHeight w:val="30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7547D4" w:rsidRPr="005265B2" w:rsidRDefault="007547D4" w:rsidP="00031B92">
            <w:pPr>
              <w:spacing w:after="0" w:line="240" w:lineRule="auto"/>
              <w:rPr>
                <w:rFonts w:ascii="Calibri" w:eastAsia="Times New Roman" w:hAnsi="Calibri" w:cs="Times New Roman"/>
                <w:color w:val="000000"/>
                <w:lang w:eastAsia="en-GB"/>
              </w:rPr>
            </w:pPr>
            <w:r w:rsidRPr="005265B2">
              <w:rPr>
                <w:rFonts w:ascii="Calibri" w:eastAsia="Times New Roman" w:hAnsi="Calibri" w:cs="Times New Roman"/>
                <w:color w:val="000000"/>
                <w:lang w:eastAsia="en-GB"/>
              </w:rPr>
              <w:t>Milton Keynes</w:t>
            </w:r>
          </w:p>
        </w:tc>
        <w:tc>
          <w:tcPr>
            <w:tcW w:w="960" w:type="dxa"/>
            <w:tcBorders>
              <w:top w:val="nil"/>
              <w:left w:val="nil"/>
              <w:bottom w:val="single" w:sz="4" w:space="0" w:color="auto"/>
              <w:right w:val="single" w:sz="4" w:space="0" w:color="auto"/>
            </w:tcBorders>
            <w:shd w:val="clear" w:color="auto" w:fill="auto"/>
            <w:noWrap/>
            <w:vAlign w:val="center"/>
            <w:hideMark/>
          </w:tcPr>
          <w:p w:rsidR="007547D4" w:rsidRPr="005265B2" w:rsidRDefault="007547D4" w:rsidP="00031B92">
            <w:pPr>
              <w:spacing w:after="0" w:line="240" w:lineRule="auto"/>
              <w:jc w:val="center"/>
              <w:rPr>
                <w:rFonts w:ascii="Calibri" w:eastAsia="Times New Roman" w:hAnsi="Calibri" w:cs="Times New Roman"/>
                <w:color w:val="000000"/>
                <w:lang w:eastAsia="en-GB"/>
              </w:rPr>
            </w:pPr>
            <w:r w:rsidRPr="005265B2">
              <w:rPr>
                <w:rFonts w:ascii="Calibri" w:eastAsia="Times New Roman" w:hAnsi="Calibri" w:cs="Times New Roman"/>
                <w:color w:val="000000"/>
                <w:lang w:eastAsia="en-GB"/>
              </w:rPr>
              <w:t>3.7</w:t>
            </w:r>
            <w:r>
              <w:rPr>
                <w:rFonts w:ascii="Calibri" w:eastAsia="Times New Roman" w:hAnsi="Calibri" w:cs="Times New Roman"/>
                <w:color w:val="000000"/>
                <w:lang w:eastAsia="en-GB"/>
              </w:rPr>
              <w:t>%</w:t>
            </w:r>
          </w:p>
        </w:tc>
        <w:tc>
          <w:tcPr>
            <w:tcW w:w="960" w:type="dxa"/>
            <w:tcBorders>
              <w:top w:val="nil"/>
              <w:left w:val="nil"/>
              <w:bottom w:val="single" w:sz="4" w:space="0" w:color="auto"/>
              <w:right w:val="single" w:sz="4" w:space="0" w:color="auto"/>
            </w:tcBorders>
            <w:shd w:val="clear" w:color="auto" w:fill="auto"/>
            <w:noWrap/>
            <w:vAlign w:val="center"/>
            <w:hideMark/>
          </w:tcPr>
          <w:p w:rsidR="007547D4" w:rsidRPr="005265B2" w:rsidRDefault="007547D4" w:rsidP="00031B92">
            <w:pPr>
              <w:spacing w:after="0" w:line="240" w:lineRule="auto"/>
              <w:jc w:val="center"/>
              <w:rPr>
                <w:rFonts w:ascii="Calibri" w:eastAsia="Times New Roman" w:hAnsi="Calibri" w:cs="Times New Roman"/>
                <w:color w:val="000000"/>
                <w:lang w:eastAsia="en-GB"/>
              </w:rPr>
            </w:pPr>
            <w:r w:rsidRPr="005265B2">
              <w:rPr>
                <w:rFonts w:ascii="Calibri" w:eastAsia="Times New Roman" w:hAnsi="Calibri" w:cs="Times New Roman"/>
                <w:color w:val="000000"/>
                <w:lang w:eastAsia="en-GB"/>
              </w:rPr>
              <w:t>4.7</w:t>
            </w:r>
            <w:r>
              <w:rPr>
                <w:rFonts w:ascii="Calibri" w:eastAsia="Times New Roman" w:hAnsi="Calibri" w:cs="Times New Roman"/>
                <w:color w:val="000000"/>
                <w:lang w:eastAsia="en-GB"/>
              </w:rPr>
              <w:t>%</w:t>
            </w:r>
          </w:p>
        </w:tc>
        <w:tc>
          <w:tcPr>
            <w:tcW w:w="960" w:type="dxa"/>
            <w:tcBorders>
              <w:top w:val="nil"/>
              <w:left w:val="nil"/>
              <w:bottom w:val="single" w:sz="4" w:space="0" w:color="auto"/>
              <w:right w:val="single" w:sz="4" w:space="0" w:color="auto"/>
            </w:tcBorders>
            <w:shd w:val="clear" w:color="auto" w:fill="auto"/>
            <w:noWrap/>
            <w:vAlign w:val="center"/>
            <w:hideMark/>
          </w:tcPr>
          <w:p w:rsidR="007547D4" w:rsidRPr="005265B2" w:rsidRDefault="007547D4" w:rsidP="00031B92">
            <w:pPr>
              <w:spacing w:after="0" w:line="240" w:lineRule="auto"/>
              <w:jc w:val="center"/>
              <w:rPr>
                <w:rFonts w:ascii="Calibri" w:eastAsia="Times New Roman" w:hAnsi="Calibri" w:cs="Times New Roman"/>
                <w:color w:val="000000"/>
                <w:lang w:eastAsia="en-GB"/>
              </w:rPr>
            </w:pPr>
            <w:r w:rsidRPr="005265B2">
              <w:rPr>
                <w:rFonts w:ascii="Calibri" w:eastAsia="Times New Roman" w:hAnsi="Calibri" w:cs="Times New Roman"/>
                <w:color w:val="000000"/>
                <w:lang w:eastAsia="en-GB"/>
              </w:rPr>
              <w:t>2.3</w:t>
            </w:r>
            <w:r>
              <w:rPr>
                <w:rFonts w:ascii="Calibri" w:eastAsia="Times New Roman" w:hAnsi="Calibri" w:cs="Times New Roman"/>
                <w:color w:val="000000"/>
                <w:lang w:eastAsia="en-GB"/>
              </w:rPr>
              <w:t>%</w:t>
            </w:r>
          </w:p>
        </w:tc>
      </w:tr>
    </w:tbl>
    <w:p w:rsidR="007547D4" w:rsidRDefault="007547D4" w:rsidP="007547D4">
      <w:pPr>
        <w:spacing w:after="0" w:line="240" w:lineRule="auto"/>
        <w:jc w:val="both"/>
      </w:pPr>
      <w:r w:rsidRPr="006F2BD9">
        <w:t xml:space="preserve"> Source: Health and Social Care Information Centre, 2013</w:t>
      </w:r>
      <w:r w:rsidR="00270AEE">
        <w:t>/</w:t>
      </w:r>
      <w:r w:rsidRPr="006F2BD9">
        <w:t>14</w:t>
      </w:r>
    </w:p>
    <w:p w:rsidR="007547D4" w:rsidRDefault="007547D4" w:rsidP="007547D4">
      <w:pPr>
        <w:pStyle w:val="Heading3"/>
        <w:numPr>
          <w:ilvl w:val="2"/>
          <w:numId w:val="138"/>
        </w:numPr>
      </w:pPr>
      <w:r>
        <w:t>Learning Disabilities</w:t>
      </w:r>
    </w:p>
    <w:p w:rsidR="007547D4" w:rsidRDefault="007547D4" w:rsidP="007547D4">
      <w:pPr>
        <w:jc w:val="both"/>
      </w:pPr>
      <w:r>
        <w:t>People with learning difficulties find it much harder to get a job than people without learning difficulties. It is estimated that around 65% of people with learning difficulties would like to work, and with the right support they make highly valued employees</w:t>
      </w:r>
      <w:r>
        <w:rPr>
          <w:rStyle w:val="FootnoteReference"/>
        </w:rPr>
        <w:footnoteReference w:id="27"/>
      </w:r>
      <w:r>
        <w:t xml:space="preserve">. </w:t>
      </w:r>
    </w:p>
    <w:p w:rsidR="007547D4" w:rsidRDefault="007547D4" w:rsidP="007547D4">
      <w:pPr>
        <w:pStyle w:val="ListParagraph"/>
        <w:numPr>
          <w:ilvl w:val="0"/>
          <w:numId w:val="31"/>
        </w:numPr>
        <w:jc w:val="both"/>
      </w:pPr>
      <w:r>
        <w:t xml:space="preserve">In February 2015 the proportion of adults known to Social Care with learning disabilities who were paid in employment was 9.4%, compared with the Outer London average of 9.9% and the England average of 6.7% (Table 3-11).  </w:t>
      </w:r>
    </w:p>
    <w:p w:rsidR="007547D4" w:rsidRPr="007F01C5" w:rsidRDefault="007547D4" w:rsidP="007547D4">
      <w:pPr>
        <w:pStyle w:val="ListParagraph"/>
        <w:numPr>
          <w:ilvl w:val="0"/>
          <w:numId w:val="31"/>
        </w:numPr>
        <w:jc w:val="both"/>
      </w:pPr>
      <w:r>
        <w:t xml:space="preserve">By gender, across most areas females with learning disabilities tend to have a lower rate of employment than men. This is the case in Barnet, where 10.2% of males with learning disabilities are in paid employment compared to only 8.3% of females. </w:t>
      </w:r>
    </w:p>
    <w:p w:rsidR="00093568" w:rsidRDefault="00093568" w:rsidP="007547D4">
      <w:pPr>
        <w:pStyle w:val="Caption"/>
      </w:pPr>
    </w:p>
    <w:p w:rsidR="00093568" w:rsidRDefault="00093568" w:rsidP="007547D4">
      <w:pPr>
        <w:pStyle w:val="Caption"/>
      </w:pPr>
    </w:p>
    <w:p w:rsidR="00093568" w:rsidRDefault="00093568" w:rsidP="007547D4">
      <w:pPr>
        <w:pStyle w:val="Caption"/>
      </w:pPr>
    </w:p>
    <w:p w:rsidR="00093568" w:rsidRDefault="00093568" w:rsidP="007547D4">
      <w:pPr>
        <w:pStyle w:val="Caption"/>
      </w:pPr>
    </w:p>
    <w:p w:rsidR="00093568" w:rsidRDefault="00093568" w:rsidP="007547D4">
      <w:pPr>
        <w:pStyle w:val="Caption"/>
      </w:pPr>
    </w:p>
    <w:p w:rsidR="00093568" w:rsidRDefault="00093568" w:rsidP="007547D4">
      <w:pPr>
        <w:pStyle w:val="Caption"/>
      </w:pPr>
    </w:p>
    <w:p w:rsidR="00093568" w:rsidRDefault="00093568" w:rsidP="007547D4">
      <w:pPr>
        <w:pStyle w:val="Caption"/>
      </w:pPr>
    </w:p>
    <w:p w:rsidR="00093568" w:rsidRDefault="00093568" w:rsidP="007547D4">
      <w:pPr>
        <w:pStyle w:val="Caption"/>
      </w:pPr>
    </w:p>
    <w:p w:rsidR="00093568" w:rsidRDefault="00093568" w:rsidP="007547D4">
      <w:pPr>
        <w:pStyle w:val="Caption"/>
      </w:pPr>
    </w:p>
    <w:p w:rsidR="00093568" w:rsidRDefault="00093568" w:rsidP="007547D4">
      <w:pPr>
        <w:pStyle w:val="Caption"/>
      </w:pPr>
    </w:p>
    <w:p w:rsidR="00093568" w:rsidRDefault="00093568" w:rsidP="007547D4">
      <w:pPr>
        <w:pStyle w:val="Caption"/>
      </w:pPr>
    </w:p>
    <w:p w:rsidR="00093568" w:rsidRDefault="00093568" w:rsidP="007547D4">
      <w:pPr>
        <w:pStyle w:val="Caption"/>
      </w:pPr>
    </w:p>
    <w:p w:rsidR="00093568" w:rsidRDefault="00093568" w:rsidP="007547D4">
      <w:pPr>
        <w:pStyle w:val="Caption"/>
      </w:pPr>
    </w:p>
    <w:p w:rsidR="00093568" w:rsidRDefault="00093568" w:rsidP="007547D4">
      <w:pPr>
        <w:pStyle w:val="Caption"/>
      </w:pPr>
    </w:p>
    <w:p w:rsidR="007547D4" w:rsidRDefault="007547D4" w:rsidP="007547D4">
      <w:pPr>
        <w:pStyle w:val="Caption"/>
        <w:rPr>
          <w:rFonts w:eastAsia="Times New Roman" w:cs="Times New Roman"/>
          <w:color w:val="000000"/>
          <w:lang w:eastAsia="en-GB"/>
        </w:rPr>
      </w:pPr>
      <w:r>
        <w:lastRenderedPageBreak/>
        <w:t xml:space="preserve">Table </w:t>
      </w:r>
      <w:fldSimple w:instr=" STYLEREF 1 \s ">
        <w:r w:rsidR="001663C2">
          <w:rPr>
            <w:noProof/>
          </w:rPr>
          <w:t>3</w:t>
        </w:r>
      </w:fldSimple>
      <w:r>
        <w:noBreakHyphen/>
      </w:r>
      <w:fldSimple w:instr=" SEQ Table \* ARABIC \s 1 ">
        <w:r w:rsidR="001663C2">
          <w:rPr>
            <w:noProof/>
          </w:rPr>
          <w:t>11</w:t>
        </w:r>
      </w:fldSimple>
      <w:r w:rsidRPr="001221C6">
        <w:rPr>
          <w:rFonts w:cs="Calibri"/>
        </w:rPr>
        <w:t xml:space="preserve">: Proportion of adults with a learning disability in paid employment, February 2015 </w:t>
      </w:r>
    </w:p>
    <w:tbl>
      <w:tblPr>
        <w:tblW w:w="6394" w:type="dxa"/>
        <w:jc w:val="center"/>
        <w:tblInd w:w="93" w:type="dxa"/>
        <w:tblLook w:val="04A0" w:firstRow="1" w:lastRow="0" w:firstColumn="1" w:lastColumn="0" w:noHBand="0" w:noVBand="1"/>
      </w:tblPr>
      <w:tblGrid>
        <w:gridCol w:w="2580"/>
        <w:gridCol w:w="1263"/>
        <w:gridCol w:w="1134"/>
        <w:gridCol w:w="1417"/>
      </w:tblGrid>
      <w:tr w:rsidR="007547D4" w:rsidRPr="00352CE6" w:rsidTr="00031B92">
        <w:trPr>
          <w:trHeight w:val="300"/>
          <w:jc w:val="center"/>
        </w:trPr>
        <w:tc>
          <w:tcPr>
            <w:tcW w:w="2580"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hideMark/>
          </w:tcPr>
          <w:p w:rsidR="007547D4" w:rsidRPr="00352CE6" w:rsidRDefault="007547D4" w:rsidP="00031B92">
            <w:pPr>
              <w:spacing w:after="0" w:line="240" w:lineRule="auto"/>
              <w:rPr>
                <w:rFonts w:eastAsia="Times New Roman" w:cs="Times New Roman"/>
                <w:b/>
                <w:bCs/>
                <w:lang w:eastAsia="en-GB"/>
              </w:rPr>
            </w:pPr>
            <w:r w:rsidRPr="00352CE6">
              <w:rPr>
                <w:rFonts w:eastAsia="Times New Roman" w:cs="Times New Roman"/>
                <w:b/>
                <w:bCs/>
                <w:lang w:eastAsia="en-GB"/>
              </w:rPr>
              <w:t> </w:t>
            </w:r>
          </w:p>
        </w:tc>
        <w:tc>
          <w:tcPr>
            <w:tcW w:w="1263" w:type="dxa"/>
            <w:tcBorders>
              <w:top w:val="single" w:sz="4" w:space="0" w:color="auto"/>
              <w:left w:val="nil"/>
              <w:bottom w:val="single" w:sz="4" w:space="0" w:color="auto"/>
              <w:right w:val="single" w:sz="4" w:space="0" w:color="auto"/>
            </w:tcBorders>
            <w:shd w:val="clear" w:color="auto" w:fill="BFBFBF" w:themeFill="background1" w:themeFillShade="BF"/>
            <w:noWrap/>
            <w:vAlign w:val="bottom"/>
            <w:hideMark/>
          </w:tcPr>
          <w:p w:rsidR="007547D4" w:rsidRPr="00352CE6" w:rsidRDefault="007547D4" w:rsidP="00031B92">
            <w:pPr>
              <w:spacing w:after="0" w:line="240" w:lineRule="auto"/>
              <w:jc w:val="center"/>
              <w:rPr>
                <w:rFonts w:eastAsia="Times New Roman" w:cs="Times New Roman"/>
                <w:b/>
                <w:bCs/>
                <w:lang w:eastAsia="en-GB"/>
              </w:rPr>
            </w:pPr>
            <w:r w:rsidRPr="00352CE6">
              <w:rPr>
                <w:rFonts w:eastAsia="Times New Roman" w:cs="Times New Roman"/>
                <w:b/>
                <w:bCs/>
                <w:lang w:eastAsia="en-GB"/>
              </w:rPr>
              <w:t>Total</w:t>
            </w:r>
          </w:p>
        </w:tc>
        <w:tc>
          <w:tcPr>
            <w:tcW w:w="1134" w:type="dxa"/>
            <w:tcBorders>
              <w:top w:val="single" w:sz="4" w:space="0" w:color="auto"/>
              <w:left w:val="nil"/>
              <w:bottom w:val="single" w:sz="4" w:space="0" w:color="auto"/>
              <w:right w:val="single" w:sz="4" w:space="0" w:color="auto"/>
            </w:tcBorders>
            <w:shd w:val="clear" w:color="auto" w:fill="BFBFBF" w:themeFill="background1" w:themeFillShade="BF"/>
            <w:noWrap/>
            <w:vAlign w:val="bottom"/>
            <w:hideMark/>
          </w:tcPr>
          <w:p w:rsidR="007547D4" w:rsidRPr="00352CE6" w:rsidRDefault="007547D4" w:rsidP="00031B92">
            <w:pPr>
              <w:spacing w:after="0" w:line="240" w:lineRule="auto"/>
              <w:jc w:val="center"/>
              <w:rPr>
                <w:rFonts w:eastAsia="Times New Roman" w:cs="Times New Roman"/>
                <w:b/>
                <w:bCs/>
                <w:lang w:eastAsia="en-GB"/>
              </w:rPr>
            </w:pPr>
            <w:r w:rsidRPr="00352CE6">
              <w:rPr>
                <w:rFonts w:eastAsia="Times New Roman" w:cs="Times New Roman"/>
                <w:b/>
                <w:bCs/>
                <w:lang w:eastAsia="en-GB"/>
              </w:rPr>
              <w:t>Male</w:t>
            </w:r>
          </w:p>
        </w:tc>
        <w:tc>
          <w:tcPr>
            <w:tcW w:w="1417" w:type="dxa"/>
            <w:tcBorders>
              <w:top w:val="single" w:sz="4" w:space="0" w:color="auto"/>
              <w:left w:val="nil"/>
              <w:bottom w:val="single" w:sz="4" w:space="0" w:color="auto"/>
              <w:right w:val="single" w:sz="4" w:space="0" w:color="auto"/>
            </w:tcBorders>
            <w:shd w:val="clear" w:color="auto" w:fill="BFBFBF" w:themeFill="background1" w:themeFillShade="BF"/>
            <w:noWrap/>
            <w:vAlign w:val="bottom"/>
            <w:hideMark/>
          </w:tcPr>
          <w:p w:rsidR="007547D4" w:rsidRPr="00352CE6" w:rsidRDefault="007547D4" w:rsidP="00031B92">
            <w:pPr>
              <w:spacing w:after="0" w:line="240" w:lineRule="auto"/>
              <w:jc w:val="center"/>
              <w:rPr>
                <w:rFonts w:eastAsia="Times New Roman" w:cs="Times New Roman"/>
                <w:b/>
                <w:bCs/>
                <w:lang w:eastAsia="en-GB"/>
              </w:rPr>
            </w:pPr>
            <w:r w:rsidRPr="00352CE6">
              <w:rPr>
                <w:rFonts w:eastAsia="Times New Roman" w:cs="Times New Roman"/>
                <w:b/>
                <w:bCs/>
                <w:lang w:eastAsia="en-GB"/>
              </w:rPr>
              <w:t>Female</w:t>
            </w:r>
          </w:p>
        </w:tc>
      </w:tr>
      <w:tr w:rsidR="007547D4" w:rsidRPr="00352CE6" w:rsidTr="00031B92">
        <w:trPr>
          <w:trHeight w:val="300"/>
          <w:jc w:val="center"/>
        </w:trPr>
        <w:tc>
          <w:tcPr>
            <w:tcW w:w="2580" w:type="dxa"/>
            <w:tcBorders>
              <w:top w:val="nil"/>
              <w:left w:val="single" w:sz="4" w:space="0" w:color="auto"/>
              <w:bottom w:val="single" w:sz="4" w:space="0" w:color="auto"/>
              <w:right w:val="single" w:sz="4" w:space="0" w:color="auto"/>
            </w:tcBorders>
            <w:shd w:val="clear" w:color="auto" w:fill="auto"/>
            <w:noWrap/>
            <w:vAlign w:val="bottom"/>
            <w:hideMark/>
          </w:tcPr>
          <w:p w:rsidR="007547D4" w:rsidRPr="00352CE6" w:rsidRDefault="007547D4" w:rsidP="00031B92">
            <w:pPr>
              <w:spacing w:after="0" w:line="240" w:lineRule="auto"/>
              <w:rPr>
                <w:rFonts w:eastAsia="Times New Roman" w:cs="Times New Roman"/>
                <w:lang w:eastAsia="en-GB"/>
              </w:rPr>
            </w:pPr>
            <w:r w:rsidRPr="00352CE6">
              <w:rPr>
                <w:rFonts w:eastAsia="Times New Roman" w:cs="Times New Roman"/>
                <w:lang w:eastAsia="en-GB"/>
              </w:rPr>
              <w:t>Redbridge</w:t>
            </w:r>
          </w:p>
        </w:tc>
        <w:tc>
          <w:tcPr>
            <w:tcW w:w="1263" w:type="dxa"/>
            <w:tcBorders>
              <w:top w:val="nil"/>
              <w:left w:val="nil"/>
              <w:bottom w:val="single" w:sz="4" w:space="0" w:color="auto"/>
              <w:right w:val="single" w:sz="4" w:space="0" w:color="auto"/>
            </w:tcBorders>
            <w:shd w:val="clear" w:color="auto" w:fill="auto"/>
            <w:noWrap/>
            <w:vAlign w:val="bottom"/>
            <w:hideMark/>
          </w:tcPr>
          <w:p w:rsidR="007547D4" w:rsidRPr="00352CE6" w:rsidRDefault="007547D4" w:rsidP="00031B92">
            <w:pPr>
              <w:spacing w:after="0" w:line="240" w:lineRule="auto"/>
              <w:jc w:val="center"/>
              <w:rPr>
                <w:rFonts w:eastAsia="Times New Roman" w:cs="Times New Roman"/>
                <w:lang w:eastAsia="en-GB"/>
              </w:rPr>
            </w:pPr>
            <w:r w:rsidRPr="00352CE6">
              <w:rPr>
                <w:rFonts w:eastAsia="Times New Roman" w:cs="Times New Roman"/>
                <w:lang w:eastAsia="en-GB"/>
              </w:rPr>
              <w:t>15.2</w:t>
            </w:r>
            <w:r>
              <w:rPr>
                <w:rFonts w:eastAsia="Times New Roman" w:cs="Times New Roman"/>
                <w:lang w:eastAsia="en-GB"/>
              </w:rPr>
              <w:t>%</w:t>
            </w:r>
          </w:p>
        </w:tc>
        <w:tc>
          <w:tcPr>
            <w:tcW w:w="1134" w:type="dxa"/>
            <w:tcBorders>
              <w:top w:val="nil"/>
              <w:left w:val="nil"/>
              <w:bottom w:val="single" w:sz="4" w:space="0" w:color="auto"/>
              <w:right w:val="single" w:sz="4" w:space="0" w:color="auto"/>
            </w:tcBorders>
            <w:shd w:val="clear" w:color="auto" w:fill="auto"/>
            <w:noWrap/>
            <w:vAlign w:val="bottom"/>
            <w:hideMark/>
          </w:tcPr>
          <w:p w:rsidR="007547D4" w:rsidRPr="00352CE6" w:rsidRDefault="007547D4" w:rsidP="00031B92">
            <w:pPr>
              <w:spacing w:after="0" w:line="240" w:lineRule="auto"/>
              <w:jc w:val="center"/>
              <w:rPr>
                <w:rFonts w:eastAsia="Times New Roman" w:cs="Times New Roman"/>
                <w:lang w:eastAsia="en-GB"/>
              </w:rPr>
            </w:pPr>
            <w:r w:rsidRPr="00352CE6">
              <w:rPr>
                <w:rFonts w:eastAsia="Times New Roman" w:cs="Times New Roman"/>
                <w:lang w:eastAsia="en-GB"/>
              </w:rPr>
              <w:t>12.3</w:t>
            </w:r>
            <w:r>
              <w:rPr>
                <w:rFonts w:eastAsia="Times New Roman" w:cs="Times New Roman"/>
                <w:lang w:eastAsia="en-GB"/>
              </w:rPr>
              <w:t>%</w:t>
            </w:r>
          </w:p>
        </w:tc>
        <w:tc>
          <w:tcPr>
            <w:tcW w:w="1417" w:type="dxa"/>
            <w:tcBorders>
              <w:top w:val="nil"/>
              <w:left w:val="nil"/>
              <w:bottom w:val="single" w:sz="4" w:space="0" w:color="auto"/>
              <w:right w:val="single" w:sz="4" w:space="0" w:color="auto"/>
            </w:tcBorders>
            <w:shd w:val="clear" w:color="auto" w:fill="auto"/>
            <w:noWrap/>
            <w:vAlign w:val="bottom"/>
            <w:hideMark/>
          </w:tcPr>
          <w:p w:rsidR="007547D4" w:rsidRPr="00352CE6" w:rsidRDefault="007547D4" w:rsidP="00031B92">
            <w:pPr>
              <w:spacing w:after="0" w:line="240" w:lineRule="auto"/>
              <w:jc w:val="center"/>
              <w:rPr>
                <w:rFonts w:eastAsia="Times New Roman" w:cs="Times New Roman"/>
                <w:lang w:eastAsia="en-GB"/>
              </w:rPr>
            </w:pPr>
            <w:r w:rsidRPr="00352CE6">
              <w:rPr>
                <w:rFonts w:eastAsia="Times New Roman" w:cs="Times New Roman"/>
                <w:lang w:eastAsia="en-GB"/>
              </w:rPr>
              <w:t>18.8</w:t>
            </w:r>
            <w:r>
              <w:rPr>
                <w:rFonts w:eastAsia="Times New Roman" w:cs="Times New Roman"/>
                <w:lang w:eastAsia="en-GB"/>
              </w:rPr>
              <w:t>%</w:t>
            </w:r>
          </w:p>
        </w:tc>
      </w:tr>
      <w:tr w:rsidR="007547D4" w:rsidRPr="00352CE6" w:rsidTr="00031B92">
        <w:trPr>
          <w:trHeight w:val="300"/>
          <w:jc w:val="center"/>
        </w:trPr>
        <w:tc>
          <w:tcPr>
            <w:tcW w:w="2580" w:type="dxa"/>
            <w:tcBorders>
              <w:top w:val="nil"/>
              <w:left w:val="single" w:sz="4" w:space="0" w:color="auto"/>
              <w:bottom w:val="single" w:sz="4" w:space="0" w:color="auto"/>
              <w:right w:val="single" w:sz="4" w:space="0" w:color="auto"/>
            </w:tcBorders>
            <w:shd w:val="clear" w:color="auto" w:fill="auto"/>
            <w:noWrap/>
            <w:vAlign w:val="bottom"/>
            <w:hideMark/>
          </w:tcPr>
          <w:p w:rsidR="007547D4" w:rsidRPr="00352CE6" w:rsidRDefault="007547D4" w:rsidP="00031B92">
            <w:pPr>
              <w:spacing w:after="0" w:line="240" w:lineRule="auto"/>
              <w:rPr>
                <w:rFonts w:eastAsia="Times New Roman" w:cs="Times New Roman"/>
                <w:lang w:eastAsia="en-GB"/>
              </w:rPr>
            </w:pPr>
            <w:r w:rsidRPr="00352CE6">
              <w:rPr>
                <w:rFonts w:eastAsia="Times New Roman" w:cs="Times New Roman"/>
                <w:lang w:eastAsia="en-GB"/>
              </w:rPr>
              <w:t>Kingston upon Thames</w:t>
            </w:r>
          </w:p>
        </w:tc>
        <w:tc>
          <w:tcPr>
            <w:tcW w:w="1263" w:type="dxa"/>
            <w:tcBorders>
              <w:top w:val="nil"/>
              <w:left w:val="nil"/>
              <w:bottom w:val="single" w:sz="4" w:space="0" w:color="auto"/>
              <w:right w:val="single" w:sz="4" w:space="0" w:color="auto"/>
            </w:tcBorders>
            <w:shd w:val="clear" w:color="auto" w:fill="auto"/>
            <w:noWrap/>
            <w:vAlign w:val="bottom"/>
            <w:hideMark/>
          </w:tcPr>
          <w:p w:rsidR="007547D4" w:rsidRPr="00352CE6" w:rsidRDefault="007547D4" w:rsidP="00031B92">
            <w:pPr>
              <w:spacing w:after="0" w:line="240" w:lineRule="auto"/>
              <w:jc w:val="center"/>
              <w:rPr>
                <w:rFonts w:eastAsia="Times New Roman" w:cs="Times New Roman"/>
                <w:lang w:eastAsia="en-GB"/>
              </w:rPr>
            </w:pPr>
            <w:r w:rsidRPr="00352CE6">
              <w:rPr>
                <w:rFonts w:eastAsia="Times New Roman" w:cs="Times New Roman"/>
                <w:lang w:eastAsia="en-GB"/>
              </w:rPr>
              <w:t>14.3</w:t>
            </w:r>
            <w:r>
              <w:rPr>
                <w:rFonts w:eastAsia="Times New Roman" w:cs="Times New Roman"/>
                <w:lang w:eastAsia="en-GB"/>
              </w:rPr>
              <w:t>%</w:t>
            </w:r>
          </w:p>
        </w:tc>
        <w:tc>
          <w:tcPr>
            <w:tcW w:w="1134" w:type="dxa"/>
            <w:tcBorders>
              <w:top w:val="nil"/>
              <w:left w:val="nil"/>
              <w:bottom w:val="single" w:sz="4" w:space="0" w:color="auto"/>
              <w:right w:val="single" w:sz="4" w:space="0" w:color="auto"/>
            </w:tcBorders>
            <w:shd w:val="clear" w:color="auto" w:fill="auto"/>
            <w:noWrap/>
            <w:vAlign w:val="bottom"/>
            <w:hideMark/>
          </w:tcPr>
          <w:p w:rsidR="007547D4" w:rsidRPr="00352CE6" w:rsidRDefault="007547D4" w:rsidP="00031B92">
            <w:pPr>
              <w:spacing w:after="0" w:line="240" w:lineRule="auto"/>
              <w:jc w:val="center"/>
              <w:rPr>
                <w:rFonts w:eastAsia="Times New Roman" w:cs="Times New Roman"/>
                <w:lang w:eastAsia="en-GB"/>
              </w:rPr>
            </w:pPr>
            <w:r w:rsidRPr="00352CE6">
              <w:rPr>
                <w:rFonts w:eastAsia="Times New Roman" w:cs="Times New Roman"/>
                <w:lang w:eastAsia="en-GB"/>
              </w:rPr>
              <w:t>17.6</w:t>
            </w:r>
            <w:r>
              <w:rPr>
                <w:rFonts w:eastAsia="Times New Roman" w:cs="Times New Roman"/>
                <w:lang w:eastAsia="en-GB"/>
              </w:rPr>
              <w:t>%</w:t>
            </w:r>
          </w:p>
        </w:tc>
        <w:tc>
          <w:tcPr>
            <w:tcW w:w="1417" w:type="dxa"/>
            <w:tcBorders>
              <w:top w:val="nil"/>
              <w:left w:val="nil"/>
              <w:bottom w:val="single" w:sz="4" w:space="0" w:color="auto"/>
              <w:right w:val="single" w:sz="4" w:space="0" w:color="auto"/>
            </w:tcBorders>
            <w:shd w:val="clear" w:color="auto" w:fill="auto"/>
            <w:noWrap/>
            <w:vAlign w:val="bottom"/>
            <w:hideMark/>
          </w:tcPr>
          <w:p w:rsidR="007547D4" w:rsidRPr="00352CE6" w:rsidRDefault="007547D4" w:rsidP="00031B92">
            <w:pPr>
              <w:spacing w:after="0" w:line="240" w:lineRule="auto"/>
              <w:jc w:val="center"/>
              <w:rPr>
                <w:rFonts w:eastAsia="Times New Roman" w:cs="Times New Roman"/>
                <w:lang w:eastAsia="en-GB"/>
              </w:rPr>
            </w:pPr>
            <w:r w:rsidRPr="00352CE6">
              <w:rPr>
                <w:rFonts w:eastAsia="Times New Roman" w:cs="Times New Roman"/>
                <w:lang w:eastAsia="en-GB"/>
              </w:rPr>
              <w:t>9.6</w:t>
            </w:r>
            <w:r>
              <w:rPr>
                <w:rFonts w:eastAsia="Times New Roman" w:cs="Times New Roman"/>
                <w:lang w:eastAsia="en-GB"/>
              </w:rPr>
              <w:t>%</w:t>
            </w:r>
          </w:p>
        </w:tc>
      </w:tr>
      <w:tr w:rsidR="007547D4" w:rsidRPr="00352CE6" w:rsidTr="00031B92">
        <w:trPr>
          <w:trHeight w:val="300"/>
          <w:jc w:val="center"/>
        </w:trPr>
        <w:tc>
          <w:tcPr>
            <w:tcW w:w="2580" w:type="dxa"/>
            <w:tcBorders>
              <w:top w:val="nil"/>
              <w:left w:val="single" w:sz="4" w:space="0" w:color="auto"/>
              <w:bottom w:val="single" w:sz="4" w:space="0" w:color="auto"/>
              <w:right w:val="single" w:sz="4" w:space="0" w:color="auto"/>
            </w:tcBorders>
            <w:shd w:val="clear" w:color="auto" w:fill="auto"/>
            <w:noWrap/>
            <w:vAlign w:val="bottom"/>
            <w:hideMark/>
          </w:tcPr>
          <w:p w:rsidR="007547D4" w:rsidRPr="00352CE6" w:rsidRDefault="007547D4" w:rsidP="00031B92">
            <w:pPr>
              <w:spacing w:after="0" w:line="240" w:lineRule="auto"/>
              <w:rPr>
                <w:rFonts w:eastAsia="Times New Roman" w:cs="Times New Roman"/>
                <w:lang w:eastAsia="en-GB"/>
              </w:rPr>
            </w:pPr>
            <w:r w:rsidRPr="00352CE6">
              <w:rPr>
                <w:rFonts w:eastAsia="Times New Roman" w:cs="Times New Roman"/>
                <w:lang w:eastAsia="en-GB"/>
              </w:rPr>
              <w:t>Milton Keynes</w:t>
            </w:r>
          </w:p>
        </w:tc>
        <w:tc>
          <w:tcPr>
            <w:tcW w:w="1263" w:type="dxa"/>
            <w:tcBorders>
              <w:top w:val="nil"/>
              <w:left w:val="nil"/>
              <w:bottom w:val="single" w:sz="4" w:space="0" w:color="auto"/>
              <w:right w:val="single" w:sz="4" w:space="0" w:color="auto"/>
            </w:tcBorders>
            <w:shd w:val="clear" w:color="auto" w:fill="auto"/>
            <w:noWrap/>
            <w:vAlign w:val="bottom"/>
            <w:hideMark/>
          </w:tcPr>
          <w:p w:rsidR="007547D4" w:rsidRPr="00352CE6" w:rsidRDefault="007547D4" w:rsidP="00031B92">
            <w:pPr>
              <w:spacing w:after="0" w:line="240" w:lineRule="auto"/>
              <w:jc w:val="center"/>
              <w:rPr>
                <w:rFonts w:eastAsia="Times New Roman" w:cs="Times New Roman"/>
                <w:lang w:eastAsia="en-GB"/>
              </w:rPr>
            </w:pPr>
            <w:r w:rsidRPr="00352CE6">
              <w:rPr>
                <w:rFonts w:eastAsia="Times New Roman" w:cs="Times New Roman"/>
                <w:lang w:eastAsia="en-GB"/>
              </w:rPr>
              <w:t>11.7</w:t>
            </w:r>
            <w:r>
              <w:rPr>
                <w:rFonts w:eastAsia="Times New Roman" w:cs="Times New Roman"/>
                <w:lang w:eastAsia="en-GB"/>
              </w:rPr>
              <w:t>%</w:t>
            </w:r>
          </w:p>
        </w:tc>
        <w:tc>
          <w:tcPr>
            <w:tcW w:w="1134" w:type="dxa"/>
            <w:tcBorders>
              <w:top w:val="nil"/>
              <w:left w:val="nil"/>
              <w:bottom w:val="single" w:sz="4" w:space="0" w:color="auto"/>
              <w:right w:val="single" w:sz="4" w:space="0" w:color="auto"/>
            </w:tcBorders>
            <w:shd w:val="clear" w:color="auto" w:fill="auto"/>
            <w:noWrap/>
            <w:vAlign w:val="bottom"/>
            <w:hideMark/>
          </w:tcPr>
          <w:p w:rsidR="007547D4" w:rsidRPr="00352CE6" w:rsidRDefault="007547D4" w:rsidP="00031B92">
            <w:pPr>
              <w:spacing w:after="0" w:line="240" w:lineRule="auto"/>
              <w:jc w:val="center"/>
              <w:rPr>
                <w:rFonts w:eastAsia="Times New Roman" w:cs="Times New Roman"/>
                <w:lang w:eastAsia="en-GB"/>
              </w:rPr>
            </w:pPr>
            <w:r w:rsidRPr="00352CE6">
              <w:rPr>
                <w:rFonts w:eastAsia="Times New Roman" w:cs="Times New Roman"/>
                <w:lang w:eastAsia="en-GB"/>
              </w:rPr>
              <w:t>12.2</w:t>
            </w:r>
            <w:r>
              <w:rPr>
                <w:rFonts w:eastAsia="Times New Roman" w:cs="Times New Roman"/>
                <w:lang w:eastAsia="en-GB"/>
              </w:rPr>
              <w:t>%</w:t>
            </w:r>
          </w:p>
        </w:tc>
        <w:tc>
          <w:tcPr>
            <w:tcW w:w="1417" w:type="dxa"/>
            <w:tcBorders>
              <w:top w:val="nil"/>
              <w:left w:val="nil"/>
              <w:bottom w:val="single" w:sz="4" w:space="0" w:color="auto"/>
              <w:right w:val="single" w:sz="4" w:space="0" w:color="auto"/>
            </w:tcBorders>
            <w:shd w:val="clear" w:color="auto" w:fill="auto"/>
            <w:noWrap/>
            <w:vAlign w:val="bottom"/>
            <w:hideMark/>
          </w:tcPr>
          <w:p w:rsidR="007547D4" w:rsidRPr="00352CE6" w:rsidRDefault="007547D4" w:rsidP="00031B92">
            <w:pPr>
              <w:spacing w:after="0" w:line="240" w:lineRule="auto"/>
              <w:jc w:val="center"/>
              <w:rPr>
                <w:rFonts w:eastAsia="Times New Roman" w:cs="Times New Roman"/>
                <w:lang w:eastAsia="en-GB"/>
              </w:rPr>
            </w:pPr>
            <w:r w:rsidRPr="00352CE6">
              <w:rPr>
                <w:rFonts w:eastAsia="Times New Roman" w:cs="Times New Roman"/>
                <w:lang w:eastAsia="en-GB"/>
              </w:rPr>
              <w:t>11.0</w:t>
            </w:r>
            <w:r>
              <w:rPr>
                <w:rFonts w:eastAsia="Times New Roman" w:cs="Times New Roman"/>
                <w:lang w:eastAsia="en-GB"/>
              </w:rPr>
              <w:t>%</w:t>
            </w:r>
          </w:p>
        </w:tc>
      </w:tr>
      <w:tr w:rsidR="007547D4" w:rsidRPr="00352CE6" w:rsidTr="00031B92">
        <w:trPr>
          <w:trHeight w:val="300"/>
          <w:jc w:val="center"/>
        </w:trPr>
        <w:tc>
          <w:tcPr>
            <w:tcW w:w="2580" w:type="dxa"/>
            <w:tcBorders>
              <w:top w:val="nil"/>
              <w:left w:val="single" w:sz="4" w:space="0" w:color="auto"/>
              <w:bottom w:val="single" w:sz="4" w:space="0" w:color="auto"/>
              <w:right w:val="single" w:sz="4" w:space="0" w:color="auto"/>
            </w:tcBorders>
            <w:shd w:val="clear" w:color="auto" w:fill="auto"/>
            <w:noWrap/>
            <w:vAlign w:val="bottom"/>
            <w:hideMark/>
          </w:tcPr>
          <w:p w:rsidR="007547D4" w:rsidRPr="00352CE6" w:rsidRDefault="007547D4" w:rsidP="00031B92">
            <w:pPr>
              <w:spacing w:after="0" w:line="240" w:lineRule="auto"/>
              <w:rPr>
                <w:rFonts w:eastAsia="Times New Roman" w:cs="Times New Roman"/>
                <w:lang w:eastAsia="en-GB"/>
              </w:rPr>
            </w:pPr>
            <w:r w:rsidRPr="00352CE6">
              <w:rPr>
                <w:rFonts w:eastAsia="Times New Roman" w:cs="Times New Roman"/>
                <w:lang w:eastAsia="en-GB"/>
              </w:rPr>
              <w:t>Bromley</w:t>
            </w:r>
          </w:p>
        </w:tc>
        <w:tc>
          <w:tcPr>
            <w:tcW w:w="1263" w:type="dxa"/>
            <w:tcBorders>
              <w:top w:val="nil"/>
              <w:left w:val="nil"/>
              <w:bottom w:val="single" w:sz="4" w:space="0" w:color="auto"/>
              <w:right w:val="single" w:sz="4" w:space="0" w:color="auto"/>
            </w:tcBorders>
            <w:shd w:val="clear" w:color="auto" w:fill="auto"/>
            <w:noWrap/>
            <w:vAlign w:val="bottom"/>
            <w:hideMark/>
          </w:tcPr>
          <w:p w:rsidR="007547D4" w:rsidRPr="00352CE6" w:rsidRDefault="007547D4" w:rsidP="00031B92">
            <w:pPr>
              <w:spacing w:after="0" w:line="240" w:lineRule="auto"/>
              <w:jc w:val="center"/>
              <w:rPr>
                <w:rFonts w:eastAsia="Times New Roman" w:cs="Times New Roman"/>
                <w:lang w:eastAsia="en-GB"/>
              </w:rPr>
            </w:pPr>
            <w:r w:rsidRPr="00352CE6">
              <w:rPr>
                <w:rFonts w:eastAsia="Times New Roman" w:cs="Times New Roman"/>
                <w:lang w:eastAsia="en-GB"/>
              </w:rPr>
              <w:t>11.5</w:t>
            </w:r>
            <w:r>
              <w:rPr>
                <w:rFonts w:eastAsia="Times New Roman" w:cs="Times New Roman"/>
                <w:lang w:eastAsia="en-GB"/>
              </w:rPr>
              <w:t>%</w:t>
            </w:r>
          </w:p>
        </w:tc>
        <w:tc>
          <w:tcPr>
            <w:tcW w:w="1134" w:type="dxa"/>
            <w:tcBorders>
              <w:top w:val="nil"/>
              <w:left w:val="nil"/>
              <w:bottom w:val="single" w:sz="4" w:space="0" w:color="auto"/>
              <w:right w:val="single" w:sz="4" w:space="0" w:color="auto"/>
            </w:tcBorders>
            <w:shd w:val="clear" w:color="auto" w:fill="auto"/>
            <w:noWrap/>
            <w:vAlign w:val="bottom"/>
            <w:hideMark/>
          </w:tcPr>
          <w:p w:rsidR="007547D4" w:rsidRPr="00352CE6" w:rsidRDefault="007547D4" w:rsidP="00031B92">
            <w:pPr>
              <w:spacing w:after="0" w:line="240" w:lineRule="auto"/>
              <w:jc w:val="center"/>
              <w:rPr>
                <w:rFonts w:eastAsia="Times New Roman" w:cs="Times New Roman"/>
                <w:lang w:eastAsia="en-GB"/>
              </w:rPr>
            </w:pPr>
            <w:r w:rsidRPr="00352CE6">
              <w:rPr>
                <w:rFonts w:eastAsia="Times New Roman" w:cs="Times New Roman"/>
                <w:lang w:eastAsia="en-GB"/>
              </w:rPr>
              <w:t>11.8</w:t>
            </w:r>
            <w:r>
              <w:rPr>
                <w:rFonts w:eastAsia="Times New Roman" w:cs="Times New Roman"/>
                <w:lang w:eastAsia="en-GB"/>
              </w:rPr>
              <w:t>%</w:t>
            </w:r>
          </w:p>
        </w:tc>
        <w:tc>
          <w:tcPr>
            <w:tcW w:w="1417" w:type="dxa"/>
            <w:tcBorders>
              <w:top w:val="nil"/>
              <w:left w:val="nil"/>
              <w:bottom w:val="single" w:sz="4" w:space="0" w:color="auto"/>
              <w:right w:val="single" w:sz="4" w:space="0" w:color="auto"/>
            </w:tcBorders>
            <w:shd w:val="clear" w:color="auto" w:fill="auto"/>
            <w:noWrap/>
            <w:vAlign w:val="bottom"/>
            <w:hideMark/>
          </w:tcPr>
          <w:p w:rsidR="007547D4" w:rsidRPr="00352CE6" w:rsidRDefault="007547D4" w:rsidP="00031B92">
            <w:pPr>
              <w:spacing w:after="0" w:line="240" w:lineRule="auto"/>
              <w:jc w:val="center"/>
              <w:rPr>
                <w:rFonts w:eastAsia="Times New Roman" w:cs="Times New Roman"/>
                <w:lang w:eastAsia="en-GB"/>
              </w:rPr>
            </w:pPr>
            <w:r w:rsidRPr="00352CE6">
              <w:rPr>
                <w:rFonts w:eastAsia="Times New Roman" w:cs="Times New Roman"/>
                <w:lang w:eastAsia="en-GB"/>
              </w:rPr>
              <w:t>11.1</w:t>
            </w:r>
            <w:r>
              <w:rPr>
                <w:rFonts w:eastAsia="Times New Roman" w:cs="Times New Roman"/>
                <w:lang w:eastAsia="en-GB"/>
              </w:rPr>
              <w:t>%</w:t>
            </w:r>
          </w:p>
        </w:tc>
      </w:tr>
      <w:tr w:rsidR="007547D4" w:rsidRPr="00352CE6" w:rsidTr="00031B92">
        <w:trPr>
          <w:trHeight w:val="300"/>
          <w:jc w:val="center"/>
        </w:trPr>
        <w:tc>
          <w:tcPr>
            <w:tcW w:w="2580" w:type="dxa"/>
            <w:tcBorders>
              <w:top w:val="nil"/>
              <w:left w:val="single" w:sz="4" w:space="0" w:color="auto"/>
              <w:bottom w:val="single" w:sz="4" w:space="0" w:color="auto"/>
              <w:right w:val="single" w:sz="4" w:space="0" w:color="auto"/>
            </w:tcBorders>
            <w:shd w:val="clear" w:color="auto" w:fill="auto"/>
            <w:noWrap/>
            <w:vAlign w:val="bottom"/>
            <w:hideMark/>
          </w:tcPr>
          <w:p w:rsidR="007547D4" w:rsidRPr="00352CE6" w:rsidRDefault="007547D4" w:rsidP="00031B92">
            <w:pPr>
              <w:spacing w:after="0" w:line="240" w:lineRule="auto"/>
              <w:rPr>
                <w:rFonts w:eastAsia="Times New Roman" w:cs="Times New Roman"/>
                <w:lang w:eastAsia="en-GB"/>
              </w:rPr>
            </w:pPr>
            <w:r w:rsidRPr="00352CE6">
              <w:rPr>
                <w:rFonts w:eastAsia="Times New Roman" w:cs="Times New Roman"/>
                <w:lang w:eastAsia="en-GB"/>
              </w:rPr>
              <w:t>Merton</w:t>
            </w:r>
          </w:p>
        </w:tc>
        <w:tc>
          <w:tcPr>
            <w:tcW w:w="1263" w:type="dxa"/>
            <w:tcBorders>
              <w:top w:val="nil"/>
              <w:left w:val="nil"/>
              <w:bottom w:val="single" w:sz="4" w:space="0" w:color="auto"/>
              <w:right w:val="single" w:sz="4" w:space="0" w:color="auto"/>
            </w:tcBorders>
            <w:shd w:val="clear" w:color="auto" w:fill="auto"/>
            <w:noWrap/>
            <w:vAlign w:val="bottom"/>
            <w:hideMark/>
          </w:tcPr>
          <w:p w:rsidR="007547D4" w:rsidRPr="00352CE6" w:rsidRDefault="007547D4" w:rsidP="00031B92">
            <w:pPr>
              <w:spacing w:after="0" w:line="240" w:lineRule="auto"/>
              <w:jc w:val="center"/>
              <w:rPr>
                <w:rFonts w:eastAsia="Times New Roman" w:cs="Times New Roman"/>
                <w:lang w:eastAsia="en-GB"/>
              </w:rPr>
            </w:pPr>
            <w:r w:rsidRPr="00352CE6">
              <w:rPr>
                <w:rFonts w:eastAsia="Times New Roman" w:cs="Times New Roman"/>
                <w:lang w:eastAsia="en-GB"/>
              </w:rPr>
              <w:t>11.3</w:t>
            </w:r>
            <w:r>
              <w:rPr>
                <w:rFonts w:eastAsia="Times New Roman" w:cs="Times New Roman"/>
                <w:lang w:eastAsia="en-GB"/>
              </w:rPr>
              <w:t>%</w:t>
            </w:r>
          </w:p>
        </w:tc>
        <w:tc>
          <w:tcPr>
            <w:tcW w:w="1134" w:type="dxa"/>
            <w:tcBorders>
              <w:top w:val="nil"/>
              <w:left w:val="nil"/>
              <w:bottom w:val="single" w:sz="4" w:space="0" w:color="auto"/>
              <w:right w:val="single" w:sz="4" w:space="0" w:color="auto"/>
            </w:tcBorders>
            <w:shd w:val="clear" w:color="auto" w:fill="auto"/>
            <w:noWrap/>
            <w:vAlign w:val="bottom"/>
            <w:hideMark/>
          </w:tcPr>
          <w:p w:rsidR="007547D4" w:rsidRPr="00352CE6" w:rsidRDefault="007547D4" w:rsidP="00031B92">
            <w:pPr>
              <w:spacing w:after="0" w:line="240" w:lineRule="auto"/>
              <w:jc w:val="center"/>
              <w:rPr>
                <w:rFonts w:eastAsia="Times New Roman" w:cs="Times New Roman"/>
                <w:lang w:eastAsia="en-GB"/>
              </w:rPr>
            </w:pPr>
            <w:r w:rsidRPr="00352CE6">
              <w:rPr>
                <w:rFonts w:eastAsia="Times New Roman" w:cs="Times New Roman"/>
                <w:lang w:eastAsia="en-GB"/>
              </w:rPr>
              <w:t>14.6</w:t>
            </w:r>
            <w:r>
              <w:rPr>
                <w:rFonts w:eastAsia="Times New Roman" w:cs="Times New Roman"/>
                <w:lang w:eastAsia="en-GB"/>
              </w:rPr>
              <w:t>%</w:t>
            </w:r>
          </w:p>
        </w:tc>
        <w:tc>
          <w:tcPr>
            <w:tcW w:w="1417" w:type="dxa"/>
            <w:tcBorders>
              <w:top w:val="nil"/>
              <w:left w:val="nil"/>
              <w:bottom w:val="single" w:sz="4" w:space="0" w:color="auto"/>
              <w:right w:val="single" w:sz="4" w:space="0" w:color="auto"/>
            </w:tcBorders>
            <w:shd w:val="clear" w:color="auto" w:fill="auto"/>
            <w:noWrap/>
            <w:vAlign w:val="bottom"/>
            <w:hideMark/>
          </w:tcPr>
          <w:p w:rsidR="007547D4" w:rsidRPr="00352CE6" w:rsidRDefault="007547D4" w:rsidP="00031B92">
            <w:pPr>
              <w:spacing w:after="0" w:line="240" w:lineRule="auto"/>
              <w:jc w:val="center"/>
              <w:rPr>
                <w:rFonts w:eastAsia="Times New Roman" w:cs="Times New Roman"/>
                <w:lang w:eastAsia="en-GB"/>
              </w:rPr>
            </w:pPr>
            <w:r w:rsidRPr="00352CE6">
              <w:rPr>
                <w:rFonts w:eastAsia="Times New Roman" w:cs="Times New Roman"/>
                <w:lang w:eastAsia="en-GB"/>
              </w:rPr>
              <w:t>6.1</w:t>
            </w:r>
            <w:r>
              <w:rPr>
                <w:rFonts w:eastAsia="Times New Roman" w:cs="Times New Roman"/>
                <w:lang w:eastAsia="en-GB"/>
              </w:rPr>
              <w:t>%</w:t>
            </w:r>
          </w:p>
        </w:tc>
      </w:tr>
      <w:tr w:rsidR="007547D4" w:rsidRPr="00352CE6" w:rsidTr="00031B92">
        <w:trPr>
          <w:trHeight w:val="300"/>
          <w:jc w:val="center"/>
        </w:trPr>
        <w:tc>
          <w:tcPr>
            <w:tcW w:w="2580" w:type="dxa"/>
            <w:tcBorders>
              <w:top w:val="nil"/>
              <w:left w:val="single" w:sz="4" w:space="0" w:color="auto"/>
              <w:bottom w:val="single" w:sz="4" w:space="0" w:color="auto"/>
              <w:right w:val="single" w:sz="4" w:space="0" w:color="auto"/>
            </w:tcBorders>
            <w:shd w:val="clear" w:color="auto" w:fill="auto"/>
            <w:noWrap/>
            <w:vAlign w:val="bottom"/>
            <w:hideMark/>
          </w:tcPr>
          <w:p w:rsidR="007547D4" w:rsidRPr="00352CE6" w:rsidRDefault="007547D4" w:rsidP="00031B92">
            <w:pPr>
              <w:spacing w:after="0" w:line="240" w:lineRule="auto"/>
              <w:rPr>
                <w:rFonts w:eastAsia="Times New Roman" w:cs="Times New Roman"/>
                <w:lang w:eastAsia="en-GB"/>
              </w:rPr>
            </w:pPr>
            <w:r w:rsidRPr="00352CE6">
              <w:rPr>
                <w:rFonts w:eastAsia="Times New Roman" w:cs="Times New Roman"/>
                <w:lang w:eastAsia="en-GB"/>
              </w:rPr>
              <w:t>Hounslow</w:t>
            </w:r>
          </w:p>
        </w:tc>
        <w:tc>
          <w:tcPr>
            <w:tcW w:w="1263" w:type="dxa"/>
            <w:tcBorders>
              <w:top w:val="nil"/>
              <w:left w:val="nil"/>
              <w:bottom w:val="single" w:sz="4" w:space="0" w:color="auto"/>
              <w:right w:val="single" w:sz="4" w:space="0" w:color="auto"/>
            </w:tcBorders>
            <w:shd w:val="clear" w:color="auto" w:fill="auto"/>
            <w:noWrap/>
            <w:vAlign w:val="bottom"/>
            <w:hideMark/>
          </w:tcPr>
          <w:p w:rsidR="007547D4" w:rsidRPr="00352CE6" w:rsidRDefault="007547D4" w:rsidP="00031B92">
            <w:pPr>
              <w:spacing w:after="0" w:line="240" w:lineRule="auto"/>
              <w:jc w:val="center"/>
              <w:rPr>
                <w:rFonts w:eastAsia="Times New Roman" w:cs="Times New Roman"/>
                <w:lang w:eastAsia="en-GB"/>
              </w:rPr>
            </w:pPr>
            <w:r w:rsidRPr="00352CE6">
              <w:rPr>
                <w:rFonts w:eastAsia="Times New Roman" w:cs="Times New Roman"/>
                <w:lang w:eastAsia="en-GB"/>
              </w:rPr>
              <w:t>10.6</w:t>
            </w:r>
            <w:r>
              <w:rPr>
                <w:rFonts w:eastAsia="Times New Roman" w:cs="Times New Roman"/>
                <w:lang w:eastAsia="en-GB"/>
              </w:rPr>
              <w:t>%</w:t>
            </w:r>
          </w:p>
        </w:tc>
        <w:tc>
          <w:tcPr>
            <w:tcW w:w="1134" w:type="dxa"/>
            <w:tcBorders>
              <w:top w:val="nil"/>
              <w:left w:val="nil"/>
              <w:bottom w:val="single" w:sz="4" w:space="0" w:color="auto"/>
              <w:right w:val="single" w:sz="4" w:space="0" w:color="auto"/>
            </w:tcBorders>
            <w:shd w:val="clear" w:color="auto" w:fill="auto"/>
            <w:noWrap/>
            <w:vAlign w:val="bottom"/>
            <w:hideMark/>
          </w:tcPr>
          <w:p w:rsidR="007547D4" w:rsidRPr="00352CE6" w:rsidRDefault="007547D4" w:rsidP="00031B92">
            <w:pPr>
              <w:spacing w:after="0" w:line="240" w:lineRule="auto"/>
              <w:jc w:val="center"/>
              <w:rPr>
                <w:rFonts w:eastAsia="Times New Roman" w:cs="Times New Roman"/>
                <w:lang w:eastAsia="en-GB"/>
              </w:rPr>
            </w:pPr>
            <w:r w:rsidRPr="00352CE6">
              <w:rPr>
                <w:rFonts w:eastAsia="Times New Roman" w:cs="Times New Roman"/>
                <w:lang w:eastAsia="en-GB"/>
              </w:rPr>
              <w:t>11.4</w:t>
            </w:r>
            <w:r>
              <w:rPr>
                <w:rFonts w:eastAsia="Times New Roman" w:cs="Times New Roman"/>
                <w:lang w:eastAsia="en-GB"/>
              </w:rPr>
              <w:t>%</w:t>
            </w:r>
          </w:p>
        </w:tc>
        <w:tc>
          <w:tcPr>
            <w:tcW w:w="1417" w:type="dxa"/>
            <w:tcBorders>
              <w:top w:val="nil"/>
              <w:left w:val="nil"/>
              <w:bottom w:val="single" w:sz="4" w:space="0" w:color="auto"/>
              <w:right w:val="single" w:sz="4" w:space="0" w:color="auto"/>
            </w:tcBorders>
            <w:shd w:val="clear" w:color="auto" w:fill="auto"/>
            <w:noWrap/>
            <w:vAlign w:val="bottom"/>
            <w:hideMark/>
          </w:tcPr>
          <w:p w:rsidR="007547D4" w:rsidRPr="00352CE6" w:rsidRDefault="007547D4" w:rsidP="00031B92">
            <w:pPr>
              <w:spacing w:after="0" w:line="240" w:lineRule="auto"/>
              <w:jc w:val="center"/>
              <w:rPr>
                <w:rFonts w:eastAsia="Times New Roman" w:cs="Times New Roman"/>
                <w:lang w:eastAsia="en-GB"/>
              </w:rPr>
            </w:pPr>
            <w:r w:rsidRPr="00352CE6">
              <w:rPr>
                <w:rFonts w:eastAsia="Times New Roman" w:cs="Times New Roman"/>
                <w:lang w:eastAsia="en-GB"/>
              </w:rPr>
              <w:t>9.5</w:t>
            </w:r>
            <w:r>
              <w:rPr>
                <w:rFonts w:eastAsia="Times New Roman" w:cs="Times New Roman"/>
                <w:lang w:eastAsia="en-GB"/>
              </w:rPr>
              <w:t>%</w:t>
            </w:r>
          </w:p>
        </w:tc>
      </w:tr>
      <w:tr w:rsidR="007547D4" w:rsidRPr="00352CE6" w:rsidTr="00031B92">
        <w:trPr>
          <w:trHeight w:val="300"/>
          <w:jc w:val="center"/>
        </w:trPr>
        <w:tc>
          <w:tcPr>
            <w:tcW w:w="2580" w:type="dxa"/>
            <w:tcBorders>
              <w:top w:val="nil"/>
              <w:left w:val="single" w:sz="4" w:space="0" w:color="auto"/>
              <w:bottom w:val="single" w:sz="4" w:space="0" w:color="auto"/>
              <w:right w:val="single" w:sz="4" w:space="0" w:color="auto"/>
            </w:tcBorders>
            <w:shd w:val="clear" w:color="auto" w:fill="auto"/>
            <w:noWrap/>
            <w:vAlign w:val="bottom"/>
            <w:hideMark/>
          </w:tcPr>
          <w:p w:rsidR="007547D4" w:rsidRPr="00352CE6" w:rsidRDefault="007547D4" w:rsidP="00031B92">
            <w:pPr>
              <w:spacing w:after="0" w:line="240" w:lineRule="auto"/>
              <w:rPr>
                <w:rFonts w:eastAsia="Times New Roman" w:cs="Times New Roman"/>
                <w:lang w:eastAsia="en-GB"/>
              </w:rPr>
            </w:pPr>
            <w:r w:rsidRPr="00352CE6">
              <w:rPr>
                <w:rFonts w:eastAsia="Times New Roman" w:cs="Times New Roman"/>
                <w:lang w:eastAsia="en-GB"/>
              </w:rPr>
              <w:t>Outer London</w:t>
            </w:r>
          </w:p>
        </w:tc>
        <w:tc>
          <w:tcPr>
            <w:tcW w:w="1263" w:type="dxa"/>
            <w:tcBorders>
              <w:top w:val="nil"/>
              <w:left w:val="nil"/>
              <w:bottom w:val="single" w:sz="4" w:space="0" w:color="auto"/>
              <w:right w:val="single" w:sz="4" w:space="0" w:color="auto"/>
            </w:tcBorders>
            <w:shd w:val="clear" w:color="auto" w:fill="auto"/>
            <w:noWrap/>
            <w:vAlign w:val="bottom"/>
            <w:hideMark/>
          </w:tcPr>
          <w:p w:rsidR="007547D4" w:rsidRPr="00352CE6" w:rsidRDefault="007547D4" w:rsidP="00031B92">
            <w:pPr>
              <w:spacing w:after="0" w:line="240" w:lineRule="auto"/>
              <w:jc w:val="center"/>
              <w:rPr>
                <w:rFonts w:eastAsia="Times New Roman" w:cs="Times New Roman"/>
                <w:lang w:eastAsia="en-GB"/>
              </w:rPr>
            </w:pPr>
            <w:r w:rsidRPr="00352CE6">
              <w:rPr>
                <w:rFonts w:eastAsia="Times New Roman" w:cs="Times New Roman"/>
                <w:lang w:eastAsia="en-GB"/>
              </w:rPr>
              <w:t>9.9</w:t>
            </w:r>
            <w:r>
              <w:rPr>
                <w:rFonts w:eastAsia="Times New Roman" w:cs="Times New Roman"/>
                <w:lang w:eastAsia="en-GB"/>
              </w:rPr>
              <w:t>%</w:t>
            </w:r>
          </w:p>
        </w:tc>
        <w:tc>
          <w:tcPr>
            <w:tcW w:w="1134" w:type="dxa"/>
            <w:tcBorders>
              <w:top w:val="nil"/>
              <w:left w:val="nil"/>
              <w:bottom w:val="single" w:sz="4" w:space="0" w:color="auto"/>
              <w:right w:val="single" w:sz="4" w:space="0" w:color="auto"/>
            </w:tcBorders>
            <w:shd w:val="clear" w:color="auto" w:fill="auto"/>
            <w:noWrap/>
            <w:vAlign w:val="bottom"/>
            <w:hideMark/>
          </w:tcPr>
          <w:p w:rsidR="007547D4" w:rsidRPr="00352CE6" w:rsidRDefault="007547D4" w:rsidP="00031B92">
            <w:pPr>
              <w:spacing w:after="0" w:line="240" w:lineRule="auto"/>
              <w:jc w:val="center"/>
              <w:rPr>
                <w:rFonts w:eastAsia="Times New Roman" w:cs="Times New Roman"/>
                <w:lang w:eastAsia="en-GB"/>
              </w:rPr>
            </w:pPr>
            <w:r w:rsidRPr="00352CE6">
              <w:rPr>
                <w:rFonts w:eastAsia="Times New Roman" w:cs="Times New Roman"/>
                <w:lang w:eastAsia="en-GB"/>
              </w:rPr>
              <w:t>10.6</w:t>
            </w:r>
            <w:r>
              <w:rPr>
                <w:rFonts w:eastAsia="Times New Roman" w:cs="Times New Roman"/>
                <w:lang w:eastAsia="en-GB"/>
              </w:rPr>
              <w:t>%</w:t>
            </w:r>
          </w:p>
        </w:tc>
        <w:tc>
          <w:tcPr>
            <w:tcW w:w="1417" w:type="dxa"/>
            <w:tcBorders>
              <w:top w:val="nil"/>
              <w:left w:val="nil"/>
              <w:bottom w:val="single" w:sz="4" w:space="0" w:color="auto"/>
              <w:right w:val="single" w:sz="4" w:space="0" w:color="auto"/>
            </w:tcBorders>
            <w:shd w:val="clear" w:color="auto" w:fill="auto"/>
            <w:noWrap/>
            <w:vAlign w:val="bottom"/>
            <w:hideMark/>
          </w:tcPr>
          <w:p w:rsidR="007547D4" w:rsidRPr="00352CE6" w:rsidRDefault="007547D4" w:rsidP="00031B92">
            <w:pPr>
              <w:spacing w:after="0" w:line="240" w:lineRule="auto"/>
              <w:jc w:val="center"/>
              <w:rPr>
                <w:rFonts w:eastAsia="Times New Roman" w:cs="Times New Roman"/>
                <w:lang w:eastAsia="en-GB"/>
              </w:rPr>
            </w:pPr>
            <w:r w:rsidRPr="00352CE6">
              <w:rPr>
                <w:rFonts w:eastAsia="Times New Roman" w:cs="Times New Roman"/>
                <w:lang w:eastAsia="en-GB"/>
              </w:rPr>
              <w:t>8.9</w:t>
            </w:r>
            <w:r>
              <w:rPr>
                <w:rFonts w:eastAsia="Times New Roman" w:cs="Times New Roman"/>
                <w:lang w:eastAsia="en-GB"/>
              </w:rPr>
              <w:t>%</w:t>
            </w:r>
          </w:p>
        </w:tc>
      </w:tr>
      <w:tr w:rsidR="007547D4" w:rsidRPr="00352CE6" w:rsidTr="00031B92">
        <w:trPr>
          <w:trHeight w:val="300"/>
          <w:jc w:val="center"/>
        </w:trPr>
        <w:tc>
          <w:tcPr>
            <w:tcW w:w="2580" w:type="dxa"/>
            <w:tcBorders>
              <w:top w:val="nil"/>
              <w:left w:val="single" w:sz="4" w:space="0" w:color="auto"/>
              <w:bottom w:val="single" w:sz="4" w:space="0" w:color="auto"/>
              <w:right w:val="single" w:sz="4" w:space="0" w:color="auto"/>
            </w:tcBorders>
            <w:shd w:val="clear" w:color="auto" w:fill="auto"/>
            <w:noWrap/>
            <w:vAlign w:val="bottom"/>
            <w:hideMark/>
          </w:tcPr>
          <w:p w:rsidR="007547D4" w:rsidRPr="00352CE6" w:rsidRDefault="007547D4" w:rsidP="00031B92">
            <w:pPr>
              <w:spacing w:after="0" w:line="240" w:lineRule="auto"/>
              <w:rPr>
                <w:rFonts w:eastAsia="Times New Roman" w:cs="Times New Roman"/>
                <w:b/>
                <w:bCs/>
                <w:lang w:eastAsia="en-GB"/>
              </w:rPr>
            </w:pPr>
            <w:r w:rsidRPr="00352CE6">
              <w:rPr>
                <w:rFonts w:eastAsia="Times New Roman" w:cs="Times New Roman"/>
                <w:b/>
                <w:bCs/>
                <w:lang w:eastAsia="en-GB"/>
              </w:rPr>
              <w:t>Barnet</w:t>
            </w:r>
          </w:p>
        </w:tc>
        <w:tc>
          <w:tcPr>
            <w:tcW w:w="1263" w:type="dxa"/>
            <w:tcBorders>
              <w:top w:val="nil"/>
              <w:left w:val="nil"/>
              <w:bottom w:val="single" w:sz="4" w:space="0" w:color="auto"/>
              <w:right w:val="single" w:sz="4" w:space="0" w:color="auto"/>
            </w:tcBorders>
            <w:shd w:val="clear" w:color="auto" w:fill="auto"/>
            <w:noWrap/>
            <w:vAlign w:val="bottom"/>
            <w:hideMark/>
          </w:tcPr>
          <w:p w:rsidR="007547D4" w:rsidRPr="00352CE6" w:rsidRDefault="007547D4" w:rsidP="00031B92">
            <w:pPr>
              <w:spacing w:after="0" w:line="240" w:lineRule="auto"/>
              <w:jc w:val="center"/>
              <w:rPr>
                <w:rFonts w:eastAsia="Times New Roman" w:cs="Times New Roman"/>
                <w:b/>
                <w:lang w:eastAsia="en-GB"/>
              </w:rPr>
            </w:pPr>
            <w:r w:rsidRPr="00352CE6">
              <w:rPr>
                <w:rFonts w:eastAsia="Times New Roman" w:cs="Times New Roman"/>
                <w:b/>
                <w:lang w:eastAsia="en-GB"/>
              </w:rPr>
              <w:t>9.4</w:t>
            </w:r>
            <w:r>
              <w:rPr>
                <w:rFonts w:eastAsia="Times New Roman" w:cs="Times New Roman"/>
                <w:b/>
                <w:lang w:eastAsia="en-GB"/>
              </w:rPr>
              <w:t>%</w:t>
            </w:r>
          </w:p>
        </w:tc>
        <w:tc>
          <w:tcPr>
            <w:tcW w:w="1134" w:type="dxa"/>
            <w:tcBorders>
              <w:top w:val="nil"/>
              <w:left w:val="nil"/>
              <w:bottom w:val="single" w:sz="4" w:space="0" w:color="auto"/>
              <w:right w:val="single" w:sz="4" w:space="0" w:color="auto"/>
            </w:tcBorders>
            <w:shd w:val="clear" w:color="auto" w:fill="auto"/>
            <w:noWrap/>
            <w:vAlign w:val="bottom"/>
            <w:hideMark/>
          </w:tcPr>
          <w:p w:rsidR="007547D4" w:rsidRPr="00352CE6" w:rsidRDefault="007547D4" w:rsidP="00031B92">
            <w:pPr>
              <w:spacing w:after="0" w:line="240" w:lineRule="auto"/>
              <w:jc w:val="center"/>
              <w:rPr>
                <w:rFonts w:eastAsia="Times New Roman" w:cs="Times New Roman"/>
                <w:b/>
                <w:lang w:eastAsia="en-GB"/>
              </w:rPr>
            </w:pPr>
            <w:r w:rsidRPr="00352CE6">
              <w:rPr>
                <w:rFonts w:eastAsia="Times New Roman" w:cs="Times New Roman"/>
                <w:b/>
                <w:lang w:eastAsia="en-GB"/>
              </w:rPr>
              <w:t>10.2</w:t>
            </w:r>
            <w:r>
              <w:rPr>
                <w:rFonts w:eastAsia="Times New Roman" w:cs="Times New Roman"/>
                <w:b/>
                <w:lang w:eastAsia="en-GB"/>
              </w:rPr>
              <w:t>%</w:t>
            </w:r>
          </w:p>
        </w:tc>
        <w:tc>
          <w:tcPr>
            <w:tcW w:w="1417" w:type="dxa"/>
            <w:tcBorders>
              <w:top w:val="nil"/>
              <w:left w:val="nil"/>
              <w:bottom w:val="single" w:sz="4" w:space="0" w:color="auto"/>
              <w:right w:val="single" w:sz="4" w:space="0" w:color="auto"/>
            </w:tcBorders>
            <w:shd w:val="clear" w:color="auto" w:fill="auto"/>
            <w:noWrap/>
            <w:vAlign w:val="bottom"/>
            <w:hideMark/>
          </w:tcPr>
          <w:p w:rsidR="007547D4" w:rsidRPr="00352CE6" w:rsidRDefault="007547D4" w:rsidP="00031B92">
            <w:pPr>
              <w:spacing w:after="0" w:line="240" w:lineRule="auto"/>
              <w:jc w:val="center"/>
              <w:rPr>
                <w:rFonts w:eastAsia="Times New Roman" w:cs="Times New Roman"/>
                <w:b/>
                <w:lang w:eastAsia="en-GB"/>
              </w:rPr>
            </w:pPr>
            <w:r w:rsidRPr="00352CE6">
              <w:rPr>
                <w:rFonts w:eastAsia="Times New Roman" w:cs="Times New Roman"/>
                <w:b/>
                <w:lang w:eastAsia="en-GB"/>
              </w:rPr>
              <w:t>8.3</w:t>
            </w:r>
            <w:r>
              <w:rPr>
                <w:rFonts w:eastAsia="Times New Roman" w:cs="Times New Roman"/>
                <w:b/>
                <w:lang w:eastAsia="en-GB"/>
              </w:rPr>
              <w:t>%</w:t>
            </w:r>
          </w:p>
        </w:tc>
      </w:tr>
      <w:tr w:rsidR="007547D4" w:rsidRPr="00352CE6" w:rsidTr="00031B92">
        <w:trPr>
          <w:trHeight w:val="300"/>
          <w:jc w:val="center"/>
        </w:trPr>
        <w:tc>
          <w:tcPr>
            <w:tcW w:w="2580" w:type="dxa"/>
            <w:tcBorders>
              <w:top w:val="nil"/>
              <w:left w:val="single" w:sz="4" w:space="0" w:color="auto"/>
              <w:bottom w:val="single" w:sz="4" w:space="0" w:color="auto"/>
              <w:right w:val="single" w:sz="4" w:space="0" w:color="auto"/>
            </w:tcBorders>
            <w:shd w:val="clear" w:color="auto" w:fill="auto"/>
            <w:noWrap/>
            <w:vAlign w:val="bottom"/>
            <w:hideMark/>
          </w:tcPr>
          <w:p w:rsidR="007547D4" w:rsidRPr="00352CE6" w:rsidRDefault="007547D4" w:rsidP="00031B92">
            <w:pPr>
              <w:spacing w:after="0" w:line="240" w:lineRule="auto"/>
              <w:rPr>
                <w:rFonts w:eastAsia="Times New Roman" w:cs="Times New Roman"/>
                <w:lang w:eastAsia="en-GB"/>
              </w:rPr>
            </w:pPr>
            <w:r w:rsidRPr="00352CE6">
              <w:rPr>
                <w:rFonts w:eastAsia="Times New Roman" w:cs="Times New Roman"/>
                <w:lang w:eastAsia="en-GB"/>
              </w:rPr>
              <w:t>Ealing</w:t>
            </w:r>
          </w:p>
        </w:tc>
        <w:tc>
          <w:tcPr>
            <w:tcW w:w="1263" w:type="dxa"/>
            <w:tcBorders>
              <w:top w:val="nil"/>
              <w:left w:val="nil"/>
              <w:bottom w:val="single" w:sz="4" w:space="0" w:color="auto"/>
              <w:right w:val="single" w:sz="4" w:space="0" w:color="auto"/>
            </w:tcBorders>
            <w:shd w:val="clear" w:color="auto" w:fill="auto"/>
            <w:noWrap/>
            <w:vAlign w:val="bottom"/>
            <w:hideMark/>
          </w:tcPr>
          <w:p w:rsidR="007547D4" w:rsidRPr="00352CE6" w:rsidRDefault="007547D4" w:rsidP="00031B92">
            <w:pPr>
              <w:spacing w:after="0" w:line="240" w:lineRule="auto"/>
              <w:jc w:val="center"/>
              <w:rPr>
                <w:rFonts w:eastAsia="Times New Roman" w:cs="Times New Roman"/>
                <w:lang w:eastAsia="en-GB"/>
              </w:rPr>
            </w:pPr>
            <w:r w:rsidRPr="00352CE6">
              <w:rPr>
                <w:rFonts w:eastAsia="Times New Roman" w:cs="Times New Roman"/>
                <w:lang w:eastAsia="en-GB"/>
              </w:rPr>
              <w:t>9.2</w:t>
            </w:r>
            <w:r>
              <w:rPr>
                <w:rFonts w:eastAsia="Times New Roman" w:cs="Times New Roman"/>
                <w:lang w:eastAsia="en-GB"/>
              </w:rPr>
              <w:t>%</w:t>
            </w:r>
          </w:p>
        </w:tc>
        <w:tc>
          <w:tcPr>
            <w:tcW w:w="1134" w:type="dxa"/>
            <w:tcBorders>
              <w:top w:val="nil"/>
              <w:left w:val="nil"/>
              <w:bottom w:val="single" w:sz="4" w:space="0" w:color="auto"/>
              <w:right w:val="single" w:sz="4" w:space="0" w:color="auto"/>
            </w:tcBorders>
            <w:shd w:val="clear" w:color="auto" w:fill="auto"/>
            <w:noWrap/>
            <w:vAlign w:val="bottom"/>
            <w:hideMark/>
          </w:tcPr>
          <w:p w:rsidR="007547D4" w:rsidRPr="00352CE6" w:rsidRDefault="007547D4" w:rsidP="00031B92">
            <w:pPr>
              <w:spacing w:after="0" w:line="240" w:lineRule="auto"/>
              <w:jc w:val="center"/>
              <w:rPr>
                <w:rFonts w:eastAsia="Times New Roman" w:cs="Times New Roman"/>
                <w:lang w:eastAsia="en-GB"/>
              </w:rPr>
            </w:pPr>
            <w:r w:rsidRPr="00352CE6">
              <w:rPr>
                <w:rFonts w:eastAsia="Times New Roman" w:cs="Times New Roman"/>
                <w:lang w:eastAsia="en-GB"/>
              </w:rPr>
              <w:t>10.6</w:t>
            </w:r>
            <w:r>
              <w:rPr>
                <w:rFonts w:eastAsia="Times New Roman" w:cs="Times New Roman"/>
                <w:lang w:eastAsia="en-GB"/>
              </w:rPr>
              <w:t>%</w:t>
            </w:r>
          </w:p>
        </w:tc>
        <w:tc>
          <w:tcPr>
            <w:tcW w:w="1417" w:type="dxa"/>
            <w:tcBorders>
              <w:top w:val="nil"/>
              <w:left w:val="nil"/>
              <w:bottom w:val="single" w:sz="4" w:space="0" w:color="auto"/>
              <w:right w:val="single" w:sz="4" w:space="0" w:color="auto"/>
            </w:tcBorders>
            <w:shd w:val="clear" w:color="auto" w:fill="auto"/>
            <w:noWrap/>
            <w:vAlign w:val="bottom"/>
            <w:hideMark/>
          </w:tcPr>
          <w:p w:rsidR="007547D4" w:rsidRPr="00352CE6" w:rsidRDefault="007547D4" w:rsidP="00031B92">
            <w:pPr>
              <w:spacing w:after="0" w:line="240" w:lineRule="auto"/>
              <w:jc w:val="center"/>
              <w:rPr>
                <w:rFonts w:eastAsia="Times New Roman" w:cs="Times New Roman"/>
                <w:lang w:eastAsia="en-GB"/>
              </w:rPr>
            </w:pPr>
            <w:r w:rsidRPr="00352CE6">
              <w:rPr>
                <w:rFonts w:eastAsia="Times New Roman" w:cs="Times New Roman"/>
                <w:lang w:eastAsia="en-GB"/>
              </w:rPr>
              <w:t>6.9</w:t>
            </w:r>
            <w:r>
              <w:rPr>
                <w:rFonts w:eastAsia="Times New Roman" w:cs="Times New Roman"/>
                <w:lang w:eastAsia="en-GB"/>
              </w:rPr>
              <w:t>%</w:t>
            </w:r>
          </w:p>
        </w:tc>
      </w:tr>
      <w:tr w:rsidR="007547D4" w:rsidRPr="00352CE6" w:rsidTr="00031B92">
        <w:trPr>
          <w:trHeight w:val="300"/>
          <w:jc w:val="center"/>
        </w:trPr>
        <w:tc>
          <w:tcPr>
            <w:tcW w:w="2580" w:type="dxa"/>
            <w:tcBorders>
              <w:top w:val="nil"/>
              <w:left w:val="single" w:sz="4" w:space="0" w:color="auto"/>
              <w:bottom w:val="single" w:sz="4" w:space="0" w:color="auto"/>
              <w:right w:val="single" w:sz="4" w:space="0" w:color="auto"/>
            </w:tcBorders>
            <w:shd w:val="clear" w:color="auto" w:fill="auto"/>
            <w:noWrap/>
            <w:vAlign w:val="bottom"/>
            <w:hideMark/>
          </w:tcPr>
          <w:p w:rsidR="007547D4" w:rsidRPr="00352CE6" w:rsidRDefault="007547D4" w:rsidP="00031B92">
            <w:pPr>
              <w:spacing w:after="0" w:line="240" w:lineRule="auto"/>
              <w:rPr>
                <w:rFonts w:eastAsia="Times New Roman" w:cs="Times New Roman"/>
                <w:lang w:eastAsia="en-GB"/>
              </w:rPr>
            </w:pPr>
            <w:r w:rsidRPr="00352CE6">
              <w:rPr>
                <w:rFonts w:eastAsia="Times New Roman" w:cs="Times New Roman"/>
                <w:lang w:eastAsia="en-GB"/>
              </w:rPr>
              <w:t>Reading</w:t>
            </w:r>
          </w:p>
        </w:tc>
        <w:tc>
          <w:tcPr>
            <w:tcW w:w="1263" w:type="dxa"/>
            <w:tcBorders>
              <w:top w:val="nil"/>
              <w:left w:val="nil"/>
              <w:bottom w:val="single" w:sz="4" w:space="0" w:color="auto"/>
              <w:right w:val="single" w:sz="4" w:space="0" w:color="auto"/>
            </w:tcBorders>
            <w:shd w:val="clear" w:color="auto" w:fill="auto"/>
            <w:noWrap/>
            <w:vAlign w:val="bottom"/>
            <w:hideMark/>
          </w:tcPr>
          <w:p w:rsidR="007547D4" w:rsidRPr="00352CE6" w:rsidRDefault="007547D4" w:rsidP="00031B92">
            <w:pPr>
              <w:spacing w:after="0" w:line="240" w:lineRule="auto"/>
              <w:jc w:val="center"/>
              <w:rPr>
                <w:rFonts w:eastAsia="Times New Roman" w:cs="Times New Roman"/>
                <w:lang w:eastAsia="en-GB"/>
              </w:rPr>
            </w:pPr>
            <w:r w:rsidRPr="00352CE6">
              <w:rPr>
                <w:rFonts w:eastAsia="Times New Roman" w:cs="Times New Roman"/>
                <w:lang w:eastAsia="en-GB"/>
              </w:rPr>
              <w:t>7.8</w:t>
            </w:r>
            <w:r>
              <w:rPr>
                <w:rFonts w:eastAsia="Times New Roman" w:cs="Times New Roman"/>
                <w:lang w:eastAsia="en-GB"/>
              </w:rPr>
              <w:t>%</w:t>
            </w:r>
          </w:p>
        </w:tc>
        <w:tc>
          <w:tcPr>
            <w:tcW w:w="1134" w:type="dxa"/>
            <w:tcBorders>
              <w:top w:val="nil"/>
              <w:left w:val="nil"/>
              <w:bottom w:val="single" w:sz="4" w:space="0" w:color="auto"/>
              <w:right w:val="single" w:sz="4" w:space="0" w:color="auto"/>
            </w:tcBorders>
            <w:shd w:val="clear" w:color="auto" w:fill="auto"/>
            <w:noWrap/>
            <w:vAlign w:val="bottom"/>
            <w:hideMark/>
          </w:tcPr>
          <w:p w:rsidR="007547D4" w:rsidRPr="00352CE6" w:rsidRDefault="007547D4" w:rsidP="00031B92">
            <w:pPr>
              <w:spacing w:after="0" w:line="240" w:lineRule="auto"/>
              <w:jc w:val="center"/>
              <w:rPr>
                <w:rFonts w:eastAsia="Times New Roman" w:cs="Times New Roman"/>
                <w:lang w:eastAsia="en-GB"/>
              </w:rPr>
            </w:pPr>
            <w:r w:rsidRPr="00352CE6">
              <w:rPr>
                <w:rFonts w:eastAsia="Times New Roman" w:cs="Times New Roman"/>
                <w:lang w:eastAsia="en-GB"/>
              </w:rPr>
              <w:t>9.1</w:t>
            </w:r>
            <w:r>
              <w:rPr>
                <w:rFonts w:eastAsia="Times New Roman" w:cs="Times New Roman"/>
                <w:lang w:eastAsia="en-GB"/>
              </w:rPr>
              <w:t>%</w:t>
            </w:r>
          </w:p>
        </w:tc>
        <w:tc>
          <w:tcPr>
            <w:tcW w:w="1417" w:type="dxa"/>
            <w:tcBorders>
              <w:top w:val="nil"/>
              <w:left w:val="nil"/>
              <w:bottom w:val="single" w:sz="4" w:space="0" w:color="auto"/>
              <w:right w:val="single" w:sz="4" w:space="0" w:color="auto"/>
            </w:tcBorders>
            <w:shd w:val="clear" w:color="auto" w:fill="auto"/>
            <w:noWrap/>
            <w:vAlign w:val="bottom"/>
            <w:hideMark/>
          </w:tcPr>
          <w:p w:rsidR="007547D4" w:rsidRPr="00352CE6" w:rsidRDefault="007547D4" w:rsidP="00031B92">
            <w:pPr>
              <w:spacing w:after="0" w:line="240" w:lineRule="auto"/>
              <w:jc w:val="center"/>
              <w:rPr>
                <w:rFonts w:eastAsia="Times New Roman" w:cs="Times New Roman"/>
                <w:lang w:eastAsia="en-GB"/>
              </w:rPr>
            </w:pPr>
            <w:r w:rsidRPr="00352CE6">
              <w:rPr>
                <w:rFonts w:eastAsia="Times New Roman" w:cs="Times New Roman"/>
                <w:lang w:eastAsia="en-GB"/>
              </w:rPr>
              <w:t>6.0</w:t>
            </w:r>
            <w:r>
              <w:rPr>
                <w:rFonts w:eastAsia="Times New Roman" w:cs="Times New Roman"/>
                <w:lang w:eastAsia="en-GB"/>
              </w:rPr>
              <w:t>%</w:t>
            </w:r>
          </w:p>
        </w:tc>
      </w:tr>
      <w:tr w:rsidR="007547D4" w:rsidRPr="00352CE6" w:rsidTr="00031B92">
        <w:trPr>
          <w:trHeight w:val="300"/>
          <w:jc w:val="center"/>
        </w:trPr>
        <w:tc>
          <w:tcPr>
            <w:tcW w:w="2580" w:type="dxa"/>
            <w:tcBorders>
              <w:top w:val="nil"/>
              <w:left w:val="single" w:sz="4" w:space="0" w:color="auto"/>
              <w:bottom w:val="single" w:sz="4" w:space="0" w:color="auto"/>
              <w:right w:val="single" w:sz="4" w:space="0" w:color="auto"/>
            </w:tcBorders>
            <w:shd w:val="clear" w:color="auto" w:fill="auto"/>
            <w:noWrap/>
            <w:vAlign w:val="bottom"/>
            <w:hideMark/>
          </w:tcPr>
          <w:p w:rsidR="007547D4" w:rsidRPr="00352CE6" w:rsidRDefault="007547D4" w:rsidP="00031B92">
            <w:pPr>
              <w:spacing w:after="0" w:line="240" w:lineRule="auto"/>
              <w:rPr>
                <w:rFonts w:eastAsia="Times New Roman" w:cs="Times New Roman"/>
                <w:lang w:eastAsia="en-GB"/>
              </w:rPr>
            </w:pPr>
            <w:r w:rsidRPr="00352CE6">
              <w:rPr>
                <w:rFonts w:eastAsia="Times New Roman" w:cs="Times New Roman"/>
                <w:lang w:eastAsia="en-GB"/>
              </w:rPr>
              <w:t>England</w:t>
            </w:r>
          </w:p>
        </w:tc>
        <w:tc>
          <w:tcPr>
            <w:tcW w:w="1263" w:type="dxa"/>
            <w:tcBorders>
              <w:top w:val="nil"/>
              <w:left w:val="nil"/>
              <w:bottom w:val="single" w:sz="4" w:space="0" w:color="auto"/>
              <w:right w:val="single" w:sz="4" w:space="0" w:color="auto"/>
            </w:tcBorders>
            <w:shd w:val="clear" w:color="auto" w:fill="auto"/>
            <w:noWrap/>
            <w:vAlign w:val="bottom"/>
            <w:hideMark/>
          </w:tcPr>
          <w:p w:rsidR="007547D4" w:rsidRPr="00352CE6" w:rsidRDefault="007547D4" w:rsidP="00031B92">
            <w:pPr>
              <w:spacing w:after="0" w:line="240" w:lineRule="auto"/>
              <w:jc w:val="center"/>
              <w:rPr>
                <w:rFonts w:eastAsia="Times New Roman" w:cs="Times New Roman"/>
                <w:lang w:eastAsia="en-GB"/>
              </w:rPr>
            </w:pPr>
            <w:r w:rsidRPr="00352CE6">
              <w:rPr>
                <w:rFonts w:eastAsia="Times New Roman" w:cs="Times New Roman"/>
                <w:lang w:eastAsia="en-GB"/>
              </w:rPr>
              <w:t>6.7</w:t>
            </w:r>
            <w:r>
              <w:rPr>
                <w:rFonts w:eastAsia="Times New Roman" w:cs="Times New Roman"/>
                <w:lang w:eastAsia="en-GB"/>
              </w:rPr>
              <w:t>%</w:t>
            </w:r>
          </w:p>
        </w:tc>
        <w:tc>
          <w:tcPr>
            <w:tcW w:w="1134" w:type="dxa"/>
            <w:tcBorders>
              <w:top w:val="nil"/>
              <w:left w:val="nil"/>
              <w:bottom w:val="single" w:sz="4" w:space="0" w:color="auto"/>
              <w:right w:val="single" w:sz="4" w:space="0" w:color="auto"/>
            </w:tcBorders>
            <w:shd w:val="clear" w:color="auto" w:fill="auto"/>
            <w:noWrap/>
            <w:vAlign w:val="bottom"/>
            <w:hideMark/>
          </w:tcPr>
          <w:p w:rsidR="007547D4" w:rsidRPr="00352CE6" w:rsidRDefault="007547D4" w:rsidP="00031B92">
            <w:pPr>
              <w:spacing w:after="0" w:line="240" w:lineRule="auto"/>
              <w:jc w:val="center"/>
              <w:rPr>
                <w:rFonts w:eastAsia="Times New Roman" w:cs="Times New Roman"/>
                <w:lang w:eastAsia="en-GB"/>
              </w:rPr>
            </w:pPr>
            <w:r w:rsidRPr="00352CE6">
              <w:rPr>
                <w:rFonts w:eastAsia="Times New Roman" w:cs="Times New Roman"/>
                <w:lang w:eastAsia="en-GB"/>
              </w:rPr>
              <w:t>7.4</w:t>
            </w:r>
            <w:r>
              <w:rPr>
                <w:rFonts w:eastAsia="Times New Roman" w:cs="Times New Roman"/>
                <w:lang w:eastAsia="en-GB"/>
              </w:rPr>
              <w:t>%</w:t>
            </w:r>
          </w:p>
        </w:tc>
        <w:tc>
          <w:tcPr>
            <w:tcW w:w="1417" w:type="dxa"/>
            <w:tcBorders>
              <w:top w:val="nil"/>
              <w:left w:val="nil"/>
              <w:bottom w:val="single" w:sz="4" w:space="0" w:color="auto"/>
              <w:right w:val="single" w:sz="4" w:space="0" w:color="auto"/>
            </w:tcBorders>
            <w:shd w:val="clear" w:color="auto" w:fill="auto"/>
            <w:noWrap/>
            <w:vAlign w:val="bottom"/>
            <w:hideMark/>
          </w:tcPr>
          <w:p w:rsidR="007547D4" w:rsidRPr="00352CE6" w:rsidRDefault="007547D4" w:rsidP="00031B92">
            <w:pPr>
              <w:spacing w:after="0" w:line="240" w:lineRule="auto"/>
              <w:jc w:val="center"/>
              <w:rPr>
                <w:rFonts w:eastAsia="Times New Roman" w:cs="Times New Roman"/>
                <w:lang w:eastAsia="en-GB"/>
              </w:rPr>
            </w:pPr>
            <w:r w:rsidRPr="00352CE6">
              <w:rPr>
                <w:rFonts w:eastAsia="Times New Roman" w:cs="Times New Roman"/>
                <w:lang w:eastAsia="en-GB"/>
              </w:rPr>
              <w:t>5.8</w:t>
            </w:r>
            <w:r>
              <w:rPr>
                <w:rFonts w:eastAsia="Times New Roman" w:cs="Times New Roman"/>
                <w:lang w:eastAsia="en-GB"/>
              </w:rPr>
              <w:t>%</w:t>
            </w:r>
          </w:p>
        </w:tc>
      </w:tr>
      <w:tr w:rsidR="007547D4" w:rsidRPr="00352CE6" w:rsidTr="00031B92">
        <w:trPr>
          <w:trHeight w:val="300"/>
          <w:jc w:val="center"/>
        </w:trPr>
        <w:tc>
          <w:tcPr>
            <w:tcW w:w="2580" w:type="dxa"/>
            <w:tcBorders>
              <w:top w:val="nil"/>
              <w:left w:val="single" w:sz="4" w:space="0" w:color="auto"/>
              <w:bottom w:val="single" w:sz="4" w:space="0" w:color="auto"/>
              <w:right w:val="single" w:sz="4" w:space="0" w:color="auto"/>
            </w:tcBorders>
            <w:shd w:val="clear" w:color="auto" w:fill="auto"/>
            <w:noWrap/>
            <w:vAlign w:val="bottom"/>
            <w:hideMark/>
          </w:tcPr>
          <w:p w:rsidR="007547D4" w:rsidRPr="00352CE6" w:rsidRDefault="007547D4" w:rsidP="00031B92">
            <w:pPr>
              <w:spacing w:after="0" w:line="240" w:lineRule="auto"/>
              <w:rPr>
                <w:rFonts w:eastAsia="Times New Roman" w:cs="Times New Roman"/>
                <w:lang w:eastAsia="en-GB"/>
              </w:rPr>
            </w:pPr>
            <w:r w:rsidRPr="00352CE6">
              <w:rPr>
                <w:rFonts w:eastAsia="Times New Roman" w:cs="Times New Roman"/>
                <w:lang w:eastAsia="en-GB"/>
              </w:rPr>
              <w:t>Sutton</w:t>
            </w:r>
          </w:p>
        </w:tc>
        <w:tc>
          <w:tcPr>
            <w:tcW w:w="1263" w:type="dxa"/>
            <w:tcBorders>
              <w:top w:val="nil"/>
              <w:left w:val="nil"/>
              <w:bottom w:val="single" w:sz="4" w:space="0" w:color="auto"/>
              <w:right w:val="single" w:sz="4" w:space="0" w:color="auto"/>
            </w:tcBorders>
            <w:shd w:val="clear" w:color="auto" w:fill="auto"/>
            <w:noWrap/>
            <w:vAlign w:val="bottom"/>
            <w:hideMark/>
          </w:tcPr>
          <w:p w:rsidR="007547D4" w:rsidRPr="00352CE6" w:rsidRDefault="007547D4" w:rsidP="00031B92">
            <w:pPr>
              <w:spacing w:after="0" w:line="240" w:lineRule="auto"/>
              <w:jc w:val="center"/>
              <w:rPr>
                <w:rFonts w:eastAsia="Times New Roman" w:cs="Times New Roman"/>
                <w:lang w:eastAsia="en-GB"/>
              </w:rPr>
            </w:pPr>
            <w:r w:rsidRPr="00352CE6">
              <w:rPr>
                <w:rFonts w:eastAsia="Times New Roman" w:cs="Times New Roman"/>
                <w:lang w:eastAsia="en-GB"/>
              </w:rPr>
              <w:t>4.4</w:t>
            </w:r>
            <w:r>
              <w:rPr>
                <w:rFonts w:eastAsia="Times New Roman" w:cs="Times New Roman"/>
                <w:lang w:eastAsia="en-GB"/>
              </w:rPr>
              <w:t>%</w:t>
            </w:r>
          </w:p>
        </w:tc>
        <w:tc>
          <w:tcPr>
            <w:tcW w:w="1134" w:type="dxa"/>
            <w:tcBorders>
              <w:top w:val="nil"/>
              <w:left w:val="nil"/>
              <w:bottom w:val="single" w:sz="4" w:space="0" w:color="auto"/>
              <w:right w:val="single" w:sz="4" w:space="0" w:color="auto"/>
            </w:tcBorders>
            <w:shd w:val="clear" w:color="auto" w:fill="auto"/>
            <w:noWrap/>
            <w:vAlign w:val="bottom"/>
            <w:hideMark/>
          </w:tcPr>
          <w:p w:rsidR="007547D4" w:rsidRPr="00352CE6" w:rsidRDefault="007547D4" w:rsidP="00031B92">
            <w:pPr>
              <w:spacing w:after="0" w:line="240" w:lineRule="auto"/>
              <w:jc w:val="center"/>
              <w:rPr>
                <w:rFonts w:eastAsia="Times New Roman" w:cs="Times New Roman"/>
                <w:lang w:eastAsia="en-GB"/>
              </w:rPr>
            </w:pPr>
            <w:r w:rsidRPr="00352CE6">
              <w:rPr>
                <w:rFonts w:eastAsia="Times New Roman" w:cs="Times New Roman"/>
                <w:lang w:eastAsia="en-GB"/>
              </w:rPr>
              <w:t>5.4</w:t>
            </w:r>
            <w:r>
              <w:rPr>
                <w:rFonts w:eastAsia="Times New Roman" w:cs="Times New Roman"/>
                <w:lang w:eastAsia="en-GB"/>
              </w:rPr>
              <w:t>%</w:t>
            </w:r>
          </w:p>
        </w:tc>
        <w:tc>
          <w:tcPr>
            <w:tcW w:w="1417" w:type="dxa"/>
            <w:tcBorders>
              <w:top w:val="nil"/>
              <w:left w:val="nil"/>
              <w:bottom w:val="single" w:sz="4" w:space="0" w:color="auto"/>
              <w:right w:val="single" w:sz="4" w:space="0" w:color="auto"/>
            </w:tcBorders>
            <w:shd w:val="clear" w:color="auto" w:fill="auto"/>
            <w:noWrap/>
            <w:vAlign w:val="bottom"/>
            <w:hideMark/>
          </w:tcPr>
          <w:p w:rsidR="007547D4" w:rsidRPr="00352CE6" w:rsidRDefault="007547D4" w:rsidP="00031B92">
            <w:pPr>
              <w:spacing w:after="0" w:line="240" w:lineRule="auto"/>
              <w:jc w:val="center"/>
              <w:rPr>
                <w:rFonts w:eastAsia="Times New Roman" w:cs="Times New Roman"/>
                <w:lang w:eastAsia="en-GB"/>
              </w:rPr>
            </w:pPr>
            <w:r w:rsidRPr="00352CE6">
              <w:rPr>
                <w:rFonts w:eastAsia="Times New Roman" w:cs="Times New Roman"/>
                <w:lang w:eastAsia="en-GB"/>
              </w:rPr>
              <w:t>3.1</w:t>
            </w:r>
            <w:r>
              <w:rPr>
                <w:rFonts w:eastAsia="Times New Roman" w:cs="Times New Roman"/>
                <w:lang w:eastAsia="en-GB"/>
              </w:rPr>
              <w:t>%</w:t>
            </w:r>
          </w:p>
        </w:tc>
      </w:tr>
      <w:tr w:rsidR="007547D4" w:rsidRPr="00352CE6" w:rsidTr="00031B92">
        <w:trPr>
          <w:trHeight w:val="300"/>
          <w:jc w:val="center"/>
        </w:trPr>
        <w:tc>
          <w:tcPr>
            <w:tcW w:w="2580" w:type="dxa"/>
            <w:tcBorders>
              <w:top w:val="nil"/>
              <w:left w:val="single" w:sz="4" w:space="0" w:color="auto"/>
              <w:bottom w:val="single" w:sz="4" w:space="0" w:color="auto"/>
              <w:right w:val="single" w:sz="4" w:space="0" w:color="auto"/>
            </w:tcBorders>
            <w:shd w:val="clear" w:color="auto" w:fill="auto"/>
            <w:noWrap/>
            <w:vAlign w:val="bottom"/>
            <w:hideMark/>
          </w:tcPr>
          <w:p w:rsidR="007547D4" w:rsidRPr="00352CE6" w:rsidRDefault="007547D4" w:rsidP="00031B92">
            <w:pPr>
              <w:spacing w:after="0" w:line="240" w:lineRule="auto"/>
              <w:rPr>
                <w:rFonts w:eastAsia="Times New Roman" w:cs="Times New Roman"/>
                <w:lang w:eastAsia="en-GB"/>
              </w:rPr>
            </w:pPr>
            <w:r w:rsidRPr="00352CE6">
              <w:rPr>
                <w:rFonts w:eastAsia="Times New Roman" w:cs="Times New Roman"/>
                <w:lang w:eastAsia="en-GB"/>
              </w:rPr>
              <w:t>Hillingdon</w:t>
            </w:r>
          </w:p>
        </w:tc>
        <w:tc>
          <w:tcPr>
            <w:tcW w:w="1263" w:type="dxa"/>
            <w:tcBorders>
              <w:top w:val="nil"/>
              <w:left w:val="nil"/>
              <w:bottom w:val="single" w:sz="4" w:space="0" w:color="auto"/>
              <w:right w:val="single" w:sz="4" w:space="0" w:color="auto"/>
            </w:tcBorders>
            <w:shd w:val="clear" w:color="auto" w:fill="auto"/>
            <w:noWrap/>
            <w:vAlign w:val="bottom"/>
            <w:hideMark/>
          </w:tcPr>
          <w:p w:rsidR="007547D4" w:rsidRPr="00352CE6" w:rsidRDefault="007547D4" w:rsidP="00031B92">
            <w:pPr>
              <w:spacing w:after="0" w:line="240" w:lineRule="auto"/>
              <w:jc w:val="center"/>
              <w:rPr>
                <w:rFonts w:eastAsia="Times New Roman" w:cs="Times New Roman"/>
                <w:lang w:eastAsia="en-GB"/>
              </w:rPr>
            </w:pPr>
            <w:r w:rsidRPr="00352CE6">
              <w:rPr>
                <w:rFonts w:eastAsia="Times New Roman" w:cs="Times New Roman"/>
                <w:lang w:eastAsia="en-GB"/>
              </w:rPr>
              <w:t>1.4</w:t>
            </w:r>
            <w:r>
              <w:rPr>
                <w:rFonts w:eastAsia="Times New Roman" w:cs="Times New Roman"/>
                <w:lang w:eastAsia="en-GB"/>
              </w:rPr>
              <w:t>%</w:t>
            </w:r>
          </w:p>
        </w:tc>
        <w:tc>
          <w:tcPr>
            <w:tcW w:w="1134" w:type="dxa"/>
            <w:tcBorders>
              <w:top w:val="nil"/>
              <w:left w:val="nil"/>
              <w:bottom w:val="single" w:sz="4" w:space="0" w:color="auto"/>
              <w:right w:val="single" w:sz="4" w:space="0" w:color="auto"/>
            </w:tcBorders>
            <w:shd w:val="clear" w:color="auto" w:fill="auto"/>
            <w:noWrap/>
            <w:vAlign w:val="bottom"/>
            <w:hideMark/>
          </w:tcPr>
          <w:p w:rsidR="007547D4" w:rsidRPr="00352CE6" w:rsidRDefault="007547D4" w:rsidP="00031B92">
            <w:pPr>
              <w:spacing w:after="0" w:line="240" w:lineRule="auto"/>
              <w:jc w:val="center"/>
              <w:rPr>
                <w:rFonts w:eastAsia="Times New Roman" w:cs="Times New Roman"/>
                <w:lang w:eastAsia="en-GB"/>
              </w:rPr>
            </w:pPr>
            <w:r w:rsidRPr="00352CE6">
              <w:rPr>
                <w:rFonts w:eastAsia="Times New Roman" w:cs="Times New Roman"/>
                <w:lang w:eastAsia="en-GB"/>
              </w:rPr>
              <w:t>-</w:t>
            </w:r>
          </w:p>
        </w:tc>
        <w:tc>
          <w:tcPr>
            <w:tcW w:w="1417" w:type="dxa"/>
            <w:tcBorders>
              <w:top w:val="nil"/>
              <w:left w:val="nil"/>
              <w:bottom w:val="single" w:sz="4" w:space="0" w:color="auto"/>
              <w:right w:val="single" w:sz="4" w:space="0" w:color="auto"/>
            </w:tcBorders>
            <w:shd w:val="clear" w:color="auto" w:fill="auto"/>
            <w:noWrap/>
            <w:vAlign w:val="bottom"/>
            <w:hideMark/>
          </w:tcPr>
          <w:p w:rsidR="007547D4" w:rsidRPr="00352CE6" w:rsidRDefault="007547D4" w:rsidP="00031B92">
            <w:pPr>
              <w:spacing w:after="0" w:line="240" w:lineRule="auto"/>
              <w:jc w:val="center"/>
              <w:rPr>
                <w:rFonts w:eastAsia="Times New Roman" w:cs="Times New Roman"/>
                <w:lang w:eastAsia="en-GB"/>
              </w:rPr>
            </w:pPr>
            <w:r w:rsidRPr="00352CE6">
              <w:rPr>
                <w:rFonts w:eastAsia="Times New Roman" w:cs="Times New Roman"/>
                <w:lang w:eastAsia="en-GB"/>
              </w:rPr>
              <w:t>-</w:t>
            </w:r>
          </w:p>
        </w:tc>
      </w:tr>
    </w:tbl>
    <w:p w:rsidR="007547D4" w:rsidRPr="006F2BD9" w:rsidRDefault="007547D4" w:rsidP="007547D4">
      <w:pPr>
        <w:spacing w:after="0" w:line="240" w:lineRule="auto"/>
        <w:jc w:val="both"/>
      </w:pPr>
      <w:r w:rsidRPr="006F2BD9">
        <w:t>Source: Health and Socia</w:t>
      </w:r>
      <w:r w:rsidR="00270AEE">
        <w:t>l Care Information Centre, 2013/</w:t>
      </w:r>
      <w:r w:rsidRPr="006F2BD9">
        <w:t>14</w:t>
      </w:r>
    </w:p>
    <w:p w:rsidR="00B90E68" w:rsidRPr="006F2BD9" w:rsidRDefault="00B90E68" w:rsidP="007547D4">
      <w:pPr>
        <w:pStyle w:val="Heading2"/>
        <w:numPr>
          <w:ilvl w:val="1"/>
          <w:numId w:val="139"/>
        </w:numPr>
      </w:pPr>
      <w:bookmarkStart w:id="555" w:name="_Toc431225148"/>
      <w:r w:rsidRPr="006F2BD9">
        <w:t>Incomes</w:t>
      </w:r>
      <w:bookmarkEnd w:id="555"/>
    </w:p>
    <w:p w:rsidR="00B90E68" w:rsidRPr="006F2BD9" w:rsidRDefault="00B90E68" w:rsidP="00B90E68">
      <w:pPr>
        <w:jc w:val="both"/>
      </w:pPr>
      <w:r w:rsidRPr="006F2BD9">
        <w:t xml:space="preserve">CACI </w:t>
      </w:r>
      <w:proofErr w:type="spellStart"/>
      <w:r w:rsidRPr="006F2BD9">
        <w:t>PayCheck</w:t>
      </w:r>
      <w:proofErr w:type="spellEnd"/>
      <w:r w:rsidRPr="006F2BD9">
        <w:t xml:space="preserve"> is an estimate of household income at postcode level. It is based upon government data sources together with income data for UK homes collected from lifestyle surveys and guarantee card returns. </w:t>
      </w:r>
      <w:proofErr w:type="spellStart"/>
      <w:r w:rsidRPr="006F2BD9">
        <w:t>PayCheck</w:t>
      </w:r>
      <w:proofErr w:type="spellEnd"/>
      <w:r w:rsidRPr="006F2BD9">
        <w:t xml:space="preserve"> models gross income before tax to provide an estimated income for every household within the UK.  </w:t>
      </w:r>
      <w:r w:rsidR="00E50C61" w:rsidRPr="00B52EAB">
        <w:t xml:space="preserve">Income values can be shown as ‘nominal </w:t>
      </w:r>
      <w:r w:rsidR="00DD3A76" w:rsidRPr="00B52EAB">
        <w:t>values’ or</w:t>
      </w:r>
      <w:r w:rsidR="00E50C61" w:rsidRPr="00B52EAB">
        <w:t xml:space="preserve"> ‘real values’</w:t>
      </w:r>
      <w:r w:rsidR="00B52EAB" w:rsidRPr="00B52EAB">
        <w:t xml:space="preserve">. The values </w:t>
      </w:r>
      <w:r w:rsidR="00EE744D">
        <w:t>shown</w:t>
      </w:r>
      <w:r w:rsidR="00B52EAB" w:rsidRPr="00B52EAB">
        <w:t xml:space="preserve"> below are ‘nominal values’</w:t>
      </w:r>
      <w:r w:rsidR="00F3757A">
        <w:t>.</w:t>
      </w:r>
      <w:r w:rsidR="00B52EAB" w:rsidRPr="00B52EAB">
        <w:t xml:space="preserve"> </w:t>
      </w:r>
    </w:p>
    <w:p w:rsidR="00B90E68" w:rsidRPr="006F2BD9" w:rsidRDefault="00B90E68" w:rsidP="00B90E68">
      <w:pPr>
        <w:pStyle w:val="ListParagraph"/>
        <w:numPr>
          <w:ilvl w:val="0"/>
          <w:numId w:val="24"/>
        </w:numPr>
        <w:jc w:val="both"/>
        <w:rPr>
          <w:rFonts w:cs="Arial"/>
        </w:rPr>
      </w:pPr>
      <w:r w:rsidRPr="006F2BD9">
        <w:rPr>
          <w:rFonts w:cs="Arial"/>
        </w:rPr>
        <w:t>According to data from the 201</w:t>
      </w:r>
      <w:r>
        <w:rPr>
          <w:rFonts w:cs="Arial"/>
        </w:rPr>
        <w:t>5</w:t>
      </w:r>
      <w:r w:rsidRPr="006F2BD9">
        <w:rPr>
          <w:rFonts w:cs="Arial"/>
        </w:rPr>
        <w:t xml:space="preserve"> CACI </w:t>
      </w:r>
      <w:proofErr w:type="spellStart"/>
      <w:r>
        <w:rPr>
          <w:rFonts w:cs="Arial"/>
        </w:rPr>
        <w:t>Pay</w:t>
      </w:r>
      <w:r w:rsidRPr="006F2BD9">
        <w:rPr>
          <w:rFonts w:cs="Arial"/>
        </w:rPr>
        <w:t>Check</w:t>
      </w:r>
      <w:proofErr w:type="spellEnd"/>
      <w:r w:rsidRPr="006F2BD9">
        <w:rPr>
          <w:rFonts w:cs="Arial"/>
        </w:rPr>
        <w:t>, Barnet’s average</w:t>
      </w:r>
      <w:r w:rsidR="00E50C61">
        <w:rPr>
          <w:rFonts w:cs="Arial"/>
        </w:rPr>
        <w:t xml:space="preserve"> raw household income in 2015</w:t>
      </w:r>
      <w:r>
        <w:rPr>
          <w:rFonts w:cs="Arial"/>
        </w:rPr>
        <w:t xml:space="preserve"> was</w:t>
      </w:r>
      <w:r w:rsidRPr="006F2BD9">
        <w:rPr>
          <w:rFonts w:cs="Arial"/>
        </w:rPr>
        <w:t xml:space="preserve"> £</w:t>
      </w:r>
      <w:r>
        <w:rPr>
          <w:rFonts w:cs="Arial"/>
        </w:rPr>
        <w:t>41</w:t>
      </w:r>
      <w:r w:rsidRPr="006F2BD9">
        <w:rPr>
          <w:rFonts w:cs="Arial"/>
        </w:rPr>
        <w:t>,</w:t>
      </w:r>
      <w:r w:rsidR="00482CEE">
        <w:rPr>
          <w:rFonts w:cs="Arial"/>
        </w:rPr>
        <w:t>468</w:t>
      </w:r>
      <w:r w:rsidRPr="006F2BD9">
        <w:rPr>
          <w:rFonts w:cs="Arial"/>
        </w:rPr>
        <w:t>;</w:t>
      </w:r>
      <w:r>
        <w:rPr>
          <w:rFonts w:cs="Arial"/>
        </w:rPr>
        <w:t xml:space="preserve"> this is 44.5</w:t>
      </w:r>
      <w:r w:rsidRPr="006F2BD9">
        <w:rPr>
          <w:rFonts w:cs="Arial"/>
        </w:rPr>
        <w:t xml:space="preserve">% higher than the Great Britain average of </w:t>
      </w:r>
      <w:r w:rsidRPr="00C32EF9">
        <w:rPr>
          <w:rFonts w:cs="Arial"/>
        </w:rPr>
        <w:t>28,696.</w:t>
      </w:r>
    </w:p>
    <w:p w:rsidR="00B90E68" w:rsidRDefault="00B90E68" w:rsidP="00B90E68">
      <w:pPr>
        <w:pStyle w:val="ListParagraph"/>
        <w:numPr>
          <w:ilvl w:val="0"/>
          <w:numId w:val="24"/>
        </w:numPr>
        <w:jc w:val="both"/>
        <w:rPr>
          <w:rFonts w:cs="Arial"/>
        </w:rPr>
      </w:pPr>
      <w:r w:rsidRPr="00C32EF9">
        <w:rPr>
          <w:rFonts w:cs="Arial"/>
        </w:rPr>
        <w:t>Between 2012 and 2015 Barnet’s average ho</w:t>
      </w:r>
      <w:r w:rsidR="00482CEE">
        <w:rPr>
          <w:rFonts w:cs="Arial"/>
        </w:rPr>
        <w:t>usehold income increased by 17.1</w:t>
      </w:r>
      <w:r w:rsidRPr="00C32EF9">
        <w:rPr>
          <w:rFonts w:cs="Arial"/>
        </w:rPr>
        <w:t>%, compared to the Great Britain average which increased by 1.0%.</w:t>
      </w:r>
    </w:p>
    <w:p w:rsidR="005067E0" w:rsidRDefault="005067E0" w:rsidP="005067E0">
      <w:pPr>
        <w:pStyle w:val="ListParagraph"/>
        <w:jc w:val="both"/>
        <w:rPr>
          <w:rFonts w:cs="Arial"/>
        </w:rPr>
      </w:pPr>
    </w:p>
    <w:p w:rsidR="007547D4" w:rsidRPr="007547D4" w:rsidRDefault="007547D4" w:rsidP="007547D4">
      <w:pPr>
        <w:pStyle w:val="ListParagraph"/>
        <w:keepNext/>
        <w:keepLines/>
        <w:numPr>
          <w:ilvl w:val="0"/>
          <w:numId w:val="132"/>
        </w:numPr>
        <w:spacing w:before="200" w:after="0"/>
        <w:contextualSpacing w:val="0"/>
        <w:outlineLvl w:val="2"/>
        <w:rPr>
          <w:rFonts w:asciiTheme="majorHAnsi" w:eastAsiaTheme="majorEastAsia" w:hAnsiTheme="majorHAnsi" w:cstheme="majorBidi"/>
          <w:b/>
          <w:bCs/>
          <w:vanish/>
          <w:color w:val="4F81BD" w:themeColor="accent1"/>
        </w:rPr>
      </w:pPr>
    </w:p>
    <w:p w:rsidR="007547D4" w:rsidRPr="007547D4" w:rsidRDefault="007547D4" w:rsidP="007547D4">
      <w:pPr>
        <w:pStyle w:val="ListParagraph"/>
        <w:keepNext/>
        <w:keepLines/>
        <w:numPr>
          <w:ilvl w:val="0"/>
          <w:numId w:val="132"/>
        </w:numPr>
        <w:spacing w:before="200" w:after="0"/>
        <w:contextualSpacing w:val="0"/>
        <w:outlineLvl w:val="2"/>
        <w:rPr>
          <w:rFonts w:asciiTheme="majorHAnsi" w:eastAsiaTheme="majorEastAsia" w:hAnsiTheme="majorHAnsi" w:cstheme="majorBidi"/>
          <w:b/>
          <w:bCs/>
          <w:vanish/>
          <w:color w:val="4F81BD" w:themeColor="accent1"/>
        </w:rPr>
      </w:pPr>
    </w:p>
    <w:p w:rsidR="007547D4" w:rsidRPr="007547D4" w:rsidRDefault="007547D4" w:rsidP="007547D4">
      <w:pPr>
        <w:pStyle w:val="ListParagraph"/>
        <w:keepNext/>
        <w:keepLines/>
        <w:numPr>
          <w:ilvl w:val="0"/>
          <w:numId w:val="132"/>
        </w:numPr>
        <w:spacing w:before="200" w:after="0"/>
        <w:contextualSpacing w:val="0"/>
        <w:outlineLvl w:val="2"/>
        <w:rPr>
          <w:rFonts w:asciiTheme="majorHAnsi" w:eastAsiaTheme="majorEastAsia" w:hAnsiTheme="majorHAnsi" w:cstheme="majorBidi"/>
          <w:b/>
          <w:bCs/>
          <w:vanish/>
          <w:color w:val="4F81BD" w:themeColor="accent1"/>
        </w:rPr>
      </w:pPr>
    </w:p>
    <w:p w:rsidR="007547D4" w:rsidRPr="007547D4" w:rsidRDefault="007547D4" w:rsidP="007547D4">
      <w:pPr>
        <w:pStyle w:val="ListParagraph"/>
        <w:keepNext/>
        <w:keepLines/>
        <w:numPr>
          <w:ilvl w:val="1"/>
          <w:numId w:val="132"/>
        </w:numPr>
        <w:spacing w:before="200" w:after="0"/>
        <w:contextualSpacing w:val="0"/>
        <w:outlineLvl w:val="2"/>
        <w:rPr>
          <w:rFonts w:asciiTheme="majorHAnsi" w:eastAsiaTheme="majorEastAsia" w:hAnsiTheme="majorHAnsi" w:cstheme="majorBidi"/>
          <w:b/>
          <w:bCs/>
          <w:vanish/>
          <w:color w:val="4F81BD" w:themeColor="accent1"/>
        </w:rPr>
      </w:pPr>
    </w:p>
    <w:p w:rsidR="007547D4" w:rsidRPr="007547D4" w:rsidRDefault="007547D4" w:rsidP="007547D4">
      <w:pPr>
        <w:pStyle w:val="ListParagraph"/>
        <w:keepNext/>
        <w:keepLines/>
        <w:numPr>
          <w:ilvl w:val="1"/>
          <w:numId w:val="132"/>
        </w:numPr>
        <w:spacing w:before="200" w:after="0"/>
        <w:contextualSpacing w:val="0"/>
        <w:outlineLvl w:val="2"/>
        <w:rPr>
          <w:rFonts w:asciiTheme="majorHAnsi" w:eastAsiaTheme="majorEastAsia" w:hAnsiTheme="majorHAnsi" w:cstheme="majorBidi"/>
          <w:b/>
          <w:bCs/>
          <w:vanish/>
          <w:color w:val="4F81BD" w:themeColor="accent1"/>
        </w:rPr>
      </w:pPr>
    </w:p>
    <w:p w:rsidR="007547D4" w:rsidRPr="007547D4" w:rsidRDefault="007547D4" w:rsidP="007547D4">
      <w:pPr>
        <w:pStyle w:val="ListParagraph"/>
        <w:keepNext/>
        <w:keepLines/>
        <w:numPr>
          <w:ilvl w:val="1"/>
          <w:numId w:val="132"/>
        </w:numPr>
        <w:spacing w:before="200" w:after="0"/>
        <w:contextualSpacing w:val="0"/>
        <w:outlineLvl w:val="2"/>
        <w:rPr>
          <w:rFonts w:asciiTheme="majorHAnsi" w:eastAsiaTheme="majorEastAsia" w:hAnsiTheme="majorHAnsi" w:cstheme="majorBidi"/>
          <w:b/>
          <w:bCs/>
          <w:vanish/>
          <w:color w:val="4F81BD" w:themeColor="accent1"/>
        </w:rPr>
      </w:pPr>
    </w:p>
    <w:p w:rsidR="007547D4" w:rsidRPr="007547D4" w:rsidRDefault="007547D4" w:rsidP="007547D4">
      <w:pPr>
        <w:pStyle w:val="ListParagraph"/>
        <w:keepNext/>
        <w:keepLines/>
        <w:numPr>
          <w:ilvl w:val="1"/>
          <w:numId w:val="132"/>
        </w:numPr>
        <w:spacing w:before="200" w:after="0"/>
        <w:contextualSpacing w:val="0"/>
        <w:outlineLvl w:val="2"/>
        <w:rPr>
          <w:rFonts w:asciiTheme="majorHAnsi" w:eastAsiaTheme="majorEastAsia" w:hAnsiTheme="majorHAnsi" w:cstheme="majorBidi"/>
          <w:b/>
          <w:bCs/>
          <w:vanish/>
          <w:color w:val="4F81BD" w:themeColor="accent1"/>
        </w:rPr>
      </w:pPr>
    </w:p>
    <w:p w:rsidR="007547D4" w:rsidRPr="007547D4" w:rsidRDefault="007547D4" w:rsidP="007547D4">
      <w:pPr>
        <w:pStyle w:val="ListParagraph"/>
        <w:keepNext/>
        <w:keepLines/>
        <w:numPr>
          <w:ilvl w:val="1"/>
          <w:numId w:val="132"/>
        </w:numPr>
        <w:spacing w:before="200" w:after="0"/>
        <w:contextualSpacing w:val="0"/>
        <w:outlineLvl w:val="2"/>
        <w:rPr>
          <w:rFonts w:asciiTheme="majorHAnsi" w:eastAsiaTheme="majorEastAsia" w:hAnsiTheme="majorHAnsi" w:cstheme="majorBidi"/>
          <w:b/>
          <w:bCs/>
          <w:vanish/>
          <w:color w:val="4F81BD" w:themeColor="accent1"/>
        </w:rPr>
      </w:pPr>
    </w:p>
    <w:p w:rsidR="007547D4" w:rsidRPr="007547D4" w:rsidRDefault="007547D4" w:rsidP="007547D4">
      <w:pPr>
        <w:pStyle w:val="ListParagraph"/>
        <w:keepNext/>
        <w:keepLines/>
        <w:numPr>
          <w:ilvl w:val="1"/>
          <w:numId w:val="132"/>
        </w:numPr>
        <w:spacing w:before="200" w:after="0"/>
        <w:contextualSpacing w:val="0"/>
        <w:outlineLvl w:val="2"/>
        <w:rPr>
          <w:rFonts w:asciiTheme="majorHAnsi" w:eastAsiaTheme="majorEastAsia" w:hAnsiTheme="majorHAnsi" w:cstheme="majorBidi"/>
          <w:b/>
          <w:bCs/>
          <w:vanish/>
          <w:color w:val="4F81BD" w:themeColor="accent1"/>
        </w:rPr>
      </w:pPr>
    </w:p>
    <w:p w:rsidR="007547D4" w:rsidRPr="007547D4" w:rsidRDefault="007547D4" w:rsidP="007547D4">
      <w:pPr>
        <w:pStyle w:val="ListParagraph"/>
        <w:keepNext/>
        <w:keepLines/>
        <w:numPr>
          <w:ilvl w:val="1"/>
          <w:numId w:val="132"/>
        </w:numPr>
        <w:spacing w:before="200" w:after="0"/>
        <w:contextualSpacing w:val="0"/>
        <w:outlineLvl w:val="2"/>
        <w:rPr>
          <w:rFonts w:asciiTheme="majorHAnsi" w:eastAsiaTheme="majorEastAsia" w:hAnsiTheme="majorHAnsi" w:cstheme="majorBidi"/>
          <w:b/>
          <w:bCs/>
          <w:vanish/>
          <w:color w:val="4F81BD" w:themeColor="accent1"/>
        </w:rPr>
      </w:pPr>
    </w:p>
    <w:p w:rsidR="007547D4" w:rsidRPr="007547D4" w:rsidRDefault="007547D4" w:rsidP="007547D4">
      <w:pPr>
        <w:pStyle w:val="ListParagraph"/>
        <w:keepNext/>
        <w:keepLines/>
        <w:numPr>
          <w:ilvl w:val="1"/>
          <w:numId w:val="132"/>
        </w:numPr>
        <w:spacing w:before="200" w:after="0"/>
        <w:contextualSpacing w:val="0"/>
        <w:outlineLvl w:val="2"/>
        <w:rPr>
          <w:rFonts w:asciiTheme="majorHAnsi" w:eastAsiaTheme="majorEastAsia" w:hAnsiTheme="majorHAnsi" w:cstheme="majorBidi"/>
          <w:b/>
          <w:bCs/>
          <w:vanish/>
          <w:color w:val="4F81BD" w:themeColor="accent1"/>
        </w:rPr>
      </w:pPr>
    </w:p>
    <w:p w:rsidR="007547D4" w:rsidRPr="007547D4" w:rsidRDefault="007547D4" w:rsidP="007547D4">
      <w:pPr>
        <w:pStyle w:val="ListParagraph"/>
        <w:keepNext/>
        <w:keepLines/>
        <w:numPr>
          <w:ilvl w:val="1"/>
          <w:numId w:val="132"/>
        </w:numPr>
        <w:spacing w:before="200" w:after="0"/>
        <w:contextualSpacing w:val="0"/>
        <w:outlineLvl w:val="2"/>
        <w:rPr>
          <w:rFonts w:asciiTheme="majorHAnsi" w:eastAsiaTheme="majorEastAsia" w:hAnsiTheme="majorHAnsi" w:cstheme="majorBidi"/>
          <w:b/>
          <w:bCs/>
          <w:vanish/>
          <w:color w:val="4F81BD" w:themeColor="accent1"/>
        </w:rPr>
      </w:pPr>
    </w:p>
    <w:p w:rsidR="007547D4" w:rsidRPr="007547D4" w:rsidRDefault="007547D4" w:rsidP="007547D4">
      <w:pPr>
        <w:pStyle w:val="ListParagraph"/>
        <w:keepNext/>
        <w:keepLines/>
        <w:numPr>
          <w:ilvl w:val="1"/>
          <w:numId w:val="132"/>
        </w:numPr>
        <w:spacing w:before="200" w:after="0"/>
        <w:contextualSpacing w:val="0"/>
        <w:outlineLvl w:val="2"/>
        <w:rPr>
          <w:rFonts w:asciiTheme="majorHAnsi" w:eastAsiaTheme="majorEastAsia" w:hAnsiTheme="majorHAnsi" w:cstheme="majorBidi"/>
          <w:b/>
          <w:bCs/>
          <w:vanish/>
          <w:color w:val="4F81BD" w:themeColor="accent1"/>
        </w:rPr>
      </w:pPr>
    </w:p>
    <w:p w:rsidR="007547D4" w:rsidRPr="007547D4" w:rsidRDefault="007547D4" w:rsidP="007547D4">
      <w:pPr>
        <w:pStyle w:val="ListParagraph"/>
        <w:keepNext/>
        <w:keepLines/>
        <w:numPr>
          <w:ilvl w:val="1"/>
          <w:numId w:val="132"/>
        </w:numPr>
        <w:spacing w:before="200" w:after="0"/>
        <w:contextualSpacing w:val="0"/>
        <w:outlineLvl w:val="2"/>
        <w:rPr>
          <w:rFonts w:asciiTheme="majorHAnsi" w:eastAsiaTheme="majorEastAsia" w:hAnsiTheme="majorHAnsi" w:cstheme="majorBidi"/>
          <w:b/>
          <w:bCs/>
          <w:vanish/>
          <w:color w:val="4F81BD" w:themeColor="accent1"/>
        </w:rPr>
      </w:pPr>
    </w:p>
    <w:p w:rsidR="007547D4" w:rsidRPr="007547D4" w:rsidRDefault="007547D4" w:rsidP="007547D4">
      <w:pPr>
        <w:pStyle w:val="ListParagraph"/>
        <w:keepNext/>
        <w:keepLines/>
        <w:numPr>
          <w:ilvl w:val="1"/>
          <w:numId w:val="132"/>
        </w:numPr>
        <w:spacing w:before="200" w:after="0"/>
        <w:contextualSpacing w:val="0"/>
        <w:outlineLvl w:val="2"/>
        <w:rPr>
          <w:rFonts w:asciiTheme="majorHAnsi" w:eastAsiaTheme="majorEastAsia" w:hAnsiTheme="majorHAnsi" w:cstheme="majorBidi"/>
          <w:b/>
          <w:bCs/>
          <w:vanish/>
          <w:color w:val="4F81BD" w:themeColor="accent1"/>
        </w:rPr>
      </w:pPr>
    </w:p>
    <w:p w:rsidR="00B90E68" w:rsidRPr="00D94241" w:rsidRDefault="00B90E68" w:rsidP="007547D4">
      <w:pPr>
        <w:pStyle w:val="Heading3"/>
        <w:numPr>
          <w:ilvl w:val="2"/>
          <w:numId w:val="132"/>
        </w:numPr>
      </w:pPr>
      <w:r w:rsidRPr="00D94241">
        <w:t>Ward Level</w:t>
      </w:r>
    </w:p>
    <w:p w:rsidR="00B90E68" w:rsidRPr="009A3F9B" w:rsidRDefault="00B90E68" w:rsidP="00B90E68">
      <w:pPr>
        <w:jc w:val="both"/>
        <w:rPr>
          <w:b/>
          <w:highlight w:val="yellow"/>
        </w:rPr>
      </w:pPr>
      <w:r w:rsidRPr="009A3F9B">
        <w:rPr>
          <w:shd w:val="clear" w:color="auto" w:fill="FFFFFF"/>
        </w:rPr>
        <w:t xml:space="preserve">Although average incomes are rising in Barnet, there is significant variation in incomes across the </w:t>
      </w:r>
      <w:r w:rsidR="00037414">
        <w:rPr>
          <w:shd w:val="clear" w:color="auto" w:fill="FFFFFF"/>
        </w:rPr>
        <w:t>Borough</w:t>
      </w:r>
      <w:r w:rsidR="00BC4152">
        <w:rPr>
          <w:shd w:val="clear" w:color="auto" w:fill="FFFFFF"/>
        </w:rPr>
        <w:t>. Table 3-12</w:t>
      </w:r>
      <w:r w:rsidRPr="009A3F9B">
        <w:rPr>
          <w:shd w:val="clear" w:color="auto" w:fill="FFFFFF"/>
        </w:rPr>
        <w:t xml:space="preserve"> shows the median household income by ward for 2008, 2012 and 2015. </w:t>
      </w:r>
    </w:p>
    <w:p w:rsidR="00B90E68" w:rsidRPr="00BA597E" w:rsidRDefault="00B90E68" w:rsidP="00B90E68">
      <w:pPr>
        <w:jc w:val="both"/>
      </w:pPr>
      <w:r w:rsidRPr="00BA597E">
        <w:t xml:space="preserve">Growth in incomes is predominantly being driven by more affluent </w:t>
      </w:r>
      <w:r w:rsidR="00037414">
        <w:t>Borough</w:t>
      </w:r>
      <w:r w:rsidRPr="00BA597E">
        <w:t xml:space="preserve">s, with the wards with the lowest average incomes in 2015; Burnt Oak, Colindale and Underhill stagnating and even falling in real </w:t>
      </w:r>
      <w:r w:rsidR="00DD3A76" w:rsidRPr="00BA597E">
        <w:t>terms</w:t>
      </w:r>
      <w:r w:rsidR="007547D4">
        <w:rPr>
          <w:rStyle w:val="FootnoteReference"/>
        </w:rPr>
        <w:footnoteReference w:id="28"/>
      </w:r>
      <w:r w:rsidRPr="00BA597E">
        <w:t xml:space="preserve">. This results in higher income inequality between different areas in Barnet. </w:t>
      </w:r>
    </w:p>
    <w:p w:rsidR="007547D4" w:rsidRDefault="007547D4" w:rsidP="005C07F0">
      <w:pPr>
        <w:pStyle w:val="Caption"/>
      </w:pPr>
    </w:p>
    <w:p w:rsidR="005067E0" w:rsidRDefault="005067E0" w:rsidP="005067E0"/>
    <w:p w:rsidR="005067E0" w:rsidRPr="005067E0" w:rsidRDefault="005067E0" w:rsidP="005067E0"/>
    <w:p w:rsidR="007547D4" w:rsidRDefault="007547D4" w:rsidP="005C07F0">
      <w:pPr>
        <w:pStyle w:val="Caption"/>
      </w:pPr>
    </w:p>
    <w:p w:rsidR="007547D4" w:rsidRDefault="007547D4" w:rsidP="007547D4"/>
    <w:p w:rsidR="001D6901" w:rsidRPr="007547D4" w:rsidRDefault="001D6901" w:rsidP="007547D4"/>
    <w:p w:rsidR="00B90E68" w:rsidRPr="00765D91" w:rsidRDefault="005C07F0" w:rsidP="005C07F0">
      <w:pPr>
        <w:pStyle w:val="Caption"/>
        <w:rPr>
          <w:b w:val="0"/>
          <w:i/>
          <w:szCs w:val="22"/>
        </w:rPr>
      </w:pPr>
      <w:r>
        <w:t xml:space="preserve">Table </w:t>
      </w:r>
      <w:fldSimple w:instr=" STYLEREF 1 \s ">
        <w:r w:rsidR="001663C2">
          <w:rPr>
            <w:noProof/>
          </w:rPr>
          <w:t>3</w:t>
        </w:r>
      </w:fldSimple>
      <w:r w:rsidR="000C02C2">
        <w:noBreakHyphen/>
      </w:r>
      <w:fldSimple w:instr=" SEQ Table \* ARABIC \s 1 ">
        <w:r w:rsidR="001663C2">
          <w:rPr>
            <w:noProof/>
          </w:rPr>
          <w:t>12</w:t>
        </w:r>
      </w:fldSimple>
      <w:r w:rsidR="00B90E68" w:rsidRPr="001221C6">
        <w:rPr>
          <w:rFonts w:cs="Calibri"/>
        </w:rPr>
        <w:t>: Median Household Income by Ward, 2008, 2012 &amp; 2015</w:t>
      </w:r>
    </w:p>
    <w:tbl>
      <w:tblPr>
        <w:tblW w:w="8931" w:type="dxa"/>
        <w:jc w:val="center"/>
        <w:tblInd w:w="-34" w:type="dxa"/>
        <w:tblLook w:val="04A0" w:firstRow="1" w:lastRow="0" w:firstColumn="1" w:lastColumn="0" w:noHBand="0" w:noVBand="1"/>
      </w:tblPr>
      <w:tblGrid>
        <w:gridCol w:w="2127"/>
        <w:gridCol w:w="1417"/>
        <w:gridCol w:w="1276"/>
        <w:gridCol w:w="1276"/>
        <w:gridCol w:w="1417"/>
        <w:gridCol w:w="1418"/>
      </w:tblGrid>
      <w:tr w:rsidR="00B90E68" w:rsidRPr="00093568" w:rsidTr="00F17B90">
        <w:trPr>
          <w:trHeight w:val="300"/>
          <w:jc w:val="center"/>
        </w:trPr>
        <w:tc>
          <w:tcPr>
            <w:tcW w:w="212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B90E68" w:rsidRPr="00093568" w:rsidRDefault="00B90E68" w:rsidP="00F17B90">
            <w:pPr>
              <w:spacing w:after="0" w:line="240" w:lineRule="auto"/>
              <w:jc w:val="center"/>
              <w:rPr>
                <w:rFonts w:eastAsia="Times New Roman" w:cs="Times New Roman"/>
                <w:b/>
                <w:bCs/>
                <w:lang w:eastAsia="en-GB"/>
              </w:rPr>
            </w:pPr>
            <w:r w:rsidRPr="00093568">
              <w:rPr>
                <w:rFonts w:eastAsia="Times New Roman" w:cs="Times New Roman"/>
                <w:b/>
                <w:bCs/>
                <w:lang w:eastAsia="en-GB"/>
              </w:rPr>
              <w:t>Area Name</w:t>
            </w:r>
          </w:p>
        </w:tc>
        <w:tc>
          <w:tcPr>
            <w:tcW w:w="1417" w:type="dxa"/>
            <w:tcBorders>
              <w:top w:val="single" w:sz="4" w:space="0" w:color="auto"/>
              <w:left w:val="nil"/>
              <w:bottom w:val="single" w:sz="4" w:space="0" w:color="auto"/>
              <w:right w:val="single" w:sz="4" w:space="0" w:color="auto"/>
            </w:tcBorders>
            <w:shd w:val="clear" w:color="000000" w:fill="D9D9D9"/>
            <w:noWrap/>
            <w:vAlign w:val="center"/>
            <w:hideMark/>
          </w:tcPr>
          <w:p w:rsidR="00B90E68" w:rsidRPr="00093568" w:rsidRDefault="00B90E68" w:rsidP="00F17B90">
            <w:pPr>
              <w:spacing w:after="0" w:line="240" w:lineRule="auto"/>
              <w:jc w:val="center"/>
              <w:rPr>
                <w:rFonts w:eastAsia="Times New Roman" w:cs="Times New Roman"/>
                <w:b/>
                <w:bCs/>
                <w:lang w:eastAsia="en-GB"/>
              </w:rPr>
            </w:pPr>
            <w:r w:rsidRPr="00093568">
              <w:rPr>
                <w:rFonts w:eastAsia="Times New Roman" w:cs="Times New Roman"/>
                <w:b/>
                <w:bCs/>
                <w:lang w:eastAsia="en-GB"/>
              </w:rPr>
              <w:t>2008</w:t>
            </w:r>
          </w:p>
        </w:tc>
        <w:tc>
          <w:tcPr>
            <w:tcW w:w="1276" w:type="dxa"/>
            <w:tcBorders>
              <w:top w:val="single" w:sz="4" w:space="0" w:color="auto"/>
              <w:left w:val="nil"/>
              <w:bottom w:val="single" w:sz="4" w:space="0" w:color="auto"/>
              <w:right w:val="single" w:sz="4" w:space="0" w:color="auto"/>
            </w:tcBorders>
            <w:shd w:val="clear" w:color="000000" w:fill="D9D9D9"/>
            <w:noWrap/>
            <w:vAlign w:val="center"/>
            <w:hideMark/>
          </w:tcPr>
          <w:p w:rsidR="00B90E68" w:rsidRPr="00093568" w:rsidRDefault="00B90E68" w:rsidP="00F17B90">
            <w:pPr>
              <w:spacing w:after="0" w:line="240" w:lineRule="auto"/>
              <w:jc w:val="center"/>
              <w:rPr>
                <w:rFonts w:eastAsia="Times New Roman" w:cs="Times New Roman"/>
                <w:b/>
                <w:bCs/>
                <w:lang w:eastAsia="en-GB"/>
              </w:rPr>
            </w:pPr>
            <w:r w:rsidRPr="00093568">
              <w:rPr>
                <w:rFonts w:eastAsia="Times New Roman" w:cs="Times New Roman"/>
                <w:b/>
                <w:bCs/>
                <w:lang w:eastAsia="en-GB"/>
              </w:rPr>
              <w:t>2012</w:t>
            </w:r>
          </w:p>
        </w:tc>
        <w:tc>
          <w:tcPr>
            <w:tcW w:w="1276" w:type="dxa"/>
            <w:tcBorders>
              <w:top w:val="single" w:sz="4" w:space="0" w:color="auto"/>
              <w:left w:val="nil"/>
              <w:bottom w:val="single" w:sz="4" w:space="0" w:color="auto"/>
              <w:right w:val="single" w:sz="4" w:space="0" w:color="auto"/>
            </w:tcBorders>
            <w:shd w:val="clear" w:color="000000" w:fill="D9D9D9"/>
            <w:noWrap/>
            <w:vAlign w:val="center"/>
            <w:hideMark/>
          </w:tcPr>
          <w:p w:rsidR="00B90E68" w:rsidRPr="00093568" w:rsidRDefault="00B90E68" w:rsidP="00F17B90">
            <w:pPr>
              <w:spacing w:after="0" w:line="240" w:lineRule="auto"/>
              <w:jc w:val="center"/>
              <w:rPr>
                <w:rFonts w:eastAsia="Times New Roman" w:cs="Times New Roman"/>
                <w:b/>
                <w:bCs/>
                <w:lang w:eastAsia="en-GB"/>
              </w:rPr>
            </w:pPr>
            <w:r w:rsidRPr="00093568">
              <w:rPr>
                <w:rFonts w:eastAsia="Times New Roman" w:cs="Times New Roman"/>
                <w:b/>
                <w:bCs/>
                <w:lang w:eastAsia="en-GB"/>
              </w:rPr>
              <w:t>2015</w:t>
            </w:r>
          </w:p>
        </w:tc>
        <w:tc>
          <w:tcPr>
            <w:tcW w:w="1417" w:type="dxa"/>
            <w:tcBorders>
              <w:top w:val="single" w:sz="4" w:space="0" w:color="auto"/>
              <w:left w:val="nil"/>
              <w:bottom w:val="single" w:sz="4" w:space="0" w:color="auto"/>
              <w:right w:val="single" w:sz="4" w:space="0" w:color="auto"/>
            </w:tcBorders>
            <w:shd w:val="clear" w:color="000000" w:fill="D9D9D9"/>
            <w:noWrap/>
            <w:vAlign w:val="center"/>
            <w:hideMark/>
          </w:tcPr>
          <w:p w:rsidR="00B90E68" w:rsidRPr="00093568" w:rsidRDefault="00B90E68" w:rsidP="00F17B90">
            <w:pPr>
              <w:spacing w:after="0" w:line="240" w:lineRule="auto"/>
              <w:jc w:val="center"/>
              <w:rPr>
                <w:rFonts w:eastAsia="Times New Roman" w:cs="Times New Roman"/>
                <w:b/>
                <w:bCs/>
                <w:lang w:eastAsia="en-GB"/>
              </w:rPr>
            </w:pPr>
            <w:r w:rsidRPr="00093568">
              <w:rPr>
                <w:rFonts w:eastAsia="Times New Roman" w:cs="Times New Roman"/>
                <w:b/>
                <w:bCs/>
                <w:lang w:eastAsia="en-GB"/>
              </w:rPr>
              <w:t>Change:</w:t>
            </w:r>
          </w:p>
          <w:p w:rsidR="00B90E68" w:rsidRPr="00093568" w:rsidRDefault="00B90E68" w:rsidP="00F17B90">
            <w:pPr>
              <w:spacing w:after="0" w:line="240" w:lineRule="auto"/>
              <w:jc w:val="center"/>
              <w:rPr>
                <w:rFonts w:eastAsia="Times New Roman" w:cs="Times New Roman"/>
                <w:b/>
                <w:bCs/>
                <w:lang w:eastAsia="en-GB"/>
              </w:rPr>
            </w:pPr>
            <w:r w:rsidRPr="00093568">
              <w:rPr>
                <w:rFonts w:eastAsia="Times New Roman" w:cs="Times New Roman"/>
                <w:b/>
                <w:bCs/>
                <w:lang w:eastAsia="en-GB"/>
              </w:rPr>
              <w:t>2008-2015%</w:t>
            </w:r>
          </w:p>
        </w:tc>
        <w:tc>
          <w:tcPr>
            <w:tcW w:w="1418" w:type="dxa"/>
            <w:tcBorders>
              <w:top w:val="single" w:sz="4" w:space="0" w:color="auto"/>
              <w:left w:val="nil"/>
              <w:bottom w:val="single" w:sz="4" w:space="0" w:color="auto"/>
              <w:right w:val="single" w:sz="4" w:space="0" w:color="auto"/>
            </w:tcBorders>
            <w:shd w:val="clear" w:color="000000" w:fill="D9D9D9"/>
            <w:noWrap/>
            <w:vAlign w:val="center"/>
            <w:hideMark/>
          </w:tcPr>
          <w:p w:rsidR="00B90E68" w:rsidRPr="00093568" w:rsidRDefault="00B90E68" w:rsidP="00F17B90">
            <w:pPr>
              <w:spacing w:after="0" w:line="240" w:lineRule="auto"/>
              <w:jc w:val="center"/>
              <w:rPr>
                <w:rFonts w:eastAsia="Times New Roman" w:cs="Times New Roman"/>
                <w:b/>
                <w:bCs/>
                <w:lang w:eastAsia="en-GB"/>
              </w:rPr>
            </w:pPr>
            <w:r w:rsidRPr="00093568">
              <w:rPr>
                <w:rFonts w:eastAsia="Times New Roman" w:cs="Times New Roman"/>
                <w:b/>
                <w:bCs/>
                <w:lang w:eastAsia="en-GB"/>
              </w:rPr>
              <w:t>Change:</w:t>
            </w:r>
          </w:p>
          <w:p w:rsidR="00B90E68" w:rsidRPr="00093568" w:rsidRDefault="00B90E68" w:rsidP="00F17B90">
            <w:pPr>
              <w:spacing w:after="0" w:line="240" w:lineRule="auto"/>
              <w:jc w:val="center"/>
              <w:rPr>
                <w:rFonts w:eastAsia="Times New Roman" w:cs="Times New Roman"/>
                <w:b/>
                <w:bCs/>
                <w:lang w:eastAsia="en-GB"/>
              </w:rPr>
            </w:pPr>
            <w:r w:rsidRPr="00093568">
              <w:rPr>
                <w:rFonts w:eastAsia="Times New Roman" w:cs="Times New Roman"/>
                <w:b/>
                <w:bCs/>
                <w:lang w:eastAsia="en-GB"/>
              </w:rPr>
              <w:t>2012-2015%</w:t>
            </w:r>
          </w:p>
        </w:tc>
      </w:tr>
      <w:tr w:rsidR="00B90E68" w:rsidRPr="00093568" w:rsidTr="00F17B90">
        <w:trPr>
          <w:trHeight w:val="300"/>
          <w:jc w:val="center"/>
        </w:trPr>
        <w:tc>
          <w:tcPr>
            <w:tcW w:w="2127" w:type="dxa"/>
            <w:tcBorders>
              <w:top w:val="nil"/>
              <w:left w:val="single" w:sz="4" w:space="0" w:color="auto"/>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Brunswick Park</w:t>
            </w:r>
          </w:p>
        </w:tc>
        <w:tc>
          <w:tcPr>
            <w:tcW w:w="1417"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£35,249</w:t>
            </w:r>
          </w:p>
        </w:tc>
        <w:tc>
          <w:tcPr>
            <w:tcW w:w="1276"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£35,740</w:t>
            </w:r>
          </w:p>
        </w:tc>
        <w:tc>
          <w:tcPr>
            <w:tcW w:w="1276"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£41,266</w:t>
            </w:r>
          </w:p>
        </w:tc>
        <w:tc>
          <w:tcPr>
            <w:tcW w:w="1417"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17.1%</w:t>
            </w:r>
          </w:p>
        </w:tc>
        <w:tc>
          <w:tcPr>
            <w:tcW w:w="1418"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15.5%</w:t>
            </w:r>
          </w:p>
        </w:tc>
      </w:tr>
      <w:tr w:rsidR="00B90E68" w:rsidRPr="00093568" w:rsidTr="00F17B90">
        <w:trPr>
          <w:trHeight w:val="300"/>
          <w:jc w:val="center"/>
        </w:trPr>
        <w:tc>
          <w:tcPr>
            <w:tcW w:w="2127" w:type="dxa"/>
            <w:tcBorders>
              <w:top w:val="nil"/>
              <w:left w:val="single" w:sz="4" w:space="0" w:color="auto"/>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Burnt Oak</w:t>
            </w:r>
          </w:p>
        </w:tc>
        <w:tc>
          <w:tcPr>
            <w:tcW w:w="1417"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£27,274</w:t>
            </w:r>
          </w:p>
        </w:tc>
        <w:tc>
          <w:tcPr>
            <w:tcW w:w="1276"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£25,745</w:t>
            </w:r>
          </w:p>
        </w:tc>
        <w:tc>
          <w:tcPr>
            <w:tcW w:w="1276"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£25,930</w:t>
            </w:r>
          </w:p>
        </w:tc>
        <w:tc>
          <w:tcPr>
            <w:tcW w:w="1417"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-4.9%</w:t>
            </w:r>
          </w:p>
        </w:tc>
        <w:tc>
          <w:tcPr>
            <w:tcW w:w="1418"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0.7%</w:t>
            </w:r>
          </w:p>
        </w:tc>
      </w:tr>
      <w:tr w:rsidR="00B90E68" w:rsidRPr="00093568" w:rsidTr="00F17B90">
        <w:trPr>
          <w:trHeight w:val="300"/>
          <w:jc w:val="center"/>
        </w:trPr>
        <w:tc>
          <w:tcPr>
            <w:tcW w:w="2127" w:type="dxa"/>
            <w:tcBorders>
              <w:top w:val="nil"/>
              <w:left w:val="single" w:sz="4" w:space="0" w:color="auto"/>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Childs Hill</w:t>
            </w:r>
          </w:p>
        </w:tc>
        <w:tc>
          <w:tcPr>
            <w:tcW w:w="1417"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£34,924</w:t>
            </w:r>
          </w:p>
        </w:tc>
        <w:tc>
          <w:tcPr>
            <w:tcW w:w="1276"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£36,192</w:t>
            </w:r>
          </w:p>
        </w:tc>
        <w:tc>
          <w:tcPr>
            <w:tcW w:w="1276"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£42,165</w:t>
            </w:r>
          </w:p>
        </w:tc>
        <w:tc>
          <w:tcPr>
            <w:tcW w:w="1417"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20.7%</w:t>
            </w:r>
          </w:p>
        </w:tc>
        <w:tc>
          <w:tcPr>
            <w:tcW w:w="1418"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16.5%</w:t>
            </w:r>
          </w:p>
        </w:tc>
      </w:tr>
      <w:tr w:rsidR="00B90E68" w:rsidRPr="00093568" w:rsidTr="00F17B90">
        <w:trPr>
          <w:trHeight w:val="300"/>
          <w:jc w:val="center"/>
        </w:trPr>
        <w:tc>
          <w:tcPr>
            <w:tcW w:w="2127" w:type="dxa"/>
            <w:tcBorders>
              <w:top w:val="nil"/>
              <w:left w:val="single" w:sz="4" w:space="0" w:color="auto"/>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Colindale</w:t>
            </w:r>
          </w:p>
        </w:tc>
        <w:tc>
          <w:tcPr>
            <w:tcW w:w="1417"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£28,028</w:t>
            </w:r>
          </w:p>
        </w:tc>
        <w:tc>
          <w:tcPr>
            <w:tcW w:w="1276"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£27,295</w:t>
            </w:r>
          </w:p>
        </w:tc>
        <w:tc>
          <w:tcPr>
            <w:tcW w:w="1276"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£30,125</w:t>
            </w:r>
          </w:p>
        </w:tc>
        <w:tc>
          <w:tcPr>
            <w:tcW w:w="1417"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7.5%</w:t>
            </w:r>
          </w:p>
        </w:tc>
        <w:tc>
          <w:tcPr>
            <w:tcW w:w="1418"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10.4%</w:t>
            </w:r>
          </w:p>
        </w:tc>
      </w:tr>
      <w:tr w:rsidR="00B90E68" w:rsidRPr="00093568" w:rsidTr="00F17B90">
        <w:trPr>
          <w:trHeight w:val="300"/>
          <w:jc w:val="center"/>
        </w:trPr>
        <w:tc>
          <w:tcPr>
            <w:tcW w:w="2127" w:type="dxa"/>
            <w:tcBorders>
              <w:top w:val="nil"/>
              <w:left w:val="single" w:sz="4" w:space="0" w:color="auto"/>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Coppetts</w:t>
            </w:r>
          </w:p>
        </w:tc>
        <w:tc>
          <w:tcPr>
            <w:tcW w:w="1417"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£37,622</w:t>
            </w:r>
          </w:p>
        </w:tc>
        <w:tc>
          <w:tcPr>
            <w:tcW w:w="1276"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£36,402</w:t>
            </w:r>
          </w:p>
        </w:tc>
        <w:tc>
          <w:tcPr>
            <w:tcW w:w="1276"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£41,726</w:t>
            </w:r>
          </w:p>
        </w:tc>
        <w:tc>
          <w:tcPr>
            <w:tcW w:w="1417"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10.9%</w:t>
            </w:r>
          </w:p>
        </w:tc>
        <w:tc>
          <w:tcPr>
            <w:tcW w:w="1418"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14.6%</w:t>
            </w:r>
          </w:p>
        </w:tc>
      </w:tr>
      <w:tr w:rsidR="00B90E68" w:rsidRPr="00093568" w:rsidTr="00F17B90">
        <w:trPr>
          <w:trHeight w:val="300"/>
          <w:jc w:val="center"/>
        </w:trPr>
        <w:tc>
          <w:tcPr>
            <w:tcW w:w="2127" w:type="dxa"/>
            <w:tcBorders>
              <w:top w:val="nil"/>
              <w:left w:val="single" w:sz="4" w:space="0" w:color="auto"/>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East Barnet</w:t>
            </w:r>
          </w:p>
        </w:tc>
        <w:tc>
          <w:tcPr>
            <w:tcW w:w="1417"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£35,394</w:t>
            </w:r>
          </w:p>
        </w:tc>
        <w:tc>
          <w:tcPr>
            <w:tcW w:w="1276"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£35,204</w:t>
            </w:r>
          </w:p>
        </w:tc>
        <w:tc>
          <w:tcPr>
            <w:tcW w:w="1276"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£41,491</w:t>
            </w:r>
          </w:p>
        </w:tc>
        <w:tc>
          <w:tcPr>
            <w:tcW w:w="1417"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17.2%</w:t>
            </w:r>
          </w:p>
        </w:tc>
        <w:tc>
          <w:tcPr>
            <w:tcW w:w="1418"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17.9%</w:t>
            </w:r>
          </w:p>
        </w:tc>
      </w:tr>
      <w:tr w:rsidR="00B90E68" w:rsidRPr="00093568" w:rsidTr="00F17B90">
        <w:trPr>
          <w:trHeight w:val="300"/>
          <w:jc w:val="center"/>
        </w:trPr>
        <w:tc>
          <w:tcPr>
            <w:tcW w:w="2127" w:type="dxa"/>
            <w:tcBorders>
              <w:top w:val="nil"/>
              <w:left w:val="single" w:sz="4" w:space="0" w:color="auto"/>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East Finchley</w:t>
            </w:r>
          </w:p>
        </w:tc>
        <w:tc>
          <w:tcPr>
            <w:tcW w:w="1417"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£35,199</w:t>
            </w:r>
          </w:p>
        </w:tc>
        <w:tc>
          <w:tcPr>
            <w:tcW w:w="1276"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£35,905</w:t>
            </w:r>
          </w:p>
        </w:tc>
        <w:tc>
          <w:tcPr>
            <w:tcW w:w="1276"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£40,907</w:t>
            </w:r>
          </w:p>
        </w:tc>
        <w:tc>
          <w:tcPr>
            <w:tcW w:w="1417"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16.2%</w:t>
            </w:r>
          </w:p>
        </w:tc>
        <w:tc>
          <w:tcPr>
            <w:tcW w:w="1418"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13.9%</w:t>
            </w:r>
          </w:p>
        </w:tc>
      </w:tr>
      <w:tr w:rsidR="00B90E68" w:rsidRPr="00093568" w:rsidTr="00F17B90">
        <w:trPr>
          <w:trHeight w:val="300"/>
          <w:jc w:val="center"/>
        </w:trPr>
        <w:tc>
          <w:tcPr>
            <w:tcW w:w="2127" w:type="dxa"/>
            <w:tcBorders>
              <w:top w:val="nil"/>
              <w:left w:val="single" w:sz="4" w:space="0" w:color="auto"/>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Edgware</w:t>
            </w:r>
          </w:p>
        </w:tc>
        <w:tc>
          <w:tcPr>
            <w:tcW w:w="1417"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£34,596</w:t>
            </w:r>
          </w:p>
        </w:tc>
        <w:tc>
          <w:tcPr>
            <w:tcW w:w="1276"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£35,705</w:t>
            </w:r>
          </w:p>
        </w:tc>
        <w:tc>
          <w:tcPr>
            <w:tcW w:w="1276"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£44,158</w:t>
            </w:r>
          </w:p>
        </w:tc>
        <w:tc>
          <w:tcPr>
            <w:tcW w:w="1417"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27.6%</w:t>
            </w:r>
          </w:p>
        </w:tc>
        <w:tc>
          <w:tcPr>
            <w:tcW w:w="1418"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23.7%</w:t>
            </w:r>
          </w:p>
        </w:tc>
      </w:tr>
      <w:tr w:rsidR="00B90E68" w:rsidRPr="00093568" w:rsidTr="00F17B90">
        <w:trPr>
          <w:trHeight w:val="300"/>
          <w:jc w:val="center"/>
        </w:trPr>
        <w:tc>
          <w:tcPr>
            <w:tcW w:w="2127" w:type="dxa"/>
            <w:tcBorders>
              <w:top w:val="nil"/>
              <w:left w:val="single" w:sz="4" w:space="0" w:color="auto"/>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Finchley Church End</w:t>
            </w:r>
          </w:p>
        </w:tc>
        <w:tc>
          <w:tcPr>
            <w:tcW w:w="1417"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£40,359</w:t>
            </w:r>
          </w:p>
        </w:tc>
        <w:tc>
          <w:tcPr>
            <w:tcW w:w="1276"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£39,201</w:t>
            </w:r>
          </w:p>
        </w:tc>
        <w:tc>
          <w:tcPr>
            <w:tcW w:w="1276"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£49,814</w:t>
            </w:r>
          </w:p>
        </w:tc>
        <w:tc>
          <w:tcPr>
            <w:tcW w:w="1417"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23.4%</w:t>
            </w:r>
          </w:p>
        </w:tc>
        <w:tc>
          <w:tcPr>
            <w:tcW w:w="1418"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27.1%</w:t>
            </w:r>
          </w:p>
        </w:tc>
      </w:tr>
      <w:tr w:rsidR="00B90E68" w:rsidRPr="00093568" w:rsidTr="00F17B90">
        <w:trPr>
          <w:trHeight w:val="300"/>
          <w:jc w:val="center"/>
        </w:trPr>
        <w:tc>
          <w:tcPr>
            <w:tcW w:w="2127" w:type="dxa"/>
            <w:tcBorders>
              <w:top w:val="nil"/>
              <w:left w:val="single" w:sz="4" w:space="0" w:color="auto"/>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Garden Suburb</w:t>
            </w:r>
          </w:p>
        </w:tc>
        <w:tc>
          <w:tcPr>
            <w:tcW w:w="1417"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£44,220</w:t>
            </w:r>
          </w:p>
        </w:tc>
        <w:tc>
          <w:tcPr>
            <w:tcW w:w="1276"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£44,701</w:t>
            </w:r>
          </w:p>
        </w:tc>
        <w:tc>
          <w:tcPr>
            <w:tcW w:w="1276"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£55,491</w:t>
            </w:r>
          </w:p>
        </w:tc>
        <w:tc>
          <w:tcPr>
            <w:tcW w:w="1417"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25.5%</w:t>
            </w:r>
          </w:p>
        </w:tc>
        <w:tc>
          <w:tcPr>
            <w:tcW w:w="1418"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24.1%</w:t>
            </w:r>
          </w:p>
        </w:tc>
      </w:tr>
      <w:tr w:rsidR="00B90E68" w:rsidRPr="00093568" w:rsidTr="00F17B90">
        <w:trPr>
          <w:trHeight w:val="300"/>
          <w:jc w:val="center"/>
        </w:trPr>
        <w:tc>
          <w:tcPr>
            <w:tcW w:w="2127" w:type="dxa"/>
            <w:tcBorders>
              <w:top w:val="nil"/>
              <w:left w:val="single" w:sz="4" w:space="0" w:color="auto"/>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Golders Green</w:t>
            </w:r>
          </w:p>
        </w:tc>
        <w:tc>
          <w:tcPr>
            <w:tcW w:w="1417"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£33,240</w:t>
            </w:r>
          </w:p>
        </w:tc>
        <w:tc>
          <w:tcPr>
            <w:tcW w:w="1276"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£32,625</w:t>
            </w:r>
          </w:p>
        </w:tc>
        <w:tc>
          <w:tcPr>
            <w:tcW w:w="1276"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£40,877</w:t>
            </w:r>
          </w:p>
        </w:tc>
        <w:tc>
          <w:tcPr>
            <w:tcW w:w="1417"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23.0%</w:t>
            </w:r>
          </w:p>
        </w:tc>
        <w:tc>
          <w:tcPr>
            <w:tcW w:w="1418"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25.3%</w:t>
            </w:r>
          </w:p>
        </w:tc>
      </w:tr>
      <w:tr w:rsidR="00B90E68" w:rsidRPr="00093568" w:rsidTr="00F17B90">
        <w:trPr>
          <w:trHeight w:val="300"/>
          <w:jc w:val="center"/>
        </w:trPr>
        <w:tc>
          <w:tcPr>
            <w:tcW w:w="2127" w:type="dxa"/>
            <w:tcBorders>
              <w:top w:val="nil"/>
              <w:left w:val="single" w:sz="4" w:space="0" w:color="auto"/>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Hale</w:t>
            </w:r>
          </w:p>
        </w:tc>
        <w:tc>
          <w:tcPr>
            <w:tcW w:w="1417"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£35,070</w:t>
            </w:r>
          </w:p>
        </w:tc>
        <w:tc>
          <w:tcPr>
            <w:tcW w:w="1276"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£34,527</w:t>
            </w:r>
          </w:p>
        </w:tc>
        <w:tc>
          <w:tcPr>
            <w:tcW w:w="1276"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£41,148</w:t>
            </w:r>
          </w:p>
        </w:tc>
        <w:tc>
          <w:tcPr>
            <w:tcW w:w="1417"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17.3%</w:t>
            </w:r>
          </w:p>
        </w:tc>
        <w:tc>
          <w:tcPr>
            <w:tcW w:w="1418"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19.2%</w:t>
            </w:r>
          </w:p>
        </w:tc>
      </w:tr>
      <w:tr w:rsidR="00B90E68" w:rsidRPr="00093568" w:rsidTr="00F17B90">
        <w:trPr>
          <w:trHeight w:val="300"/>
          <w:jc w:val="center"/>
        </w:trPr>
        <w:tc>
          <w:tcPr>
            <w:tcW w:w="2127" w:type="dxa"/>
            <w:tcBorders>
              <w:top w:val="nil"/>
              <w:left w:val="single" w:sz="4" w:space="0" w:color="auto"/>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Hendon</w:t>
            </w:r>
          </w:p>
        </w:tc>
        <w:tc>
          <w:tcPr>
            <w:tcW w:w="1417"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£34,022</w:t>
            </w:r>
          </w:p>
        </w:tc>
        <w:tc>
          <w:tcPr>
            <w:tcW w:w="1276"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£33,579</w:t>
            </w:r>
          </w:p>
        </w:tc>
        <w:tc>
          <w:tcPr>
            <w:tcW w:w="1276"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£41,557</w:t>
            </w:r>
          </w:p>
        </w:tc>
        <w:tc>
          <w:tcPr>
            <w:tcW w:w="1417"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22.1%</w:t>
            </w:r>
          </w:p>
        </w:tc>
        <w:tc>
          <w:tcPr>
            <w:tcW w:w="1418"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23.8%</w:t>
            </w:r>
          </w:p>
        </w:tc>
      </w:tr>
      <w:tr w:rsidR="00B90E68" w:rsidRPr="00093568" w:rsidTr="00F17B90">
        <w:trPr>
          <w:trHeight w:val="300"/>
          <w:jc w:val="center"/>
        </w:trPr>
        <w:tc>
          <w:tcPr>
            <w:tcW w:w="2127" w:type="dxa"/>
            <w:tcBorders>
              <w:top w:val="nil"/>
              <w:left w:val="single" w:sz="4" w:space="0" w:color="auto"/>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High Barnet</w:t>
            </w:r>
          </w:p>
        </w:tc>
        <w:tc>
          <w:tcPr>
            <w:tcW w:w="1417"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£40,111</w:t>
            </w:r>
          </w:p>
        </w:tc>
        <w:tc>
          <w:tcPr>
            <w:tcW w:w="1276"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£39,765</w:t>
            </w:r>
          </w:p>
        </w:tc>
        <w:tc>
          <w:tcPr>
            <w:tcW w:w="1276"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£48,540</w:t>
            </w:r>
          </w:p>
        </w:tc>
        <w:tc>
          <w:tcPr>
            <w:tcW w:w="1417"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21.0%</w:t>
            </w:r>
          </w:p>
        </w:tc>
        <w:tc>
          <w:tcPr>
            <w:tcW w:w="1418"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22.1%</w:t>
            </w:r>
          </w:p>
        </w:tc>
      </w:tr>
      <w:tr w:rsidR="00B90E68" w:rsidRPr="00093568" w:rsidTr="00F17B90">
        <w:trPr>
          <w:trHeight w:val="300"/>
          <w:jc w:val="center"/>
        </w:trPr>
        <w:tc>
          <w:tcPr>
            <w:tcW w:w="2127" w:type="dxa"/>
            <w:tcBorders>
              <w:top w:val="nil"/>
              <w:left w:val="single" w:sz="4" w:space="0" w:color="auto"/>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Mill Hill</w:t>
            </w:r>
          </w:p>
        </w:tc>
        <w:tc>
          <w:tcPr>
            <w:tcW w:w="1417"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£38,146</w:t>
            </w:r>
          </w:p>
        </w:tc>
        <w:tc>
          <w:tcPr>
            <w:tcW w:w="1276"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£38,524</w:t>
            </w:r>
          </w:p>
        </w:tc>
        <w:tc>
          <w:tcPr>
            <w:tcW w:w="1276"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£44,596</w:t>
            </w:r>
          </w:p>
        </w:tc>
        <w:tc>
          <w:tcPr>
            <w:tcW w:w="1417"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16.9%</w:t>
            </w:r>
          </w:p>
        </w:tc>
        <w:tc>
          <w:tcPr>
            <w:tcW w:w="1418"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15.8%</w:t>
            </w:r>
          </w:p>
        </w:tc>
      </w:tr>
      <w:tr w:rsidR="00B90E68" w:rsidRPr="00093568" w:rsidTr="00F17B90">
        <w:trPr>
          <w:trHeight w:val="300"/>
          <w:jc w:val="center"/>
        </w:trPr>
        <w:tc>
          <w:tcPr>
            <w:tcW w:w="2127" w:type="dxa"/>
            <w:tcBorders>
              <w:top w:val="nil"/>
              <w:left w:val="single" w:sz="4" w:space="0" w:color="auto"/>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Oakleigh</w:t>
            </w:r>
          </w:p>
        </w:tc>
        <w:tc>
          <w:tcPr>
            <w:tcW w:w="1417"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£37,661</w:t>
            </w:r>
          </w:p>
        </w:tc>
        <w:tc>
          <w:tcPr>
            <w:tcW w:w="1276"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£37,558</w:t>
            </w:r>
          </w:p>
        </w:tc>
        <w:tc>
          <w:tcPr>
            <w:tcW w:w="1276"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£45,919</w:t>
            </w:r>
          </w:p>
        </w:tc>
        <w:tc>
          <w:tcPr>
            <w:tcW w:w="1417"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21.9%</w:t>
            </w:r>
          </w:p>
        </w:tc>
        <w:tc>
          <w:tcPr>
            <w:tcW w:w="1418"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22.3%</w:t>
            </w:r>
          </w:p>
        </w:tc>
      </w:tr>
      <w:tr w:rsidR="00B90E68" w:rsidRPr="00093568" w:rsidTr="00F17B90">
        <w:trPr>
          <w:trHeight w:val="300"/>
          <w:jc w:val="center"/>
        </w:trPr>
        <w:tc>
          <w:tcPr>
            <w:tcW w:w="2127" w:type="dxa"/>
            <w:tcBorders>
              <w:top w:val="nil"/>
              <w:left w:val="single" w:sz="4" w:space="0" w:color="auto"/>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Totteridge</w:t>
            </w:r>
          </w:p>
        </w:tc>
        <w:tc>
          <w:tcPr>
            <w:tcW w:w="1417"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£38,946</w:t>
            </w:r>
          </w:p>
        </w:tc>
        <w:tc>
          <w:tcPr>
            <w:tcW w:w="1276"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£39,875</w:t>
            </w:r>
          </w:p>
        </w:tc>
        <w:tc>
          <w:tcPr>
            <w:tcW w:w="1276"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£49,783</w:t>
            </w:r>
          </w:p>
        </w:tc>
        <w:tc>
          <w:tcPr>
            <w:tcW w:w="1417"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27.8%</w:t>
            </w:r>
          </w:p>
        </w:tc>
        <w:tc>
          <w:tcPr>
            <w:tcW w:w="1418"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24.8%</w:t>
            </w:r>
          </w:p>
        </w:tc>
      </w:tr>
      <w:tr w:rsidR="00B90E68" w:rsidRPr="00093568" w:rsidTr="00F17B90">
        <w:trPr>
          <w:trHeight w:val="300"/>
          <w:jc w:val="center"/>
        </w:trPr>
        <w:tc>
          <w:tcPr>
            <w:tcW w:w="2127" w:type="dxa"/>
            <w:tcBorders>
              <w:top w:val="nil"/>
              <w:left w:val="single" w:sz="4" w:space="0" w:color="auto"/>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Underhill</w:t>
            </w:r>
          </w:p>
        </w:tc>
        <w:tc>
          <w:tcPr>
            <w:tcW w:w="1417"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£32,336</w:t>
            </w:r>
          </w:p>
        </w:tc>
        <w:tc>
          <w:tcPr>
            <w:tcW w:w="1276"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£31,100</w:t>
            </w:r>
          </w:p>
        </w:tc>
        <w:tc>
          <w:tcPr>
            <w:tcW w:w="1276"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£34,342</w:t>
            </w:r>
          </w:p>
        </w:tc>
        <w:tc>
          <w:tcPr>
            <w:tcW w:w="1417"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6.2%</w:t>
            </w:r>
          </w:p>
        </w:tc>
        <w:tc>
          <w:tcPr>
            <w:tcW w:w="1418"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10.4%</w:t>
            </w:r>
          </w:p>
        </w:tc>
      </w:tr>
      <w:tr w:rsidR="00B90E68" w:rsidRPr="00093568" w:rsidTr="00F17B90">
        <w:trPr>
          <w:trHeight w:val="300"/>
          <w:jc w:val="center"/>
        </w:trPr>
        <w:tc>
          <w:tcPr>
            <w:tcW w:w="2127" w:type="dxa"/>
            <w:tcBorders>
              <w:top w:val="nil"/>
              <w:left w:val="single" w:sz="4" w:space="0" w:color="auto"/>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West Finchley</w:t>
            </w:r>
          </w:p>
        </w:tc>
        <w:tc>
          <w:tcPr>
            <w:tcW w:w="1417"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£37,842</w:t>
            </w:r>
          </w:p>
        </w:tc>
        <w:tc>
          <w:tcPr>
            <w:tcW w:w="1276"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£38,348</w:t>
            </w:r>
          </w:p>
        </w:tc>
        <w:tc>
          <w:tcPr>
            <w:tcW w:w="1276"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£47,000</w:t>
            </w:r>
          </w:p>
        </w:tc>
        <w:tc>
          <w:tcPr>
            <w:tcW w:w="1417"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24.2%</w:t>
            </w:r>
          </w:p>
        </w:tc>
        <w:tc>
          <w:tcPr>
            <w:tcW w:w="1418"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22.6%</w:t>
            </w:r>
          </w:p>
        </w:tc>
      </w:tr>
      <w:tr w:rsidR="00B90E68" w:rsidRPr="00093568" w:rsidTr="00F17B90">
        <w:trPr>
          <w:trHeight w:val="300"/>
          <w:jc w:val="center"/>
        </w:trPr>
        <w:tc>
          <w:tcPr>
            <w:tcW w:w="2127" w:type="dxa"/>
            <w:tcBorders>
              <w:top w:val="nil"/>
              <w:left w:val="single" w:sz="4" w:space="0" w:color="auto"/>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West Hendon</w:t>
            </w:r>
          </w:p>
        </w:tc>
        <w:tc>
          <w:tcPr>
            <w:tcW w:w="1417"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£31,992</w:t>
            </w:r>
          </w:p>
        </w:tc>
        <w:tc>
          <w:tcPr>
            <w:tcW w:w="1276"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£31,773</w:t>
            </w:r>
          </w:p>
        </w:tc>
        <w:tc>
          <w:tcPr>
            <w:tcW w:w="1276"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£36,642</w:t>
            </w:r>
          </w:p>
        </w:tc>
        <w:tc>
          <w:tcPr>
            <w:tcW w:w="1417"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14.5%</w:t>
            </w:r>
          </w:p>
        </w:tc>
        <w:tc>
          <w:tcPr>
            <w:tcW w:w="1418"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15.3%</w:t>
            </w:r>
          </w:p>
        </w:tc>
      </w:tr>
      <w:tr w:rsidR="00B90E68" w:rsidRPr="00093568" w:rsidTr="00F17B90">
        <w:trPr>
          <w:trHeight w:val="300"/>
          <w:jc w:val="center"/>
        </w:trPr>
        <w:tc>
          <w:tcPr>
            <w:tcW w:w="2127" w:type="dxa"/>
            <w:tcBorders>
              <w:top w:val="nil"/>
              <w:left w:val="single" w:sz="4" w:space="0" w:color="auto"/>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Woodhouse</w:t>
            </w:r>
          </w:p>
        </w:tc>
        <w:tc>
          <w:tcPr>
            <w:tcW w:w="1417"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£36,348</w:t>
            </w:r>
          </w:p>
        </w:tc>
        <w:tc>
          <w:tcPr>
            <w:tcW w:w="1276"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£34,946</w:t>
            </w:r>
          </w:p>
        </w:tc>
        <w:tc>
          <w:tcPr>
            <w:tcW w:w="1276"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color w:val="000000"/>
                <w:lang w:eastAsia="en-GB"/>
              </w:rPr>
            </w:pPr>
            <w:r w:rsidRPr="00093568">
              <w:rPr>
                <w:rFonts w:eastAsia="Times New Roman" w:cs="Times New Roman"/>
                <w:color w:val="000000"/>
                <w:lang w:eastAsia="en-GB"/>
              </w:rPr>
              <w:t>£41,549</w:t>
            </w:r>
          </w:p>
        </w:tc>
        <w:tc>
          <w:tcPr>
            <w:tcW w:w="1417"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14.3%</w:t>
            </w:r>
          </w:p>
        </w:tc>
        <w:tc>
          <w:tcPr>
            <w:tcW w:w="1418" w:type="dxa"/>
            <w:tcBorders>
              <w:top w:val="nil"/>
              <w:left w:val="nil"/>
              <w:bottom w:val="single" w:sz="4" w:space="0" w:color="auto"/>
              <w:right w:val="single" w:sz="4" w:space="0" w:color="auto"/>
            </w:tcBorders>
            <w:shd w:val="clear" w:color="auto" w:fill="auto"/>
            <w:noWrap/>
            <w:vAlign w:val="center"/>
            <w:hideMark/>
          </w:tcPr>
          <w:p w:rsidR="00B90E68" w:rsidRPr="00093568" w:rsidRDefault="00B90E68" w:rsidP="00F17B90">
            <w:pPr>
              <w:spacing w:after="0" w:line="240" w:lineRule="auto"/>
              <w:jc w:val="center"/>
              <w:rPr>
                <w:rFonts w:eastAsia="Times New Roman" w:cs="Times New Roman"/>
                <w:lang w:eastAsia="en-GB"/>
              </w:rPr>
            </w:pPr>
            <w:r w:rsidRPr="00093568">
              <w:rPr>
                <w:rFonts w:eastAsia="Times New Roman" w:cs="Times New Roman"/>
                <w:lang w:eastAsia="en-GB"/>
              </w:rPr>
              <w:t>18.9%</w:t>
            </w:r>
          </w:p>
        </w:tc>
      </w:tr>
    </w:tbl>
    <w:p w:rsidR="00B90E68" w:rsidRDefault="00B90E68" w:rsidP="00B90E68">
      <w:pPr>
        <w:pStyle w:val="Default"/>
        <w:jc w:val="both"/>
        <w:rPr>
          <w:rFonts w:asciiTheme="minorHAnsi" w:hAnsiTheme="minorHAnsi"/>
          <w:color w:val="auto"/>
          <w:sz w:val="22"/>
          <w:szCs w:val="22"/>
        </w:rPr>
      </w:pPr>
      <w:r w:rsidRPr="006F2BD9">
        <w:rPr>
          <w:rFonts w:asciiTheme="minorHAnsi" w:hAnsiTheme="minorHAnsi"/>
          <w:color w:val="auto"/>
          <w:sz w:val="22"/>
          <w:szCs w:val="22"/>
        </w:rPr>
        <w:t>Source: CAC</w:t>
      </w:r>
      <w:r>
        <w:rPr>
          <w:rFonts w:asciiTheme="minorHAnsi" w:hAnsiTheme="minorHAnsi"/>
          <w:color w:val="auto"/>
          <w:sz w:val="22"/>
          <w:szCs w:val="22"/>
        </w:rPr>
        <w:t xml:space="preserve">I </w:t>
      </w:r>
      <w:proofErr w:type="spellStart"/>
      <w:r>
        <w:rPr>
          <w:rFonts w:asciiTheme="minorHAnsi" w:hAnsiTheme="minorHAnsi"/>
          <w:color w:val="auto"/>
          <w:sz w:val="22"/>
          <w:szCs w:val="22"/>
        </w:rPr>
        <w:t>PayCheck</w:t>
      </w:r>
      <w:proofErr w:type="spellEnd"/>
      <w:r>
        <w:rPr>
          <w:rFonts w:asciiTheme="minorHAnsi" w:hAnsiTheme="minorHAnsi"/>
          <w:color w:val="auto"/>
          <w:sz w:val="22"/>
          <w:szCs w:val="22"/>
        </w:rPr>
        <w:t xml:space="preserve"> 2008, 2012 and 2015</w:t>
      </w:r>
    </w:p>
    <w:p w:rsidR="00B90E68" w:rsidRPr="00D94241" w:rsidRDefault="00B90E68" w:rsidP="007547D4">
      <w:pPr>
        <w:pStyle w:val="Heading3"/>
        <w:numPr>
          <w:ilvl w:val="2"/>
          <w:numId w:val="132"/>
        </w:numPr>
      </w:pPr>
      <w:r w:rsidRPr="00D94241">
        <w:t>Poverty Measures</w:t>
      </w:r>
    </w:p>
    <w:p w:rsidR="00B90E68" w:rsidRDefault="00B90E68" w:rsidP="00B90E68">
      <w:pPr>
        <w:jc w:val="both"/>
      </w:pPr>
      <w:r w:rsidRPr="00A91C2F">
        <w:t xml:space="preserve">The poverty line is </w:t>
      </w:r>
      <w:r>
        <w:t xml:space="preserve">defined by the government as 60% </w:t>
      </w:r>
      <w:r w:rsidRPr="00A91C2F">
        <w:t xml:space="preserve">of median net income. Using </w:t>
      </w:r>
      <w:proofErr w:type="spellStart"/>
      <w:r>
        <w:t>Paycheck</w:t>
      </w:r>
      <w:proofErr w:type="spellEnd"/>
      <w:r>
        <w:t xml:space="preserve"> 2015</w:t>
      </w:r>
      <w:r w:rsidRPr="00A91C2F">
        <w:t xml:space="preserve"> </w:t>
      </w:r>
      <w:proofErr w:type="spellStart"/>
      <w:r w:rsidRPr="00A91C2F">
        <w:t>unequivalised</w:t>
      </w:r>
      <w:proofErr w:type="spellEnd"/>
      <w:r w:rsidRPr="00A91C2F">
        <w:t xml:space="preserve"> Great Britain data, the official poverty line is</w:t>
      </w:r>
      <w:r>
        <w:t xml:space="preserve"> equivalent to £17,217</w:t>
      </w:r>
      <w:r w:rsidRPr="00A91C2F">
        <w:t xml:space="preserve">. </w:t>
      </w:r>
    </w:p>
    <w:p w:rsidR="00B90E68" w:rsidRDefault="00B90E68" w:rsidP="00B90E68">
      <w:pPr>
        <w:jc w:val="both"/>
      </w:pPr>
      <w:r>
        <w:t xml:space="preserve">In 2015, 13.5% of households had a household income of below £15,000; this is above the London rate of 18.0% </w:t>
      </w:r>
      <w:r w:rsidR="001663C2">
        <w:t>and the Great Britain rate of 24</w:t>
      </w:r>
      <w:r>
        <w:t>.</w:t>
      </w:r>
      <w:r w:rsidR="001663C2">
        <w:t>0</w:t>
      </w:r>
      <w:r>
        <w:t xml:space="preserve">%. In comparison to other London </w:t>
      </w:r>
      <w:r w:rsidR="00037414">
        <w:t>Borough</w:t>
      </w:r>
      <w:r>
        <w:t>s, Barnet has the sixth lowest rate of households with a total income of less than £15,000 per year. Richmond has the lowest (9.3%) whereas Barking and Dagenham has the highest (27.1%).</w:t>
      </w:r>
    </w:p>
    <w:p w:rsidR="00B90E68" w:rsidRPr="00BB40AD" w:rsidRDefault="00B90E68" w:rsidP="00B90E68">
      <w:pPr>
        <w:pStyle w:val="Default"/>
        <w:spacing w:line="276" w:lineRule="auto"/>
        <w:jc w:val="both"/>
        <w:rPr>
          <w:rFonts w:asciiTheme="minorHAnsi" w:hAnsiTheme="minorHAnsi"/>
          <w:color w:val="auto"/>
          <w:sz w:val="22"/>
          <w:szCs w:val="22"/>
        </w:rPr>
      </w:pPr>
      <w:r w:rsidRPr="00D94241">
        <w:rPr>
          <w:rFonts w:asciiTheme="minorHAnsi" w:hAnsiTheme="minorHAnsi" w:cstheme="minorBidi"/>
          <w:color w:val="auto"/>
          <w:sz w:val="22"/>
          <w:szCs w:val="22"/>
        </w:rPr>
        <w:t>Figure</w:t>
      </w:r>
      <w:r>
        <w:rPr>
          <w:rFonts w:asciiTheme="minorHAnsi" w:hAnsiTheme="minorHAnsi" w:cstheme="minorBidi"/>
          <w:color w:val="auto"/>
          <w:sz w:val="22"/>
          <w:szCs w:val="22"/>
        </w:rPr>
        <w:t xml:space="preserve"> </w:t>
      </w:r>
      <w:r w:rsidR="001221C6" w:rsidRPr="001663C2">
        <w:rPr>
          <w:sz w:val="22"/>
          <w:szCs w:val="22"/>
        </w:rPr>
        <w:t>3</w:t>
      </w:r>
      <w:r w:rsidR="001221C6">
        <w:t>-</w:t>
      </w:r>
      <w:r>
        <w:rPr>
          <w:rFonts w:asciiTheme="minorHAnsi" w:hAnsiTheme="minorHAnsi" w:cstheme="minorBidi"/>
          <w:color w:val="auto"/>
          <w:sz w:val="22"/>
          <w:szCs w:val="22"/>
        </w:rPr>
        <w:t>2</w:t>
      </w:r>
      <w:r w:rsidR="001221C6">
        <w:rPr>
          <w:rFonts w:asciiTheme="minorHAnsi" w:hAnsiTheme="minorHAnsi" w:cstheme="minorBidi"/>
          <w:color w:val="auto"/>
          <w:sz w:val="22"/>
          <w:szCs w:val="22"/>
        </w:rPr>
        <w:t>3</w:t>
      </w:r>
      <w:r w:rsidRPr="00D94241">
        <w:rPr>
          <w:rFonts w:asciiTheme="minorHAnsi" w:hAnsiTheme="minorHAnsi" w:cstheme="minorBidi"/>
          <w:color w:val="auto"/>
          <w:sz w:val="22"/>
          <w:szCs w:val="22"/>
        </w:rPr>
        <w:t xml:space="preserve"> shows the proportion of households by ward with a household income of below </w:t>
      </w:r>
      <w:r w:rsidR="001663C2">
        <w:rPr>
          <w:rFonts w:asciiTheme="minorHAnsi" w:hAnsiTheme="minorHAnsi" w:cstheme="minorBidi"/>
          <w:color w:val="auto"/>
          <w:sz w:val="22"/>
          <w:szCs w:val="22"/>
        </w:rPr>
        <w:t>£</w:t>
      </w:r>
      <w:r w:rsidRPr="00D94241">
        <w:rPr>
          <w:rFonts w:asciiTheme="minorHAnsi" w:hAnsiTheme="minorHAnsi" w:cstheme="minorBidi"/>
          <w:color w:val="auto"/>
          <w:sz w:val="22"/>
          <w:szCs w:val="22"/>
        </w:rPr>
        <w:t>15</w:t>
      </w:r>
      <w:r w:rsidR="001663C2">
        <w:rPr>
          <w:rFonts w:asciiTheme="minorHAnsi" w:hAnsiTheme="minorHAnsi" w:cstheme="minorBidi"/>
          <w:color w:val="auto"/>
          <w:sz w:val="22"/>
          <w:szCs w:val="22"/>
        </w:rPr>
        <w:t>,000</w:t>
      </w:r>
      <w:r w:rsidRPr="00D94241">
        <w:rPr>
          <w:rFonts w:asciiTheme="minorHAnsi" w:hAnsiTheme="minorHAnsi" w:cstheme="minorBidi"/>
          <w:color w:val="auto"/>
          <w:sz w:val="22"/>
          <w:szCs w:val="22"/>
        </w:rPr>
        <w:t>. More than one in four households in Burnt Oak earn below £15,000 per year and around one in five households in Colindale and Underhill earn below £15,000 per year; this compares to Garden</w:t>
      </w:r>
      <w:r w:rsidRPr="00A3511F">
        <w:rPr>
          <w:rFonts w:asciiTheme="minorHAnsi" w:hAnsiTheme="minorHAnsi"/>
          <w:color w:val="auto"/>
          <w:sz w:val="22"/>
          <w:szCs w:val="22"/>
        </w:rPr>
        <w:t xml:space="preserve"> Suburb where fewer than one in ten households earns below £15,000 per year. </w:t>
      </w:r>
    </w:p>
    <w:p w:rsidR="00B90E68" w:rsidRDefault="00B90E68" w:rsidP="00B90E68">
      <w:pPr>
        <w:pStyle w:val="NoSpacing"/>
        <w:rPr>
          <w:b/>
          <w:i/>
        </w:rPr>
      </w:pPr>
    </w:p>
    <w:p w:rsidR="007547D4" w:rsidRDefault="007547D4" w:rsidP="00897DBB">
      <w:pPr>
        <w:pStyle w:val="Caption"/>
      </w:pPr>
    </w:p>
    <w:p w:rsidR="007547D4" w:rsidRDefault="007547D4" w:rsidP="00897DBB">
      <w:pPr>
        <w:pStyle w:val="Caption"/>
      </w:pPr>
    </w:p>
    <w:p w:rsidR="007547D4" w:rsidRDefault="007547D4" w:rsidP="00897DBB">
      <w:pPr>
        <w:pStyle w:val="Caption"/>
      </w:pPr>
    </w:p>
    <w:p w:rsidR="007547D4" w:rsidRDefault="007547D4" w:rsidP="00897DBB">
      <w:pPr>
        <w:pStyle w:val="Caption"/>
      </w:pPr>
    </w:p>
    <w:p w:rsidR="007547D4" w:rsidRDefault="007547D4" w:rsidP="00897DBB">
      <w:pPr>
        <w:pStyle w:val="Caption"/>
      </w:pPr>
    </w:p>
    <w:p w:rsidR="007547D4" w:rsidRDefault="007547D4" w:rsidP="00897DBB">
      <w:pPr>
        <w:pStyle w:val="Caption"/>
      </w:pPr>
    </w:p>
    <w:p w:rsidR="00B90E68" w:rsidRPr="00DC3EB2" w:rsidRDefault="00897DBB" w:rsidP="00897DBB">
      <w:pPr>
        <w:pStyle w:val="Caption"/>
        <w:rPr>
          <w:b w:val="0"/>
          <w:i/>
        </w:rPr>
      </w:pPr>
      <w:r>
        <w:t xml:space="preserve">Figure </w:t>
      </w:r>
      <w:fldSimple w:instr=" STYLEREF 1 \s ">
        <w:r w:rsidR="001663C2">
          <w:rPr>
            <w:noProof/>
          </w:rPr>
          <w:t>3</w:t>
        </w:r>
      </w:fldSimple>
      <w:r w:rsidR="00943DC2">
        <w:noBreakHyphen/>
      </w:r>
      <w:fldSimple w:instr=" SEQ Figure \* ARABIC \s 1 ">
        <w:r w:rsidR="001663C2">
          <w:rPr>
            <w:noProof/>
          </w:rPr>
          <w:t>23</w:t>
        </w:r>
      </w:fldSimple>
      <w:r w:rsidRPr="00897DBB">
        <w:t xml:space="preserve">: </w:t>
      </w:r>
      <w:r w:rsidR="00B90E68" w:rsidRPr="00897DBB">
        <w:t xml:space="preserve">% 0-15k </w:t>
      </w:r>
      <w:r w:rsidR="00B90E68" w:rsidRPr="001221C6">
        <w:rPr>
          <w:rFonts w:cs="Calibri"/>
        </w:rPr>
        <w:t>Household</w:t>
      </w:r>
      <w:r w:rsidR="00B90E68" w:rsidRPr="00897DBB">
        <w:t xml:space="preserve"> Income by Ward, 2015</w:t>
      </w:r>
    </w:p>
    <w:p w:rsidR="00B90E68" w:rsidRDefault="00B90E68" w:rsidP="00B90E68">
      <w:pPr>
        <w:spacing w:after="0" w:line="240" w:lineRule="auto"/>
        <w:jc w:val="both"/>
      </w:pPr>
      <w:r>
        <w:rPr>
          <w:noProof/>
          <w:lang w:eastAsia="en-GB"/>
        </w:rPr>
        <w:drawing>
          <wp:inline distT="0" distB="0" distL="0" distR="0" wp14:anchorId="0D53C3C3" wp14:editId="6189B7B3">
            <wp:extent cx="5996763" cy="2190307"/>
            <wp:effectExtent l="0" t="0" r="23495" b="19685"/>
            <wp:docPr id="43" name="Chart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B90E68" w:rsidRDefault="00B90E68" w:rsidP="00B90E68">
      <w:pPr>
        <w:pStyle w:val="Default"/>
        <w:jc w:val="both"/>
        <w:rPr>
          <w:rFonts w:asciiTheme="minorHAnsi" w:hAnsiTheme="minorHAnsi"/>
          <w:color w:val="auto"/>
          <w:sz w:val="22"/>
          <w:szCs w:val="22"/>
        </w:rPr>
      </w:pPr>
      <w:r w:rsidRPr="006F2BD9">
        <w:rPr>
          <w:rFonts w:asciiTheme="minorHAnsi" w:hAnsiTheme="minorHAnsi"/>
          <w:color w:val="auto"/>
          <w:sz w:val="22"/>
          <w:szCs w:val="22"/>
        </w:rPr>
        <w:t>Source: CAC</w:t>
      </w:r>
      <w:r>
        <w:rPr>
          <w:rFonts w:asciiTheme="minorHAnsi" w:hAnsiTheme="minorHAnsi"/>
          <w:color w:val="auto"/>
          <w:sz w:val="22"/>
          <w:szCs w:val="22"/>
        </w:rPr>
        <w:t xml:space="preserve">I </w:t>
      </w:r>
      <w:proofErr w:type="spellStart"/>
      <w:r>
        <w:rPr>
          <w:rFonts w:asciiTheme="minorHAnsi" w:hAnsiTheme="minorHAnsi"/>
          <w:color w:val="auto"/>
          <w:sz w:val="22"/>
          <w:szCs w:val="22"/>
        </w:rPr>
        <w:t>PayCheck</w:t>
      </w:r>
      <w:proofErr w:type="spellEnd"/>
      <w:r>
        <w:rPr>
          <w:rFonts w:asciiTheme="minorHAnsi" w:hAnsiTheme="minorHAnsi"/>
          <w:color w:val="auto"/>
          <w:sz w:val="22"/>
          <w:szCs w:val="22"/>
        </w:rPr>
        <w:t xml:space="preserve"> 2015</w:t>
      </w:r>
    </w:p>
    <w:p w:rsidR="007547D4" w:rsidRDefault="007547D4">
      <w:pPr>
        <w:rPr>
          <w:rFonts w:asciiTheme="majorHAnsi" w:eastAsiaTheme="majorEastAsia" w:hAnsiTheme="majorHAnsi" w:cstheme="majorBidi"/>
          <w:b/>
          <w:bCs/>
          <w:color w:val="365F91" w:themeColor="accent1" w:themeShade="BF"/>
          <w:sz w:val="28"/>
          <w:szCs w:val="28"/>
        </w:rPr>
      </w:pPr>
      <w:r>
        <w:br w:type="page"/>
      </w:r>
    </w:p>
    <w:p w:rsidR="00604787" w:rsidRPr="00635A3F" w:rsidRDefault="00604787" w:rsidP="00604787">
      <w:pPr>
        <w:pStyle w:val="Heading1"/>
      </w:pPr>
      <w:bookmarkStart w:id="556" w:name="_Toc431225149"/>
      <w:r w:rsidRPr="00635A3F">
        <w:lastRenderedPageBreak/>
        <w:t>Barnet Customer Segments – Overview</w:t>
      </w:r>
      <w:bookmarkEnd w:id="556"/>
    </w:p>
    <w:p w:rsidR="000C02C2" w:rsidRPr="00AB2FDB" w:rsidRDefault="000C02C2" w:rsidP="000C02C2">
      <w:pPr>
        <w:pStyle w:val="Heading2"/>
      </w:pPr>
      <w:bookmarkStart w:id="557" w:name="_Toc431225150"/>
      <w:r w:rsidRPr="00AB2FDB">
        <w:t>Introduction</w:t>
      </w:r>
      <w:bookmarkEnd w:id="557"/>
    </w:p>
    <w:p w:rsidR="000C02C2" w:rsidRDefault="000C02C2" w:rsidP="00BC4152">
      <w:pPr>
        <w:jc w:val="both"/>
      </w:pPr>
      <w:r>
        <w:t>Each person in B</w:t>
      </w:r>
      <w:r w:rsidR="00140AF6">
        <w:t xml:space="preserve">arnet has been grouped into 1 </w:t>
      </w:r>
      <w:r>
        <w:t xml:space="preserve">of 17 customer segments which are customer portraits based on </w:t>
      </w:r>
      <w:r w:rsidRPr="00DE641F">
        <w:t>CAMEO</w:t>
      </w:r>
      <w:r>
        <w:t xml:space="preserve"> </w:t>
      </w:r>
      <w:r w:rsidRPr="00DE641F">
        <w:t>demographic and lifestyle data</w:t>
      </w:r>
      <w:r>
        <w:t xml:space="preserve"> produced by</w:t>
      </w:r>
      <w:r w:rsidRPr="00DE641F">
        <w:t xml:space="preserve"> Call</w:t>
      </w:r>
      <w:r>
        <w:t xml:space="preserve"> </w:t>
      </w:r>
      <w:r w:rsidRPr="00DE641F">
        <w:t>Credit</w:t>
      </w:r>
      <w:r>
        <w:t xml:space="preserve"> Information Group. The segments are created at household level and every person in a household belongs to the same customer segment. People in each group broadly have the same characteristics which drive their common needs, interests and behaviours. Understanding the characteristics of the customer segments will help to better deliver services to Barnet residents</w:t>
      </w:r>
      <w:r>
        <w:rPr>
          <w:rStyle w:val="FootnoteReference"/>
        </w:rPr>
        <w:footnoteReference w:id="29"/>
      </w:r>
      <w:r>
        <w:t>.</w:t>
      </w:r>
    </w:p>
    <w:p w:rsidR="000C02C2" w:rsidRDefault="000C02C2" w:rsidP="00BC4152">
      <w:pPr>
        <w:jc w:val="both"/>
      </w:pPr>
      <w:r>
        <w:t xml:space="preserve">This chapter introduces </w:t>
      </w:r>
      <w:r w:rsidR="00140AF6">
        <w:t>the 17 Barnet customer segments and</w:t>
      </w:r>
      <w:r>
        <w:t xml:space="preserve"> describ</w:t>
      </w:r>
      <w:r w:rsidR="00140AF6">
        <w:t>es them by their age, income,</w:t>
      </w:r>
      <w:r>
        <w:t xml:space="preserve"> </w:t>
      </w:r>
      <w:proofErr w:type="gramStart"/>
      <w:r>
        <w:t>life</w:t>
      </w:r>
      <w:proofErr w:type="gramEnd"/>
      <w:r>
        <w:t>-stage and where they live. Self-reported health of each of the segments is detailed along with the effect of limiting long-term illness on peoples’ ability to work. This chapter concludes with a section that suggests which customer segments will be the heaviest users of health services in the borough and how addressing their needs will have a wider socio-economic impact.</w:t>
      </w:r>
    </w:p>
    <w:p w:rsidR="000C02C2" w:rsidRPr="00EC0487" w:rsidRDefault="000C02C2" w:rsidP="000C02C2">
      <w:pPr>
        <w:pStyle w:val="Heading2"/>
      </w:pPr>
      <w:bookmarkStart w:id="558" w:name="_Toc431225151"/>
      <w:r w:rsidRPr="00EC0487">
        <w:t xml:space="preserve">Profile of Barnet </w:t>
      </w:r>
      <w:r>
        <w:t>Customer S</w:t>
      </w:r>
      <w:r w:rsidRPr="00EC0487">
        <w:t>egments</w:t>
      </w:r>
      <w:bookmarkEnd w:id="558"/>
    </w:p>
    <w:p w:rsidR="000C02C2" w:rsidRDefault="000C02C2" w:rsidP="00BC4152">
      <w:pPr>
        <w:jc w:val="both"/>
      </w:pPr>
      <w:r>
        <w:t xml:space="preserve">To introduce relevant characteristics of the 17 customer segments, a brief description of each is presented below. The CAMEO information that can be used for profiling health data is relatively limited, but the key findings are summarised in the segment description. </w:t>
      </w:r>
    </w:p>
    <w:p w:rsidR="000C02C2" w:rsidRPr="00EC0487" w:rsidRDefault="00140AF6" w:rsidP="000C02C2">
      <w:pPr>
        <w:pStyle w:val="Heading3"/>
      </w:pPr>
      <w:r>
        <w:t>Educated, Affluent F</w:t>
      </w:r>
      <w:r w:rsidR="000C02C2">
        <w:t>amilies</w:t>
      </w:r>
      <w:r w:rsidR="000C02C2" w:rsidRPr="00EC0487">
        <w:t xml:space="preserve"> (17%</w:t>
      </w:r>
      <w:r w:rsidR="000C02C2">
        <w:t xml:space="preserve"> of Barnet households</w:t>
      </w:r>
      <w:r>
        <w:rPr>
          <w:rStyle w:val="FootnoteReference"/>
        </w:rPr>
        <w:footnoteReference w:id="30"/>
      </w:r>
      <w:r w:rsidR="000C02C2" w:rsidRPr="00EC0487">
        <w:t>)</w:t>
      </w:r>
    </w:p>
    <w:p w:rsidR="000C02C2" w:rsidRDefault="000C02C2" w:rsidP="00BC4152">
      <w:pPr>
        <w:jc w:val="both"/>
      </w:pPr>
      <w:r>
        <w:t xml:space="preserve">Households from this segment are highly affluent and educated, with young children. </w:t>
      </w:r>
      <w:r w:rsidR="00140AF6">
        <w:t>These are residents of all ages</w:t>
      </w:r>
      <w:r>
        <w:t xml:space="preserve">, often earning over £50,000, and owning large, expensive homes. They often engage in fun family sports and are active parents. A staggering 86% report good health, and a further 10% fairly good health, making them the healthiest segment in Barnet. </w:t>
      </w:r>
    </w:p>
    <w:p w:rsidR="000C02C2" w:rsidRPr="00524B90" w:rsidRDefault="000C02C2" w:rsidP="000C02C2">
      <w:pPr>
        <w:pStyle w:val="Heading3"/>
      </w:pPr>
      <w:r w:rsidRPr="00524B90">
        <w:t>Sophisticated Singles (15%)</w:t>
      </w:r>
    </w:p>
    <w:p w:rsidR="000C02C2" w:rsidRDefault="000C02C2" w:rsidP="00BC4152">
      <w:pPr>
        <w:jc w:val="both"/>
      </w:pPr>
      <w:r>
        <w:t xml:space="preserve">They are educated, affluent singles or divorcees who own pricey properties. Their age ranges from 25 to 65 and their earnings are mostly upwards of £30,000. These residents enjoy summer sports </w:t>
      </w:r>
      <w:r w:rsidR="00140AF6">
        <w:t>and travelling. An impressive 86</w:t>
      </w:r>
      <w:r>
        <w:t>% report very good health, and 10% fairly good health, placing them 3</w:t>
      </w:r>
      <w:r w:rsidRPr="009D4E82">
        <w:rPr>
          <w:vertAlign w:val="superscript"/>
        </w:rPr>
        <w:t>rd</w:t>
      </w:r>
      <w:r>
        <w:t xml:space="preserve"> among the healthiest Barnet segments.  </w:t>
      </w:r>
    </w:p>
    <w:p w:rsidR="000C02C2" w:rsidRPr="00524B90" w:rsidRDefault="00140AF6" w:rsidP="000C02C2">
      <w:pPr>
        <w:pStyle w:val="Heading3"/>
      </w:pPr>
      <w:r>
        <w:t>Low Income H</w:t>
      </w:r>
      <w:r w:rsidR="000C02C2">
        <w:t>ouse sharers</w:t>
      </w:r>
      <w:r w:rsidR="000C02C2" w:rsidRPr="00524B90">
        <w:t xml:space="preserve"> (13%)</w:t>
      </w:r>
    </w:p>
    <w:p w:rsidR="000C02C2" w:rsidRDefault="000C02C2" w:rsidP="00BC4152">
      <w:pPr>
        <w:jc w:val="both"/>
      </w:pPr>
      <w:r>
        <w:t xml:space="preserve">These residents are low income, blue collar or unemployed house sharers. They can be friends, family or same-sex couples living in </w:t>
      </w:r>
      <w:r w:rsidR="00140AF6">
        <w:t>pair</w:t>
      </w:r>
      <w:r>
        <w:t xml:space="preserve">s, who are renting or owning small, low value properties. They can be of all ages and earn in the range of £15,000 - £30,000. The residents in this group often spend their leisure time exercising and are health aware. They enjoy a reasonably good health, with </w:t>
      </w:r>
      <w:r w:rsidR="00140AF6">
        <w:t>5</w:t>
      </w:r>
      <w:r>
        <w:t>% reporting poor health</w:t>
      </w:r>
      <w:r w:rsidR="00140AF6">
        <w:t>.</w:t>
      </w:r>
      <w:r>
        <w:t xml:space="preserve"> </w:t>
      </w:r>
    </w:p>
    <w:p w:rsidR="000C02C2" w:rsidRPr="00B8441F" w:rsidRDefault="00140AF6" w:rsidP="000C02C2">
      <w:pPr>
        <w:pStyle w:val="Heading3"/>
        <w:rPr>
          <w:rFonts w:eastAsia="Times New Roman"/>
          <w:lang w:eastAsia="en-GB"/>
        </w:rPr>
      </w:pPr>
      <w:r>
        <w:rPr>
          <w:rFonts w:eastAsia="Times New Roman"/>
          <w:lang w:eastAsia="en-GB"/>
        </w:rPr>
        <w:t>Financially Secure R</w:t>
      </w:r>
      <w:r w:rsidR="000C02C2">
        <w:rPr>
          <w:rFonts w:eastAsia="Times New Roman"/>
          <w:lang w:eastAsia="en-GB"/>
        </w:rPr>
        <w:t>etirees</w:t>
      </w:r>
      <w:r w:rsidR="000C02C2" w:rsidRPr="00B8441F">
        <w:rPr>
          <w:rFonts w:eastAsia="Times New Roman"/>
          <w:lang w:eastAsia="en-GB"/>
        </w:rPr>
        <w:t xml:space="preserve"> (10%)</w:t>
      </w:r>
    </w:p>
    <w:p w:rsidR="000C02C2" w:rsidRDefault="000C02C2" w:rsidP="00BC4152">
      <w:pPr>
        <w:jc w:val="both"/>
      </w:pPr>
      <w:r>
        <w:t xml:space="preserve">The residents in this segment are financially secure, educated pensioners who own expensive properties. They are either couples or widowed singles aged 65 and over, with a household income of £30,000 or more. They enjoy traditional sports and playing with their grandchildren. A health </w:t>
      </w:r>
      <w:r>
        <w:lastRenderedPageBreak/>
        <w:t>aware segment, they mostly report a good (85%) and fairly good health (10.9%), being in the top quartile of healthiest residents.</w:t>
      </w:r>
    </w:p>
    <w:p w:rsidR="000C02C2" w:rsidRPr="00BC198B" w:rsidRDefault="000C02C2" w:rsidP="000C02C2">
      <w:pPr>
        <w:pStyle w:val="Heading3"/>
        <w:rPr>
          <w:rFonts w:eastAsia="Times New Roman"/>
          <w:lang w:eastAsia="en-GB"/>
        </w:rPr>
      </w:pPr>
      <w:r w:rsidRPr="00B8441F">
        <w:rPr>
          <w:rFonts w:eastAsia="Times New Roman"/>
          <w:lang w:eastAsia="en-GB"/>
        </w:rPr>
        <w:t>Comfortable</w:t>
      </w:r>
      <w:r>
        <w:rPr>
          <w:rFonts w:eastAsia="Times New Roman"/>
          <w:lang w:eastAsia="en-GB"/>
        </w:rPr>
        <w:t xml:space="preserve"> Older</w:t>
      </w:r>
      <w:r w:rsidRPr="00B8441F">
        <w:rPr>
          <w:rFonts w:eastAsia="Times New Roman"/>
          <w:lang w:eastAsia="en-GB"/>
        </w:rPr>
        <w:t xml:space="preserve"> Families</w:t>
      </w:r>
      <w:r w:rsidRPr="00BC198B">
        <w:rPr>
          <w:rFonts w:eastAsia="Times New Roman"/>
          <w:lang w:eastAsia="en-GB"/>
        </w:rPr>
        <w:t xml:space="preserve"> (8%)</w:t>
      </w:r>
    </w:p>
    <w:p w:rsidR="000C02C2" w:rsidRDefault="000C02C2" w:rsidP="00BC4152">
      <w:pPr>
        <w:jc w:val="both"/>
      </w:pPr>
      <w:r>
        <w:t xml:space="preserve">These growing family households are economically active, educated, white collar, owning large average-value properties and are often burdened by large mortgages. They can be of mixed ages, ranging from 20 to 70 and bring home an income between £20,000 and £50,000. They enjoy spending time with their family and playing golf. While their health is generally good, slightly over 5% report poor health, placing them in the second quartile of healthiest residents.  </w:t>
      </w:r>
    </w:p>
    <w:p w:rsidR="000C02C2" w:rsidRPr="00BC198B" w:rsidRDefault="000C02C2" w:rsidP="000C02C2">
      <w:pPr>
        <w:pStyle w:val="Heading3"/>
      </w:pPr>
      <w:r>
        <w:t>Affluent Singles</w:t>
      </w:r>
      <w:r w:rsidRPr="00BC198B">
        <w:t xml:space="preserve"> (8%)</w:t>
      </w:r>
    </w:p>
    <w:p w:rsidR="000C02C2" w:rsidRDefault="000C02C2" w:rsidP="00BC4152">
      <w:pPr>
        <w:jc w:val="both"/>
      </w:pPr>
      <w:r>
        <w:t>These residents are highly affluent, educated, upwardly mobile, energetic and ambitious singles who share or own high value properties. They are generally aged 25 to 45 and earn over £40,000.  The residents in this group often spend their leisure time exercising and are health aware. They are the second healthiest segment in Barnet, with just 4% reporting poor health.</w:t>
      </w:r>
    </w:p>
    <w:p w:rsidR="000C02C2" w:rsidRPr="00BC198B" w:rsidRDefault="000C02C2" w:rsidP="000C02C2">
      <w:pPr>
        <w:pStyle w:val="Heading3"/>
      </w:pPr>
      <w:r>
        <w:t xml:space="preserve">Penny-wise </w:t>
      </w:r>
      <w:r w:rsidR="00140AF6">
        <w:t>P</w:t>
      </w:r>
      <w:r>
        <w:t>ensioners</w:t>
      </w:r>
      <w:r w:rsidRPr="00BC198B">
        <w:t xml:space="preserve"> (6%)</w:t>
      </w:r>
    </w:p>
    <w:p w:rsidR="000C02C2" w:rsidRDefault="000C02C2" w:rsidP="00BC4152">
      <w:pPr>
        <w:jc w:val="both"/>
      </w:pPr>
      <w:r>
        <w:t>These are households of minimal income, formerly blue collar, settled elderly couples or widowed singles who own small, low-value properties or live in residential homes. They are aged 65 and over and their income is often below £20,000. A rather high proportion report poor health (5.56%), placing them in the medium high group of least healthy Barnet segments. They are likely to have health problems and spend most of their time in their home.</w:t>
      </w:r>
    </w:p>
    <w:p w:rsidR="000C02C2" w:rsidRPr="00BC198B" w:rsidRDefault="00140AF6" w:rsidP="000C02C2">
      <w:pPr>
        <w:pStyle w:val="Heading3"/>
        <w:rPr>
          <w:rFonts w:eastAsia="Times New Roman"/>
          <w:lang w:eastAsia="en-GB"/>
        </w:rPr>
      </w:pPr>
      <w:r>
        <w:rPr>
          <w:rFonts w:eastAsia="Times New Roman"/>
          <w:lang w:eastAsia="en-GB"/>
        </w:rPr>
        <w:t>Financially Restricted S</w:t>
      </w:r>
      <w:r w:rsidR="000C02C2">
        <w:rPr>
          <w:rFonts w:eastAsia="Times New Roman"/>
          <w:lang w:eastAsia="en-GB"/>
        </w:rPr>
        <w:t xml:space="preserve">ingle </w:t>
      </w:r>
      <w:r>
        <w:rPr>
          <w:rFonts w:eastAsia="Times New Roman"/>
          <w:lang w:eastAsia="en-GB"/>
        </w:rPr>
        <w:t>P</w:t>
      </w:r>
      <w:r w:rsidR="000C02C2">
        <w:rPr>
          <w:rFonts w:eastAsia="Times New Roman"/>
          <w:lang w:eastAsia="en-GB"/>
        </w:rPr>
        <w:t>arents</w:t>
      </w:r>
      <w:r w:rsidR="000C02C2" w:rsidRPr="00BC198B">
        <w:rPr>
          <w:rFonts w:eastAsia="Times New Roman"/>
          <w:lang w:eastAsia="en-GB"/>
        </w:rPr>
        <w:t xml:space="preserve"> (5%)</w:t>
      </w:r>
    </w:p>
    <w:p w:rsidR="000C02C2" w:rsidRDefault="000C02C2" w:rsidP="00BC4152">
      <w:pPr>
        <w:jc w:val="both"/>
        <w:rPr>
          <w:rFonts w:ascii="Calibri" w:eastAsia="Times New Roman" w:hAnsi="Calibri" w:cs="Times New Roman"/>
          <w:color w:val="000000"/>
          <w:lang w:eastAsia="en-GB"/>
        </w:rPr>
      </w:pPr>
      <w:r>
        <w:rPr>
          <w:rFonts w:ascii="Calibri" w:eastAsia="Times New Roman" w:hAnsi="Calibri" w:cs="Times New Roman"/>
          <w:color w:val="000000"/>
          <w:lang w:eastAsia="en-GB"/>
        </w:rPr>
        <w:t>These residents are f</w:t>
      </w:r>
      <w:r w:rsidRPr="00036F25">
        <w:rPr>
          <w:rFonts w:ascii="Calibri" w:eastAsia="Times New Roman" w:hAnsi="Calibri" w:cs="Times New Roman"/>
          <w:color w:val="000000"/>
          <w:lang w:eastAsia="en-GB"/>
        </w:rPr>
        <w:t xml:space="preserve">inancially </w:t>
      </w:r>
      <w:r w:rsidRPr="00BC4152">
        <w:t>restricted</w:t>
      </w:r>
      <w:r w:rsidRPr="00036F25">
        <w:rPr>
          <w:rFonts w:ascii="Calibri" w:eastAsia="Times New Roman" w:hAnsi="Calibri" w:cs="Times New Roman"/>
          <w:color w:val="000000"/>
          <w:lang w:eastAsia="en-GB"/>
        </w:rPr>
        <w:t>, white collar, part-timers or</w:t>
      </w:r>
      <w:r>
        <w:rPr>
          <w:rFonts w:ascii="Calibri" w:eastAsia="Times New Roman" w:hAnsi="Calibri" w:cs="Times New Roman"/>
          <w:color w:val="000000"/>
          <w:lang w:eastAsia="en-GB"/>
        </w:rPr>
        <w:t xml:space="preserve"> </w:t>
      </w:r>
      <w:r w:rsidRPr="00036F25">
        <w:rPr>
          <w:rFonts w:ascii="Calibri" w:eastAsia="Times New Roman" w:hAnsi="Calibri" w:cs="Times New Roman"/>
          <w:color w:val="000000"/>
          <w:lang w:eastAsia="en-GB"/>
        </w:rPr>
        <w:t>home-makers, government supported single parents</w:t>
      </w:r>
      <w:r>
        <w:rPr>
          <w:rFonts w:ascii="Calibri" w:eastAsia="Times New Roman" w:hAnsi="Calibri" w:cs="Times New Roman"/>
          <w:color w:val="000000"/>
          <w:lang w:eastAsia="en-GB"/>
        </w:rPr>
        <w:t xml:space="preserve"> </w:t>
      </w:r>
      <w:r w:rsidRPr="00036F25">
        <w:rPr>
          <w:rFonts w:ascii="Calibri" w:eastAsia="Times New Roman" w:hAnsi="Calibri" w:cs="Times New Roman"/>
          <w:color w:val="000000"/>
          <w:lang w:eastAsia="en-GB"/>
        </w:rPr>
        <w:t>of all ages</w:t>
      </w:r>
      <w:r>
        <w:rPr>
          <w:rFonts w:ascii="Calibri" w:eastAsia="Times New Roman" w:hAnsi="Calibri" w:cs="Times New Roman"/>
          <w:color w:val="000000"/>
          <w:lang w:eastAsia="en-GB"/>
        </w:rPr>
        <w:t>. They are l</w:t>
      </w:r>
      <w:r w:rsidRPr="00036F25">
        <w:rPr>
          <w:rFonts w:ascii="Calibri" w:eastAsia="Times New Roman" w:hAnsi="Calibri" w:cs="Times New Roman"/>
          <w:color w:val="000000"/>
          <w:lang w:eastAsia="en-GB"/>
        </w:rPr>
        <w:t>iving in council homes or renting low value</w:t>
      </w:r>
      <w:r>
        <w:rPr>
          <w:rFonts w:ascii="Calibri" w:eastAsia="Times New Roman" w:hAnsi="Calibri" w:cs="Times New Roman"/>
          <w:color w:val="000000"/>
          <w:lang w:eastAsia="en-GB"/>
        </w:rPr>
        <w:t xml:space="preserve"> </w:t>
      </w:r>
      <w:r w:rsidRPr="00036F25">
        <w:rPr>
          <w:rFonts w:ascii="Calibri" w:eastAsia="Times New Roman" w:hAnsi="Calibri" w:cs="Times New Roman"/>
          <w:color w:val="000000"/>
          <w:lang w:eastAsia="en-GB"/>
        </w:rPr>
        <w:t xml:space="preserve">properties, </w:t>
      </w:r>
      <w:r>
        <w:rPr>
          <w:rFonts w:ascii="Calibri" w:eastAsia="Times New Roman" w:hAnsi="Calibri" w:cs="Times New Roman"/>
          <w:color w:val="000000"/>
          <w:lang w:eastAsia="en-GB"/>
        </w:rPr>
        <w:t xml:space="preserve">and usually have an income of under £30,000. With 5.14% reporting poor health, these residents are in the </w:t>
      </w:r>
      <w:r>
        <w:t>medium high group of least healthy Barnet segments.</w:t>
      </w:r>
    </w:p>
    <w:p w:rsidR="000C02C2" w:rsidRPr="00BC198B" w:rsidRDefault="000C02C2" w:rsidP="000C02C2">
      <w:pPr>
        <w:pStyle w:val="Heading3"/>
        <w:rPr>
          <w:rFonts w:eastAsia="Times New Roman"/>
          <w:lang w:eastAsia="en-GB"/>
        </w:rPr>
      </w:pPr>
      <w:r>
        <w:rPr>
          <w:rFonts w:eastAsia="Times New Roman"/>
          <w:lang w:eastAsia="en-GB"/>
        </w:rPr>
        <w:t>Secure older people</w:t>
      </w:r>
      <w:r w:rsidRPr="00BC198B">
        <w:rPr>
          <w:rFonts w:eastAsia="Times New Roman"/>
          <w:lang w:eastAsia="en-GB"/>
        </w:rPr>
        <w:t xml:space="preserve"> (4%)</w:t>
      </w:r>
    </w:p>
    <w:p w:rsidR="000C02C2" w:rsidRDefault="000C02C2" w:rsidP="00BC4152">
      <w:pPr>
        <w:jc w:val="both"/>
        <w:rPr>
          <w:rFonts w:ascii="Calibri" w:eastAsia="Times New Roman" w:hAnsi="Calibri" w:cs="Times New Roman"/>
          <w:color w:val="000000"/>
          <w:lang w:eastAsia="en-GB"/>
        </w:rPr>
      </w:pPr>
      <w:r>
        <w:rPr>
          <w:rFonts w:ascii="Calibri" w:eastAsia="Times New Roman" w:hAnsi="Calibri" w:cs="Times New Roman"/>
          <w:color w:val="000000"/>
          <w:lang w:eastAsia="en-GB"/>
        </w:rPr>
        <w:t>These households are c</w:t>
      </w:r>
      <w:r w:rsidRPr="00B22329">
        <w:rPr>
          <w:rFonts w:ascii="Calibri" w:eastAsia="Times New Roman" w:hAnsi="Calibri" w:cs="Times New Roman"/>
          <w:color w:val="000000"/>
          <w:lang w:eastAsia="en-GB"/>
        </w:rPr>
        <w:t>omfortably retired, well settled, established</w:t>
      </w:r>
      <w:r>
        <w:rPr>
          <w:rFonts w:ascii="Calibri" w:eastAsia="Times New Roman" w:hAnsi="Calibri" w:cs="Times New Roman"/>
          <w:color w:val="000000"/>
          <w:lang w:eastAsia="en-GB"/>
        </w:rPr>
        <w:t xml:space="preserve"> </w:t>
      </w:r>
      <w:r w:rsidRPr="00B22329">
        <w:rPr>
          <w:rFonts w:ascii="Calibri" w:eastAsia="Times New Roman" w:hAnsi="Calibri" w:cs="Times New Roman"/>
          <w:color w:val="000000"/>
          <w:lang w:eastAsia="en-GB"/>
        </w:rPr>
        <w:t>couples or widowed singles of mixed</w:t>
      </w:r>
      <w:r w:rsidR="00140AF6">
        <w:rPr>
          <w:rFonts w:ascii="Calibri" w:eastAsia="Times New Roman" w:hAnsi="Calibri" w:cs="Times New Roman"/>
          <w:color w:val="000000"/>
          <w:lang w:eastAsia="en-GB"/>
        </w:rPr>
        <w:t xml:space="preserve"> former</w:t>
      </w:r>
      <w:r w:rsidRPr="00B22329">
        <w:rPr>
          <w:rFonts w:ascii="Calibri" w:eastAsia="Times New Roman" w:hAnsi="Calibri" w:cs="Times New Roman"/>
          <w:color w:val="000000"/>
          <w:lang w:eastAsia="en-GB"/>
        </w:rPr>
        <w:t xml:space="preserve"> occupations</w:t>
      </w:r>
      <w:r>
        <w:rPr>
          <w:rFonts w:ascii="Calibri" w:eastAsia="Times New Roman" w:hAnsi="Calibri" w:cs="Times New Roman"/>
          <w:color w:val="000000"/>
          <w:lang w:eastAsia="en-GB"/>
        </w:rPr>
        <w:t xml:space="preserve"> who own </w:t>
      </w:r>
      <w:r w:rsidRPr="00B22329">
        <w:rPr>
          <w:rFonts w:ascii="Calibri" w:eastAsia="Times New Roman" w:hAnsi="Calibri" w:cs="Times New Roman"/>
          <w:color w:val="000000"/>
          <w:lang w:eastAsia="en-GB"/>
        </w:rPr>
        <w:t>modest properties</w:t>
      </w:r>
      <w:r>
        <w:rPr>
          <w:rFonts w:ascii="Calibri" w:eastAsia="Times New Roman" w:hAnsi="Calibri" w:cs="Times New Roman"/>
          <w:color w:val="000000"/>
          <w:lang w:eastAsia="en-GB"/>
        </w:rPr>
        <w:t>.</w:t>
      </w:r>
      <w:r w:rsidRPr="00B22329">
        <w:rPr>
          <w:rFonts w:ascii="Calibri" w:eastAsia="Times New Roman" w:hAnsi="Calibri" w:cs="Times New Roman"/>
          <w:color w:val="000000"/>
          <w:lang w:eastAsia="en-GB"/>
        </w:rPr>
        <w:t xml:space="preserve"> </w:t>
      </w:r>
      <w:r>
        <w:rPr>
          <w:rFonts w:ascii="Calibri" w:eastAsia="Times New Roman" w:hAnsi="Calibri" w:cs="Times New Roman"/>
          <w:color w:val="000000"/>
          <w:lang w:eastAsia="en-GB"/>
        </w:rPr>
        <w:t>Aged over 55, they have an income between £20,000 and £30,000. They are a health aware group and often spend their time gardening. With 83.7% reporting good health and a further 11.7% fairly good health, they fall into the second quartile of healthiest Barnet residents.</w:t>
      </w:r>
    </w:p>
    <w:p w:rsidR="000C02C2" w:rsidRPr="00BC198B" w:rsidRDefault="000C02C2" w:rsidP="000C02C2">
      <w:pPr>
        <w:pStyle w:val="Heading3"/>
        <w:rPr>
          <w:rFonts w:eastAsia="Times New Roman"/>
          <w:lang w:eastAsia="en-GB"/>
        </w:rPr>
      </w:pPr>
      <w:r w:rsidRPr="00B8441F">
        <w:rPr>
          <w:rFonts w:eastAsia="Times New Roman"/>
          <w:lang w:eastAsia="en-GB"/>
        </w:rPr>
        <w:t>Contended Greys</w:t>
      </w:r>
      <w:r w:rsidRPr="00BC198B">
        <w:rPr>
          <w:rFonts w:eastAsia="Times New Roman"/>
          <w:lang w:eastAsia="en-GB"/>
        </w:rPr>
        <w:t xml:space="preserve"> (4%)</w:t>
      </w:r>
    </w:p>
    <w:p w:rsidR="000C02C2" w:rsidRDefault="000C02C2" w:rsidP="00BC4152">
      <w:pPr>
        <w:jc w:val="both"/>
        <w:rPr>
          <w:rFonts w:ascii="Calibri" w:eastAsia="Times New Roman" w:hAnsi="Calibri" w:cs="Times New Roman"/>
          <w:color w:val="000000"/>
          <w:lang w:eastAsia="en-GB"/>
        </w:rPr>
      </w:pPr>
      <w:r>
        <w:rPr>
          <w:rFonts w:ascii="Calibri" w:eastAsia="Times New Roman" w:hAnsi="Calibri" w:cs="Times New Roman"/>
          <w:color w:val="000000"/>
          <w:lang w:eastAsia="en-GB"/>
        </w:rPr>
        <w:t>These are e</w:t>
      </w:r>
      <w:r w:rsidRPr="000272A7">
        <w:rPr>
          <w:rFonts w:ascii="Calibri" w:eastAsia="Times New Roman" w:hAnsi="Calibri" w:cs="Times New Roman"/>
          <w:color w:val="000000"/>
          <w:lang w:eastAsia="en-GB"/>
        </w:rPr>
        <w:t>mpty house and full wallet</w:t>
      </w:r>
      <w:r>
        <w:rPr>
          <w:rFonts w:ascii="Calibri" w:eastAsia="Times New Roman" w:hAnsi="Calibri" w:cs="Times New Roman"/>
          <w:color w:val="000000"/>
          <w:lang w:eastAsia="en-GB"/>
        </w:rPr>
        <w:t xml:space="preserve"> households of </w:t>
      </w:r>
      <w:r w:rsidRPr="000272A7">
        <w:rPr>
          <w:rFonts w:ascii="Calibri" w:eastAsia="Times New Roman" w:hAnsi="Calibri" w:cs="Times New Roman"/>
          <w:color w:val="000000"/>
          <w:lang w:eastAsia="en-GB"/>
        </w:rPr>
        <w:t>educated, settled</w:t>
      </w:r>
      <w:r>
        <w:rPr>
          <w:rFonts w:ascii="Calibri" w:eastAsia="Times New Roman" w:hAnsi="Calibri" w:cs="Times New Roman"/>
          <w:color w:val="000000"/>
          <w:lang w:eastAsia="en-GB"/>
        </w:rPr>
        <w:t xml:space="preserve"> </w:t>
      </w:r>
      <w:r w:rsidRPr="000272A7">
        <w:rPr>
          <w:rFonts w:ascii="Calibri" w:eastAsia="Times New Roman" w:hAnsi="Calibri" w:cs="Times New Roman"/>
          <w:color w:val="000000"/>
          <w:lang w:eastAsia="en-GB"/>
        </w:rPr>
        <w:t>couples, either reaching or starting to enjoy their</w:t>
      </w:r>
      <w:r>
        <w:rPr>
          <w:rFonts w:ascii="Calibri" w:eastAsia="Times New Roman" w:hAnsi="Calibri" w:cs="Times New Roman"/>
          <w:color w:val="000000"/>
          <w:lang w:eastAsia="en-GB"/>
        </w:rPr>
        <w:t xml:space="preserve"> </w:t>
      </w:r>
      <w:r w:rsidRPr="000272A7">
        <w:rPr>
          <w:rFonts w:ascii="Calibri" w:eastAsia="Times New Roman" w:hAnsi="Calibri" w:cs="Times New Roman"/>
          <w:color w:val="000000"/>
          <w:lang w:eastAsia="en-GB"/>
        </w:rPr>
        <w:t>retirement years</w:t>
      </w:r>
      <w:r>
        <w:rPr>
          <w:rFonts w:ascii="Calibri" w:eastAsia="Times New Roman" w:hAnsi="Calibri" w:cs="Times New Roman"/>
          <w:color w:val="000000"/>
          <w:lang w:eastAsia="en-GB"/>
        </w:rPr>
        <w:t xml:space="preserve">. Aged 45 to 65, they usually have an income of over £40,000 and own large, expensive homes. They like to keep active and often spend their leisure time </w:t>
      </w:r>
      <w:r w:rsidRPr="000272A7">
        <w:rPr>
          <w:rFonts w:ascii="Calibri" w:eastAsia="Times New Roman" w:hAnsi="Calibri" w:cs="Times New Roman"/>
          <w:color w:val="000000"/>
          <w:lang w:eastAsia="en-GB"/>
        </w:rPr>
        <w:t xml:space="preserve">travelling, </w:t>
      </w:r>
      <w:r>
        <w:rPr>
          <w:rFonts w:ascii="Calibri" w:eastAsia="Times New Roman" w:hAnsi="Calibri" w:cs="Times New Roman"/>
          <w:color w:val="000000"/>
          <w:lang w:eastAsia="en-GB"/>
        </w:rPr>
        <w:t>gardening and playing golf. An impressive proportion enjoys good (84.8%) and fairly good (10.9%) health, placing them in the top quartile of most healthy Barnet residents.</w:t>
      </w:r>
    </w:p>
    <w:p w:rsidR="000C02C2" w:rsidRPr="00BC198B" w:rsidRDefault="00140AF6" w:rsidP="000C02C2">
      <w:pPr>
        <w:pStyle w:val="Heading3"/>
        <w:rPr>
          <w:rFonts w:eastAsia="Times New Roman"/>
          <w:lang w:eastAsia="en-GB"/>
        </w:rPr>
      </w:pPr>
      <w:r>
        <w:rPr>
          <w:rFonts w:eastAsia="Times New Roman"/>
          <w:lang w:eastAsia="en-GB"/>
        </w:rPr>
        <w:t>Low I</w:t>
      </w:r>
      <w:r w:rsidR="000C02C2">
        <w:rPr>
          <w:rFonts w:eastAsia="Times New Roman"/>
          <w:lang w:eastAsia="en-GB"/>
        </w:rPr>
        <w:t xml:space="preserve">ncome </w:t>
      </w:r>
      <w:r>
        <w:rPr>
          <w:rFonts w:eastAsia="Times New Roman"/>
          <w:lang w:eastAsia="en-GB"/>
        </w:rPr>
        <w:t>S</w:t>
      </w:r>
      <w:r w:rsidR="000C02C2">
        <w:rPr>
          <w:rFonts w:eastAsia="Times New Roman"/>
          <w:lang w:eastAsia="en-GB"/>
        </w:rPr>
        <w:t>ingles</w:t>
      </w:r>
      <w:r w:rsidR="000C02C2" w:rsidRPr="00BC198B">
        <w:rPr>
          <w:rFonts w:eastAsia="Times New Roman"/>
          <w:lang w:eastAsia="en-GB"/>
        </w:rPr>
        <w:t xml:space="preserve"> (3%)</w:t>
      </w:r>
    </w:p>
    <w:p w:rsidR="000C02C2" w:rsidRDefault="000C02C2" w:rsidP="00BC4152">
      <w:pPr>
        <w:jc w:val="both"/>
        <w:rPr>
          <w:rFonts w:ascii="Calibri" w:eastAsia="Times New Roman" w:hAnsi="Calibri" w:cs="Times New Roman"/>
          <w:color w:val="000000"/>
          <w:lang w:eastAsia="en-GB"/>
        </w:rPr>
      </w:pPr>
      <w:r>
        <w:rPr>
          <w:rFonts w:ascii="Calibri" w:eastAsia="Times New Roman" w:hAnsi="Calibri" w:cs="Times New Roman"/>
          <w:color w:val="000000"/>
          <w:lang w:eastAsia="en-GB"/>
        </w:rPr>
        <w:t>These are households of f</w:t>
      </w:r>
      <w:r w:rsidRPr="00D112F9">
        <w:rPr>
          <w:rFonts w:ascii="Calibri" w:eastAsia="Times New Roman" w:hAnsi="Calibri" w:cs="Times New Roman"/>
          <w:color w:val="000000"/>
          <w:lang w:eastAsia="en-GB"/>
        </w:rPr>
        <w:t>inancially constrained, blue collar or unemployed,</w:t>
      </w:r>
      <w:r>
        <w:rPr>
          <w:rFonts w:ascii="Calibri" w:eastAsia="Times New Roman" w:hAnsi="Calibri" w:cs="Times New Roman"/>
          <w:color w:val="000000"/>
          <w:lang w:eastAsia="en-GB"/>
        </w:rPr>
        <w:t xml:space="preserve"> </w:t>
      </w:r>
      <w:r w:rsidR="00140AF6">
        <w:rPr>
          <w:rFonts w:ascii="Calibri" w:eastAsia="Times New Roman" w:hAnsi="Calibri" w:cs="Times New Roman"/>
          <w:color w:val="000000"/>
          <w:lang w:eastAsia="en-GB"/>
        </w:rPr>
        <w:t>single residents</w:t>
      </w:r>
      <w:r>
        <w:rPr>
          <w:rFonts w:ascii="Calibri" w:eastAsia="Times New Roman" w:hAnsi="Calibri" w:cs="Times New Roman"/>
          <w:color w:val="000000"/>
          <w:lang w:eastAsia="en-GB"/>
        </w:rPr>
        <w:t xml:space="preserve"> who are r</w:t>
      </w:r>
      <w:r w:rsidRPr="00D112F9">
        <w:rPr>
          <w:rFonts w:ascii="Calibri" w:eastAsia="Times New Roman" w:hAnsi="Calibri" w:cs="Times New Roman"/>
          <w:color w:val="000000"/>
          <w:lang w:eastAsia="en-GB"/>
        </w:rPr>
        <w:t>enting low quality hou</w:t>
      </w:r>
      <w:r>
        <w:rPr>
          <w:rFonts w:ascii="Calibri" w:eastAsia="Times New Roman" w:hAnsi="Calibri" w:cs="Times New Roman"/>
          <w:color w:val="000000"/>
          <w:lang w:eastAsia="en-GB"/>
        </w:rPr>
        <w:t xml:space="preserve">sing or living in council homes. They are generally aged 40 to 65, mostly living alone, with an income below £20,000 and often </w:t>
      </w:r>
      <w:r w:rsidR="00140AF6">
        <w:rPr>
          <w:rFonts w:ascii="Calibri" w:eastAsia="Times New Roman" w:hAnsi="Calibri" w:cs="Times New Roman"/>
          <w:color w:val="000000"/>
          <w:lang w:eastAsia="en-GB"/>
        </w:rPr>
        <w:t>in receipt of</w:t>
      </w:r>
      <w:r>
        <w:rPr>
          <w:rFonts w:ascii="Calibri" w:eastAsia="Times New Roman" w:hAnsi="Calibri" w:cs="Times New Roman"/>
          <w:color w:val="000000"/>
          <w:lang w:eastAsia="en-GB"/>
        </w:rPr>
        <w:t xml:space="preserve"> benefits. Among this non-sporty group </w:t>
      </w:r>
      <w:r>
        <w:rPr>
          <w:rFonts w:ascii="Calibri" w:eastAsia="Times New Roman" w:hAnsi="Calibri" w:cs="Times New Roman"/>
          <w:color w:val="000000"/>
          <w:lang w:eastAsia="en-GB"/>
        </w:rPr>
        <w:lastRenderedPageBreak/>
        <w:t xml:space="preserve">the proportion of residents who report poor health is rather high (5.78%), placing them in the highest group of least healthy Barnet segments. </w:t>
      </w:r>
    </w:p>
    <w:p w:rsidR="000C02C2" w:rsidRPr="00BC198B" w:rsidRDefault="00140AF6" w:rsidP="000C02C2">
      <w:pPr>
        <w:pStyle w:val="Heading3"/>
        <w:rPr>
          <w:rFonts w:eastAsia="Times New Roman"/>
          <w:lang w:eastAsia="en-GB"/>
        </w:rPr>
      </w:pPr>
      <w:r>
        <w:rPr>
          <w:rFonts w:eastAsia="Times New Roman"/>
          <w:lang w:eastAsia="en-GB"/>
        </w:rPr>
        <w:t>Well E</w:t>
      </w:r>
      <w:r w:rsidR="000C02C2">
        <w:rPr>
          <w:rFonts w:eastAsia="Times New Roman"/>
          <w:lang w:eastAsia="en-GB"/>
        </w:rPr>
        <w:t xml:space="preserve">ducated and </w:t>
      </w:r>
      <w:r>
        <w:rPr>
          <w:rFonts w:eastAsia="Times New Roman"/>
          <w:lang w:eastAsia="en-GB"/>
        </w:rPr>
        <w:t>Employed Single P</w:t>
      </w:r>
      <w:r w:rsidR="000C02C2">
        <w:rPr>
          <w:rFonts w:eastAsia="Times New Roman"/>
          <w:lang w:eastAsia="en-GB"/>
        </w:rPr>
        <w:t>arents</w:t>
      </w:r>
      <w:r w:rsidR="000C02C2" w:rsidRPr="00BC198B">
        <w:rPr>
          <w:rFonts w:eastAsia="Times New Roman"/>
          <w:lang w:eastAsia="en-GB"/>
        </w:rPr>
        <w:t xml:space="preserve"> (2%)</w:t>
      </w:r>
    </w:p>
    <w:p w:rsidR="000C02C2" w:rsidRDefault="000C02C2" w:rsidP="00BC4152">
      <w:pPr>
        <w:jc w:val="both"/>
        <w:rPr>
          <w:rFonts w:ascii="Calibri" w:eastAsia="Times New Roman" w:hAnsi="Calibri" w:cs="Times New Roman"/>
          <w:color w:val="000000"/>
          <w:lang w:eastAsia="en-GB"/>
        </w:rPr>
      </w:pPr>
      <w:r>
        <w:rPr>
          <w:rFonts w:ascii="Calibri" w:eastAsia="Times New Roman" w:hAnsi="Calibri" w:cs="Times New Roman"/>
          <w:color w:val="000000"/>
          <w:lang w:eastAsia="en-GB"/>
        </w:rPr>
        <w:t>The residents in this segment are f</w:t>
      </w:r>
      <w:r w:rsidRPr="00F92E55">
        <w:rPr>
          <w:rFonts w:ascii="Calibri" w:eastAsia="Times New Roman" w:hAnsi="Calibri" w:cs="Times New Roman"/>
          <w:color w:val="000000"/>
          <w:lang w:eastAsia="en-GB"/>
        </w:rPr>
        <w:t>inancially secure, educated, working single</w:t>
      </w:r>
      <w:r>
        <w:rPr>
          <w:rFonts w:ascii="Calibri" w:eastAsia="Times New Roman" w:hAnsi="Calibri" w:cs="Times New Roman"/>
          <w:color w:val="000000"/>
          <w:lang w:eastAsia="en-GB"/>
        </w:rPr>
        <w:t xml:space="preserve"> </w:t>
      </w:r>
      <w:r w:rsidRPr="00F92E55">
        <w:rPr>
          <w:rFonts w:ascii="Calibri" w:eastAsia="Times New Roman" w:hAnsi="Calibri" w:cs="Times New Roman"/>
          <w:color w:val="000000"/>
          <w:lang w:eastAsia="en-GB"/>
        </w:rPr>
        <w:t>parents</w:t>
      </w:r>
      <w:r>
        <w:rPr>
          <w:rFonts w:ascii="Calibri" w:eastAsia="Times New Roman" w:hAnsi="Calibri" w:cs="Times New Roman"/>
          <w:color w:val="000000"/>
          <w:lang w:eastAsia="en-GB"/>
        </w:rPr>
        <w:t xml:space="preserve"> who share or own </w:t>
      </w:r>
      <w:r w:rsidRPr="00F92E55">
        <w:rPr>
          <w:rFonts w:ascii="Calibri" w:eastAsia="Times New Roman" w:hAnsi="Calibri" w:cs="Times New Roman"/>
          <w:color w:val="000000"/>
          <w:lang w:eastAsia="en-GB"/>
        </w:rPr>
        <w:t>high value properties</w:t>
      </w:r>
      <w:r>
        <w:rPr>
          <w:rFonts w:ascii="Calibri" w:eastAsia="Times New Roman" w:hAnsi="Calibri" w:cs="Times New Roman"/>
          <w:color w:val="000000"/>
          <w:lang w:eastAsia="en-GB"/>
        </w:rPr>
        <w:t>.</w:t>
      </w:r>
      <w:r w:rsidRPr="00F92E55">
        <w:rPr>
          <w:rFonts w:ascii="Calibri" w:eastAsia="Times New Roman" w:hAnsi="Calibri" w:cs="Times New Roman"/>
          <w:color w:val="000000"/>
          <w:lang w:eastAsia="en-GB"/>
        </w:rPr>
        <w:t xml:space="preserve"> </w:t>
      </w:r>
      <w:r>
        <w:rPr>
          <w:rFonts w:ascii="Calibri" w:eastAsia="Times New Roman" w:hAnsi="Calibri" w:cs="Times New Roman"/>
          <w:color w:val="000000"/>
          <w:lang w:eastAsia="en-GB"/>
        </w:rPr>
        <w:t xml:space="preserve">Their age ranges between 20 and 45 and their income is usually over £30,000. They enjoy spending time with their kids and travelling. A </w:t>
      </w:r>
      <w:r w:rsidRPr="00F92E55">
        <w:rPr>
          <w:rFonts w:ascii="Calibri" w:eastAsia="Times New Roman" w:hAnsi="Calibri" w:cs="Times New Roman"/>
          <w:color w:val="000000"/>
          <w:lang w:eastAsia="en-GB"/>
        </w:rPr>
        <w:t>health aware</w:t>
      </w:r>
      <w:r>
        <w:rPr>
          <w:rFonts w:ascii="Calibri" w:eastAsia="Times New Roman" w:hAnsi="Calibri" w:cs="Times New Roman"/>
          <w:color w:val="000000"/>
          <w:lang w:eastAsia="en-GB"/>
        </w:rPr>
        <w:t xml:space="preserve"> group, they mostly enjoy a good (85.5%) and fairly good (10.3%) health, being among the top quartile of healthiest segments in the borough.</w:t>
      </w:r>
    </w:p>
    <w:p w:rsidR="000C02C2" w:rsidRPr="00BC198B" w:rsidRDefault="000C02C2" w:rsidP="000C02C2">
      <w:pPr>
        <w:pStyle w:val="Heading3"/>
        <w:rPr>
          <w:rFonts w:eastAsia="Times New Roman"/>
          <w:lang w:eastAsia="en-GB"/>
        </w:rPr>
      </w:pPr>
      <w:r>
        <w:rPr>
          <w:rFonts w:eastAsia="Times New Roman"/>
          <w:lang w:eastAsia="en-GB"/>
        </w:rPr>
        <w:t xml:space="preserve">Financially </w:t>
      </w:r>
      <w:r w:rsidR="00140AF6">
        <w:rPr>
          <w:rFonts w:eastAsia="Times New Roman"/>
          <w:lang w:eastAsia="en-GB"/>
        </w:rPr>
        <w:t>Restricted Single S</w:t>
      </w:r>
      <w:r>
        <w:rPr>
          <w:rFonts w:eastAsia="Times New Roman"/>
          <w:lang w:eastAsia="en-GB"/>
        </w:rPr>
        <w:t xml:space="preserve">tudents and </w:t>
      </w:r>
      <w:r w:rsidR="00140AF6">
        <w:rPr>
          <w:rFonts w:eastAsia="Times New Roman"/>
          <w:lang w:eastAsia="en-GB"/>
        </w:rPr>
        <w:t>F</w:t>
      </w:r>
      <w:r>
        <w:rPr>
          <w:rFonts w:eastAsia="Times New Roman"/>
          <w:lang w:eastAsia="en-GB"/>
        </w:rPr>
        <w:t>riends</w:t>
      </w:r>
      <w:r w:rsidRPr="00BC198B">
        <w:rPr>
          <w:rFonts w:eastAsia="Times New Roman"/>
          <w:lang w:eastAsia="en-GB"/>
        </w:rPr>
        <w:t xml:space="preserve"> (2%)</w:t>
      </w:r>
    </w:p>
    <w:p w:rsidR="000C02C2" w:rsidRDefault="000C02C2" w:rsidP="00BC4152">
      <w:pPr>
        <w:jc w:val="both"/>
        <w:rPr>
          <w:rFonts w:ascii="Calibri" w:eastAsia="Times New Roman" w:hAnsi="Calibri" w:cs="Times New Roman"/>
          <w:color w:val="000000"/>
          <w:lang w:eastAsia="en-GB"/>
        </w:rPr>
      </w:pPr>
      <w:r>
        <w:rPr>
          <w:rFonts w:ascii="Calibri" w:eastAsia="Times New Roman" w:hAnsi="Calibri" w:cs="Times New Roman"/>
          <w:color w:val="000000"/>
          <w:lang w:eastAsia="en-GB"/>
        </w:rPr>
        <w:t>These residents are f</w:t>
      </w:r>
      <w:r w:rsidRPr="007861F3">
        <w:rPr>
          <w:rFonts w:ascii="Calibri" w:eastAsia="Times New Roman" w:hAnsi="Calibri" w:cs="Times New Roman"/>
          <w:color w:val="000000"/>
          <w:lang w:eastAsia="en-GB"/>
        </w:rPr>
        <w:t>inancially limited, young independent singles,</w:t>
      </w:r>
      <w:r>
        <w:rPr>
          <w:rFonts w:ascii="Calibri" w:eastAsia="Times New Roman" w:hAnsi="Calibri" w:cs="Times New Roman"/>
          <w:color w:val="000000"/>
          <w:lang w:eastAsia="en-GB"/>
        </w:rPr>
        <w:t xml:space="preserve"> </w:t>
      </w:r>
      <w:r w:rsidRPr="007861F3">
        <w:rPr>
          <w:rFonts w:ascii="Calibri" w:eastAsia="Times New Roman" w:hAnsi="Calibri" w:cs="Times New Roman"/>
          <w:color w:val="000000"/>
          <w:lang w:eastAsia="en-GB"/>
        </w:rPr>
        <w:t>students and friends living together</w:t>
      </w:r>
      <w:r>
        <w:rPr>
          <w:rFonts w:ascii="Calibri" w:eastAsia="Times New Roman" w:hAnsi="Calibri" w:cs="Times New Roman"/>
          <w:color w:val="000000"/>
          <w:lang w:eastAsia="en-GB"/>
        </w:rPr>
        <w:t xml:space="preserve"> in rented low value properties. They are aged 20 to 45 and have an income of less than £20,000. Although they spend a lot of their leisure time exercising, 5.98% report a poor health, which places them among the least healthy segments.  </w:t>
      </w:r>
    </w:p>
    <w:p w:rsidR="000C02C2" w:rsidRPr="00BC198B" w:rsidRDefault="00140AF6" w:rsidP="000C02C2">
      <w:pPr>
        <w:pStyle w:val="Heading3"/>
        <w:rPr>
          <w:rFonts w:eastAsia="Times New Roman"/>
          <w:lang w:eastAsia="en-GB"/>
        </w:rPr>
      </w:pPr>
      <w:r>
        <w:rPr>
          <w:rFonts w:eastAsia="Times New Roman"/>
          <w:lang w:eastAsia="en-GB"/>
        </w:rPr>
        <w:t>Prosperous Young C</w:t>
      </w:r>
      <w:r w:rsidR="000C02C2">
        <w:rPr>
          <w:rFonts w:eastAsia="Times New Roman"/>
          <w:lang w:eastAsia="en-GB"/>
        </w:rPr>
        <w:t xml:space="preserve">ouples </w:t>
      </w:r>
      <w:proofErr w:type="gramStart"/>
      <w:r>
        <w:rPr>
          <w:rFonts w:eastAsia="Times New Roman"/>
          <w:lang w:eastAsia="en-GB"/>
        </w:rPr>
        <w:t>Without</w:t>
      </w:r>
      <w:proofErr w:type="gramEnd"/>
      <w:r>
        <w:rPr>
          <w:rFonts w:eastAsia="Times New Roman"/>
          <w:lang w:eastAsia="en-GB"/>
        </w:rPr>
        <w:t xml:space="preserve"> K</w:t>
      </w:r>
      <w:r w:rsidR="000C02C2">
        <w:rPr>
          <w:rFonts w:eastAsia="Times New Roman"/>
          <w:lang w:eastAsia="en-GB"/>
        </w:rPr>
        <w:t>ids</w:t>
      </w:r>
      <w:r w:rsidR="000C02C2" w:rsidRPr="00BC198B">
        <w:rPr>
          <w:rFonts w:eastAsia="Times New Roman"/>
          <w:lang w:eastAsia="en-GB"/>
        </w:rPr>
        <w:t xml:space="preserve"> (2%)</w:t>
      </w:r>
    </w:p>
    <w:p w:rsidR="000C02C2" w:rsidRDefault="000C02C2" w:rsidP="00BC4152">
      <w:pPr>
        <w:jc w:val="both"/>
        <w:rPr>
          <w:rFonts w:ascii="Calibri" w:eastAsia="Times New Roman" w:hAnsi="Calibri" w:cs="Times New Roman"/>
          <w:color w:val="000000"/>
          <w:lang w:eastAsia="en-GB"/>
        </w:rPr>
      </w:pPr>
      <w:r>
        <w:rPr>
          <w:rFonts w:ascii="Calibri" w:eastAsia="Times New Roman" w:hAnsi="Calibri" w:cs="Times New Roman"/>
          <w:color w:val="000000"/>
          <w:lang w:eastAsia="en-GB"/>
        </w:rPr>
        <w:t>These are e</w:t>
      </w:r>
      <w:r w:rsidRPr="002F3DFC">
        <w:rPr>
          <w:rFonts w:ascii="Calibri" w:eastAsia="Times New Roman" w:hAnsi="Calibri" w:cs="Times New Roman"/>
          <w:color w:val="000000"/>
          <w:lang w:eastAsia="en-GB"/>
        </w:rPr>
        <w:t>xtremely affluent</w:t>
      </w:r>
      <w:r>
        <w:rPr>
          <w:rFonts w:ascii="Calibri" w:eastAsia="Times New Roman" w:hAnsi="Calibri" w:cs="Times New Roman"/>
          <w:color w:val="000000"/>
          <w:lang w:eastAsia="en-GB"/>
        </w:rPr>
        <w:t xml:space="preserve"> households of </w:t>
      </w:r>
      <w:r w:rsidRPr="002F3DFC">
        <w:rPr>
          <w:rFonts w:ascii="Calibri" w:eastAsia="Times New Roman" w:hAnsi="Calibri" w:cs="Times New Roman"/>
          <w:color w:val="000000"/>
          <w:lang w:eastAsia="en-GB"/>
        </w:rPr>
        <w:t>educated young couples with</w:t>
      </w:r>
      <w:r>
        <w:rPr>
          <w:rFonts w:ascii="Calibri" w:eastAsia="Times New Roman" w:hAnsi="Calibri" w:cs="Times New Roman"/>
          <w:color w:val="000000"/>
          <w:lang w:eastAsia="en-GB"/>
        </w:rPr>
        <w:t xml:space="preserve"> </w:t>
      </w:r>
      <w:r w:rsidRPr="002F3DFC">
        <w:rPr>
          <w:rFonts w:ascii="Calibri" w:eastAsia="Times New Roman" w:hAnsi="Calibri" w:cs="Times New Roman"/>
          <w:color w:val="000000"/>
          <w:lang w:eastAsia="en-GB"/>
        </w:rPr>
        <w:t>dual incomes and no kids</w:t>
      </w:r>
      <w:r>
        <w:rPr>
          <w:rFonts w:ascii="Calibri" w:eastAsia="Times New Roman" w:hAnsi="Calibri" w:cs="Times New Roman"/>
          <w:color w:val="000000"/>
          <w:lang w:eastAsia="en-GB"/>
        </w:rPr>
        <w:t xml:space="preserve"> who l</w:t>
      </w:r>
      <w:r w:rsidRPr="002F3DFC">
        <w:rPr>
          <w:rFonts w:ascii="Calibri" w:eastAsia="Times New Roman" w:hAnsi="Calibri" w:cs="Times New Roman"/>
          <w:color w:val="000000"/>
          <w:lang w:eastAsia="en-GB"/>
        </w:rPr>
        <w:t>ive in mortgaged medium to high value properties</w:t>
      </w:r>
      <w:r>
        <w:rPr>
          <w:rFonts w:ascii="Calibri" w:eastAsia="Times New Roman" w:hAnsi="Calibri" w:cs="Times New Roman"/>
          <w:color w:val="000000"/>
          <w:lang w:eastAsia="en-GB"/>
        </w:rPr>
        <w:t xml:space="preserve">. Aged 25 to 45, they often earn over £50,000. They are a health aware group and enjoy travelling. With 85.1% reporting a good health and 10.7% a fairly good health, this segment is among the healthiest in Barnet. </w:t>
      </w:r>
    </w:p>
    <w:p w:rsidR="000C02C2" w:rsidRPr="00BC198B" w:rsidRDefault="00140AF6" w:rsidP="000C02C2">
      <w:pPr>
        <w:pStyle w:val="Heading3"/>
        <w:rPr>
          <w:rFonts w:eastAsia="Times New Roman"/>
          <w:lang w:eastAsia="en-GB"/>
        </w:rPr>
      </w:pPr>
      <w:r>
        <w:rPr>
          <w:rFonts w:eastAsia="Times New Roman"/>
          <w:lang w:eastAsia="en-GB"/>
        </w:rPr>
        <w:t>Financially Secure S</w:t>
      </w:r>
      <w:r w:rsidR="000C02C2">
        <w:rPr>
          <w:rFonts w:eastAsia="Times New Roman"/>
          <w:lang w:eastAsia="en-GB"/>
        </w:rPr>
        <w:t>ingles</w:t>
      </w:r>
      <w:r w:rsidR="000C02C2" w:rsidRPr="00BC198B">
        <w:rPr>
          <w:rFonts w:eastAsia="Times New Roman"/>
          <w:lang w:eastAsia="en-GB"/>
        </w:rPr>
        <w:t xml:space="preserve"> (1%)</w:t>
      </w:r>
    </w:p>
    <w:p w:rsidR="000C02C2" w:rsidRDefault="000C02C2" w:rsidP="00BC4152">
      <w:pPr>
        <w:jc w:val="both"/>
        <w:rPr>
          <w:rFonts w:ascii="Calibri" w:eastAsia="Times New Roman" w:hAnsi="Calibri" w:cs="Times New Roman"/>
          <w:color w:val="000000"/>
          <w:lang w:eastAsia="en-GB"/>
        </w:rPr>
      </w:pPr>
      <w:r>
        <w:rPr>
          <w:rFonts w:ascii="Calibri" w:eastAsia="Times New Roman" w:hAnsi="Calibri" w:cs="Times New Roman"/>
          <w:color w:val="000000"/>
          <w:lang w:eastAsia="en-GB"/>
        </w:rPr>
        <w:t>They are f</w:t>
      </w:r>
      <w:r w:rsidRPr="00415E27">
        <w:rPr>
          <w:rFonts w:ascii="Calibri" w:eastAsia="Times New Roman" w:hAnsi="Calibri" w:cs="Times New Roman"/>
          <w:color w:val="000000"/>
          <w:lang w:eastAsia="en-GB"/>
        </w:rPr>
        <w:t>inancially comfortable, educated singles living</w:t>
      </w:r>
      <w:r>
        <w:rPr>
          <w:rFonts w:ascii="Calibri" w:eastAsia="Times New Roman" w:hAnsi="Calibri" w:cs="Times New Roman"/>
          <w:color w:val="000000"/>
          <w:lang w:eastAsia="en-GB"/>
        </w:rPr>
        <w:t xml:space="preserve"> </w:t>
      </w:r>
      <w:r w:rsidRPr="00415E27">
        <w:rPr>
          <w:rFonts w:ascii="Calibri" w:eastAsia="Times New Roman" w:hAnsi="Calibri" w:cs="Times New Roman"/>
          <w:color w:val="000000"/>
          <w:lang w:eastAsia="en-GB"/>
        </w:rPr>
        <w:t>alone</w:t>
      </w:r>
      <w:r>
        <w:rPr>
          <w:rFonts w:ascii="Calibri" w:eastAsia="Times New Roman" w:hAnsi="Calibri" w:cs="Times New Roman"/>
          <w:color w:val="000000"/>
          <w:lang w:eastAsia="en-GB"/>
        </w:rPr>
        <w:t xml:space="preserve"> who rent or own</w:t>
      </w:r>
      <w:r w:rsidRPr="00415E27">
        <w:rPr>
          <w:rFonts w:ascii="Calibri" w:eastAsia="Times New Roman" w:hAnsi="Calibri" w:cs="Times New Roman"/>
          <w:color w:val="000000"/>
          <w:lang w:eastAsia="en-GB"/>
        </w:rPr>
        <w:t xml:space="preserve"> average value properties</w:t>
      </w:r>
      <w:r>
        <w:rPr>
          <w:rFonts w:ascii="Calibri" w:eastAsia="Times New Roman" w:hAnsi="Calibri" w:cs="Times New Roman"/>
          <w:color w:val="000000"/>
          <w:lang w:eastAsia="en-GB"/>
        </w:rPr>
        <w:t xml:space="preserve">. They are aged 25 to 45 and earn in the range of £25,000-£30,000. A health aware group, they spend much of their leisure time exercising. With a moderate 4.64% rating their health as poor, they fall into the second quartile of healthiest Barnet segments. </w:t>
      </w:r>
    </w:p>
    <w:p w:rsidR="000C02C2" w:rsidRPr="00BC198B" w:rsidRDefault="000C02C2" w:rsidP="000C02C2">
      <w:pPr>
        <w:pStyle w:val="Heading3"/>
        <w:rPr>
          <w:rFonts w:eastAsia="Times New Roman"/>
          <w:lang w:eastAsia="en-GB"/>
        </w:rPr>
      </w:pPr>
      <w:r>
        <w:rPr>
          <w:rFonts w:eastAsia="Times New Roman"/>
          <w:lang w:eastAsia="en-GB"/>
        </w:rPr>
        <w:t>Struggli</w:t>
      </w:r>
      <w:r w:rsidR="00140AF6">
        <w:rPr>
          <w:rFonts w:eastAsia="Times New Roman"/>
          <w:lang w:eastAsia="en-GB"/>
        </w:rPr>
        <w:t>ng F</w:t>
      </w:r>
      <w:r>
        <w:rPr>
          <w:rFonts w:eastAsia="Times New Roman"/>
          <w:lang w:eastAsia="en-GB"/>
        </w:rPr>
        <w:t>amilies</w:t>
      </w:r>
      <w:r w:rsidRPr="00BC198B">
        <w:rPr>
          <w:rFonts w:eastAsia="Times New Roman"/>
          <w:lang w:eastAsia="en-GB"/>
        </w:rPr>
        <w:t xml:space="preserve"> (1%)</w:t>
      </w:r>
    </w:p>
    <w:p w:rsidR="000C02C2" w:rsidRDefault="000C02C2" w:rsidP="00BC4152">
      <w:pPr>
        <w:jc w:val="both"/>
        <w:rPr>
          <w:rFonts w:ascii="Calibri" w:eastAsia="Times New Roman" w:hAnsi="Calibri" w:cs="Times New Roman"/>
          <w:color w:val="000000"/>
          <w:lang w:eastAsia="en-GB"/>
        </w:rPr>
      </w:pPr>
      <w:r>
        <w:rPr>
          <w:rFonts w:ascii="Calibri" w:eastAsia="Times New Roman" w:hAnsi="Calibri" w:cs="Times New Roman"/>
          <w:color w:val="000000"/>
          <w:lang w:eastAsia="en-GB"/>
        </w:rPr>
        <w:t>These v</w:t>
      </w:r>
      <w:r w:rsidRPr="003A23F3">
        <w:rPr>
          <w:rFonts w:ascii="Calibri" w:eastAsia="Times New Roman" w:hAnsi="Calibri" w:cs="Times New Roman"/>
          <w:color w:val="000000"/>
          <w:lang w:eastAsia="en-GB"/>
        </w:rPr>
        <w:t>ery low income</w:t>
      </w:r>
      <w:r>
        <w:rPr>
          <w:rFonts w:ascii="Calibri" w:eastAsia="Times New Roman" w:hAnsi="Calibri" w:cs="Times New Roman"/>
          <w:color w:val="000000"/>
          <w:lang w:eastAsia="en-GB"/>
        </w:rPr>
        <w:t xml:space="preserve"> households</w:t>
      </w:r>
      <w:r w:rsidR="00140AF6">
        <w:rPr>
          <w:rFonts w:ascii="Calibri" w:eastAsia="Times New Roman" w:hAnsi="Calibri" w:cs="Times New Roman"/>
          <w:color w:val="000000"/>
          <w:lang w:eastAsia="en-GB"/>
        </w:rPr>
        <w:t>,</w:t>
      </w:r>
      <w:r>
        <w:rPr>
          <w:rFonts w:ascii="Calibri" w:eastAsia="Times New Roman" w:hAnsi="Calibri" w:cs="Times New Roman"/>
          <w:color w:val="000000"/>
          <w:lang w:eastAsia="en-GB"/>
        </w:rPr>
        <w:t xml:space="preserve"> of</w:t>
      </w:r>
      <w:r w:rsidRPr="003A23F3">
        <w:rPr>
          <w:rFonts w:ascii="Calibri" w:eastAsia="Times New Roman" w:hAnsi="Calibri" w:cs="Times New Roman"/>
          <w:color w:val="000000"/>
          <w:lang w:eastAsia="en-GB"/>
        </w:rPr>
        <w:t xml:space="preserve"> blue collar or unemployed</w:t>
      </w:r>
      <w:r>
        <w:rPr>
          <w:rFonts w:ascii="Calibri" w:eastAsia="Times New Roman" w:hAnsi="Calibri" w:cs="Times New Roman"/>
          <w:color w:val="000000"/>
          <w:lang w:eastAsia="en-GB"/>
        </w:rPr>
        <w:t xml:space="preserve"> </w:t>
      </w:r>
      <w:r w:rsidRPr="003A23F3">
        <w:rPr>
          <w:rFonts w:ascii="Calibri" w:eastAsia="Times New Roman" w:hAnsi="Calibri" w:cs="Times New Roman"/>
          <w:color w:val="000000"/>
          <w:lang w:eastAsia="en-GB"/>
        </w:rPr>
        <w:t>families</w:t>
      </w:r>
      <w:r>
        <w:rPr>
          <w:rFonts w:ascii="Calibri" w:eastAsia="Times New Roman" w:hAnsi="Calibri" w:cs="Times New Roman"/>
          <w:color w:val="000000"/>
          <w:lang w:eastAsia="en-GB"/>
        </w:rPr>
        <w:t xml:space="preserve"> with children live in council properties or in owned </w:t>
      </w:r>
      <w:r w:rsidRPr="003A23F3">
        <w:rPr>
          <w:rFonts w:ascii="Calibri" w:eastAsia="Times New Roman" w:hAnsi="Calibri" w:cs="Times New Roman"/>
          <w:color w:val="000000"/>
          <w:lang w:eastAsia="en-GB"/>
        </w:rPr>
        <w:t>low-priced</w:t>
      </w:r>
      <w:r>
        <w:rPr>
          <w:rFonts w:ascii="Calibri" w:eastAsia="Times New Roman" w:hAnsi="Calibri" w:cs="Times New Roman"/>
          <w:color w:val="000000"/>
          <w:lang w:eastAsia="en-GB"/>
        </w:rPr>
        <w:t xml:space="preserve"> </w:t>
      </w:r>
      <w:r w:rsidRPr="003A23F3">
        <w:rPr>
          <w:rFonts w:ascii="Calibri" w:eastAsia="Times New Roman" w:hAnsi="Calibri" w:cs="Times New Roman"/>
          <w:color w:val="000000"/>
          <w:lang w:eastAsia="en-GB"/>
        </w:rPr>
        <w:t>pro</w:t>
      </w:r>
      <w:r>
        <w:rPr>
          <w:rFonts w:ascii="Calibri" w:eastAsia="Times New Roman" w:hAnsi="Calibri" w:cs="Times New Roman"/>
          <w:color w:val="000000"/>
          <w:lang w:eastAsia="en-GB"/>
        </w:rPr>
        <w:t xml:space="preserve">perties. They can be of mixed ages and usually earn below £20,000. </w:t>
      </w:r>
    </w:p>
    <w:p w:rsidR="000C02C2" w:rsidRPr="00BC198B" w:rsidRDefault="000C02C2" w:rsidP="000C02C2">
      <w:pPr>
        <w:pStyle w:val="Heading3"/>
        <w:rPr>
          <w:rFonts w:eastAsia="Times New Roman"/>
          <w:lang w:eastAsia="en-GB"/>
        </w:rPr>
      </w:pPr>
      <w:r>
        <w:rPr>
          <w:rFonts w:eastAsia="Times New Roman"/>
          <w:lang w:eastAsia="en-GB"/>
        </w:rPr>
        <w:t xml:space="preserve">Low </w:t>
      </w:r>
      <w:r w:rsidR="00140AF6">
        <w:rPr>
          <w:rFonts w:eastAsia="Times New Roman"/>
          <w:lang w:eastAsia="en-GB"/>
        </w:rPr>
        <w:t>Income C</w:t>
      </w:r>
      <w:r>
        <w:rPr>
          <w:rFonts w:eastAsia="Times New Roman"/>
          <w:lang w:eastAsia="en-GB"/>
        </w:rPr>
        <w:t>ouples</w:t>
      </w:r>
      <w:r w:rsidRPr="00BC198B">
        <w:rPr>
          <w:rFonts w:eastAsia="Times New Roman"/>
          <w:lang w:eastAsia="en-GB"/>
        </w:rPr>
        <w:t xml:space="preserve"> (1%)</w:t>
      </w:r>
    </w:p>
    <w:p w:rsidR="000C02C2" w:rsidRPr="00B8441F" w:rsidRDefault="000C02C2" w:rsidP="00BC4152">
      <w:pPr>
        <w:jc w:val="both"/>
        <w:rPr>
          <w:rFonts w:ascii="Calibri" w:eastAsia="Times New Roman" w:hAnsi="Calibri" w:cs="Times New Roman"/>
          <w:color w:val="000000"/>
          <w:lang w:eastAsia="en-GB"/>
        </w:rPr>
      </w:pPr>
      <w:r>
        <w:rPr>
          <w:rFonts w:ascii="Calibri" w:eastAsia="Times New Roman" w:hAnsi="Calibri" w:cs="Times New Roman"/>
          <w:color w:val="000000"/>
          <w:lang w:eastAsia="en-GB"/>
        </w:rPr>
        <w:t>These are l</w:t>
      </w:r>
      <w:r w:rsidRPr="000E3B53">
        <w:rPr>
          <w:rFonts w:ascii="Calibri" w:eastAsia="Times New Roman" w:hAnsi="Calibri" w:cs="Times New Roman"/>
          <w:color w:val="000000"/>
          <w:lang w:eastAsia="en-GB"/>
        </w:rPr>
        <w:t>ow income</w:t>
      </w:r>
      <w:r>
        <w:rPr>
          <w:rFonts w:ascii="Calibri" w:eastAsia="Times New Roman" w:hAnsi="Calibri" w:cs="Times New Roman"/>
          <w:color w:val="000000"/>
          <w:lang w:eastAsia="en-GB"/>
        </w:rPr>
        <w:t xml:space="preserve"> households of</w:t>
      </w:r>
      <w:r w:rsidRPr="000E3B53">
        <w:rPr>
          <w:rFonts w:ascii="Calibri" w:eastAsia="Times New Roman" w:hAnsi="Calibri" w:cs="Times New Roman"/>
          <w:color w:val="000000"/>
          <w:lang w:eastAsia="en-GB"/>
        </w:rPr>
        <w:t xml:space="preserve"> blue collar or unemployed couples with no children</w:t>
      </w:r>
      <w:r>
        <w:rPr>
          <w:rFonts w:ascii="Calibri" w:eastAsia="Times New Roman" w:hAnsi="Calibri" w:cs="Times New Roman"/>
          <w:color w:val="000000"/>
          <w:lang w:eastAsia="en-GB"/>
        </w:rPr>
        <w:t xml:space="preserve"> who rent </w:t>
      </w:r>
      <w:r w:rsidRPr="000E3B53">
        <w:rPr>
          <w:rFonts w:ascii="Calibri" w:eastAsia="Times New Roman" w:hAnsi="Calibri" w:cs="Times New Roman"/>
          <w:color w:val="000000"/>
          <w:lang w:eastAsia="en-GB"/>
        </w:rPr>
        <w:t>low price properties or liv</w:t>
      </w:r>
      <w:r>
        <w:rPr>
          <w:rFonts w:ascii="Calibri" w:eastAsia="Times New Roman" w:hAnsi="Calibri" w:cs="Times New Roman"/>
          <w:color w:val="000000"/>
          <w:lang w:eastAsia="en-GB"/>
        </w:rPr>
        <w:t>e</w:t>
      </w:r>
      <w:r w:rsidRPr="000E3B53">
        <w:rPr>
          <w:rFonts w:ascii="Calibri" w:eastAsia="Times New Roman" w:hAnsi="Calibri" w:cs="Times New Roman"/>
          <w:color w:val="000000"/>
          <w:lang w:eastAsia="en-GB"/>
        </w:rPr>
        <w:t xml:space="preserve"> on council</w:t>
      </w:r>
      <w:r>
        <w:rPr>
          <w:rFonts w:ascii="Calibri" w:eastAsia="Times New Roman" w:hAnsi="Calibri" w:cs="Times New Roman"/>
          <w:color w:val="000000"/>
          <w:lang w:eastAsia="en-GB"/>
        </w:rPr>
        <w:t xml:space="preserve"> </w:t>
      </w:r>
      <w:r w:rsidRPr="000E3B53">
        <w:rPr>
          <w:rFonts w:ascii="Calibri" w:eastAsia="Times New Roman" w:hAnsi="Calibri" w:cs="Times New Roman"/>
          <w:color w:val="000000"/>
          <w:lang w:eastAsia="en-GB"/>
        </w:rPr>
        <w:t>estates</w:t>
      </w:r>
      <w:r>
        <w:rPr>
          <w:rFonts w:ascii="Calibri" w:eastAsia="Times New Roman" w:hAnsi="Calibri" w:cs="Times New Roman"/>
          <w:color w:val="000000"/>
          <w:lang w:eastAsia="en-GB"/>
        </w:rPr>
        <w:t xml:space="preserve">. They are generally aged over 40 and earn in the range of £20,000-£30,000, often receiving benefits. This non-sporty group is the least healthy segment in Barnet, with 6.36% of residents reporting poor health.     </w:t>
      </w:r>
    </w:p>
    <w:p w:rsidR="000C02C2" w:rsidRPr="00127ABC" w:rsidRDefault="000C02C2" w:rsidP="000C02C2">
      <w:pPr>
        <w:pStyle w:val="Heading2"/>
      </w:pPr>
      <w:bookmarkStart w:id="559" w:name="_Toc431225152"/>
      <w:r>
        <w:t>Profile of Barnet</w:t>
      </w:r>
      <w:bookmarkEnd w:id="559"/>
    </w:p>
    <w:p w:rsidR="000C02C2" w:rsidRDefault="000C02C2" w:rsidP="00BC4152">
      <w:pPr>
        <w:jc w:val="both"/>
      </w:pPr>
      <w:r>
        <w:t xml:space="preserve">Barnet is older, has a larger proportion of families and has higher household incomes compared to the rest of London. As would be </w:t>
      </w:r>
      <w:r w:rsidRPr="00BC4152">
        <w:rPr>
          <w:rFonts w:ascii="Calibri" w:eastAsia="Times New Roman" w:hAnsi="Calibri" w:cs="Times New Roman"/>
          <w:color w:val="000000"/>
          <w:lang w:eastAsia="en-GB"/>
        </w:rPr>
        <w:t>expected</w:t>
      </w:r>
      <w:r>
        <w:t>, Barnet has a broad similar distribution of segments when compared to its statistical neighbours</w:t>
      </w:r>
      <w:r>
        <w:rPr>
          <w:rStyle w:val="FootnoteReference"/>
        </w:rPr>
        <w:footnoteReference w:id="31"/>
      </w:r>
      <w:r>
        <w:t xml:space="preserve">, though when contrasted against Hounslow and Merton, Barnet’s population is again older and more family oriented. Comparing Barnet to Kingston-upon-Thames, the two </w:t>
      </w:r>
      <w:r w:rsidRPr="00BC4152">
        <w:rPr>
          <w:rFonts w:ascii="Calibri" w:eastAsia="Times New Roman" w:hAnsi="Calibri" w:cs="Times New Roman"/>
          <w:color w:val="000000"/>
          <w:lang w:eastAsia="en-GB"/>
        </w:rPr>
        <w:t>populations</w:t>
      </w:r>
      <w:r>
        <w:t xml:space="preserve"> are very similar. Throughout this document, Barnet is compared to </w:t>
      </w:r>
      <w:r>
        <w:lastRenderedPageBreak/>
        <w:t>statistical neighbours. Kinston-Upon-Thames can be used as an exemplar approach when it outperforms Barnet at addressing certain health problems.</w:t>
      </w:r>
    </w:p>
    <w:p w:rsidR="000C02C2" w:rsidRPr="00127ABC" w:rsidRDefault="000C02C2" w:rsidP="000C02C2">
      <w:pPr>
        <w:pStyle w:val="Caption"/>
        <w:rPr>
          <w:sz w:val="20"/>
          <w:szCs w:val="20"/>
        </w:rPr>
      </w:pPr>
      <w:r>
        <w:t xml:space="preserve">Table </w:t>
      </w:r>
      <w:fldSimple w:instr=" STYLEREF 1 \s ">
        <w:r w:rsidR="001663C2">
          <w:rPr>
            <w:noProof/>
          </w:rPr>
          <w:t>4</w:t>
        </w:r>
      </w:fldSimple>
      <w:r>
        <w:noBreakHyphen/>
      </w:r>
      <w:fldSimple w:instr=" SEQ Table \* ARABIC \s 1 ">
        <w:r w:rsidR="001663C2">
          <w:rPr>
            <w:noProof/>
          </w:rPr>
          <w:t>1</w:t>
        </w:r>
      </w:fldSimple>
      <w:r>
        <w:t xml:space="preserve">: </w:t>
      </w:r>
      <w:r w:rsidRPr="00127ABC">
        <w:rPr>
          <w:sz w:val="20"/>
          <w:szCs w:val="20"/>
        </w:rPr>
        <w:t>Segment composition of Barnet compared to statistical neighbours</w:t>
      </w:r>
    </w:p>
    <w:tbl>
      <w:tblPr>
        <w:tblW w:w="9769" w:type="dxa"/>
        <w:tblInd w:w="-176" w:type="dxa"/>
        <w:tblLook w:val="04A0" w:firstRow="1" w:lastRow="0" w:firstColumn="1" w:lastColumn="0" w:noHBand="0" w:noVBand="1"/>
      </w:tblPr>
      <w:tblGrid>
        <w:gridCol w:w="3261"/>
        <w:gridCol w:w="1308"/>
        <w:gridCol w:w="1300"/>
        <w:gridCol w:w="1300"/>
        <w:gridCol w:w="1300"/>
        <w:gridCol w:w="1300"/>
      </w:tblGrid>
      <w:tr w:rsidR="000C02C2" w:rsidRPr="00093568" w:rsidTr="00093568">
        <w:trPr>
          <w:trHeight w:val="585"/>
        </w:trPr>
        <w:tc>
          <w:tcPr>
            <w:tcW w:w="326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0C02C2" w:rsidRPr="00093568" w:rsidRDefault="000C02C2" w:rsidP="00140AF6">
            <w:pPr>
              <w:spacing w:after="0" w:line="240" w:lineRule="auto"/>
              <w:jc w:val="center"/>
              <w:rPr>
                <w:rFonts w:ascii="Calibri" w:eastAsia="Times New Roman" w:hAnsi="Calibri" w:cs="Times New Roman"/>
                <w:b/>
                <w:bCs/>
                <w:lang w:eastAsia="en-GB"/>
              </w:rPr>
            </w:pPr>
            <w:r w:rsidRPr="00093568">
              <w:rPr>
                <w:rFonts w:ascii="Calibri" w:eastAsia="Times New Roman" w:hAnsi="Calibri" w:cs="Times New Roman"/>
                <w:b/>
                <w:bCs/>
                <w:lang w:eastAsia="en-GB"/>
              </w:rPr>
              <w:t>Customer Segments</w:t>
            </w:r>
          </w:p>
        </w:tc>
        <w:tc>
          <w:tcPr>
            <w:tcW w:w="1308"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0C02C2" w:rsidRPr="00093568" w:rsidRDefault="000C02C2" w:rsidP="00140AF6">
            <w:pPr>
              <w:spacing w:after="0" w:line="240" w:lineRule="auto"/>
              <w:jc w:val="center"/>
              <w:rPr>
                <w:rFonts w:ascii="Calibri" w:eastAsia="Times New Roman" w:hAnsi="Calibri" w:cs="Times New Roman"/>
                <w:b/>
                <w:bCs/>
                <w:lang w:eastAsia="en-GB"/>
              </w:rPr>
            </w:pPr>
            <w:r w:rsidRPr="00093568">
              <w:rPr>
                <w:rFonts w:ascii="Calibri" w:eastAsia="Times New Roman" w:hAnsi="Calibri" w:cs="Times New Roman"/>
                <w:b/>
                <w:bCs/>
                <w:lang w:eastAsia="en-GB"/>
              </w:rPr>
              <w:t>Barnet</w:t>
            </w:r>
          </w:p>
        </w:tc>
        <w:tc>
          <w:tcPr>
            <w:tcW w:w="130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0C02C2" w:rsidRPr="00093568" w:rsidRDefault="000C02C2" w:rsidP="00140AF6">
            <w:pPr>
              <w:spacing w:after="0" w:line="240" w:lineRule="auto"/>
              <w:jc w:val="center"/>
              <w:rPr>
                <w:rFonts w:ascii="Calibri" w:eastAsia="Times New Roman" w:hAnsi="Calibri" w:cs="Times New Roman"/>
                <w:b/>
                <w:bCs/>
                <w:lang w:eastAsia="en-GB"/>
              </w:rPr>
            </w:pPr>
            <w:r w:rsidRPr="00093568">
              <w:rPr>
                <w:rFonts w:ascii="Calibri" w:eastAsia="Times New Roman" w:hAnsi="Calibri" w:cs="Times New Roman"/>
                <w:b/>
                <w:bCs/>
                <w:lang w:eastAsia="en-GB"/>
              </w:rPr>
              <w:t>Hounslow</w:t>
            </w:r>
          </w:p>
        </w:tc>
        <w:tc>
          <w:tcPr>
            <w:tcW w:w="130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0C02C2" w:rsidRPr="00093568" w:rsidRDefault="000C02C2" w:rsidP="00140AF6">
            <w:pPr>
              <w:spacing w:after="0" w:line="240" w:lineRule="auto"/>
              <w:jc w:val="center"/>
              <w:rPr>
                <w:rFonts w:ascii="Calibri" w:eastAsia="Times New Roman" w:hAnsi="Calibri" w:cs="Times New Roman"/>
                <w:b/>
                <w:bCs/>
                <w:lang w:eastAsia="en-GB"/>
              </w:rPr>
            </w:pPr>
            <w:r w:rsidRPr="00093568">
              <w:rPr>
                <w:rFonts w:ascii="Calibri" w:eastAsia="Times New Roman" w:hAnsi="Calibri" w:cs="Times New Roman"/>
                <w:b/>
                <w:bCs/>
                <w:lang w:eastAsia="en-GB"/>
              </w:rPr>
              <w:t>Kingston upon Thames</w:t>
            </w:r>
          </w:p>
        </w:tc>
        <w:tc>
          <w:tcPr>
            <w:tcW w:w="130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0C02C2" w:rsidRPr="00093568" w:rsidRDefault="000C02C2" w:rsidP="00140AF6">
            <w:pPr>
              <w:spacing w:after="0" w:line="240" w:lineRule="auto"/>
              <w:jc w:val="center"/>
              <w:rPr>
                <w:rFonts w:ascii="Calibri" w:eastAsia="Times New Roman" w:hAnsi="Calibri" w:cs="Times New Roman"/>
                <w:b/>
                <w:bCs/>
                <w:lang w:eastAsia="en-GB"/>
              </w:rPr>
            </w:pPr>
            <w:r w:rsidRPr="00093568">
              <w:rPr>
                <w:rFonts w:ascii="Calibri" w:eastAsia="Times New Roman" w:hAnsi="Calibri" w:cs="Times New Roman"/>
                <w:b/>
                <w:bCs/>
                <w:lang w:eastAsia="en-GB"/>
              </w:rPr>
              <w:t>Merton</w:t>
            </w:r>
          </w:p>
        </w:tc>
        <w:tc>
          <w:tcPr>
            <w:tcW w:w="130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0C02C2" w:rsidRPr="00093568" w:rsidRDefault="000C02C2" w:rsidP="00140AF6">
            <w:pPr>
              <w:spacing w:after="0" w:line="240" w:lineRule="auto"/>
              <w:jc w:val="center"/>
              <w:rPr>
                <w:rFonts w:ascii="Calibri" w:eastAsia="Times New Roman" w:hAnsi="Calibri" w:cs="Times New Roman"/>
                <w:b/>
                <w:bCs/>
                <w:lang w:eastAsia="en-GB"/>
              </w:rPr>
            </w:pPr>
            <w:r w:rsidRPr="00093568">
              <w:rPr>
                <w:rFonts w:ascii="Calibri" w:eastAsia="Times New Roman" w:hAnsi="Calibri" w:cs="Times New Roman"/>
                <w:b/>
                <w:bCs/>
                <w:lang w:eastAsia="en-GB"/>
              </w:rPr>
              <w:t>LONDON</w:t>
            </w:r>
          </w:p>
        </w:tc>
      </w:tr>
      <w:tr w:rsidR="000C02C2" w:rsidRPr="00093568" w:rsidTr="00093568">
        <w:trPr>
          <w:trHeight w:val="300"/>
        </w:trPr>
        <w:tc>
          <w:tcPr>
            <w:tcW w:w="3261" w:type="dxa"/>
            <w:tcBorders>
              <w:top w:val="nil"/>
              <w:left w:val="single" w:sz="4" w:space="0" w:color="auto"/>
              <w:bottom w:val="single" w:sz="4" w:space="0" w:color="auto"/>
              <w:right w:val="single" w:sz="4" w:space="0" w:color="auto"/>
            </w:tcBorders>
            <w:shd w:val="clear" w:color="auto" w:fill="auto"/>
            <w:noWrap/>
            <w:vAlign w:val="bottom"/>
            <w:hideMark/>
          </w:tcPr>
          <w:p w:rsidR="000C02C2" w:rsidRPr="00093568" w:rsidRDefault="000C02C2" w:rsidP="00140AF6">
            <w:pPr>
              <w:spacing w:after="0" w:line="240" w:lineRule="auto"/>
              <w:rPr>
                <w:rFonts w:ascii="Calibri" w:eastAsia="Times New Roman" w:hAnsi="Calibri" w:cs="Times New Roman"/>
                <w:lang w:eastAsia="en-GB"/>
              </w:rPr>
            </w:pPr>
            <w:r w:rsidRPr="00093568">
              <w:rPr>
                <w:rFonts w:ascii="Calibri" w:eastAsia="Times New Roman" w:hAnsi="Calibri" w:cs="Times New Roman"/>
                <w:lang w:eastAsia="en-GB"/>
              </w:rPr>
              <w:t xml:space="preserve">A - Affluent </w:t>
            </w:r>
            <w:r w:rsidR="00140AF6" w:rsidRPr="00093568">
              <w:rPr>
                <w:rFonts w:ascii="Calibri" w:eastAsia="Times New Roman" w:hAnsi="Calibri" w:cs="Times New Roman"/>
                <w:lang w:eastAsia="en-GB"/>
              </w:rPr>
              <w:t>s</w:t>
            </w:r>
            <w:r w:rsidRPr="00093568">
              <w:rPr>
                <w:rFonts w:ascii="Calibri" w:eastAsia="Times New Roman" w:hAnsi="Calibri" w:cs="Times New Roman"/>
                <w:lang w:eastAsia="en-GB"/>
              </w:rPr>
              <w:t>ingles</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7.59%</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8.44%</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9.44%</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8.42%</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7.85%</w:t>
            </w:r>
          </w:p>
        </w:tc>
      </w:tr>
      <w:tr w:rsidR="000C02C2" w:rsidRPr="00093568" w:rsidTr="00093568">
        <w:trPr>
          <w:trHeight w:val="300"/>
        </w:trPr>
        <w:tc>
          <w:tcPr>
            <w:tcW w:w="3261" w:type="dxa"/>
            <w:tcBorders>
              <w:top w:val="nil"/>
              <w:left w:val="single" w:sz="4" w:space="0" w:color="auto"/>
              <w:bottom w:val="single" w:sz="4" w:space="0" w:color="auto"/>
              <w:right w:val="single" w:sz="4" w:space="0" w:color="auto"/>
            </w:tcBorders>
            <w:shd w:val="clear" w:color="auto" w:fill="auto"/>
            <w:noWrap/>
            <w:vAlign w:val="bottom"/>
            <w:hideMark/>
          </w:tcPr>
          <w:p w:rsidR="000C02C2" w:rsidRPr="00093568" w:rsidRDefault="000C02C2" w:rsidP="00581FFD">
            <w:pPr>
              <w:spacing w:after="0" w:line="240" w:lineRule="auto"/>
              <w:rPr>
                <w:rFonts w:ascii="Calibri" w:eastAsia="Times New Roman" w:hAnsi="Calibri" w:cs="Times New Roman"/>
                <w:lang w:eastAsia="en-GB"/>
              </w:rPr>
            </w:pPr>
            <w:r w:rsidRPr="00093568">
              <w:rPr>
                <w:rFonts w:ascii="Calibri" w:eastAsia="Times New Roman" w:hAnsi="Calibri" w:cs="Times New Roman"/>
                <w:lang w:eastAsia="en-GB"/>
              </w:rPr>
              <w:t>B - Prosperous young couples without kids</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1.59%</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1.87%</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3.24%</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3.73%</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2.26%</w:t>
            </w:r>
          </w:p>
        </w:tc>
      </w:tr>
      <w:tr w:rsidR="000C02C2" w:rsidRPr="00093568" w:rsidTr="00093568">
        <w:trPr>
          <w:trHeight w:val="300"/>
        </w:trPr>
        <w:tc>
          <w:tcPr>
            <w:tcW w:w="3261" w:type="dxa"/>
            <w:tcBorders>
              <w:top w:val="nil"/>
              <w:left w:val="single" w:sz="4" w:space="0" w:color="auto"/>
              <w:bottom w:val="single" w:sz="4" w:space="0" w:color="auto"/>
              <w:right w:val="single" w:sz="4" w:space="0" w:color="auto"/>
            </w:tcBorders>
            <w:shd w:val="clear" w:color="auto" w:fill="auto"/>
            <w:noWrap/>
            <w:vAlign w:val="bottom"/>
            <w:hideMark/>
          </w:tcPr>
          <w:p w:rsidR="000C02C2" w:rsidRPr="00093568" w:rsidRDefault="000C02C2" w:rsidP="00581FFD">
            <w:pPr>
              <w:spacing w:after="0" w:line="240" w:lineRule="auto"/>
              <w:rPr>
                <w:rFonts w:ascii="Calibri" w:eastAsia="Times New Roman" w:hAnsi="Calibri" w:cs="Times New Roman"/>
                <w:lang w:eastAsia="en-GB"/>
              </w:rPr>
            </w:pPr>
            <w:r w:rsidRPr="00093568">
              <w:rPr>
                <w:rFonts w:ascii="Calibri" w:eastAsia="Times New Roman" w:hAnsi="Calibri" w:cs="Times New Roman"/>
                <w:lang w:eastAsia="en-GB"/>
              </w:rPr>
              <w:t>C - Educated, affluent families</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16.53%</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9.18%</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18.93%</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13.61%</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10.19%</w:t>
            </w:r>
          </w:p>
        </w:tc>
      </w:tr>
      <w:tr w:rsidR="000C02C2" w:rsidRPr="00093568" w:rsidTr="00093568">
        <w:trPr>
          <w:trHeight w:val="300"/>
        </w:trPr>
        <w:tc>
          <w:tcPr>
            <w:tcW w:w="3261" w:type="dxa"/>
            <w:tcBorders>
              <w:top w:val="nil"/>
              <w:left w:val="single" w:sz="4" w:space="0" w:color="auto"/>
              <w:bottom w:val="single" w:sz="4" w:space="0" w:color="auto"/>
              <w:right w:val="single" w:sz="4" w:space="0" w:color="auto"/>
            </w:tcBorders>
            <w:shd w:val="clear" w:color="auto" w:fill="auto"/>
            <w:noWrap/>
            <w:vAlign w:val="bottom"/>
            <w:hideMark/>
          </w:tcPr>
          <w:p w:rsidR="000C02C2" w:rsidRPr="00093568" w:rsidRDefault="000C02C2" w:rsidP="00581FFD">
            <w:pPr>
              <w:spacing w:after="0" w:line="240" w:lineRule="auto"/>
              <w:rPr>
                <w:rFonts w:ascii="Calibri" w:eastAsia="Times New Roman" w:hAnsi="Calibri" w:cs="Times New Roman"/>
                <w:lang w:eastAsia="en-GB"/>
              </w:rPr>
            </w:pPr>
            <w:r w:rsidRPr="00093568">
              <w:rPr>
                <w:rFonts w:ascii="Calibri" w:eastAsia="Times New Roman" w:hAnsi="Calibri" w:cs="Times New Roman"/>
                <w:lang w:eastAsia="en-GB"/>
              </w:rPr>
              <w:t>D - Well educated and employed single parents</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2.45%</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1.59%</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2.44%</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2.12%</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2.08%</w:t>
            </w:r>
          </w:p>
        </w:tc>
      </w:tr>
      <w:tr w:rsidR="000C02C2" w:rsidRPr="00093568" w:rsidTr="00093568">
        <w:trPr>
          <w:trHeight w:val="300"/>
        </w:trPr>
        <w:tc>
          <w:tcPr>
            <w:tcW w:w="3261" w:type="dxa"/>
            <w:tcBorders>
              <w:top w:val="nil"/>
              <w:left w:val="single" w:sz="4" w:space="0" w:color="auto"/>
              <w:bottom w:val="single" w:sz="4" w:space="0" w:color="auto"/>
              <w:right w:val="single" w:sz="4" w:space="0" w:color="auto"/>
            </w:tcBorders>
            <w:shd w:val="clear" w:color="auto" w:fill="auto"/>
            <w:noWrap/>
            <w:vAlign w:val="bottom"/>
            <w:hideMark/>
          </w:tcPr>
          <w:p w:rsidR="000C02C2" w:rsidRPr="00093568" w:rsidRDefault="000C02C2" w:rsidP="00140AF6">
            <w:pPr>
              <w:spacing w:after="0" w:line="240" w:lineRule="auto"/>
              <w:rPr>
                <w:rFonts w:ascii="Calibri" w:eastAsia="Times New Roman" w:hAnsi="Calibri" w:cs="Times New Roman"/>
                <w:lang w:eastAsia="en-GB"/>
              </w:rPr>
            </w:pPr>
            <w:r w:rsidRPr="00093568">
              <w:rPr>
                <w:rFonts w:ascii="Calibri" w:eastAsia="Times New Roman" w:hAnsi="Calibri" w:cs="Times New Roman"/>
                <w:lang w:eastAsia="en-GB"/>
              </w:rPr>
              <w:t xml:space="preserve">E - Sophisticated </w:t>
            </w:r>
            <w:r w:rsidR="00140AF6" w:rsidRPr="00093568">
              <w:rPr>
                <w:rFonts w:ascii="Calibri" w:eastAsia="Times New Roman" w:hAnsi="Calibri" w:cs="Times New Roman"/>
                <w:lang w:eastAsia="en-GB"/>
              </w:rPr>
              <w:t>s</w:t>
            </w:r>
            <w:r w:rsidRPr="00093568">
              <w:rPr>
                <w:rFonts w:ascii="Calibri" w:eastAsia="Times New Roman" w:hAnsi="Calibri" w:cs="Times New Roman"/>
                <w:lang w:eastAsia="en-GB"/>
              </w:rPr>
              <w:t>ingles</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14.78%</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11.66%</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14.69%</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11.30%</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10.63%</w:t>
            </w:r>
          </w:p>
        </w:tc>
      </w:tr>
      <w:tr w:rsidR="000C02C2" w:rsidRPr="00093568" w:rsidTr="00093568">
        <w:trPr>
          <w:trHeight w:val="300"/>
        </w:trPr>
        <w:tc>
          <w:tcPr>
            <w:tcW w:w="3261" w:type="dxa"/>
            <w:tcBorders>
              <w:top w:val="nil"/>
              <w:left w:val="single" w:sz="4" w:space="0" w:color="auto"/>
              <w:bottom w:val="single" w:sz="4" w:space="0" w:color="auto"/>
              <w:right w:val="single" w:sz="4" w:space="0" w:color="auto"/>
            </w:tcBorders>
            <w:shd w:val="clear" w:color="auto" w:fill="auto"/>
            <w:noWrap/>
            <w:vAlign w:val="bottom"/>
            <w:hideMark/>
          </w:tcPr>
          <w:p w:rsidR="000C02C2" w:rsidRPr="00093568" w:rsidRDefault="000C02C2" w:rsidP="00581FFD">
            <w:pPr>
              <w:spacing w:after="0" w:line="240" w:lineRule="auto"/>
              <w:rPr>
                <w:rFonts w:ascii="Calibri" w:eastAsia="Times New Roman" w:hAnsi="Calibri" w:cs="Times New Roman"/>
                <w:lang w:eastAsia="en-GB"/>
              </w:rPr>
            </w:pPr>
            <w:r w:rsidRPr="00093568">
              <w:rPr>
                <w:rFonts w:ascii="Calibri" w:eastAsia="Times New Roman" w:hAnsi="Calibri" w:cs="Times New Roman"/>
                <w:lang w:eastAsia="en-GB"/>
              </w:rPr>
              <w:t>F - Wealthy and nearing retirement</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3.55%</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3.41%</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5.28%</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5.23%</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3.96%</w:t>
            </w:r>
          </w:p>
        </w:tc>
      </w:tr>
      <w:tr w:rsidR="000C02C2" w:rsidRPr="00093568" w:rsidTr="00093568">
        <w:trPr>
          <w:trHeight w:val="300"/>
        </w:trPr>
        <w:tc>
          <w:tcPr>
            <w:tcW w:w="3261" w:type="dxa"/>
            <w:tcBorders>
              <w:top w:val="nil"/>
              <w:left w:val="single" w:sz="4" w:space="0" w:color="auto"/>
              <w:bottom w:val="single" w:sz="4" w:space="0" w:color="auto"/>
              <w:right w:val="single" w:sz="4" w:space="0" w:color="auto"/>
            </w:tcBorders>
            <w:shd w:val="clear" w:color="auto" w:fill="auto"/>
            <w:noWrap/>
            <w:vAlign w:val="bottom"/>
            <w:hideMark/>
          </w:tcPr>
          <w:p w:rsidR="000C02C2" w:rsidRPr="00093568" w:rsidRDefault="000C02C2" w:rsidP="00581FFD">
            <w:pPr>
              <w:spacing w:after="0" w:line="240" w:lineRule="auto"/>
              <w:rPr>
                <w:rFonts w:ascii="Calibri" w:eastAsia="Times New Roman" w:hAnsi="Calibri" w:cs="Times New Roman"/>
                <w:lang w:eastAsia="en-GB"/>
              </w:rPr>
            </w:pPr>
            <w:r w:rsidRPr="00093568">
              <w:rPr>
                <w:rFonts w:ascii="Calibri" w:eastAsia="Times New Roman" w:hAnsi="Calibri" w:cs="Times New Roman"/>
                <w:lang w:eastAsia="en-GB"/>
              </w:rPr>
              <w:t>G - Financially secure retirees</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9.58%</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5.36%</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9.48%</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6.05%</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5.90%</w:t>
            </w:r>
          </w:p>
        </w:tc>
      </w:tr>
      <w:tr w:rsidR="000C02C2" w:rsidRPr="00093568" w:rsidTr="00093568">
        <w:trPr>
          <w:trHeight w:val="300"/>
        </w:trPr>
        <w:tc>
          <w:tcPr>
            <w:tcW w:w="3261" w:type="dxa"/>
            <w:tcBorders>
              <w:top w:val="nil"/>
              <w:left w:val="single" w:sz="4" w:space="0" w:color="auto"/>
              <w:bottom w:val="single" w:sz="4" w:space="0" w:color="auto"/>
              <w:right w:val="single" w:sz="4" w:space="0" w:color="auto"/>
            </w:tcBorders>
            <w:shd w:val="clear" w:color="auto" w:fill="auto"/>
            <w:noWrap/>
            <w:vAlign w:val="bottom"/>
            <w:hideMark/>
          </w:tcPr>
          <w:p w:rsidR="000C02C2" w:rsidRPr="00093568" w:rsidRDefault="000C02C2" w:rsidP="00581FFD">
            <w:pPr>
              <w:spacing w:after="0" w:line="240" w:lineRule="auto"/>
              <w:rPr>
                <w:rFonts w:ascii="Calibri" w:eastAsia="Times New Roman" w:hAnsi="Calibri" w:cs="Times New Roman"/>
                <w:lang w:eastAsia="en-GB"/>
              </w:rPr>
            </w:pPr>
            <w:r w:rsidRPr="00093568">
              <w:rPr>
                <w:rFonts w:ascii="Calibri" w:eastAsia="Times New Roman" w:hAnsi="Calibri" w:cs="Times New Roman"/>
                <w:lang w:eastAsia="en-GB"/>
              </w:rPr>
              <w:t>H - Financially secure singles</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1.07%</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1.03%</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1.30%</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1.54%</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1.31%</w:t>
            </w:r>
          </w:p>
        </w:tc>
      </w:tr>
      <w:tr w:rsidR="000C02C2" w:rsidRPr="00093568" w:rsidTr="00093568">
        <w:trPr>
          <w:trHeight w:val="300"/>
        </w:trPr>
        <w:tc>
          <w:tcPr>
            <w:tcW w:w="3261" w:type="dxa"/>
            <w:tcBorders>
              <w:top w:val="nil"/>
              <w:left w:val="single" w:sz="4" w:space="0" w:color="auto"/>
              <w:bottom w:val="single" w:sz="4" w:space="0" w:color="auto"/>
              <w:right w:val="single" w:sz="4" w:space="0" w:color="auto"/>
            </w:tcBorders>
            <w:shd w:val="clear" w:color="auto" w:fill="auto"/>
            <w:noWrap/>
            <w:vAlign w:val="bottom"/>
            <w:hideMark/>
          </w:tcPr>
          <w:p w:rsidR="000C02C2" w:rsidRPr="00093568" w:rsidRDefault="00140AF6" w:rsidP="00581FFD">
            <w:pPr>
              <w:spacing w:after="0" w:line="240" w:lineRule="auto"/>
              <w:rPr>
                <w:rFonts w:ascii="Calibri" w:eastAsia="Times New Roman" w:hAnsi="Calibri" w:cs="Times New Roman"/>
                <w:lang w:eastAsia="en-GB"/>
              </w:rPr>
            </w:pPr>
            <w:r w:rsidRPr="00093568">
              <w:rPr>
                <w:rFonts w:ascii="Calibri" w:eastAsia="Times New Roman" w:hAnsi="Calibri" w:cs="Times New Roman"/>
                <w:lang w:eastAsia="en-GB"/>
              </w:rPr>
              <w:t>I</w:t>
            </w:r>
            <w:r w:rsidR="000C02C2" w:rsidRPr="00093568">
              <w:rPr>
                <w:rFonts w:ascii="Calibri" w:eastAsia="Times New Roman" w:hAnsi="Calibri" w:cs="Times New Roman"/>
                <w:lang w:eastAsia="en-GB"/>
              </w:rPr>
              <w:t xml:space="preserve"> - Low income couples</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0.98%</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1.42%</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0.86%</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1.40%</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1.80%</w:t>
            </w:r>
          </w:p>
        </w:tc>
      </w:tr>
      <w:tr w:rsidR="000C02C2" w:rsidRPr="00093568" w:rsidTr="00093568">
        <w:trPr>
          <w:trHeight w:val="300"/>
        </w:trPr>
        <w:tc>
          <w:tcPr>
            <w:tcW w:w="3261" w:type="dxa"/>
            <w:tcBorders>
              <w:top w:val="nil"/>
              <w:left w:val="single" w:sz="4" w:space="0" w:color="auto"/>
              <w:bottom w:val="single" w:sz="4" w:space="0" w:color="auto"/>
              <w:right w:val="single" w:sz="4" w:space="0" w:color="auto"/>
            </w:tcBorders>
            <w:shd w:val="clear" w:color="auto" w:fill="auto"/>
            <w:noWrap/>
            <w:vAlign w:val="bottom"/>
            <w:hideMark/>
          </w:tcPr>
          <w:p w:rsidR="000C02C2" w:rsidRPr="00093568" w:rsidRDefault="00140AF6" w:rsidP="00581FFD">
            <w:pPr>
              <w:spacing w:after="0" w:line="240" w:lineRule="auto"/>
              <w:rPr>
                <w:rFonts w:ascii="Calibri" w:eastAsia="Times New Roman" w:hAnsi="Calibri" w:cs="Times New Roman"/>
                <w:lang w:eastAsia="en-GB"/>
              </w:rPr>
            </w:pPr>
            <w:r w:rsidRPr="00093568">
              <w:rPr>
                <w:rFonts w:ascii="Calibri" w:eastAsia="Times New Roman" w:hAnsi="Calibri" w:cs="Times New Roman"/>
                <w:lang w:eastAsia="en-GB"/>
              </w:rPr>
              <w:t>J</w:t>
            </w:r>
            <w:r w:rsidR="000C02C2" w:rsidRPr="00093568">
              <w:rPr>
                <w:rFonts w:ascii="Calibri" w:eastAsia="Times New Roman" w:hAnsi="Calibri" w:cs="Times New Roman"/>
                <w:lang w:eastAsia="en-GB"/>
              </w:rPr>
              <w:t xml:space="preserve"> - Low income house sharers</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12.81%</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21.59%</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10.58%</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15.79%</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17.65%</w:t>
            </w:r>
          </w:p>
        </w:tc>
      </w:tr>
      <w:tr w:rsidR="000C02C2" w:rsidRPr="00093568" w:rsidTr="00093568">
        <w:trPr>
          <w:trHeight w:val="300"/>
        </w:trPr>
        <w:tc>
          <w:tcPr>
            <w:tcW w:w="3261" w:type="dxa"/>
            <w:tcBorders>
              <w:top w:val="nil"/>
              <w:left w:val="single" w:sz="4" w:space="0" w:color="auto"/>
              <w:bottom w:val="single" w:sz="4" w:space="0" w:color="auto"/>
              <w:right w:val="single" w:sz="4" w:space="0" w:color="auto"/>
            </w:tcBorders>
            <w:shd w:val="clear" w:color="auto" w:fill="auto"/>
            <w:noWrap/>
            <w:vAlign w:val="bottom"/>
            <w:hideMark/>
          </w:tcPr>
          <w:p w:rsidR="000C02C2" w:rsidRPr="00093568" w:rsidRDefault="00140AF6" w:rsidP="00140AF6">
            <w:pPr>
              <w:spacing w:after="0" w:line="240" w:lineRule="auto"/>
              <w:rPr>
                <w:rFonts w:ascii="Calibri" w:eastAsia="Times New Roman" w:hAnsi="Calibri" w:cs="Times New Roman"/>
                <w:lang w:eastAsia="en-GB"/>
              </w:rPr>
            </w:pPr>
            <w:r w:rsidRPr="00093568">
              <w:rPr>
                <w:rFonts w:ascii="Calibri" w:eastAsia="Times New Roman" w:hAnsi="Calibri" w:cs="Times New Roman"/>
                <w:lang w:eastAsia="en-GB"/>
              </w:rPr>
              <w:t>K</w:t>
            </w:r>
            <w:r w:rsidR="000C02C2" w:rsidRPr="00093568">
              <w:rPr>
                <w:rFonts w:ascii="Calibri" w:eastAsia="Times New Roman" w:hAnsi="Calibri" w:cs="Times New Roman"/>
                <w:lang w:eastAsia="en-GB"/>
              </w:rPr>
              <w:t xml:space="preserve"> - Comfortable </w:t>
            </w:r>
            <w:r w:rsidRPr="00093568">
              <w:rPr>
                <w:rFonts w:ascii="Calibri" w:eastAsia="Times New Roman" w:hAnsi="Calibri" w:cs="Times New Roman"/>
                <w:lang w:eastAsia="en-GB"/>
              </w:rPr>
              <w:t>older f</w:t>
            </w:r>
            <w:r w:rsidR="000C02C2" w:rsidRPr="00093568">
              <w:rPr>
                <w:rFonts w:ascii="Calibri" w:eastAsia="Times New Roman" w:hAnsi="Calibri" w:cs="Times New Roman"/>
                <w:lang w:eastAsia="en-GB"/>
              </w:rPr>
              <w:t>amilies</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8.32%</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11.06%</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6.81%</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10.06%</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9.22%</w:t>
            </w:r>
          </w:p>
        </w:tc>
      </w:tr>
      <w:tr w:rsidR="000C02C2" w:rsidRPr="00093568" w:rsidTr="00093568">
        <w:trPr>
          <w:trHeight w:val="300"/>
        </w:trPr>
        <w:tc>
          <w:tcPr>
            <w:tcW w:w="3261" w:type="dxa"/>
            <w:tcBorders>
              <w:top w:val="nil"/>
              <w:left w:val="single" w:sz="4" w:space="0" w:color="auto"/>
              <w:bottom w:val="single" w:sz="4" w:space="0" w:color="auto"/>
              <w:right w:val="single" w:sz="4" w:space="0" w:color="auto"/>
            </w:tcBorders>
            <w:shd w:val="clear" w:color="auto" w:fill="auto"/>
            <w:noWrap/>
            <w:vAlign w:val="bottom"/>
            <w:hideMark/>
          </w:tcPr>
          <w:p w:rsidR="000C02C2" w:rsidRPr="00093568" w:rsidRDefault="00140AF6" w:rsidP="00581FFD">
            <w:pPr>
              <w:spacing w:after="0" w:line="240" w:lineRule="auto"/>
              <w:rPr>
                <w:rFonts w:ascii="Calibri" w:eastAsia="Times New Roman" w:hAnsi="Calibri" w:cs="Times New Roman"/>
                <w:lang w:eastAsia="en-GB"/>
              </w:rPr>
            </w:pPr>
            <w:r w:rsidRPr="00093568">
              <w:rPr>
                <w:rFonts w:ascii="Calibri" w:eastAsia="Times New Roman" w:hAnsi="Calibri" w:cs="Times New Roman"/>
                <w:lang w:eastAsia="en-GB"/>
              </w:rPr>
              <w:t>L</w:t>
            </w:r>
            <w:r w:rsidR="000C02C2" w:rsidRPr="00093568">
              <w:rPr>
                <w:rFonts w:ascii="Calibri" w:eastAsia="Times New Roman" w:hAnsi="Calibri" w:cs="Times New Roman"/>
                <w:lang w:eastAsia="en-GB"/>
              </w:rPr>
              <w:t xml:space="preserve"> - Secure older people</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3.78%</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2.59%</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4.25%</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3.40%</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2.88%</w:t>
            </w:r>
          </w:p>
        </w:tc>
      </w:tr>
      <w:tr w:rsidR="000C02C2" w:rsidRPr="00093568" w:rsidTr="00093568">
        <w:trPr>
          <w:trHeight w:val="300"/>
        </w:trPr>
        <w:tc>
          <w:tcPr>
            <w:tcW w:w="3261" w:type="dxa"/>
            <w:tcBorders>
              <w:top w:val="nil"/>
              <w:left w:val="single" w:sz="4" w:space="0" w:color="auto"/>
              <w:bottom w:val="single" w:sz="4" w:space="0" w:color="auto"/>
              <w:right w:val="single" w:sz="4" w:space="0" w:color="auto"/>
            </w:tcBorders>
            <w:shd w:val="clear" w:color="auto" w:fill="auto"/>
            <w:noWrap/>
            <w:vAlign w:val="bottom"/>
            <w:hideMark/>
          </w:tcPr>
          <w:p w:rsidR="000C02C2" w:rsidRPr="00093568" w:rsidRDefault="00140AF6" w:rsidP="00581FFD">
            <w:pPr>
              <w:spacing w:after="0" w:line="240" w:lineRule="auto"/>
              <w:rPr>
                <w:rFonts w:ascii="Calibri" w:eastAsia="Times New Roman" w:hAnsi="Calibri" w:cs="Times New Roman"/>
                <w:lang w:eastAsia="en-GB"/>
              </w:rPr>
            </w:pPr>
            <w:r w:rsidRPr="00093568">
              <w:rPr>
                <w:rFonts w:ascii="Calibri" w:eastAsia="Times New Roman" w:hAnsi="Calibri" w:cs="Times New Roman"/>
                <w:lang w:eastAsia="en-GB"/>
              </w:rPr>
              <w:t>M</w:t>
            </w:r>
            <w:r w:rsidR="000C02C2" w:rsidRPr="00093568">
              <w:rPr>
                <w:rFonts w:ascii="Calibri" w:eastAsia="Times New Roman" w:hAnsi="Calibri" w:cs="Times New Roman"/>
                <w:lang w:eastAsia="en-GB"/>
              </w:rPr>
              <w:t xml:space="preserve"> - Financially restricted single students and friends</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2.14%</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3.39%</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1.39%</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1.90%</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4.58%</w:t>
            </w:r>
          </w:p>
        </w:tc>
      </w:tr>
      <w:tr w:rsidR="000C02C2" w:rsidRPr="00093568" w:rsidTr="00093568">
        <w:trPr>
          <w:trHeight w:val="300"/>
        </w:trPr>
        <w:tc>
          <w:tcPr>
            <w:tcW w:w="3261" w:type="dxa"/>
            <w:tcBorders>
              <w:top w:val="nil"/>
              <w:left w:val="single" w:sz="4" w:space="0" w:color="auto"/>
              <w:bottom w:val="single" w:sz="4" w:space="0" w:color="auto"/>
              <w:right w:val="single" w:sz="4" w:space="0" w:color="auto"/>
            </w:tcBorders>
            <w:shd w:val="clear" w:color="auto" w:fill="auto"/>
            <w:noWrap/>
            <w:vAlign w:val="bottom"/>
            <w:hideMark/>
          </w:tcPr>
          <w:p w:rsidR="000C02C2" w:rsidRPr="00093568" w:rsidRDefault="00140AF6" w:rsidP="00581FFD">
            <w:pPr>
              <w:spacing w:after="0" w:line="240" w:lineRule="auto"/>
              <w:rPr>
                <w:rFonts w:ascii="Calibri" w:eastAsia="Times New Roman" w:hAnsi="Calibri" w:cs="Times New Roman"/>
                <w:lang w:eastAsia="en-GB"/>
              </w:rPr>
            </w:pPr>
            <w:r w:rsidRPr="00093568">
              <w:rPr>
                <w:rFonts w:ascii="Calibri" w:eastAsia="Times New Roman" w:hAnsi="Calibri" w:cs="Times New Roman"/>
                <w:lang w:eastAsia="en-GB"/>
              </w:rPr>
              <w:t xml:space="preserve">N </w:t>
            </w:r>
            <w:r w:rsidR="000C02C2" w:rsidRPr="00093568">
              <w:rPr>
                <w:rFonts w:ascii="Calibri" w:eastAsia="Times New Roman" w:hAnsi="Calibri" w:cs="Times New Roman"/>
                <w:lang w:eastAsia="en-GB"/>
              </w:rPr>
              <w:t>- Low income singles</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2.55%</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2.75%</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1.91%</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2.39%</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4.42%</w:t>
            </w:r>
          </w:p>
        </w:tc>
      </w:tr>
      <w:tr w:rsidR="000C02C2" w:rsidRPr="00093568" w:rsidTr="00093568">
        <w:trPr>
          <w:trHeight w:val="300"/>
        </w:trPr>
        <w:tc>
          <w:tcPr>
            <w:tcW w:w="3261" w:type="dxa"/>
            <w:tcBorders>
              <w:top w:val="nil"/>
              <w:left w:val="single" w:sz="4" w:space="0" w:color="auto"/>
              <w:bottom w:val="single" w:sz="4" w:space="0" w:color="auto"/>
              <w:right w:val="single" w:sz="4" w:space="0" w:color="auto"/>
            </w:tcBorders>
            <w:shd w:val="clear" w:color="auto" w:fill="auto"/>
            <w:noWrap/>
            <w:vAlign w:val="bottom"/>
            <w:hideMark/>
          </w:tcPr>
          <w:p w:rsidR="000C02C2" w:rsidRPr="00093568" w:rsidRDefault="00140AF6" w:rsidP="00581FFD">
            <w:pPr>
              <w:spacing w:after="0" w:line="240" w:lineRule="auto"/>
              <w:rPr>
                <w:rFonts w:ascii="Calibri" w:eastAsia="Times New Roman" w:hAnsi="Calibri" w:cs="Times New Roman"/>
                <w:lang w:eastAsia="en-GB"/>
              </w:rPr>
            </w:pPr>
            <w:r w:rsidRPr="00093568">
              <w:rPr>
                <w:rFonts w:ascii="Calibri" w:eastAsia="Times New Roman" w:hAnsi="Calibri" w:cs="Times New Roman"/>
                <w:lang w:eastAsia="en-GB"/>
              </w:rPr>
              <w:t>O</w:t>
            </w:r>
            <w:r w:rsidR="000C02C2" w:rsidRPr="00093568">
              <w:rPr>
                <w:rFonts w:ascii="Calibri" w:eastAsia="Times New Roman" w:hAnsi="Calibri" w:cs="Times New Roman"/>
                <w:lang w:eastAsia="en-GB"/>
              </w:rPr>
              <w:t xml:space="preserve"> - Struggling families</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0.98%</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1.55%</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0.41%</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0.93%</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1.39%</w:t>
            </w:r>
          </w:p>
        </w:tc>
      </w:tr>
      <w:tr w:rsidR="000C02C2" w:rsidRPr="00093568" w:rsidTr="00093568">
        <w:trPr>
          <w:trHeight w:val="300"/>
        </w:trPr>
        <w:tc>
          <w:tcPr>
            <w:tcW w:w="3261" w:type="dxa"/>
            <w:tcBorders>
              <w:top w:val="nil"/>
              <w:left w:val="single" w:sz="4" w:space="0" w:color="auto"/>
              <w:bottom w:val="single" w:sz="4" w:space="0" w:color="auto"/>
              <w:right w:val="single" w:sz="4" w:space="0" w:color="auto"/>
            </w:tcBorders>
            <w:shd w:val="clear" w:color="auto" w:fill="auto"/>
            <w:noWrap/>
            <w:vAlign w:val="bottom"/>
            <w:hideMark/>
          </w:tcPr>
          <w:p w:rsidR="000C02C2" w:rsidRPr="00093568" w:rsidRDefault="00140AF6" w:rsidP="00581FFD">
            <w:pPr>
              <w:spacing w:after="0" w:line="240" w:lineRule="auto"/>
              <w:rPr>
                <w:rFonts w:ascii="Calibri" w:eastAsia="Times New Roman" w:hAnsi="Calibri" w:cs="Times New Roman"/>
                <w:lang w:eastAsia="en-GB"/>
              </w:rPr>
            </w:pPr>
            <w:r w:rsidRPr="00093568">
              <w:rPr>
                <w:rFonts w:ascii="Calibri" w:eastAsia="Times New Roman" w:hAnsi="Calibri" w:cs="Times New Roman"/>
                <w:lang w:eastAsia="en-GB"/>
              </w:rPr>
              <w:t>P</w:t>
            </w:r>
            <w:r w:rsidR="000C02C2" w:rsidRPr="00093568">
              <w:rPr>
                <w:rFonts w:ascii="Calibri" w:eastAsia="Times New Roman" w:hAnsi="Calibri" w:cs="Times New Roman"/>
                <w:lang w:eastAsia="en-GB"/>
              </w:rPr>
              <w:t xml:space="preserve"> - Financially restricted single parents</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5.12%</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5.42%</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3.87%</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4.56%</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5.50%</w:t>
            </w:r>
          </w:p>
        </w:tc>
      </w:tr>
      <w:tr w:rsidR="000C02C2" w:rsidRPr="00093568" w:rsidTr="00093568">
        <w:trPr>
          <w:trHeight w:val="300"/>
        </w:trPr>
        <w:tc>
          <w:tcPr>
            <w:tcW w:w="3261" w:type="dxa"/>
            <w:tcBorders>
              <w:top w:val="nil"/>
              <w:left w:val="single" w:sz="4" w:space="0" w:color="auto"/>
              <w:bottom w:val="single" w:sz="4" w:space="0" w:color="auto"/>
              <w:right w:val="single" w:sz="4" w:space="0" w:color="auto"/>
            </w:tcBorders>
            <w:shd w:val="clear" w:color="auto" w:fill="auto"/>
            <w:noWrap/>
            <w:vAlign w:val="bottom"/>
            <w:hideMark/>
          </w:tcPr>
          <w:p w:rsidR="000C02C2" w:rsidRPr="00093568" w:rsidRDefault="00140AF6" w:rsidP="00581FFD">
            <w:pPr>
              <w:spacing w:after="0" w:line="240" w:lineRule="auto"/>
              <w:rPr>
                <w:rFonts w:ascii="Calibri" w:eastAsia="Times New Roman" w:hAnsi="Calibri" w:cs="Times New Roman"/>
                <w:lang w:eastAsia="en-GB"/>
              </w:rPr>
            </w:pPr>
            <w:r w:rsidRPr="00093568">
              <w:rPr>
                <w:rFonts w:ascii="Calibri" w:eastAsia="Times New Roman" w:hAnsi="Calibri" w:cs="Times New Roman"/>
                <w:lang w:eastAsia="en-GB"/>
              </w:rPr>
              <w:t>Q</w:t>
            </w:r>
            <w:r w:rsidR="000C02C2" w:rsidRPr="00093568">
              <w:rPr>
                <w:rFonts w:ascii="Calibri" w:eastAsia="Times New Roman" w:hAnsi="Calibri" w:cs="Times New Roman"/>
                <w:lang w:eastAsia="en-GB"/>
              </w:rPr>
              <w:t xml:space="preserve"> - Penny-wise pensioners</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6.18%</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7.68%</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5.11%</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7.55%</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02C2" w:rsidRPr="00093568" w:rsidRDefault="000C02C2" w:rsidP="00140AF6">
            <w:pPr>
              <w:spacing w:after="0" w:line="240" w:lineRule="auto"/>
              <w:jc w:val="center"/>
              <w:rPr>
                <w:rFonts w:ascii="Calibri" w:eastAsia="Times New Roman" w:hAnsi="Calibri" w:cs="Times New Roman"/>
                <w:lang w:eastAsia="en-GB"/>
              </w:rPr>
            </w:pPr>
            <w:r w:rsidRPr="00093568">
              <w:rPr>
                <w:rFonts w:ascii="Calibri" w:eastAsia="Times New Roman" w:hAnsi="Calibri" w:cs="Times New Roman"/>
                <w:lang w:eastAsia="en-GB"/>
              </w:rPr>
              <w:t>8.38%</w:t>
            </w:r>
          </w:p>
        </w:tc>
      </w:tr>
    </w:tbl>
    <w:p w:rsidR="000C02C2" w:rsidRDefault="000C02C2" w:rsidP="000C02C2">
      <w:pPr>
        <w:spacing w:after="0" w:line="360" w:lineRule="auto"/>
      </w:pPr>
    </w:p>
    <w:p w:rsidR="000C02C2" w:rsidRDefault="000C02C2" w:rsidP="00BC4152">
      <w:pPr>
        <w:jc w:val="both"/>
        <w:rPr>
          <w:i/>
        </w:rPr>
      </w:pPr>
      <w:r>
        <w:t>Different areas in Barnet have different profiles, meaning that services should be tailored to best serve their local populations. The east of the borough</w:t>
      </w:r>
      <w:r w:rsidR="00140AF6">
        <w:t>,</w:t>
      </w:r>
      <w:r>
        <w:t xml:space="preserve"> along the A5 corridor is home to a younger population dominated by </w:t>
      </w:r>
      <w:r>
        <w:rPr>
          <w:i/>
        </w:rPr>
        <w:t xml:space="preserve">Low income house sharers </w:t>
      </w:r>
      <w:r>
        <w:t xml:space="preserve">sharing high density living while attending University or working lower paid jobs. It is also the location of Barnet’s largest housing estates which account for the higher than average populations of </w:t>
      </w:r>
      <w:r>
        <w:rPr>
          <w:i/>
        </w:rPr>
        <w:t>Low income singles</w:t>
      </w:r>
      <w:r>
        <w:t xml:space="preserve">, </w:t>
      </w:r>
      <w:r>
        <w:rPr>
          <w:i/>
        </w:rPr>
        <w:t xml:space="preserve">Struggling families </w:t>
      </w:r>
      <w:r>
        <w:t xml:space="preserve">and </w:t>
      </w:r>
      <w:r>
        <w:rPr>
          <w:i/>
        </w:rPr>
        <w:t>Low income couples.</w:t>
      </w:r>
    </w:p>
    <w:p w:rsidR="000C02C2" w:rsidRDefault="000C02C2" w:rsidP="00BC4152">
      <w:pPr>
        <w:jc w:val="both"/>
      </w:pPr>
      <w:r>
        <w:t>Following the High Road north through the centre of Barnet from Child’s Hill to Totteridge, households are mostly comprised of families (</w:t>
      </w:r>
      <w:r>
        <w:rPr>
          <w:i/>
        </w:rPr>
        <w:t>Educated, affluent families, Comfortable Older Families</w:t>
      </w:r>
      <w:r>
        <w:t>)</w:t>
      </w:r>
      <w:r>
        <w:rPr>
          <w:i/>
        </w:rPr>
        <w:t>,</w:t>
      </w:r>
      <w:r>
        <w:t xml:space="preserve"> professionals (</w:t>
      </w:r>
      <w:r>
        <w:rPr>
          <w:i/>
        </w:rPr>
        <w:t>Affluent Singles</w:t>
      </w:r>
      <w:r>
        <w:t>,</w:t>
      </w:r>
      <w:r>
        <w:rPr>
          <w:i/>
        </w:rPr>
        <w:t xml:space="preserve"> Prosperous young couples without kids</w:t>
      </w:r>
      <w:r>
        <w:t>,</w:t>
      </w:r>
      <w:r>
        <w:rPr>
          <w:i/>
        </w:rPr>
        <w:t xml:space="preserve"> </w:t>
      </w:r>
      <w:r w:rsidRPr="000C58FA">
        <w:rPr>
          <w:i/>
        </w:rPr>
        <w:t>Sophisticated Singles</w:t>
      </w:r>
      <w:r>
        <w:t>) and affluent retirees (</w:t>
      </w:r>
      <w:r>
        <w:rPr>
          <w:i/>
        </w:rPr>
        <w:t>Financially secure retirees</w:t>
      </w:r>
      <w:r>
        <w:t>,</w:t>
      </w:r>
      <w:r w:rsidRPr="00B51EA8">
        <w:rPr>
          <w:i/>
        </w:rPr>
        <w:t xml:space="preserve"> </w:t>
      </w:r>
      <w:r>
        <w:rPr>
          <w:i/>
        </w:rPr>
        <w:t>Wealthy and nearing retirement</w:t>
      </w:r>
      <w:r>
        <w:t>). These areas are the most affluent parts of the borough with high levels of employment, income and education.</w:t>
      </w:r>
    </w:p>
    <w:p w:rsidR="000C02C2" w:rsidRDefault="000C02C2" w:rsidP="00BC4152">
      <w:pPr>
        <w:jc w:val="both"/>
      </w:pPr>
      <w:r>
        <w:t>The west and north of Barnet is a mixture of all segments</w:t>
      </w:r>
      <w:r w:rsidR="00140AF6">
        <w:t>,</w:t>
      </w:r>
      <w:r>
        <w:t xml:space="preserve"> with larger proportions of families (including the highest proportions of </w:t>
      </w:r>
      <w:r>
        <w:rPr>
          <w:i/>
        </w:rPr>
        <w:t>Comfortable Older Families</w:t>
      </w:r>
      <w:r>
        <w:t>) and older households (</w:t>
      </w:r>
      <w:r>
        <w:rPr>
          <w:i/>
        </w:rPr>
        <w:t xml:space="preserve">Secure older </w:t>
      </w:r>
      <w:r>
        <w:rPr>
          <w:i/>
        </w:rPr>
        <w:lastRenderedPageBreak/>
        <w:t xml:space="preserve">people </w:t>
      </w:r>
      <w:r>
        <w:t xml:space="preserve">and </w:t>
      </w:r>
      <w:r>
        <w:rPr>
          <w:i/>
        </w:rPr>
        <w:t>Wealthy and nearing retirement</w:t>
      </w:r>
      <w:r>
        <w:t xml:space="preserve">). People in these areas tend to be of mid-level affluence compared to the rest of the borough. </w:t>
      </w:r>
    </w:p>
    <w:p w:rsidR="009B3D37" w:rsidRPr="00241A00" w:rsidRDefault="009B3D37" w:rsidP="009B3D37">
      <w:pPr>
        <w:pStyle w:val="Caption"/>
        <w:rPr>
          <w:sz w:val="20"/>
          <w:szCs w:val="20"/>
        </w:rPr>
      </w:pPr>
      <w:r>
        <w:t xml:space="preserve">Figure </w:t>
      </w:r>
      <w:fldSimple w:instr=" STYLEREF 1 \s ">
        <w:r w:rsidR="001663C2">
          <w:rPr>
            <w:noProof/>
          </w:rPr>
          <w:t>4</w:t>
        </w:r>
      </w:fldSimple>
      <w:r w:rsidR="00943DC2">
        <w:noBreakHyphen/>
      </w:r>
      <w:fldSimple w:instr=" SEQ Figure \* ARABIC \s 1 ">
        <w:r w:rsidR="001663C2">
          <w:rPr>
            <w:noProof/>
          </w:rPr>
          <w:t>1</w:t>
        </w:r>
      </w:fldSimple>
      <w:r>
        <w:rPr>
          <w:noProof/>
          <w:sz w:val="20"/>
          <w:szCs w:val="20"/>
          <w:lang w:eastAsia="en-GB"/>
        </w:rPr>
        <w:t>: Location by ward of the five segments with the worst self reported health</w:t>
      </w:r>
    </w:p>
    <w:p w:rsidR="009B3D37" w:rsidRDefault="009B3D37" w:rsidP="009B3D37">
      <w:pPr>
        <w:spacing w:after="0" w:line="360" w:lineRule="auto"/>
        <w:jc w:val="center"/>
        <w:rPr>
          <w:sz w:val="20"/>
          <w:szCs w:val="20"/>
        </w:rPr>
      </w:pPr>
      <w:r>
        <w:rPr>
          <w:noProof/>
          <w:sz w:val="20"/>
          <w:szCs w:val="20"/>
          <w:lang w:eastAsia="en-GB"/>
        </w:rPr>
        <w:drawing>
          <wp:inline distT="0" distB="0" distL="0" distR="0" wp14:anchorId="7B594024" wp14:editId="29FE976C">
            <wp:extent cx="4708478" cy="537770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p 5 unhealthy segments.jpg"/>
                    <pic:cNvPicPr/>
                  </pic:nvPicPr>
                  <pic:blipFill rotWithShape="1">
                    <a:blip r:embed="rId58" cstate="print">
                      <a:extLst>
                        <a:ext uri="{28A0092B-C50C-407E-A947-70E740481C1C}">
                          <a14:useLocalDpi xmlns:a14="http://schemas.microsoft.com/office/drawing/2010/main" val="0"/>
                        </a:ext>
                      </a:extLst>
                    </a:blip>
                    <a:srcRect l="3214" t="5640" r="2976" b="18588"/>
                    <a:stretch/>
                  </pic:blipFill>
                  <pic:spPr bwMode="auto">
                    <a:xfrm>
                      <a:off x="0" y="0"/>
                      <a:ext cx="4708255" cy="5377449"/>
                    </a:xfrm>
                    <a:prstGeom prst="rect">
                      <a:avLst/>
                    </a:prstGeom>
                    <a:ln>
                      <a:noFill/>
                    </a:ln>
                    <a:extLst>
                      <a:ext uri="{53640926-AAD7-44D8-BBD7-CCE9431645EC}">
                        <a14:shadowObscured xmlns:a14="http://schemas.microsoft.com/office/drawing/2010/main"/>
                      </a:ext>
                    </a:extLst>
                  </pic:spPr>
                </pic:pic>
              </a:graphicData>
            </a:graphic>
          </wp:inline>
        </w:drawing>
      </w:r>
    </w:p>
    <w:p w:rsidR="000C02C2" w:rsidRPr="000C58FA" w:rsidRDefault="00140AF6" w:rsidP="000C02C2">
      <w:pPr>
        <w:pStyle w:val="Heading2"/>
      </w:pPr>
      <w:bookmarkStart w:id="560" w:name="_Toc431225153"/>
      <w:r>
        <w:t>Data Related to Health in the S</w:t>
      </w:r>
      <w:r w:rsidR="000C02C2" w:rsidRPr="000C58FA">
        <w:t>egments</w:t>
      </w:r>
      <w:bookmarkEnd w:id="560"/>
    </w:p>
    <w:p w:rsidR="000C02C2" w:rsidRDefault="000C02C2" w:rsidP="00BC4152">
      <w:pPr>
        <w:jc w:val="both"/>
      </w:pPr>
      <w:r>
        <w:t>While limited, the segments include data on self-reported health, long-term illness and long-term illness affecting worklessness. The five customer segments with the poorest self-reported health are also the segments in Barnet with the lowest household income (</w:t>
      </w:r>
      <w:r w:rsidRPr="00244261">
        <w:rPr>
          <w:i/>
        </w:rPr>
        <w:t xml:space="preserve">Pound Stretching Twosomes, </w:t>
      </w:r>
      <w:r>
        <w:rPr>
          <w:i/>
        </w:rPr>
        <w:t>Financially restricted single students and friends</w:t>
      </w:r>
      <w:r w:rsidRPr="00244261">
        <w:rPr>
          <w:i/>
        </w:rPr>
        <w:t xml:space="preserve">, </w:t>
      </w:r>
      <w:r>
        <w:rPr>
          <w:i/>
        </w:rPr>
        <w:t>Struggling families</w:t>
      </w:r>
      <w:r w:rsidRPr="00244261">
        <w:rPr>
          <w:i/>
        </w:rPr>
        <w:t xml:space="preserve">, </w:t>
      </w:r>
      <w:r>
        <w:rPr>
          <w:i/>
        </w:rPr>
        <w:t>Low income singles</w:t>
      </w:r>
      <w:r w:rsidRPr="00244261">
        <w:rPr>
          <w:i/>
        </w:rPr>
        <w:t xml:space="preserve"> and Pennywise Pensioners</w:t>
      </w:r>
      <w:r>
        <w:t>). Segments comprised of the more affluent older population (</w:t>
      </w:r>
      <w:r>
        <w:rPr>
          <w:i/>
        </w:rPr>
        <w:t xml:space="preserve">Secure older people </w:t>
      </w:r>
      <w:r>
        <w:t xml:space="preserve">and </w:t>
      </w:r>
      <w:r>
        <w:rPr>
          <w:i/>
        </w:rPr>
        <w:t xml:space="preserve">Wealthy and nearing retirement </w:t>
      </w:r>
      <w:r w:rsidRPr="00EF11F8">
        <w:t>and</w:t>
      </w:r>
      <w:r>
        <w:rPr>
          <w:i/>
        </w:rPr>
        <w:t xml:space="preserve"> Financially secure retirees</w:t>
      </w:r>
      <w:r w:rsidRPr="00EF11F8">
        <w:t xml:space="preserve">) </w:t>
      </w:r>
      <w:r>
        <w:t>do not report their health as being any worse than other younger more affluent segments in the borough.</w:t>
      </w:r>
    </w:p>
    <w:p w:rsidR="000C02C2" w:rsidRDefault="000C02C2" w:rsidP="00BC4152">
      <w:pPr>
        <w:jc w:val="both"/>
      </w:pPr>
      <w:r>
        <w:t>Economic inactivity, limiting long-term illness and household income are inextricably linked -to Barnet’s customer segments. The same five customer segments noted above (</w:t>
      </w:r>
      <w:r w:rsidRPr="00244261">
        <w:rPr>
          <w:i/>
        </w:rPr>
        <w:t xml:space="preserve">Pound Stretching Twosomes, </w:t>
      </w:r>
      <w:r>
        <w:rPr>
          <w:i/>
        </w:rPr>
        <w:t>Financially restricted single students and friends</w:t>
      </w:r>
      <w:r w:rsidRPr="00244261">
        <w:rPr>
          <w:i/>
        </w:rPr>
        <w:t xml:space="preserve">, </w:t>
      </w:r>
      <w:r>
        <w:rPr>
          <w:i/>
        </w:rPr>
        <w:t>Struggling families</w:t>
      </w:r>
      <w:r w:rsidRPr="00244261">
        <w:rPr>
          <w:i/>
        </w:rPr>
        <w:t xml:space="preserve">, </w:t>
      </w:r>
      <w:r>
        <w:rPr>
          <w:i/>
        </w:rPr>
        <w:t>Low income singles</w:t>
      </w:r>
      <w:r w:rsidRPr="00244261">
        <w:rPr>
          <w:i/>
        </w:rPr>
        <w:t xml:space="preserve"> and Pennywise Pensioners</w:t>
      </w:r>
      <w:r>
        <w:t xml:space="preserve">) have the lowest household incomes, poorest self-reported health and </w:t>
      </w:r>
      <w:r>
        <w:lastRenderedPageBreak/>
        <w:t xml:space="preserve">highest occurrences of health affecting their ability to work. Those five groups comprise 13% of Barnet’s population; an </w:t>
      </w:r>
      <w:r w:rsidR="00140AF6">
        <w:t>improvement to their health would</w:t>
      </w:r>
      <w:r>
        <w:t xml:space="preserve"> have further reaching societal impact.  </w:t>
      </w:r>
    </w:p>
    <w:p w:rsidR="000C02C2" w:rsidRPr="007925E4" w:rsidRDefault="000C02C2" w:rsidP="000C02C2">
      <w:pPr>
        <w:pStyle w:val="Caption"/>
        <w:rPr>
          <w:sz w:val="20"/>
          <w:szCs w:val="20"/>
        </w:rPr>
      </w:pPr>
      <w:r>
        <w:t xml:space="preserve">Table </w:t>
      </w:r>
      <w:fldSimple w:instr=" STYLEREF 1 \s ">
        <w:r w:rsidR="001663C2">
          <w:rPr>
            <w:noProof/>
          </w:rPr>
          <w:t>4</w:t>
        </w:r>
      </w:fldSimple>
      <w:r>
        <w:noBreakHyphen/>
      </w:r>
      <w:fldSimple w:instr=" SEQ Table \* ARABIC \s 1 ">
        <w:r w:rsidR="001663C2">
          <w:rPr>
            <w:noProof/>
          </w:rPr>
          <w:t>2</w:t>
        </w:r>
      </w:fldSimple>
      <w:r>
        <w:t xml:space="preserve">: </w:t>
      </w:r>
      <w:r>
        <w:rPr>
          <w:sz w:val="20"/>
          <w:szCs w:val="20"/>
        </w:rPr>
        <w:t>Economic inactivity and long-term illness</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2"/>
        <w:gridCol w:w="2409"/>
        <w:gridCol w:w="2127"/>
        <w:gridCol w:w="2126"/>
      </w:tblGrid>
      <w:tr w:rsidR="000C02C2" w:rsidRPr="001C74D0" w:rsidTr="00CF501E">
        <w:trPr>
          <w:trHeight w:val="765"/>
        </w:trPr>
        <w:tc>
          <w:tcPr>
            <w:tcW w:w="2802" w:type="dxa"/>
            <w:shd w:val="clear" w:color="auto" w:fill="BFBFBF" w:themeFill="background1" w:themeFillShade="BF"/>
            <w:noWrap/>
            <w:vAlign w:val="center"/>
            <w:hideMark/>
          </w:tcPr>
          <w:p w:rsidR="000C02C2" w:rsidRPr="001C74D0" w:rsidRDefault="000C02C2" w:rsidP="00140AF6">
            <w:pPr>
              <w:spacing w:after="0" w:line="240" w:lineRule="auto"/>
              <w:jc w:val="center"/>
              <w:rPr>
                <w:rFonts w:eastAsia="Times New Roman" w:cs="Times New Roman"/>
                <w:b/>
                <w:bCs/>
                <w:color w:val="000000"/>
                <w:lang w:eastAsia="en-GB"/>
              </w:rPr>
            </w:pPr>
            <w:r w:rsidRPr="001C74D0">
              <w:rPr>
                <w:rFonts w:eastAsia="Times New Roman" w:cs="Times New Roman"/>
                <w:b/>
                <w:bCs/>
                <w:color w:val="000000"/>
                <w:lang w:eastAsia="en-GB"/>
              </w:rPr>
              <w:t>Customer Segments</w:t>
            </w:r>
          </w:p>
        </w:tc>
        <w:tc>
          <w:tcPr>
            <w:tcW w:w="2409" w:type="dxa"/>
            <w:shd w:val="clear" w:color="auto" w:fill="BFBFBF" w:themeFill="background1" w:themeFillShade="BF"/>
            <w:vAlign w:val="center"/>
            <w:hideMark/>
          </w:tcPr>
          <w:p w:rsidR="000C02C2" w:rsidRPr="001C74D0" w:rsidRDefault="000C02C2" w:rsidP="00140AF6">
            <w:pPr>
              <w:spacing w:after="0" w:line="240" w:lineRule="auto"/>
              <w:jc w:val="center"/>
              <w:rPr>
                <w:rFonts w:eastAsia="Times New Roman" w:cs="Times New Roman"/>
                <w:b/>
                <w:bCs/>
                <w:color w:val="000000"/>
                <w:lang w:eastAsia="en-GB"/>
              </w:rPr>
            </w:pPr>
            <w:r w:rsidRPr="001C74D0">
              <w:rPr>
                <w:rFonts w:eastAsia="Times New Roman" w:cs="Times New Roman"/>
                <w:b/>
                <w:bCs/>
                <w:color w:val="000000"/>
                <w:lang w:eastAsia="en-GB"/>
              </w:rPr>
              <w:t>Economically inactive residents aged 16-74 permanently sick/disabled</w:t>
            </w:r>
          </w:p>
        </w:tc>
        <w:tc>
          <w:tcPr>
            <w:tcW w:w="2127" w:type="dxa"/>
            <w:shd w:val="clear" w:color="auto" w:fill="BFBFBF" w:themeFill="background1" w:themeFillShade="BF"/>
            <w:vAlign w:val="center"/>
            <w:hideMark/>
          </w:tcPr>
          <w:p w:rsidR="000C02C2" w:rsidRPr="001C74D0" w:rsidRDefault="000C02C2" w:rsidP="00140AF6">
            <w:pPr>
              <w:spacing w:after="0" w:line="240" w:lineRule="auto"/>
              <w:jc w:val="center"/>
              <w:rPr>
                <w:rFonts w:eastAsia="Times New Roman" w:cs="Times New Roman"/>
                <w:b/>
                <w:bCs/>
                <w:color w:val="000000"/>
                <w:lang w:eastAsia="en-GB"/>
              </w:rPr>
            </w:pPr>
            <w:r w:rsidRPr="001C74D0">
              <w:rPr>
                <w:rFonts w:eastAsia="Times New Roman" w:cs="Times New Roman"/>
                <w:b/>
                <w:bCs/>
                <w:color w:val="000000"/>
                <w:lang w:eastAsia="en-GB"/>
              </w:rPr>
              <w:t>Residents with limiting long-term illness</w:t>
            </w:r>
          </w:p>
        </w:tc>
        <w:tc>
          <w:tcPr>
            <w:tcW w:w="2126" w:type="dxa"/>
            <w:shd w:val="clear" w:color="auto" w:fill="BFBFBF" w:themeFill="background1" w:themeFillShade="BF"/>
            <w:vAlign w:val="center"/>
            <w:hideMark/>
          </w:tcPr>
          <w:p w:rsidR="000C02C2" w:rsidRPr="001C74D0" w:rsidRDefault="000C02C2" w:rsidP="00140AF6">
            <w:pPr>
              <w:spacing w:after="0" w:line="240" w:lineRule="auto"/>
              <w:jc w:val="center"/>
              <w:rPr>
                <w:rFonts w:eastAsia="Times New Roman" w:cs="Times New Roman"/>
                <w:b/>
                <w:bCs/>
                <w:color w:val="000000"/>
                <w:lang w:eastAsia="en-GB"/>
              </w:rPr>
            </w:pPr>
            <w:r w:rsidRPr="001C74D0">
              <w:rPr>
                <w:rFonts w:eastAsia="Times New Roman" w:cs="Times New Roman"/>
                <w:b/>
                <w:bCs/>
                <w:color w:val="000000"/>
                <w:lang w:eastAsia="en-GB"/>
              </w:rPr>
              <w:t>Residents of working age with limiting long-term illness</w:t>
            </w:r>
          </w:p>
        </w:tc>
      </w:tr>
      <w:tr w:rsidR="000C02C2" w:rsidRPr="001C74D0" w:rsidTr="00CF501E">
        <w:trPr>
          <w:trHeight w:val="300"/>
        </w:trPr>
        <w:tc>
          <w:tcPr>
            <w:tcW w:w="2802" w:type="dxa"/>
            <w:shd w:val="clear" w:color="auto" w:fill="auto"/>
            <w:noWrap/>
            <w:vAlign w:val="center"/>
            <w:hideMark/>
          </w:tcPr>
          <w:p w:rsidR="000C02C2" w:rsidRPr="001C74D0" w:rsidRDefault="000C02C2" w:rsidP="00140AF6">
            <w:pPr>
              <w:spacing w:after="0" w:line="240" w:lineRule="auto"/>
              <w:rPr>
                <w:rFonts w:eastAsia="Times New Roman" w:cs="Times New Roman"/>
                <w:color w:val="000000"/>
                <w:lang w:eastAsia="en-GB"/>
              </w:rPr>
            </w:pPr>
            <w:r w:rsidRPr="001C74D0">
              <w:rPr>
                <w:rFonts w:eastAsia="Times New Roman" w:cs="Times New Roman"/>
                <w:color w:val="000000"/>
                <w:lang w:eastAsia="en-GB"/>
              </w:rPr>
              <w:t>A - Affluent Singles</w:t>
            </w:r>
          </w:p>
        </w:tc>
        <w:tc>
          <w:tcPr>
            <w:tcW w:w="2409" w:type="dxa"/>
            <w:shd w:val="clear" w:color="auto" w:fill="auto"/>
            <w:noWrap/>
            <w:vAlign w:val="center"/>
            <w:hideMark/>
          </w:tcPr>
          <w:p w:rsidR="000C02C2" w:rsidRPr="001C74D0" w:rsidRDefault="000C02C2" w:rsidP="00140AF6">
            <w:pPr>
              <w:spacing w:after="0" w:line="240" w:lineRule="auto"/>
              <w:jc w:val="center"/>
              <w:rPr>
                <w:rFonts w:eastAsia="Times New Roman" w:cs="Times New Roman"/>
                <w:color w:val="000000"/>
                <w:lang w:eastAsia="en-GB"/>
              </w:rPr>
            </w:pPr>
            <w:r w:rsidRPr="001C74D0">
              <w:rPr>
                <w:rFonts w:eastAsia="Times New Roman" w:cs="Times New Roman"/>
                <w:color w:val="000000"/>
                <w:lang w:eastAsia="en-GB"/>
              </w:rPr>
              <w:t>2.53%</w:t>
            </w:r>
          </w:p>
        </w:tc>
        <w:tc>
          <w:tcPr>
            <w:tcW w:w="2127" w:type="dxa"/>
            <w:shd w:val="clear" w:color="auto" w:fill="auto"/>
            <w:noWrap/>
            <w:vAlign w:val="center"/>
            <w:hideMark/>
          </w:tcPr>
          <w:p w:rsidR="000C02C2" w:rsidRPr="001C74D0" w:rsidRDefault="000C02C2" w:rsidP="00140AF6">
            <w:pPr>
              <w:spacing w:after="0" w:line="240" w:lineRule="auto"/>
              <w:jc w:val="center"/>
              <w:rPr>
                <w:rFonts w:eastAsia="Times New Roman" w:cs="Times New Roman"/>
                <w:color w:val="000000"/>
                <w:lang w:eastAsia="en-GB"/>
              </w:rPr>
            </w:pPr>
            <w:r w:rsidRPr="001C74D0">
              <w:rPr>
                <w:rFonts w:eastAsia="Times New Roman" w:cs="Times New Roman"/>
                <w:color w:val="000000"/>
                <w:lang w:eastAsia="en-GB"/>
              </w:rPr>
              <w:t>12.57%</w:t>
            </w:r>
          </w:p>
        </w:tc>
        <w:tc>
          <w:tcPr>
            <w:tcW w:w="2126" w:type="dxa"/>
            <w:shd w:val="clear" w:color="auto" w:fill="auto"/>
            <w:noWrap/>
            <w:vAlign w:val="center"/>
            <w:hideMark/>
          </w:tcPr>
          <w:p w:rsidR="000C02C2" w:rsidRPr="001C74D0" w:rsidRDefault="000C02C2" w:rsidP="00140AF6">
            <w:pPr>
              <w:spacing w:after="0" w:line="240" w:lineRule="auto"/>
              <w:jc w:val="center"/>
              <w:rPr>
                <w:rFonts w:eastAsia="Times New Roman" w:cs="Times New Roman"/>
                <w:color w:val="000000"/>
                <w:lang w:eastAsia="en-GB"/>
              </w:rPr>
            </w:pPr>
            <w:r w:rsidRPr="001C74D0">
              <w:rPr>
                <w:rFonts w:eastAsia="Times New Roman" w:cs="Times New Roman"/>
                <w:color w:val="000000"/>
                <w:lang w:eastAsia="en-GB"/>
              </w:rPr>
              <w:t>6.01%</w:t>
            </w:r>
          </w:p>
        </w:tc>
      </w:tr>
      <w:tr w:rsidR="000C02C2" w:rsidRPr="001C74D0" w:rsidTr="00CF501E">
        <w:trPr>
          <w:trHeight w:val="300"/>
        </w:trPr>
        <w:tc>
          <w:tcPr>
            <w:tcW w:w="2802" w:type="dxa"/>
            <w:shd w:val="clear" w:color="auto" w:fill="auto"/>
            <w:noWrap/>
            <w:vAlign w:val="center"/>
            <w:hideMark/>
          </w:tcPr>
          <w:p w:rsidR="000C02C2" w:rsidRPr="001C74D0" w:rsidRDefault="000C02C2" w:rsidP="00140AF6">
            <w:pPr>
              <w:spacing w:after="0" w:line="240" w:lineRule="auto"/>
              <w:rPr>
                <w:rFonts w:eastAsia="Times New Roman" w:cs="Times New Roman"/>
                <w:color w:val="000000"/>
                <w:lang w:eastAsia="en-GB"/>
              </w:rPr>
            </w:pPr>
            <w:r w:rsidRPr="001C74D0">
              <w:rPr>
                <w:rFonts w:eastAsia="Times New Roman" w:cs="Times New Roman"/>
                <w:color w:val="000000"/>
                <w:lang w:eastAsia="en-GB"/>
              </w:rPr>
              <w:t>B - Prosperous young couples without kids</w:t>
            </w:r>
          </w:p>
        </w:tc>
        <w:tc>
          <w:tcPr>
            <w:tcW w:w="2409" w:type="dxa"/>
            <w:shd w:val="clear" w:color="auto" w:fill="auto"/>
            <w:noWrap/>
            <w:vAlign w:val="center"/>
            <w:hideMark/>
          </w:tcPr>
          <w:p w:rsidR="000C02C2" w:rsidRPr="001C74D0" w:rsidRDefault="000C02C2" w:rsidP="00140AF6">
            <w:pPr>
              <w:spacing w:after="0" w:line="240" w:lineRule="auto"/>
              <w:jc w:val="center"/>
              <w:rPr>
                <w:rFonts w:eastAsia="Times New Roman" w:cs="Times New Roman"/>
                <w:color w:val="000000"/>
                <w:lang w:eastAsia="en-GB"/>
              </w:rPr>
            </w:pPr>
            <w:r w:rsidRPr="001C74D0">
              <w:rPr>
                <w:rFonts w:eastAsia="Times New Roman" w:cs="Times New Roman"/>
                <w:color w:val="000000"/>
                <w:lang w:eastAsia="en-GB"/>
              </w:rPr>
              <w:t>2.76%</w:t>
            </w:r>
          </w:p>
        </w:tc>
        <w:tc>
          <w:tcPr>
            <w:tcW w:w="2127" w:type="dxa"/>
            <w:shd w:val="clear" w:color="auto" w:fill="auto"/>
            <w:noWrap/>
            <w:vAlign w:val="center"/>
            <w:hideMark/>
          </w:tcPr>
          <w:p w:rsidR="000C02C2" w:rsidRPr="001C74D0" w:rsidRDefault="000C02C2" w:rsidP="00140AF6">
            <w:pPr>
              <w:spacing w:after="0" w:line="240" w:lineRule="auto"/>
              <w:jc w:val="center"/>
              <w:rPr>
                <w:rFonts w:eastAsia="Times New Roman" w:cs="Times New Roman"/>
                <w:color w:val="000000"/>
                <w:lang w:eastAsia="en-GB"/>
              </w:rPr>
            </w:pPr>
            <w:r w:rsidRPr="001C74D0">
              <w:rPr>
                <w:rFonts w:eastAsia="Times New Roman" w:cs="Times New Roman"/>
                <w:color w:val="000000"/>
                <w:lang w:eastAsia="en-GB"/>
              </w:rPr>
              <w:t>13.40%</w:t>
            </w:r>
          </w:p>
        </w:tc>
        <w:tc>
          <w:tcPr>
            <w:tcW w:w="2126" w:type="dxa"/>
            <w:shd w:val="clear" w:color="auto" w:fill="auto"/>
            <w:noWrap/>
            <w:vAlign w:val="center"/>
            <w:hideMark/>
          </w:tcPr>
          <w:p w:rsidR="000C02C2" w:rsidRPr="001C74D0" w:rsidRDefault="000C02C2" w:rsidP="00140AF6">
            <w:pPr>
              <w:spacing w:after="0" w:line="240" w:lineRule="auto"/>
              <w:jc w:val="center"/>
              <w:rPr>
                <w:rFonts w:eastAsia="Times New Roman" w:cs="Times New Roman"/>
                <w:color w:val="000000"/>
                <w:lang w:eastAsia="en-GB"/>
              </w:rPr>
            </w:pPr>
            <w:r w:rsidRPr="001C74D0">
              <w:rPr>
                <w:rFonts w:eastAsia="Times New Roman" w:cs="Times New Roman"/>
                <w:color w:val="000000"/>
                <w:lang w:eastAsia="en-GB"/>
              </w:rPr>
              <w:t>6.31%</w:t>
            </w:r>
          </w:p>
        </w:tc>
      </w:tr>
      <w:tr w:rsidR="000C02C2" w:rsidRPr="001C74D0" w:rsidTr="00CF501E">
        <w:trPr>
          <w:trHeight w:val="300"/>
        </w:trPr>
        <w:tc>
          <w:tcPr>
            <w:tcW w:w="2802" w:type="dxa"/>
            <w:shd w:val="clear" w:color="auto" w:fill="auto"/>
            <w:noWrap/>
            <w:vAlign w:val="center"/>
            <w:hideMark/>
          </w:tcPr>
          <w:p w:rsidR="000C02C2" w:rsidRPr="001C74D0" w:rsidRDefault="000C02C2" w:rsidP="00140AF6">
            <w:pPr>
              <w:spacing w:after="0" w:line="240" w:lineRule="auto"/>
              <w:rPr>
                <w:rFonts w:eastAsia="Times New Roman" w:cs="Times New Roman"/>
                <w:color w:val="000000"/>
                <w:lang w:eastAsia="en-GB"/>
              </w:rPr>
            </w:pPr>
            <w:r w:rsidRPr="001C74D0">
              <w:rPr>
                <w:rFonts w:eastAsia="Times New Roman" w:cs="Times New Roman"/>
                <w:color w:val="000000"/>
                <w:lang w:eastAsia="en-GB"/>
              </w:rPr>
              <w:t>C - Educated, affluent families</w:t>
            </w:r>
          </w:p>
        </w:tc>
        <w:tc>
          <w:tcPr>
            <w:tcW w:w="2409" w:type="dxa"/>
            <w:shd w:val="clear" w:color="auto" w:fill="auto"/>
            <w:noWrap/>
            <w:vAlign w:val="center"/>
            <w:hideMark/>
          </w:tcPr>
          <w:p w:rsidR="000C02C2" w:rsidRPr="001C74D0" w:rsidRDefault="000C02C2" w:rsidP="00140AF6">
            <w:pPr>
              <w:spacing w:after="0" w:line="240" w:lineRule="auto"/>
              <w:jc w:val="center"/>
              <w:rPr>
                <w:rFonts w:eastAsia="Times New Roman" w:cs="Times New Roman"/>
                <w:color w:val="000000"/>
                <w:lang w:eastAsia="en-GB"/>
              </w:rPr>
            </w:pPr>
            <w:r w:rsidRPr="001C74D0">
              <w:rPr>
                <w:rFonts w:eastAsia="Times New Roman" w:cs="Times New Roman"/>
                <w:color w:val="000000"/>
                <w:lang w:eastAsia="en-GB"/>
              </w:rPr>
              <w:t>2.08%</w:t>
            </w:r>
          </w:p>
        </w:tc>
        <w:tc>
          <w:tcPr>
            <w:tcW w:w="2127" w:type="dxa"/>
            <w:shd w:val="clear" w:color="auto" w:fill="auto"/>
            <w:noWrap/>
            <w:vAlign w:val="center"/>
            <w:hideMark/>
          </w:tcPr>
          <w:p w:rsidR="000C02C2" w:rsidRPr="001C74D0" w:rsidRDefault="000C02C2" w:rsidP="00140AF6">
            <w:pPr>
              <w:spacing w:after="0" w:line="240" w:lineRule="auto"/>
              <w:jc w:val="center"/>
              <w:rPr>
                <w:rFonts w:eastAsia="Times New Roman" w:cs="Times New Roman"/>
                <w:color w:val="000000"/>
                <w:lang w:eastAsia="en-GB"/>
              </w:rPr>
            </w:pPr>
            <w:r w:rsidRPr="001C74D0">
              <w:rPr>
                <w:rFonts w:eastAsia="Times New Roman" w:cs="Times New Roman"/>
                <w:color w:val="000000"/>
                <w:lang w:eastAsia="en-GB"/>
              </w:rPr>
              <w:t>12.79%</w:t>
            </w:r>
          </w:p>
        </w:tc>
        <w:tc>
          <w:tcPr>
            <w:tcW w:w="2126" w:type="dxa"/>
            <w:shd w:val="clear" w:color="auto" w:fill="auto"/>
            <w:noWrap/>
            <w:vAlign w:val="center"/>
            <w:hideMark/>
          </w:tcPr>
          <w:p w:rsidR="000C02C2" w:rsidRPr="001C74D0" w:rsidRDefault="000C02C2" w:rsidP="00140AF6">
            <w:pPr>
              <w:spacing w:after="0" w:line="240" w:lineRule="auto"/>
              <w:jc w:val="center"/>
              <w:rPr>
                <w:rFonts w:eastAsia="Times New Roman" w:cs="Times New Roman"/>
                <w:color w:val="000000"/>
                <w:lang w:eastAsia="en-GB"/>
              </w:rPr>
            </w:pPr>
            <w:r w:rsidRPr="001C74D0">
              <w:rPr>
                <w:rFonts w:eastAsia="Times New Roman" w:cs="Times New Roman"/>
                <w:color w:val="000000"/>
                <w:lang w:eastAsia="en-GB"/>
              </w:rPr>
              <w:t>5.42%</w:t>
            </w:r>
          </w:p>
        </w:tc>
      </w:tr>
      <w:tr w:rsidR="000C02C2" w:rsidRPr="001C74D0" w:rsidTr="00CF501E">
        <w:trPr>
          <w:trHeight w:val="300"/>
        </w:trPr>
        <w:tc>
          <w:tcPr>
            <w:tcW w:w="2802" w:type="dxa"/>
            <w:shd w:val="clear" w:color="auto" w:fill="auto"/>
            <w:noWrap/>
            <w:vAlign w:val="center"/>
            <w:hideMark/>
          </w:tcPr>
          <w:p w:rsidR="000C02C2" w:rsidRPr="001C74D0" w:rsidRDefault="000C02C2" w:rsidP="00140AF6">
            <w:pPr>
              <w:spacing w:after="0" w:line="240" w:lineRule="auto"/>
              <w:rPr>
                <w:rFonts w:eastAsia="Times New Roman" w:cs="Times New Roman"/>
                <w:color w:val="000000"/>
                <w:lang w:eastAsia="en-GB"/>
              </w:rPr>
            </w:pPr>
            <w:r w:rsidRPr="001C74D0">
              <w:rPr>
                <w:rFonts w:eastAsia="Times New Roman" w:cs="Times New Roman"/>
                <w:color w:val="000000"/>
                <w:lang w:eastAsia="en-GB"/>
              </w:rPr>
              <w:t>D - Well educated and employed single parents</w:t>
            </w:r>
          </w:p>
        </w:tc>
        <w:tc>
          <w:tcPr>
            <w:tcW w:w="2409" w:type="dxa"/>
            <w:shd w:val="clear" w:color="auto" w:fill="auto"/>
            <w:noWrap/>
            <w:vAlign w:val="center"/>
            <w:hideMark/>
          </w:tcPr>
          <w:p w:rsidR="000C02C2" w:rsidRPr="001C74D0" w:rsidRDefault="000C02C2" w:rsidP="00140AF6">
            <w:pPr>
              <w:spacing w:after="0" w:line="240" w:lineRule="auto"/>
              <w:jc w:val="center"/>
              <w:rPr>
                <w:rFonts w:eastAsia="Times New Roman" w:cs="Times New Roman"/>
                <w:color w:val="000000"/>
                <w:lang w:eastAsia="en-GB"/>
              </w:rPr>
            </w:pPr>
            <w:r w:rsidRPr="001C74D0">
              <w:rPr>
                <w:rFonts w:eastAsia="Times New Roman" w:cs="Times New Roman"/>
                <w:color w:val="000000"/>
                <w:lang w:eastAsia="en-GB"/>
              </w:rPr>
              <w:t>2.69%</w:t>
            </w:r>
          </w:p>
        </w:tc>
        <w:tc>
          <w:tcPr>
            <w:tcW w:w="2127" w:type="dxa"/>
            <w:shd w:val="clear" w:color="auto" w:fill="auto"/>
            <w:noWrap/>
            <w:vAlign w:val="center"/>
            <w:hideMark/>
          </w:tcPr>
          <w:p w:rsidR="000C02C2" w:rsidRPr="001C74D0" w:rsidRDefault="000C02C2" w:rsidP="00140AF6">
            <w:pPr>
              <w:spacing w:after="0" w:line="240" w:lineRule="auto"/>
              <w:jc w:val="center"/>
              <w:rPr>
                <w:rFonts w:eastAsia="Times New Roman" w:cs="Times New Roman"/>
                <w:color w:val="000000"/>
                <w:lang w:eastAsia="en-GB"/>
              </w:rPr>
            </w:pPr>
            <w:r w:rsidRPr="001C74D0">
              <w:rPr>
                <w:rFonts w:eastAsia="Times New Roman" w:cs="Times New Roman"/>
                <w:color w:val="000000"/>
                <w:lang w:eastAsia="en-GB"/>
              </w:rPr>
              <w:t>12.98%</w:t>
            </w:r>
          </w:p>
        </w:tc>
        <w:tc>
          <w:tcPr>
            <w:tcW w:w="2126" w:type="dxa"/>
            <w:shd w:val="clear" w:color="auto" w:fill="auto"/>
            <w:noWrap/>
            <w:vAlign w:val="center"/>
            <w:hideMark/>
          </w:tcPr>
          <w:p w:rsidR="000C02C2" w:rsidRPr="001C74D0" w:rsidRDefault="000C02C2" w:rsidP="00140AF6">
            <w:pPr>
              <w:spacing w:after="0" w:line="240" w:lineRule="auto"/>
              <w:jc w:val="center"/>
              <w:rPr>
                <w:rFonts w:eastAsia="Times New Roman" w:cs="Times New Roman"/>
                <w:color w:val="000000"/>
                <w:lang w:eastAsia="en-GB"/>
              </w:rPr>
            </w:pPr>
            <w:r w:rsidRPr="001C74D0">
              <w:rPr>
                <w:rFonts w:eastAsia="Times New Roman" w:cs="Times New Roman"/>
                <w:color w:val="000000"/>
                <w:lang w:eastAsia="en-GB"/>
              </w:rPr>
              <w:t>6.16%</w:t>
            </w:r>
          </w:p>
        </w:tc>
      </w:tr>
      <w:tr w:rsidR="000C02C2" w:rsidRPr="001C74D0" w:rsidTr="00CF501E">
        <w:trPr>
          <w:trHeight w:val="300"/>
        </w:trPr>
        <w:tc>
          <w:tcPr>
            <w:tcW w:w="2802" w:type="dxa"/>
            <w:shd w:val="clear" w:color="auto" w:fill="auto"/>
            <w:noWrap/>
            <w:vAlign w:val="center"/>
            <w:hideMark/>
          </w:tcPr>
          <w:p w:rsidR="000C02C2" w:rsidRPr="001C74D0" w:rsidRDefault="000C02C2" w:rsidP="00140AF6">
            <w:pPr>
              <w:spacing w:after="0" w:line="240" w:lineRule="auto"/>
              <w:rPr>
                <w:rFonts w:eastAsia="Times New Roman" w:cs="Times New Roman"/>
                <w:color w:val="000000"/>
                <w:lang w:eastAsia="en-GB"/>
              </w:rPr>
            </w:pPr>
            <w:r w:rsidRPr="001C74D0">
              <w:rPr>
                <w:rFonts w:eastAsia="Times New Roman" w:cs="Times New Roman"/>
                <w:color w:val="000000"/>
                <w:lang w:eastAsia="en-GB"/>
              </w:rPr>
              <w:t>E - Sophisticated Singles</w:t>
            </w:r>
          </w:p>
        </w:tc>
        <w:tc>
          <w:tcPr>
            <w:tcW w:w="2409" w:type="dxa"/>
            <w:shd w:val="clear" w:color="auto" w:fill="auto"/>
            <w:noWrap/>
            <w:vAlign w:val="center"/>
            <w:hideMark/>
          </w:tcPr>
          <w:p w:rsidR="000C02C2" w:rsidRPr="001C74D0" w:rsidRDefault="000C02C2" w:rsidP="00140AF6">
            <w:pPr>
              <w:spacing w:after="0" w:line="240" w:lineRule="auto"/>
              <w:jc w:val="center"/>
              <w:rPr>
                <w:rFonts w:eastAsia="Times New Roman" w:cs="Times New Roman"/>
                <w:color w:val="000000"/>
                <w:lang w:eastAsia="en-GB"/>
              </w:rPr>
            </w:pPr>
            <w:r w:rsidRPr="001C74D0">
              <w:rPr>
                <w:rFonts w:eastAsia="Times New Roman" w:cs="Times New Roman"/>
                <w:color w:val="000000"/>
                <w:lang w:eastAsia="en-GB"/>
              </w:rPr>
              <w:t>2.44%</w:t>
            </w:r>
          </w:p>
        </w:tc>
        <w:tc>
          <w:tcPr>
            <w:tcW w:w="2127" w:type="dxa"/>
            <w:shd w:val="clear" w:color="auto" w:fill="auto"/>
            <w:noWrap/>
            <w:vAlign w:val="center"/>
            <w:hideMark/>
          </w:tcPr>
          <w:p w:rsidR="000C02C2" w:rsidRPr="001C74D0" w:rsidRDefault="000C02C2" w:rsidP="00140AF6">
            <w:pPr>
              <w:spacing w:after="0" w:line="240" w:lineRule="auto"/>
              <w:jc w:val="center"/>
              <w:rPr>
                <w:rFonts w:eastAsia="Times New Roman" w:cs="Times New Roman"/>
                <w:color w:val="000000"/>
                <w:lang w:eastAsia="en-GB"/>
              </w:rPr>
            </w:pPr>
            <w:r w:rsidRPr="001C74D0">
              <w:rPr>
                <w:rFonts w:eastAsia="Times New Roman" w:cs="Times New Roman"/>
                <w:color w:val="000000"/>
                <w:lang w:eastAsia="en-GB"/>
              </w:rPr>
              <w:t>12.99%</w:t>
            </w:r>
          </w:p>
        </w:tc>
        <w:tc>
          <w:tcPr>
            <w:tcW w:w="2126" w:type="dxa"/>
            <w:shd w:val="clear" w:color="auto" w:fill="auto"/>
            <w:noWrap/>
            <w:vAlign w:val="center"/>
            <w:hideMark/>
          </w:tcPr>
          <w:p w:rsidR="000C02C2" w:rsidRPr="001C74D0" w:rsidRDefault="000C02C2" w:rsidP="00140AF6">
            <w:pPr>
              <w:spacing w:after="0" w:line="240" w:lineRule="auto"/>
              <w:jc w:val="center"/>
              <w:rPr>
                <w:rFonts w:eastAsia="Times New Roman" w:cs="Times New Roman"/>
                <w:color w:val="000000"/>
                <w:lang w:eastAsia="en-GB"/>
              </w:rPr>
            </w:pPr>
            <w:r w:rsidRPr="001C74D0">
              <w:rPr>
                <w:rFonts w:eastAsia="Times New Roman" w:cs="Times New Roman"/>
                <w:color w:val="000000"/>
                <w:lang w:eastAsia="en-GB"/>
              </w:rPr>
              <w:t>5.84%</w:t>
            </w:r>
          </w:p>
        </w:tc>
      </w:tr>
      <w:tr w:rsidR="000C02C2" w:rsidRPr="001C74D0" w:rsidTr="00CF501E">
        <w:trPr>
          <w:trHeight w:val="300"/>
        </w:trPr>
        <w:tc>
          <w:tcPr>
            <w:tcW w:w="2802" w:type="dxa"/>
            <w:shd w:val="clear" w:color="auto" w:fill="auto"/>
            <w:noWrap/>
            <w:vAlign w:val="center"/>
            <w:hideMark/>
          </w:tcPr>
          <w:p w:rsidR="000C02C2" w:rsidRPr="001C74D0" w:rsidRDefault="000C02C2" w:rsidP="00140AF6">
            <w:pPr>
              <w:spacing w:after="0" w:line="240" w:lineRule="auto"/>
              <w:rPr>
                <w:rFonts w:eastAsia="Times New Roman" w:cs="Times New Roman"/>
                <w:color w:val="000000"/>
                <w:lang w:eastAsia="en-GB"/>
              </w:rPr>
            </w:pPr>
            <w:r w:rsidRPr="001C74D0">
              <w:rPr>
                <w:rFonts w:eastAsia="Times New Roman" w:cs="Times New Roman"/>
                <w:color w:val="000000"/>
                <w:lang w:eastAsia="en-GB"/>
              </w:rPr>
              <w:t>F - Wealthy and nearing retirement</w:t>
            </w:r>
          </w:p>
        </w:tc>
        <w:tc>
          <w:tcPr>
            <w:tcW w:w="2409" w:type="dxa"/>
            <w:shd w:val="clear" w:color="auto" w:fill="auto"/>
            <w:noWrap/>
            <w:vAlign w:val="center"/>
            <w:hideMark/>
          </w:tcPr>
          <w:p w:rsidR="000C02C2" w:rsidRPr="001C74D0" w:rsidRDefault="000C02C2" w:rsidP="00140AF6">
            <w:pPr>
              <w:spacing w:after="0" w:line="240" w:lineRule="auto"/>
              <w:jc w:val="center"/>
              <w:rPr>
                <w:rFonts w:eastAsia="Times New Roman" w:cs="Times New Roman"/>
                <w:color w:val="000000"/>
                <w:lang w:eastAsia="en-GB"/>
              </w:rPr>
            </w:pPr>
            <w:r w:rsidRPr="001C74D0">
              <w:rPr>
                <w:rFonts w:eastAsia="Times New Roman" w:cs="Times New Roman"/>
                <w:color w:val="000000"/>
                <w:lang w:eastAsia="en-GB"/>
              </w:rPr>
              <w:t>2.73%</w:t>
            </w:r>
          </w:p>
        </w:tc>
        <w:tc>
          <w:tcPr>
            <w:tcW w:w="2127" w:type="dxa"/>
            <w:shd w:val="clear" w:color="auto" w:fill="auto"/>
            <w:noWrap/>
            <w:vAlign w:val="center"/>
            <w:hideMark/>
          </w:tcPr>
          <w:p w:rsidR="000C02C2" w:rsidRPr="001C74D0" w:rsidRDefault="000C02C2" w:rsidP="00140AF6">
            <w:pPr>
              <w:spacing w:after="0" w:line="240" w:lineRule="auto"/>
              <w:jc w:val="center"/>
              <w:rPr>
                <w:rFonts w:eastAsia="Times New Roman" w:cs="Times New Roman"/>
                <w:color w:val="000000"/>
                <w:lang w:eastAsia="en-GB"/>
              </w:rPr>
            </w:pPr>
            <w:r w:rsidRPr="001C74D0">
              <w:rPr>
                <w:rFonts w:eastAsia="Times New Roman" w:cs="Times New Roman"/>
                <w:color w:val="000000"/>
                <w:lang w:eastAsia="en-GB"/>
              </w:rPr>
              <w:t>13.81%</w:t>
            </w:r>
          </w:p>
        </w:tc>
        <w:tc>
          <w:tcPr>
            <w:tcW w:w="2126" w:type="dxa"/>
            <w:shd w:val="clear" w:color="auto" w:fill="auto"/>
            <w:noWrap/>
            <w:vAlign w:val="center"/>
            <w:hideMark/>
          </w:tcPr>
          <w:p w:rsidR="000C02C2" w:rsidRPr="001C74D0" w:rsidRDefault="000C02C2" w:rsidP="00140AF6">
            <w:pPr>
              <w:spacing w:after="0" w:line="240" w:lineRule="auto"/>
              <w:jc w:val="center"/>
              <w:rPr>
                <w:rFonts w:eastAsia="Times New Roman" w:cs="Times New Roman"/>
                <w:color w:val="000000"/>
                <w:lang w:eastAsia="en-GB"/>
              </w:rPr>
            </w:pPr>
            <w:r w:rsidRPr="001C74D0">
              <w:rPr>
                <w:rFonts w:eastAsia="Times New Roman" w:cs="Times New Roman"/>
                <w:color w:val="000000"/>
                <w:lang w:eastAsia="en-GB"/>
              </w:rPr>
              <w:t>6.35%</w:t>
            </w:r>
          </w:p>
        </w:tc>
      </w:tr>
      <w:tr w:rsidR="000C02C2" w:rsidRPr="001C74D0" w:rsidTr="00CF501E">
        <w:trPr>
          <w:trHeight w:val="300"/>
        </w:trPr>
        <w:tc>
          <w:tcPr>
            <w:tcW w:w="2802" w:type="dxa"/>
            <w:shd w:val="clear" w:color="auto" w:fill="auto"/>
            <w:noWrap/>
            <w:vAlign w:val="center"/>
            <w:hideMark/>
          </w:tcPr>
          <w:p w:rsidR="000C02C2" w:rsidRPr="001C74D0" w:rsidRDefault="000C02C2" w:rsidP="00140AF6">
            <w:pPr>
              <w:spacing w:after="0" w:line="240" w:lineRule="auto"/>
              <w:rPr>
                <w:rFonts w:eastAsia="Times New Roman" w:cs="Times New Roman"/>
                <w:color w:val="000000"/>
                <w:lang w:eastAsia="en-GB"/>
              </w:rPr>
            </w:pPr>
            <w:r w:rsidRPr="001C74D0">
              <w:rPr>
                <w:rFonts w:eastAsia="Times New Roman" w:cs="Times New Roman"/>
                <w:color w:val="000000"/>
                <w:lang w:eastAsia="en-GB"/>
              </w:rPr>
              <w:t>G - Financially secure retirees</w:t>
            </w:r>
          </w:p>
        </w:tc>
        <w:tc>
          <w:tcPr>
            <w:tcW w:w="2409" w:type="dxa"/>
            <w:shd w:val="clear" w:color="auto" w:fill="auto"/>
            <w:noWrap/>
            <w:vAlign w:val="center"/>
            <w:hideMark/>
          </w:tcPr>
          <w:p w:rsidR="000C02C2" w:rsidRPr="001C74D0" w:rsidRDefault="000C02C2" w:rsidP="00140AF6">
            <w:pPr>
              <w:spacing w:after="0" w:line="240" w:lineRule="auto"/>
              <w:jc w:val="center"/>
              <w:rPr>
                <w:rFonts w:eastAsia="Times New Roman" w:cs="Times New Roman"/>
                <w:color w:val="000000"/>
                <w:lang w:eastAsia="en-GB"/>
              </w:rPr>
            </w:pPr>
            <w:r w:rsidRPr="001C74D0">
              <w:rPr>
                <w:rFonts w:eastAsia="Times New Roman" w:cs="Times New Roman"/>
                <w:color w:val="000000"/>
                <w:lang w:eastAsia="en-GB"/>
              </w:rPr>
              <w:t>2.24%</w:t>
            </w:r>
          </w:p>
        </w:tc>
        <w:tc>
          <w:tcPr>
            <w:tcW w:w="2127" w:type="dxa"/>
            <w:shd w:val="clear" w:color="auto" w:fill="auto"/>
            <w:noWrap/>
            <w:vAlign w:val="center"/>
            <w:hideMark/>
          </w:tcPr>
          <w:p w:rsidR="000C02C2" w:rsidRPr="001C74D0" w:rsidRDefault="000C02C2" w:rsidP="00140AF6">
            <w:pPr>
              <w:spacing w:after="0" w:line="240" w:lineRule="auto"/>
              <w:jc w:val="center"/>
              <w:rPr>
                <w:rFonts w:eastAsia="Times New Roman" w:cs="Times New Roman"/>
                <w:color w:val="000000"/>
                <w:lang w:eastAsia="en-GB"/>
              </w:rPr>
            </w:pPr>
            <w:r w:rsidRPr="001C74D0">
              <w:rPr>
                <w:rFonts w:eastAsia="Times New Roman" w:cs="Times New Roman"/>
                <w:color w:val="000000"/>
                <w:lang w:eastAsia="en-GB"/>
              </w:rPr>
              <w:t>13.90%</w:t>
            </w:r>
          </w:p>
        </w:tc>
        <w:tc>
          <w:tcPr>
            <w:tcW w:w="2126" w:type="dxa"/>
            <w:shd w:val="clear" w:color="auto" w:fill="auto"/>
            <w:noWrap/>
            <w:vAlign w:val="center"/>
            <w:hideMark/>
          </w:tcPr>
          <w:p w:rsidR="000C02C2" w:rsidRPr="001C74D0" w:rsidRDefault="000C02C2" w:rsidP="00140AF6">
            <w:pPr>
              <w:spacing w:after="0" w:line="240" w:lineRule="auto"/>
              <w:jc w:val="center"/>
              <w:rPr>
                <w:rFonts w:eastAsia="Times New Roman" w:cs="Times New Roman"/>
                <w:color w:val="000000"/>
                <w:lang w:eastAsia="en-GB"/>
              </w:rPr>
            </w:pPr>
            <w:r w:rsidRPr="001C74D0">
              <w:rPr>
                <w:rFonts w:eastAsia="Times New Roman" w:cs="Times New Roman"/>
                <w:color w:val="000000"/>
                <w:lang w:eastAsia="en-GB"/>
              </w:rPr>
              <w:t>5.62%</w:t>
            </w:r>
          </w:p>
        </w:tc>
      </w:tr>
      <w:tr w:rsidR="000C02C2" w:rsidRPr="001C74D0" w:rsidTr="00CF501E">
        <w:trPr>
          <w:trHeight w:val="300"/>
        </w:trPr>
        <w:tc>
          <w:tcPr>
            <w:tcW w:w="2802" w:type="dxa"/>
            <w:shd w:val="clear" w:color="auto" w:fill="auto"/>
            <w:noWrap/>
            <w:vAlign w:val="center"/>
            <w:hideMark/>
          </w:tcPr>
          <w:p w:rsidR="000C02C2" w:rsidRPr="001C74D0" w:rsidRDefault="000C02C2" w:rsidP="00140AF6">
            <w:pPr>
              <w:spacing w:after="0" w:line="240" w:lineRule="auto"/>
              <w:rPr>
                <w:rFonts w:eastAsia="Times New Roman" w:cs="Times New Roman"/>
                <w:color w:val="000000"/>
                <w:lang w:eastAsia="en-GB"/>
              </w:rPr>
            </w:pPr>
            <w:r w:rsidRPr="001C74D0">
              <w:rPr>
                <w:rFonts w:eastAsia="Times New Roman" w:cs="Times New Roman"/>
                <w:color w:val="000000"/>
                <w:lang w:eastAsia="en-GB"/>
              </w:rPr>
              <w:t>H - Financially secure singles</w:t>
            </w:r>
          </w:p>
        </w:tc>
        <w:tc>
          <w:tcPr>
            <w:tcW w:w="2409" w:type="dxa"/>
            <w:shd w:val="clear" w:color="auto" w:fill="auto"/>
            <w:noWrap/>
            <w:vAlign w:val="center"/>
            <w:hideMark/>
          </w:tcPr>
          <w:p w:rsidR="000C02C2" w:rsidRPr="001C74D0" w:rsidRDefault="000C02C2" w:rsidP="00140AF6">
            <w:pPr>
              <w:spacing w:after="0" w:line="240" w:lineRule="auto"/>
              <w:jc w:val="center"/>
              <w:rPr>
                <w:rFonts w:eastAsia="Times New Roman" w:cs="Times New Roman"/>
                <w:color w:val="000000"/>
                <w:lang w:eastAsia="en-GB"/>
              </w:rPr>
            </w:pPr>
            <w:r w:rsidRPr="001C74D0">
              <w:rPr>
                <w:rFonts w:eastAsia="Times New Roman" w:cs="Times New Roman"/>
                <w:color w:val="000000"/>
                <w:lang w:eastAsia="en-GB"/>
              </w:rPr>
              <w:t>3.43%</w:t>
            </w:r>
          </w:p>
        </w:tc>
        <w:tc>
          <w:tcPr>
            <w:tcW w:w="2127" w:type="dxa"/>
            <w:shd w:val="clear" w:color="auto" w:fill="auto"/>
            <w:noWrap/>
            <w:vAlign w:val="center"/>
            <w:hideMark/>
          </w:tcPr>
          <w:p w:rsidR="000C02C2" w:rsidRPr="001C74D0" w:rsidRDefault="000C02C2" w:rsidP="00140AF6">
            <w:pPr>
              <w:spacing w:after="0" w:line="240" w:lineRule="auto"/>
              <w:jc w:val="center"/>
              <w:rPr>
                <w:rFonts w:eastAsia="Times New Roman" w:cs="Times New Roman"/>
                <w:color w:val="000000"/>
                <w:lang w:eastAsia="en-GB"/>
              </w:rPr>
            </w:pPr>
            <w:r w:rsidRPr="001C74D0">
              <w:rPr>
                <w:rFonts w:eastAsia="Times New Roman" w:cs="Times New Roman"/>
                <w:color w:val="000000"/>
                <w:lang w:eastAsia="en-GB"/>
              </w:rPr>
              <w:t>13.65%</w:t>
            </w:r>
          </w:p>
        </w:tc>
        <w:tc>
          <w:tcPr>
            <w:tcW w:w="2126" w:type="dxa"/>
            <w:shd w:val="clear" w:color="auto" w:fill="auto"/>
            <w:noWrap/>
            <w:vAlign w:val="center"/>
            <w:hideMark/>
          </w:tcPr>
          <w:p w:rsidR="000C02C2" w:rsidRPr="001C74D0" w:rsidRDefault="000C02C2" w:rsidP="00140AF6">
            <w:pPr>
              <w:spacing w:after="0" w:line="240" w:lineRule="auto"/>
              <w:jc w:val="center"/>
              <w:rPr>
                <w:rFonts w:eastAsia="Times New Roman" w:cs="Times New Roman"/>
                <w:color w:val="000000"/>
                <w:lang w:eastAsia="en-GB"/>
              </w:rPr>
            </w:pPr>
            <w:r w:rsidRPr="001C74D0">
              <w:rPr>
                <w:rFonts w:eastAsia="Times New Roman" w:cs="Times New Roman"/>
                <w:color w:val="000000"/>
                <w:lang w:eastAsia="en-GB"/>
              </w:rPr>
              <w:t>7.25%</w:t>
            </w:r>
          </w:p>
        </w:tc>
      </w:tr>
      <w:tr w:rsidR="000C02C2" w:rsidRPr="001C74D0" w:rsidTr="00CF501E">
        <w:trPr>
          <w:trHeight w:val="300"/>
        </w:trPr>
        <w:tc>
          <w:tcPr>
            <w:tcW w:w="2802" w:type="dxa"/>
            <w:shd w:val="clear" w:color="auto" w:fill="auto"/>
            <w:noWrap/>
            <w:vAlign w:val="center"/>
            <w:hideMark/>
          </w:tcPr>
          <w:p w:rsidR="000C02C2" w:rsidRPr="001C74D0" w:rsidRDefault="00140AF6" w:rsidP="00140AF6">
            <w:pPr>
              <w:spacing w:after="0" w:line="240" w:lineRule="auto"/>
              <w:rPr>
                <w:rFonts w:eastAsia="Times New Roman" w:cs="Times New Roman"/>
                <w:color w:val="000000"/>
                <w:lang w:eastAsia="en-GB"/>
              </w:rPr>
            </w:pPr>
            <w:r w:rsidRPr="001C74D0">
              <w:rPr>
                <w:rFonts w:eastAsia="Times New Roman" w:cs="Times New Roman"/>
                <w:color w:val="000000"/>
                <w:lang w:eastAsia="en-GB"/>
              </w:rPr>
              <w:t>I</w:t>
            </w:r>
            <w:r w:rsidR="000C02C2" w:rsidRPr="001C74D0">
              <w:rPr>
                <w:rFonts w:eastAsia="Times New Roman" w:cs="Times New Roman"/>
                <w:color w:val="000000"/>
                <w:lang w:eastAsia="en-GB"/>
              </w:rPr>
              <w:t xml:space="preserve"> - Low income couples</w:t>
            </w:r>
          </w:p>
        </w:tc>
        <w:tc>
          <w:tcPr>
            <w:tcW w:w="2409" w:type="dxa"/>
            <w:shd w:val="clear" w:color="auto" w:fill="auto"/>
            <w:noWrap/>
            <w:vAlign w:val="center"/>
            <w:hideMark/>
          </w:tcPr>
          <w:p w:rsidR="000C02C2" w:rsidRPr="001C74D0" w:rsidRDefault="000C02C2" w:rsidP="00140AF6">
            <w:pPr>
              <w:spacing w:after="0" w:line="240" w:lineRule="auto"/>
              <w:jc w:val="center"/>
              <w:rPr>
                <w:rFonts w:eastAsia="Times New Roman" w:cs="Times New Roman"/>
                <w:color w:val="000000"/>
                <w:lang w:eastAsia="en-GB"/>
              </w:rPr>
            </w:pPr>
            <w:r w:rsidRPr="001C74D0">
              <w:rPr>
                <w:rFonts w:eastAsia="Times New Roman" w:cs="Times New Roman"/>
                <w:color w:val="000000"/>
                <w:lang w:eastAsia="en-GB"/>
              </w:rPr>
              <w:t>5.00%</w:t>
            </w:r>
          </w:p>
        </w:tc>
        <w:tc>
          <w:tcPr>
            <w:tcW w:w="2127" w:type="dxa"/>
            <w:shd w:val="clear" w:color="auto" w:fill="auto"/>
            <w:noWrap/>
            <w:vAlign w:val="center"/>
            <w:hideMark/>
          </w:tcPr>
          <w:p w:rsidR="000C02C2" w:rsidRPr="001C74D0" w:rsidRDefault="000C02C2" w:rsidP="00140AF6">
            <w:pPr>
              <w:spacing w:after="0" w:line="240" w:lineRule="auto"/>
              <w:jc w:val="center"/>
              <w:rPr>
                <w:rFonts w:eastAsia="Times New Roman" w:cs="Times New Roman"/>
                <w:color w:val="000000"/>
                <w:lang w:eastAsia="en-GB"/>
              </w:rPr>
            </w:pPr>
            <w:r w:rsidRPr="001C74D0">
              <w:rPr>
                <w:rFonts w:eastAsia="Times New Roman" w:cs="Times New Roman"/>
                <w:color w:val="000000"/>
                <w:lang w:eastAsia="en-GB"/>
              </w:rPr>
              <w:t>17.00%</w:t>
            </w:r>
          </w:p>
        </w:tc>
        <w:tc>
          <w:tcPr>
            <w:tcW w:w="2126" w:type="dxa"/>
            <w:shd w:val="clear" w:color="auto" w:fill="auto"/>
            <w:noWrap/>
            <w:vAlign w:val="center"/>
            <w:hideMark/>
          </w:tcPr>
          <w:p w:rsidR="000C02C2" w:rsidRPr="001C74D0" w:rsidRDefault="000C02C2" w:rsidP="00140AF6">
            <w:pPr>
              <w:spacing w:after="0" w:line="240" w:lineRule="auto"/>
              <w:jc w:val="center"/>
              <w:rPr>
                <w:rFonts w:eastAsia="Times New Roman" w:cs="Times New Roman"/>
                <w:color w:val="000000"/>
                <w:lang w:eastAsia="en-GB"/>
              </w:rPr>
            </w:pPr>
            <w:r w:rsidRPr="001C74D0">
              <w:rPr>
                <w:rFonts w:eastAsia="Times New Roman" w:cs="Times New Roman"/>
                <w:color w:val="000000"/>
                <w:lang w:eastAsia="en-GB"/>
              </w:rPr>
              <w:t>8.97%</w:t>
            </w:r>
          </w:p>
        </w:tc>
      </w:tr>
      <w:tr w:rsidR="000C02C2" w:rsidRPr="001C74D0" w:rsidTr="00CF501E">
        <w:trPr>
          <w:trHeight w:val="300"/>
        </w:trPr>
        <w:tc>
          <w:tcPr>
            <w:tcW w:w="2802" w:type="dxa"/>
            <w:shd w:val="clear" w:color="auto" w:fill="auto"/>
            <w:noWrap/>
            <w:vAlign w:val="center"/>
            <w:hideMark/>
          </w:tcPr>
          <w:p w:rsidR="000C02C2" w:rsidRPr="001C74D0" w:rsidRDefault="00140AF6" w:rsidP="00140AF6">
            <w:pPr>
              <w:spacing w:after="0" w:line="240" w:lineRule="auto"/>
              <w:rPr>
                <w:rFonts w:eastAsia="Times New Roman" w:cs="Times New Roman"/>
                <w:color w:val="000000"/>
                <w:lang w:eastAsia="en-GB"/>
              </w:rPr>
            </w:pPr>
            <w:r w:rsidRPr="001C74D0">
              <w:rPr>
                <w:rFonts w:eastAsia="Times New Roman" w:cs="Times New Roman"/>
                <w:color w:val="000000"/>
                <w:lang w:eastAsia="en-GB"/>
              </w:rPr>
              <w:t>J</w:t>
            </w:r>
            <w:r w:rsidR="000C02C2" w:rsidRPr="001C74D0">
              <w:rPr>
                <w:rFonts w:eastAsia="Times New Roman" w:cs="Times New Roman"/>
                <w:color w:val="000000"/>
                <w:lang w:eastAsia="en-GB"/>
              </w:rPr>
              <w:t xml:space="preserve"> - Low income house sharers</w:t>
            </w:r>
          </w:p>
        </w:tc>
        <w:tc>
          <w:tcPr>
            <w:tcW w:w="2409" w:type="dxa"/>
            <w:shd w:val="clear" w:color="auto" w:fill="auto"/>
            <w:noWrap/>
            <w:vAlign w:val="center"/>
            <w:hideMark/>
          </w:tcPr>
          <w:p w:rsidR="000C02C2" w:rsidRPr="001C74D0" w:rsidRDefault="000C02C2" w:rsidP="00140AF6">
            <w:pPr>
              <w:spacing w:after="0" w:line="240" w:lineRule="auto"/>
              <w:jc w:val="center"/>
              <w:rPr>
                <w:rFonts w:eastAsia="Times New Roman" w:cs="Times New Roman"/>
                <w:color w:val="000000"/>
                <w:lang w:eastAsia="en-GB"/>
              </w:rPr>
            </w:pPr>
            <w:r w:rsidRPr="001C74D0">
              <w:rPr>
                <w:rFonts w:eastAsia="Times New Roman" w:cs="Times New Roman"/>
                <w:color w:val="000000"/>
                <w:lang w:eastAsia="en-GB"/>
              </w:rPr>
              <w:t>4.00%</w:t>
            </w:r>
          </w:p>
        </w:tc>
        <w:tc>
          <w:tcPr>
            <w:tcW w:w="2127" w:type="dxa"/>
            <w:shd w:val="clear" w:color="auto" w:fill="auto"/>
            <w:noWrap/>
            <w:vAlign w:val="center"/>
            <w:hideMark/>
          </w:tcPr>
          <w:p w:rsidR="000C02C2" w:rsidRPr="001C74D0" w:rsidRDefault="000C02C2" w:rsidP="00140AF6">
            <w:pPr>
              <w:spacing w:after="0" w:line="240" w:lineRule="auto"/>
              <w:jc w:val="center"/>
              <w:rPr>
                <w:rFonts w:eastAsia="Times New Roman" w:cs="Times New Roman"/>
                <w:color w:val="000000"/>
                <w:lang w:eastAsia="en-GB"/>
              </w:rPr>
            </w:pPr>
            <w:r w:rsidRPr="001C74D0">
              <w:rPr>
                <w:rFonts w:eastAsia="Times New Roman" w:cs="Times New Roman"/>
                <w:color w:val="000000"/>
                <w:lang w:eastAsia="en-GB"/>
              </w:rPr>
              <w:t>15.10%</w:t>
            </w:r>
          </w:p>
        </w:tc>
        <w:tc>
          <w:tcPr>
            <w:tcW w:w="2126" w:type="dxa"/>
            <w:shd w:val="clear" w:color="auto" w:fill="auto"/>
            <w:noWrap/>
            <w:vAlign w:val="center"/>
            <w:hideMark/>
          </w:tcPr>
          <w:p w:rsidR="000C02C2" w:rsidRPr="001C74D0" w:rsidRDefault="000C02C2" w:rsidP="00140AF6">
            <w:pPr>
              <w:spacing w:after="0" w:line="240" w:lineRule="auto"/>
              <w:jc w:val="center"/>
              <w:rPr>
                <w:rFonts w:eastAsia="Times New Roman" w:cs="Times New Roman"/>
                <w:color w:val="000000"/>
                <w:lang w:eastAsia="en-GB"/>
              </w:rPr>
            </w:pPr>
            <w:r w:rsidRPr="001C74D0">
              <w:rPr>
                <w:rFonts w:eastAsia="Times New Roman" w:cs="Times New Roman"/>
                <w:color w:val="000000"/>
                <w:lang w:eastAsia="en-GB"/>
              </w:rPr>
              <w:t>7.95%</w:t>
            </w:r>
          </w:p>
        </w:tc>
      </w:tr>
      <w:tr w:rsidR="000C02C2" w:rsidRPr="001C74D0" w:rsidTr="00CF501E">
        <w:trPr>
          <w:trHeight w:val="300"/>
        </w:trPr>
        <w:tc>
          <w:tcPr>
            <w:tcW w:w="2802" w:type="dxa"/>
            <w:shd w:val="clear" w:color="auto" w:fill="auto"/>
            <w:noWrap/>
            <w:vAlign w:val="center"/>
            <w:hideMark/>
          </w:tcPr>
          <w:p w:rsidR="000C02C2" w:rsidRPr="001C74D0" w:rsidRDefault="00140AF6" w:rsidP="00140AF6">
            <w:pPr>
              <w:spacing w:after="0" w:line="240" w:lineRule="auto"/>
              <w:rPr>
                <w:rFonts w:eastAsia="Times New Roman" w:cs="Times New Roman"/>
                <w:color w:val="000000"/>
                <w:lang w:eastAsia="en-GB"/>
              </w:rPr>
            </w:pPr>
            <w:r w:rsidRPr="001C74D0">
              <w:rPr>
                <w:rFonts w:eastAsia="Times New Roman" w:cs="Times New Roman"/>
                <w:color w:val="000000"/>
                <w:lang w:eastAsia="en-GB"/>
              </w:rPr>
              <w:t>K</w:t>
            </w:r>
            <w:r w:rsidR="000C02C2" w:rsidRPr="001C74D0">
              <w:rPr>
                <w:rFonts w:eastAsia="Times New Roman" w:cs="Times New Roman"/>
                <w:color w:val="000000"/>
                <w:lang w:eastAsia="en-GB"/>
              </w:rPr>
              <w:t xml:space="preserve"> - Comfortable Older Families</w:t>
            </w:r>
          </w:p>
        </w:tc>
        <w:tc>
          <w:tcPr>
            <w:tcW w:w="2409" w:type="dxa"/>
            <w:shd w:val="clear" w:color="auto" w:fill="auto"/>
            <w:noWrap/>
            <w:vAlign w:val="center"/>
            <w:hideMark/>
          </w:tcPr>
          <w:p w:rsidR="000C02C2" w:rsidRPr="001C74D0" w:rsidRDefault="000C02C2" w:rsidP="00140AF6">
            <w:pPr>
              <w:spacing w:after="0" w:line="240" w:lineRule="auto"/>
              <w:jc w:val="center"/>
              <w:rPr>
                <w:rFonts w:eastAsia="Times New Roman" w:cs="Times New Roman"/>
                <w:color w:val="000000"/>
                <w:lang w:eastAsia="en-GB"/>
              </w:rPr>
            </w:pPr>
            <w:r w:rsidRPr="001C74D0">
              <w:rPr>
                <w:rFonts w:eastAsia="Times New Roman" w:cs="Times New Roman"/>
                <w:color w:val="000000"/>
                <w:lang w:eastAsia="en-GB"/>
              </w:rPr>
              <w:t>3.67%</w:t>
            </w:r>
          </w:p>
        </w:tc>
        <w:tc>
          <w:tcPr>
            <w:tcW w:w="2127" w:type="dxa"/>
            <w:shd w:val="clear" w:color="auto" w:fill="auto"/>
            <w:noWrap/>
            <w:vAlign w:val="center"/>
            <w:hideMark/>
          </w:tcPr>
          <w:p w:rsidR="000C02C2" w:rsidRPr="001C74D0" w:rsidRDefault="000C02C2" w:rsidP="00140AF6">
            <w:pPr>
              <w:spacing w:after="0" w:line="240" w:lineRule="auto"/>
              <w:jc w:val="center"/>
              <w:rPr>
                <w:rFonts w:eastAsia="Times New Roman" w:cs="Times New Roman"/>
                <w:color w:val="000000"/>
                <w:lang w:eastAsia="en-GB"/>
              </w:rPr>
            </w:pPr>
            <w:r w:rsidRPr="001C74D0">
              <w:rPr>
                <w:rFonts w:eastAsia="Times New Roman" w:cs="Times New Roman"/>
                <w:color w:val="000000"/>
                <w:lang w:eastAsia="en-GB"/>
              </w:rPr>
              <w:t>14.99%</w:t>
            </w:r>
          </w:p>
        </w:tc>
        <w:tc>
          <w:tcPr>
            <w:tcW w:w="2126" w:type="dxa"/>
            <w:shd w:val="clear" w:color="auto" w:fill="auto"/>
            <w:noWrap/>
            <w:vAlign w:val="center"/>
            <w:hideMark/>
          </w:tcPr>
          <w:p w:rsidR="000C02C2" w:rsidRPr="001C74D0" w:rsidRDefault="000C02C2" w:rsidP="00140AF6">
            <w:pPr>
              <w:spacing w:after="0" w:line="240" w:lineRule="auto"/>
              <w:jc w:val="center"/>
              <w:rPr>
                <w:rFonts w:eastAsia="Times New Roman" w:cs="Times New Roman"/>
                <w:color w:val="000000"/>
                <w:lang w:eastAsia="en-GB"/>
              </w:rPr>
            </w:pPr>
            <w:r w:rsidRPr="001C74D0">
              <w:rPr>
                <w:rFonts w:eastAsia="Times New Roman" w:cs="Times New Roman"/>
                <w:color w:val="000000"/>
                <w:lang w:eastAsia="en-GB"/>
              </w:rPr>
              <w:t>7.59%</w:t>
            </w:r>
          </w:p>
        </w:tc>
      </w:tr>
      <w:tr w:rsidR="000C02C2" w:rsidRPr="001C74D0" w:rsidTr="00CF501E">
        <w:trPr>
          <w:trHeight w:val="300"/>
        </w:trPr>
        <w:tc>
          <w:tcPr>
            <w:tcW w:w="2802" w:type="dxa"/>
            <w:shd w:val="clear" w:color="auto" w:fill="auto"/>
            <w:noWrap/>
            <w:vAlign w:val="center"/>
            <w:hideMark/>
          </w:tcPr>
          <w:p w:rsidR="000C02C2" w:rsidRPr="001C74D0" w:rsidRDefault="00140AF6" w:rsidP="00140AF6">
            <w:pPr>
              <w:spacing w:after="0" w:line="240" w:lineRule="auto"/>
              <w:rPr>
                <w:rFonts w:eastAsia="Times New Roman" w:cs="Times New Roman"/>
                <w:color w:val="000000"/>
                <w:lang w:eastAsia="en-GB"/>
              </w:rPr>
            </w:pPr>
            <w:r w:rsidRPr="001C74D0">
              <w:rPr>
                <w:rFonts w:eastAsia="Times New Roman" w:cs="Times New Roman"/>
                <w:color w:val="000000"/>
                <w:lang w:eastAsia="en-GB"/>
              </w:rPr>
              <w:t>L</w:t>
            </w:r>
            <w:r w:rsidR="000C02C2" w:rsidRPr="001C74D0">
              <w:rPr>
                <w:rFonts w:eastAsia="Times New Roman" w:cs="Times New Roman"/>
                <w:color w:val="000000"/>
                <w:lang w:eastAsia="en-GB"/>
              </w:rPr>
              <w:t xml:space="preserve"> - Secure older people</w:t>
            </w:r>
          </w:p>
        </w:tc>
        <w:tc>
          <w:tcPr>
            <w:tcW w:w="2409" w:type="dxa"/>
            <w:shd w:val="clear" w:color="auto" w:fill="auto"/>
            <w:noWrap/>
            <w:vAlign w:val="center"/>
            <w:hideMark/>
          </w:tcPr>
          <w:p w:rsidR="000C02C2" w:rsidRPr="001C74D0" w:rsidRDefault="000C02C2" w:rsidP="00140AF6">
            <w:pPr>
              <w:spacing w:after="0" w:line="240" w:lineRule="auto"/>
              <w:jc w:val="center"/>
              <w:rPr>
                <w:rFonts w:eastAsia="Times New Roman" w:cs="Times New Roman"/>
                <w:color w:val="000000"/>
                <w:lang w:eastAsia="en-GB"/>
              </w:rPr>
            </w:pPr>
            <w:r w:rsidRPr="001C74D0">
              <w:rPr>
                <w:rFonts w:eastAsia="Times New Roman" w:cs="Times New Roman"/>
                <w:color w:val="000000"/>
                <w:lang w:eastAsia="en-GB"/>
              </w:rPr>
              <w:t>2.93%</w:t>
            </w:r>
          </w:p>
        </w:tc>
        <w:tc>
          <w:tcPr>
            <w:tcW w:w="2127" w:type="dxa"/>
            <w:shd w:val="clear" w:color="auto" w:fill="auto"/>
            <w:noWrap/>
            <w:vAlign w:val="center"/>
            <w:hideMark/>
          </w:tcPr>
          <w:p w:rsidR="000C02C2" w:rsidRPr="001C74D0" w:rsidRDefault="000C02C2" w:rsidP="00140AF6">
            <w:pPr>
              <w:spacing w:after="0" w:line="240" w:lineRule="auto"/>
              <w:jc w:val="center"/>
              <w:rPr>
                <w:rFonts w:eastAsia="Times New Roman" w:cs="Times New Roman"/>
                <w:color w:val="000000"/>
                <w:lang w:eastAsia="en-GB"/>
              </w:rPr>
            </w:pPr>
            <w:r w:rsidRPr="001C74D0">
              <w:rPr>
                <w:rFonts w:eastAsia="Times New Roman" w:cs="Times New Roman"/>
                <w:color w:val="000000"/>
                <w:lang w:eastAsia="en-GB"/>
              </w:rPr>
              <w:t>14.91%</w:t>
            </w:r>
          </w:p>
        </w:tc>
        <w:tc>
          <w:tcPr>
            <w:tcW w:w="2126" w:type="dxa"/>
            <w:shd w:val="clear" w:color="auto" w:fill="auto"/>
            <w:noWrap/>
            <w:vAlign w:val="center"/>
            <w:hideMark/>
          </w:tcPr>
          <w:p w:rsidR="000C02C2" w:rsidRPr="001C74D0" w:rsidRDefault="000C02C2" w:rsidP="00140AF6">
            <w:pPr>
              <w:spacing w:after="0" w:line="240" w:lineRule="auto"/>
              <w:jc w:val="center"/>
              <w:rPr>
                <w:rFonts w:eastAsia="Times New Roman" w:cs="Times New Roman"/>
                <w:color w:val="000000"/>
                <w:lang w:eastAsia="en-GB"/>
              </w:rPr>
            </w:pPr>
            <w:r w:rsidRPr="001C74D0">
              <w:rPr>
                <w:rFonts w:eastAsia="Times New Roman" w:cs="Times New Roman"/>
                <w:color w:val="000000"/>
                <w:lang w:eastAsia="en-GB"/>
              </w:rPr>
              <w:t>6.52%</w:t>
            </w:r>
          </w:p>
        </w:tc>
      </w:tr>
      <w:tr w:rsidR="000C02C2" w:rsidRPr="001C74D0" w:rsidTr="00CF501E">
        <w:trPr>
          <w:trHeight w:val="300"/>
        </w:trPr>
        <w:tc>
          <w:tcPr>
            <w:tcW w:w="2802" w:type="dxa"/>
            <w:shd w:val="clear" w:color="auto" w:fill="auto"/>
            <w:noWrap/>
            <w:vAlign w:val="center"/>
            <w:hideMark/>
          </w:tcPr>
          <w:p w:rsidR="000C02C2" w:rsidRPr="001C74D0" w:rsidRDefault="00140AF6" w:rsidP="00140AF6">
            <w:pPr>
              <w:spacing w:after="0" w:line="240" w:lineRule="auto"/>
              <w:rPr>
                <w:rFonts w:eastAsia="Times New Roman" w:cs="Times New Roman"/>
                <w:color w:val="000000"/>
                <w:lang w:eastAsia="en-GB"/>
              </w:rPr>
            </w:pPr>
            <w:r w:rsidRPr="001C74D0">
              <w:rPr>
                <w:rFonts w:eastAsia="Times New Roman" w:cs="Times New Roman"/>
                <w:color w:val="000000"/>
                <w:lang w:eastAsia="en-GB"/>
              </w:rPr>
              <w:t>M</w:t>
            </w:r>
            <w:r w:rsidR="000C02C2" w:rsidRPr="001C74D0">
              <w:rPr>
                <w:rFonts w:eastAsia="Times New Roman" w:cs="Times New Roman"/>
                <w:color w:val="000000"/>
                <w:lang w:eastAsia="en-GB"/>
              </w:rPr>
              <w:t xml:space="preserve"> - Financially restricted single students and friends</w:t>
            </w:r>
          </w:p>
        </w:tc>
        <w:tc>
          <w:tcPr>
            <w:tcW w:w="2409" w:type="dxa"/>
            <w:shd w:val="clear" w:color="auto" w:fill="auto"/>
            <w:noWrap/>
            <w:vAlign w:val="center"/>
            <w:hideMark/>
          </w:tcPr>
          <w:p w:rsidR="000C02C2" w:rsidRPr="001C74D0" w:rsidRDefault="000C02C2" w:rsidP="00140AF6">
            <w:pPr>
              <w:spacing w:after="0" w:line="240" w:lineRule="auto"/>
              <w:jc w:val="center"/>
              <w:rPr>
                <w:rFonts w:eastAsia="Times New Roman" w:cs="Times New Roman"/>
                <w:color w:val="000000"/>
                <w:lang w:eastAsia="en-GB"/>
              </w:rPr>
            </w:pPr>
            <w:r w:rsidRPr="001C74D0">
              <w:rPr>
                <w:rFonts w:eastAsia="Times New Roman" w:cs="Times New Roman"/>
                <w:color w:val="000000"/>
                <w:lang w:eastAsia="en-GB"/>
              </w:rPr>
              <w:t>4.94%</w:t>
            </w:r>
          </w:p>
        </w:tc>
        <w:tc>
          <w:tcPr>
            <w:tcW w:w="2127" w:type="dxa"/>
            <w:shd w:val="clear" w:color="auto" w:fill="auto"/>
            <w:noWrap/>
            <w:vAlign w:val="center"/>
            <w:hideMark/>
          </w:tcPr>
          <w:p w:rsidR="000C02C2" w:rsidRPr="001C74D0" w:rsidRDefault="000C02C2" w:rsidP="00140AF6">
            <w:pPr>
              <w:spacing w:after="0" w:line="240" w:lineRule="auto"/>
              <w:jc w:val="center"/>
              <w:rPr>
                <w:rFonts w:eastAsia="Times New Roman" w:cs="Times New Roman"/>
                <w:color w:val="000000"/>
                <w:lang w:eastAsia="en-GB"/>
              </w:rPr>
            </w:pPr>
            <w:r w:rsidRPr="001C74D0">
              <w:rPr>
                <w:rFonts w:eastAsia="Times New Roman" w:cs="Times New Roman"/>
                <w:color w:val="000000"/>
                <w:lang w:eastAsia="en-GB"/>
              </w:rPr>
              <w:t>15.71%</w:t>
            </w:r>
          </w:p>
        </w:tc>
        <w:tc>
          <w:tcPr>
            <w:tcW w:w="2126" w:type="dxa"/>
            <w:shd w:val="clear" w:color="auto" w:fill="auto"/>
            <w:noWrap/>
            <w:vAlign w:val="center"/>
            <w:hideMark/>
          </w:tcPr>
          <w:p w:rsidR="000C02C2" w:rsidRPr="001C74D0" w:rsidRDefault="000C02C2" w:rsidP="00140AF6">
            <w:pPr>
              <w:spacing w:after="0" w:line="240" w:lineRule="auto"/>
              <w:jc w:val="center"/>
              <w:rPr>
                <w:rFonts w:eastAsia="Times New Roman" w:cs="Times New Roman"/>
                <w:color w:val="000000"/>
                <w:lang w:eastAsia="en-GB"/>
              </w:rPr>
            </w:pPr>
            <w:r w:rsidRPr="001C74D0">
              <w:rPr>
                <w:rFonts w:eastAsia="Times New Roman" w:cs="Times New Roman"/>
                <w:color w:val="000000"/>
                <w:lang w:eastAsia="en-GB"/>
              </w:rPr>
              <w:t>8.99%</w:t>
            </w:r>
          </w:p>
        </w:tc>
      </w:tr>
      <w:tr w:rsidR="000C02C2" w:rsidRPr="001C74D0" w:rsidTr="00CF501E">
        <w:trPr>
          <w:trHeight w:val="300"/>
        </w:trPr>
        <w:tc>
          <w:tcPr>
            <w:tcW w:w="2802" w:type="dxa"/>
            <w:shd w:val="clear" w:color="auto" w:fill="auto"/>
            <w:noWrap/>
            <w:vAlign w:val="center"/>
            <w:hideMark/>
          </w:tcPr>
          <w:p w:rsidR="000C02C2" w:rsidRPr="001C74D0" w:rsidRDefault="00140AF6" w:rsidP="00140AF6">
            <w:pPr>
              <w:spacing w:after="0" w:line="240" w:lineRule="auto"/>
              <w:rPr>
                <w:rFonts w:eastAsia="Times New Roman" w:cs="Times New Roman"/>
                <w:color w:val="000000"/>
                <w:lang w:eastAsia="en-GB"/>
              </w:rPr>
            </w:pPr>
            <w:r w:rsidRPr="001C74D0">
              <w:rPr>
                <w:rFonts w:eastAsia="Times New Roman" w:cs="Times New Roman"/>
                <w:color w:val="000000"/>
                <w:lang w:eastAsia="en-GB"/>
              </w:rPr>
              <w:t>N</w:t>
            </w:r>
            <w:r w:rsidR="000C02C2" w:rsidRPr="001C74D0">
              <w:rPr>
                <w:rFonts w:eastAsia="Times New Roman" w:cs="Times New Roman"/>
                <w:color w:val="000000"/>
                <w:lang w:eastAsia="en-GB"/>
              </w:rPr>
              <w:t xml:space="preserve"> - Low income singles</w:t>
            </w:r>
          </w:p>
        </w:tc>
        <w:tc>
          <w:tcPr>
            <w:tcW w:w="2409" w:type="dxa"/>
            <w:shd w:val="clear" w:color="auto" w:fill="auto"/>
            <w:noWrap/>
            <w:vAlign w:val="center"/>
            <w:hideMark/>
          </w:tcPr>
          <w:p w:rsidR="000C02C2" w:rsidRPr="001C74D0" w:rsidRDefault="000C02C2" w:rsidP="00140AF6">
            <w:pPr>
              <w:spacing w:after="0" w:line="240" w:lineRule="auto"/>
              <w:jc w:val="center"/>
              <w:rPr>
                <w:rFonts w:eastAsia="Times New Roman" w:cs="Times New Roman"/>
                <w:color w:val="000000"/>
                <w:lang w:eastAsia="en-GB"/>
              </w:rPr>
            </w:pPr>
            <w:r w:rsidRPr="001C74D0">
              <w:rPr>
                <w:rFonts w:eastAsia="Times New Roman" w:cs="Times New Roman"/>
                <w:color w:val="000000"/>
                <w:lang w:eastAsia="en-GB"/>
              </w:rPr>
              <w:t>4.64%</w:t>
            </w:r>
          </w:p>
        </w:tc>
        <w:tc>
          <w:tcPr>
            <w:tcW w:w="2127" w:type="dxa"/>
            <w:shd w:val="clear" w:color="auto" w:fill="auto"/>
            <w:noWrap/>
            <w:vAlign w:val="center"/>
            <w:hideMark/>
          </w:tcPr>
          <w:p w:rsidR="000C02C2" w:rsidRPr="001C74D0" w:rsidRDefault="000C02C2" w:rsidP="00140AF6">
            <w:pPr>
              <w:spacing w:after="0" w:line="240" w:lineRule="auto"/>
              <w:jc w:val="center"/>
              <w:rPr>
                <w:rFonts w:eastAsia="Times New Roman" w:cs="Times New Roman"/>
                <w:color w:val="000000"/>
                <w:lang w:eastAsia="en-GB"/>
              </w:rPr>
            </w:pPr>
            <w:r w:rsidRPr="001C74D0">
              <w:rPr>
                <w:rFonts w:eastAsia="Times New Roman" w:cs="Times New Roman"/>
                <w:color w:val="000000"/>
                <w:lang w:eastAsia="en-GB"/>
              </w:rPr>
              <w:t>15.88%</w:t>
            </w:r>
          </w:p>
        </w:tc>
        <w:tc>
          <w:tcPr>
            <w:tcW w:w="2126" w:type="dxa"/>
            <w:shd w:val="clear" w:color="auto" w:fill="auto"/>
            <w:noWrap/>
            <w:vAlign w:val="center"/>
            <w:hideMark/>
          </w:tcPr>
          <w:p w:rsidR="000C02C2" w:rsidRPr="001C74D0" w:rsidRDefault="000C02C2" w:rsidP="00140AF6">
            <w:pPr>
              <w:spacing w:after="0" w:line="240" w:lineRule="auto"/>
              <w:jc w:val="center"/>
              <w:rPr>
                <w:rFonts w:eastAsia="Times New Roman" w:cs="Times New Roman"/>
                <w:color w:val="000000"/>
                <w:lang w:eastAsia="en-GB"/>
              </w:rPr>
            </w:pPr>
            <w:r w:rsidRPr="001C74D0">
              <w:rPr>
                <w:rFonts w:eastAsia="Times New Roman" w:cs="Times New Roman"/>
                <w:color w:val="000000"/>
                <w:lang w:eastAsia="en-GB"/>
              </w:rPr>
              <w:t>8.55%</w:t>
            </w:r>
          </w:p>
        </w:tc>
      </w:tr>
      <w:tr w:rsidR="000C02C2" w:rsidRPr="001C74D0" w:rsidTr="00CF501E">
        <w:trPr>
          <w:trHeight w:val="300"/>
        </w:trPr>
        <w:tc>
          <w:tcPr>
            <w:tcW w:w="2802" w:type="dxa"/>
            <w:shd w:val="clear" w:color="auto" w:fill="auto"/>
            <w:noWrap/>
            <w:vAlign w:val="center"/>
            <w:hideMark/>
          </w:tcPr>
          <w:p w:rsidR="000C02C2" w:rsidRPr="001C74D0" w:rsidRDefault="00140AF6" w:rsidP="00140AF6">
            <w:pPr>
              <w:spacing w:after="0" w:line="240" w:lineRule="auto"/>
              <w:rPr>
                <w:rFonts w:eastAsia="Times New Roman" w:cs="Times New Roman"/>
                <w:color w:val="000000"/>
                <w:lang w:eastAsia="en-GB"/>
              </w:rPr>
            </w:pPr>
            <w:r w:rsidRPr="001C74D0">
              <w:rPr>
                <w:rFonts w:eastAsia="Times New Roman" w:cs="Times New Roman"/>
                <w:color w:val="000000"/>
                <w:lang w:eastAsia="en-GB"/>
              </w:rPr>
              <w:t>O</w:t>
            </w:r>
            <w:r w:rsidR="000C02C2" w:rsidRPr="001C74D0">
              <w:rPr>
                <w:rFonts w:eastAsia="Times New Roman" w:cs="Times New Roman"/>
                <w:color w:val="000000"/>
                <w:lang w:eastAsia="en-GB"/>
              </w:rPr>
              <w:t xml:space="preserve"> - Struggling families</w:t>
            </w:r>
          </w:p>
        </w:tc>
        <w:tc>
          <w:tcPr>
            <w:tcW w:w="2409" w:type="dxa"/>
            <w:shd w:val="clear" w:color="auto" w:fill="auto"/>
            <w:noWrap/>
            <w:vAlign w:val="center"/>
            <w:hideMark/>
          </w:tcPr>
          <w:p w:rsidR="000C02C2" w:rsidRPr="001C74D0" w:rsidRDefault="000C02C2" w:rsidP="00140AF6">
            <w:pPr>
              <w:spacing w:after="0" w:line="240" w:lineRule="auto"/>
              <w:jc w:val="center"/>
              <w:rPr>
                <w:rFonts w:eastAsia="Times New Roman" w:cs="Times New Roman"/>
                <w:color w:val="000000"/>
                <w:lang w:eastAsia="en-GB"/>
              </w:rPr>
            </w:pPr>
            <w:r w:rsidRPr="001C74D0">
              <w:rPr>
                <w:rFonts w:eastAsia="Times New Roman" w:cs="Times New Roman"/>
                <w:color w:val="000000"/>
                <w:lang w:eastAsia="en-GB"/>
              </w:rPr>
              <w:t>4.63%</w:t>
            </w:r>
          </w:p>
        </w:tc>
        <w:tc>
          <w:tcPr>
            <w:tcW w:w="2127" w:type="dxa"/>
            <w:shd w:val="clear" w:color="auto" w:fill="auto"/>
            <w:noWrap/>
            <w:vAlign w:val="center"/>
            <w:hideMark/>
          </w:tcPr>
          <w:p w:rsidR="000C02C2" w:rsidRPr="001C74D0" w:rsidRDefault="000C02C2" w:rsidP="00140AF6">
            <w:pPr>
              <w:spacing w:after="0" w:line="240" w:lineRule="auto"/>
              <w:jc w:val="center"/>
              <w:rPr>
                <w:rFonts w:eastAsia="Times New Roman" w:cs="Times New Roman"/>
                <w:color w:val="000000"/>
                <w:lang w:eastAsia="en-GB"/>
              </w:rPr>
            </w:pPr>
            <w:r w:rsidRPr="001C74D0">
              <w:rPr>
                <w:rFonts w:eastAsia="Times New Roman" w:cs="Times New Roman"/>
                <w:color w:val="000000"/>
                <w:lang w:eastAsia="en-GB"/>
              </w:rPr>
              <w:t>15.94%</w:t>
            </w:r>
          </w:p>
        </w:tc>
        <w:tc>
          <w:tcPr>
            <w:tcW w:w="2126" w:type="dxa"/>
            <w:shd w:val="clear" w:color="auto" w:fill="auto"/>
            <w:noWrap/>
            <w:vAlign w:val="center"/>
            <w:hideMark/>
          </w:tcPr>
          <w:p w:rsidR="000C02C2" w:rsidRPr="001C74D0" w:rsidRDefault="000C02C2" w:rsidP="00140AF6">
            <w:pPr>
              <w:spacing w:after="0" w:line="240" w:lineRule="auto"/>
              <w:jc w:val="center"/>
              <w:rPr>
                <w:rFonts w:eastAsia="Times New Roman" w:cs="Times New Roman"/>
                <w:color w:val="000000"/>
                <w:lang w:eastAsia="en-GB"/>
              </w:rPr>
            </w:pPr>
            <w:r w:rsidRPr="001C74D0">
              <w:rPr>
                <w:rFonts w:eastAsia="Times New Roman" w:cs="Times New Roman"/>
                <w:color w:val="000000"/>
                <w:lang w:eastAsia="en-GB"/>
              </w:rPr>
              <w:t>8.54%</w:t>
            </w:r>
          </w:p>
        </w:tc>
      </w:tr>
      <w:tr w:rsidR="000C02C2" w:rsidRPr="001C74D0" w:rsidTr="00CF501E">
        <w:trPr>
          <w:trHeight w:val="300"/>
        </w:trPr>
        <w:tc>
          <w:tcPr>
            <w:tcW w:w="2802" w:type="dxa"/>
            <w:shd w:val="clear" w:color="auto" w:fill="auto"/>
            <w:noWrap/>
            <w:vAlign w:val="center"/>
            <w:hideMark/>
          </w:tcPr>
          <w:p w:rsidR="000C02C2" w:rsidRPr="001C74D0" w:rsidRDefault="00140AF6" w:rsidP="00140AF6">
            <w:pPr>
              <w:spacing w:after="0" w:line="240" w:lineRule="auto"/>
              <w:rPr>
                <w:rFonts w:eastAsia="Times New Roman" w:cs="Times New Roman"/>
                <w:color w:val="000000"/>
                <w:lang w:eastAsia="en-GB"/>
              </w:rPr>
            </w:pPr>
            <w:r w:rsidRPr="001C74D0">
              <w:rPr>
                <w:rFonts w:eastAsia="Times New Roman" w:cs="Times New Roman"/>
                <w:color w:val="000000"/>
                <w:lang w:eastAsia="en-GB"/>
              </w:rPr>
              <w:t>P</w:t>
            </w:r>
            <w:r w:rsidR="000C02C2" w:rsidRPr="001C74D0">
              <w:rPr>
                <w:rFonts w:eastAsia="Times New Roman" w:cs="Times New Roman"/>
                <w:color w:val="000000"/>
                <w:lang w:eastAsia="en-GB"/>
              </w:rPr>
              <w:t xml:space="preserve"> - Financially restricted single parents</w:t>
            </w:r>
          </w:p>
        </w:tc>
        <w:tc>
          <w:tcPr>
            <w:tcW w:w="2409" w:type="dxa"/>
            <w:shd w:val="clear" w:color="auto" w:fill="auto"/>
            <w:noWrap/>
            <w:vAlign w:val="center"/>
            <w:hideMark/>
          </w:tcPr>
          <w:p w:rsidR="000C02C2" w:rsidRPr="001C74D0" w:rsidRDefault="000C02C2" w:rsidP="00140AF6">
            <w:pPr>
              <w:spacing w:after="0" w:line="240" w:lineRule="auto"/>
              <w:jc w:val="center"/>
              <w:rPr>
                <w:rFonts w:eastAsia="Times New Roman" w:cs="Times New Roman"/>
                <w:color w:val="000000"/>
                <w:lang w:eastAsia="en-GB"/>
              </w:rPr>
            </w:pPr>
            <w:r w:rsidRPr="001C74D0">
              <w:rPr>
                <w:rFonts w:eastAsia="Times New Roman" w:cs="Times New Roman"/>
                <w:color w:val="000000"/>
                <w:lang w:eastAsia="en-GB"/>
              </w:rPr>
              <w:t>3.80%</w:t>
            </w:r>
          </w:p>
        </w:tc>
        <w:tc>
          <w:tcPr>
            <w:tcW w:w="2127" w:type="dxa"/>
            <w:shd w:val="clear" w:color="auto" w:fill="auto"/>
            <w:noWrap/>
            <w:vAlign w:val="center"/>
            <w:hideMark/>
          </w:tcPr>
          <w:p w:rsidR="000C02C2" w:rsidRPr="001C74D0" w:rsidRDefault="000C02C2" w:rsidP="00140AF6">
            <w:pPr>
              <w:spacing w:after="0" w:line="240" w:lineRule="auto"/>
              <w:jc w:val="center"/>
              <w:rPr>
                <w:rFonts w:eastAsia="Times New Roman" w:cs="Times New Roman"/>
                <w:color w:val="000000"/>
                <w:lang w:eastAsia="en-GB"/>
              </w:rPr>
            </w:pPr>
            <w:r w:rsidRPr="001C74D0">
              <w:rPr>
                <w:rFonts w:eastAsia="Times New Roman" w:cs="Times New Roman"/>
                <w:color w:val="000000"/>
                <w:lang w:eastAsia="en-GB"/>
              </w:rPr>
              <w:t>14.92%</w:t>
            </w:r>
          </w:p>
        </w:tc>
        <w:tc>
          <w:tcPr>
            <w:tcW w:w="2126" w:type="dxa"/>
            <w:shd w:val="clear" w:color="auto" w:fill="auto"/>
            <w:noWrap/>
            <w:vAlign w:val="center"/>
            <w:hideMark/>
          </w:tcPr>
          <w:p w:rsidR="000C02C2" w:rsidRPr="001C74D0" w:rsidRDefault="000C02C2" w:rsidP="00140AF6">
            <w:pPr>
              <w:spacing w:after="0" w:line="240" w:lineRule="auto"/>
              <w:jc w:val="center"/>
              <w:rPr>
                <w:rFonts w:eastAsia="Times New Roman" w:cs="Times New Roman"/>
                <w:color w:val="000000"/>
                <w:lang w:eastAsia="en-GB"/>
              </w:rPr>
            </w:pPr>
            <w:r w:rsidRPr="001C74D0">
              <w:rPr>
                <w:rFonts w:eastAsia="Times New Roman" w:cs="Times New Roman"/>
                <w:color w:val="000000"/>
                <w:lang w:eastAsia="en-GB"/>
              </w:rPr>
              <w:t>7.68%</w:t>
            </w:r>
          </w:p>
        </w:tc>
      </w:tr>
      <w:tr w:rsidR="000C02C2" w:rsidRPr="001C74D0" w:rsidTr="00CF501E">
        <w:trPr>
          <w:trHeight w:val="300"/>
        </w:trPr>
        <w:tc>
          <w:tcPr>
            <w:tcW w:w="2802" w:type="dxa"/>
            <w:shd w:val="clear" w:color="auto" w:fill="auto"/>
            <w:noWrap/>
            <w:vAlign w:val="center"/>
            <w:hideMark/>
          </w:tcPr>
          <w:p w:rsidR="000C02C2" w:rsidRPr="001C74D0" w:rsidRDefault="00140AF6" w:rsidP="00140AF6">
            <w:pPr>
              <w:spacing w:after="0" w:line="240" w:lineRule="auto"/>
              <w:rPr>
                <w:rFonts w:eastAsia="Times New Roman" w:cs="Times New Roman"/>
                <w:color w:val="000000"/>
                <w:lang w:eastAsia="en-GB"/>
              </w:rPr>
            </w:pPr>
            <w:r w:rsidRPr="001C74D0">
              <w:rPr>
                <w:rFonts w:eastAsia="Times New Roman" w:cs="Times New Roman"/>
                <w:color w:val="000000"/>
                <w:lang w:eastAsia="en-GB"/>
              </w:rPr>
              <w:t>Q</w:t>
            </w:r>
            <w:r w:rsidR="000C02C2" w:rsidRPr="001C74D0">
              <w:rPr>
                <w:rFonts w:eastAsia="Times New Roman" w:cs="Times New Roman"/>
                <w:color w:val="000000"/>
                <w:lang w:eastAsia="en-GB"/>
              </w:rPr>
              <w:t xml:space="preserve"> - Penny-wise pensioners</w:t>
            </w:r>
          </w:p>
        </w:tc>
        <w:tc>
          <w:tcPr>
            <w:tcW w:w="2409" w:type="dxa"/>
            <w:shd w:val="clear" w:color="auto" w:fill="auto"/>
            <w:noWrap/>
            <w:vAlign w:val="center"/>
            <w:hideMark/>
          </w:tcPr>
          <w:p w:rsidR="000C02C2" w:rsidRPr="001C74D0" w:rsidRDefault="000C02C2" w:rsidP="00140AF6">
            <w:pPr>
              <w:spacing w:after="0" w:line="240" w:lineRule="auto"/>
              <w:jc w:val="center"/>
              <w:rPr>
                <w:rFonts w:eastAsia="Times New Roman" w:cs="Times New Roman"/>
                <w:color w:val="000000"/>
                <w:lang w:eastAsia="en-GB"/>
              </w:rPr>
            </w:pPr>
            <w:r w:rsidRPr="001C74D0">
              <w:rPr>
                <w:rFonts w:eastAsia="Times New Roman" w:cs="Times New Roman"/>
                <w:color w:val="000000"/>
                <w:lang w:eastAsia="en-GB"/>
              </w:rPr>
              <w:t>3.96%</w:t>
            </w:r>
          </w:p>
        </w:tc>
        <w:tc>
          <w:tcPr>
            <w:tcW w:w="2127" w:type="dxa"/>
            <w:shd w:val="clear" w:color="auto" w:fill="auto"/>
            <w:noWrap/>
            <w:vAlign w:val="center"/>
            <w:hideMark/>
          </w:tcPr>
          <w:p w:rsidR="000C02C2" w:rsidRPr="001C74D0" w:rsidRDefault="000C02C2" w:rsidP="00140AF6">
            <w:pPr>
              <w:spacing w:after="0" w:line="240" w:lineRule="auto"/>
              <w:jc w:val="center"/>
              <w:rPr>
                <w:rFonts w:eastAsia="Times New Roman" w:cs="Times New Roman"/>
                <w:color w:val="000000"/>
                <w:lang w:eastAsia="en-GB"/>
              </w:rPr>
            </w:pPr>
            <w:r w:rsidRPr="001C74D0">
              <w:rPr>
                <w:rFonts w:eastAsia="Times New Roman" w:cs="Times New Roman"/>
                <w:color w:val="000000"/>
                <w:lang w:eastAsia="en-GB"/>
              </w:rPr>
              <w:t>16.30%</w:t>
            </w:r>
          </w:p>
        </w:tc>
        <w:tc>
          <w:tcPr>
            <w:tcW w:w="2126" w:type="dxa"/>
            <w:shd w:val="clear" w:color="auto" w:fill="auto"/>
            <w:noWrap/>
            <w:vAlign w:val="center"/>
            <w:hideMark/>
          </w:tcPr>
          <w:p w:rsidR="000C02C2" w:rsidRPr="001C74D0" w:rsidRDefault="000C02C2" w:rsidP="00140AF6">
            <w:pPr>
              <w:spacing w:after="0" w:line="240" w:lineRule="auto"/>
              <w:jc w:val="center"/>
              <w:rPr>
                <w:rFonts w:eastAsia="Times New Roman" w:cs="Times New Roman"/>
                <w:color w:val="000000"/>
                <w:lang w:eastAsia="en-GB"/>
              </w:rPr>
            </w:pPr>
            <w:r w:rsidRPr="001C74D0">
              <w:rPr>
                <w:rFonts w:eastAsia="Times New Roman" w:cs="Times New Roman"/>
                <w:color w:val="000000"/>
                <w:lang w:eastAsia="en-GB"/>
              </w:rPr>
              <w:t>7.75%</w:t>
            </w:r>
          </w:p>
        </w:tc>
      </w:tr>
    </w:tbl>
    <w:p w:rsidR="000C02C2" w:rsidRPr="007925E4" w:rsidRDefault="000C02C2" w:rsidP="000C02C2">
      <w:pPr>
        <w:pStyle w:val="Heading2"/>
      </w:pPr>
      <w:bookmarkStart w:id="561" w:name="_Toc431225154"/>
      <w:r w:rsidRPr="007925E4">
        <w:t>Conclusion</w:t>
      </w:r>
      <w:bookmarkEnd w:id="561"/>
    </w:p>
    <w:p w:rsidR="000C02C2" w:rsidRDefault="000C02C2" w:rsidP="00BC4152">
      <w:pPr>
        <w:jc w:val="both"/>
      </w:pPr>
      <w:r>
        <w:t>The top 5 customer s</w:t>
      </w:r>
      <w:r w:rsidRPr="00BC4152">
        <w:rPr>
          <w:i/>
        </w:rPr>
        <w:t xml:space="preserve">egments most likely to require health services are </w:t>
      </w:r>
      <w:r>
        <w:rPr>
          <w:i/>
        </w:rPr>
        <w:t>Low income couples</w:t>
      </w:r>
      <w:r w:rsidRPr="00BC4152">
        <w:rPr>
          <w:i/>
        </w:rPr>
        <w:t xml:space="preserve">, </w:t>
      </w:r>
      <w:proofErr w:type="gramStart"/>
      <w:r>
        <w:rPr>
          <w:i/>
        </w:rPr>
        <w:t>Financially</w:t>
      </w:r>
      <w:proofErr w:type="gramEnd"/>
      <w:r>
        <w:rPr>
          <w:i/>
        </w:rPr>
        <w:t xml:space="preserve"> restricted single students and friends</w:t>
      </w:r>
      <w:r>
        <w:t xml:space="preserve">, </w:t>
      </w:r>
      <w:r>
        <w:rPr>
          <w:i/>
        </w:rPr>
        <w:t>Struggling families</w:t>
      </w:r>
      <w:r>
        <w:t xml:space="preserve">, </w:t>
      </w:r>
      <w:r>
        <w:rPr>
          <w:i/>
        </w:rPr>
        <w:t>Low income singles</w:t>
      </w:r>
      <w:r>
        <w:t xml:space="preserve">, and </w:t>
      </w:r>
      <w:r>
        <w:rPr>
          <w:i/>
        </w:rPr>
        <w:t>Penny-wise pensioners</w:t>
      </w:r>
      <w:r>
        <w:t xml:space="preserve"> as they are the residents most likely to report less good health, to have a limiting long-term illness or a disability. They are mostly living in the east of the borough, particularly Burnt Oak and Colindale and represent 13% of Barnet’s population (about 30,000 residents).</w:t>
      </w:r>
      <w:r w:rsidRPr="0086517F">
        <w:t xml:space="preserve"> </w:t>
      </w:r>
      <w:r>
        <w:rPr>
          <w:i/>
        </w:rPr>
        <w:t>Penny-wise pensioners</w:t>
      </w:r>
      <w:r>
        <w:t xml:space="preserve"> represent the largest of this group (about 14,500 residents) and are likely to have more complex health care needs due to their advanced age.</w:t>
      </w:r>
    </w:p>
    <w:p w:rsidR="000C02C2" w:rsidRDefault="000C02C2" w:rsidP="00BC4152">
      <w:pPr>
        <w:jc w:val="both"/>
        <w:rPr>
          <w:rFonts w:asciiTheme="majorHAnsi" w:eastAsiaTheme="majorEastAsia" w:hAnsiTheme="majorHAnsi" w:cstheme="majorBidi"/>
          <w:b/>
          <w:bCs/>
          <w:color w:val="365F91" w:themeColor="accent1" w:themeShade="BF"/>
          <w:sz w:val="28"/>
          <w:szCs w:val="28"/>
        </w:rPr>
      </w:pPr>
      <w:r>
        <w:br w:type="page"/>
      </w:r>
    </w:p>
    <w:p w:rsidR="00E57656" w:rsidRPr="00E06B10" w:rsidRDefault="00E57656" w:rsidP="00E57656">
      <w:pPr>
        <w:pStyle w:val="Heading1"/>
        <w:numPr>
          <w:ilvl w:val="0"/>
          <w:numId w:val="35"/>
        </w:numPr>
        <w:jc w:val="both"/>
      </w:pPr>
      <w:bookmarkStart w:id="562" w:name="_Toc431225155"/>
      <w:bookmarkStart w:id="563" w:name="_Toc422840060"/>
      <w:r w:rsidRPr="00E06B10">
        <w:lastRenderedPageBreak/>
        <w:t>Health</w:t>
      </w:r>
      <w:bookmarkEnd w:id="562"/>
    </w:p>
    <w:bookmarkStart w:id="564" w:name="_Toc426723329"/>
    <w:bookmarkStart w:id="565" w:name="_Toc431225156"/>
    <w:p w:rsidR="00E57656" w:rsidRPr="0079073E" w:rsidRDefault="00E57656" w:rsidP="00E57656">
      <w:pPr>
        <w:pStyle w:val="Heading2"/>
        <w:numPr>
          <w:ilvl w:val="1"/>
          <w:numId w:val="35"/>
        </w:numPr>
        <w:jc w:val="both"/>
        <w:rPr>
          <w:rFonts w:asciiTheme="minorHAnsi" w:hAnsiTheme="minorHAnsi"/>
        </w:rPr>
      </w:pPr>
      <w:r>
        <w:rPr>
          <w:noProof/>
          <w:lang w:eastAsia="en-GB"/>
        </w:rPr>
        <mc:AlternateContent>
          <mc:Choice Requires="wps">
            <w:drawing>
              <wp:anchor distT="0" distB="0" distL="114300" distR="114300" simplePos="0" relativeHeight="251855872" behindDoc="1" locked="0" layoutInCell="1" allowOverlap="1" wp14:anchorId="2703C4C1" wp14:editId="569FF4A2">
                <wp:simplePos x="0" y="0"/>
                <wp:positionH relativeFrom="column">
                  <wp:posOffset>-116958</wp:posOffset>
                </wp:positionH>
                <wp:positionV relativeFrom="paragraph">
                  <wp:posOffset>68313</wp:posOffset>
                </wp:positionV>
                <wp:extent cx="6038850" cy="3742661"/>
                <wp:effectExtent l="0" t="0" r="0" b="0"/>
                <wp:wrapNone/>
                <wp:docPr id="4120" name="Rectangle 4120"/>
                <wp:cNvGraphicFramePr/>
                <a:graphic xmlns:a="http://schemas.openxmlformats.org/drawingml/2006/main">
                  <a:graphicData uri="http://schemas.microsoft.com/office/word/2010/wordprocessingShape">
                    <wps:wsp>
                      <wps:cNvSpPr/>
                      <wps:spPr>
                        <a:xfrm>
                          <a:off x="0" y="0"/>
                          <a:ext cx="6038850" cy="3742661"/>
                        </a:xfrm>
                        <a:prstGeom prst="rect">
                          <a:avLst/>
                        </a:prstGeom>
                        <a:solidFill>
                          <a:srgbClr val="4F81BD">
                            <a:lumMod val="20000"/>
                            <a:lumOff val="80000"/>
                            <a:alpha val="7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120" o:spid="_x0000_s1026" style="position:absolute;margin-left:-9.2pt;margin-top:5.4pt;width:475.5pt;height:294.7pt;z-index:-25146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" fillcolor="#dce6f2" stroked="f" strokeweight="2pt">
                <v:fill opacity="46003f"/>
              </v:rect>
            </w:pict>
          </mc:Fallback>
        </mc:AlternateContent>
      </w:r>
      <w:r w:rsidRPr="00E06B10">
        <w:rPr>
          <w:rFonts w:asciiTheme="minorHAnsi" w:hAnsiTheme="minorHAnsi"/>
        </w:rPr>
        <w:t>Key Facts</w:t>
      </w:r>
      <w:bookmarkEnd w:id="564"/>
      <w:bookmarkEnd w:id="565"/>
    </w:p>
    <w:p w:rsidR="00E57656" w:rsidRDefault="00E57656" w:rsidP="00E57656">
      <w:pPr>
        <w:pStyle w:val="ListParagraph"/>
        <w:numPr>
          <w:ilvl w:val="0"/>
          <w:numId w:val="37"/>
        </w:numPr>
        <w:jc w:val="both"/>
      </w:pPr>
      <w:r w:rsidRPr="00E06B10">
        <w:t>In Barnet, the top three broad causes of mortality in both men and women are circulatory diseases, cancers and respiratory diseases. Circulatory diseases led to 2254 deaths</w:t>
      </w:r>
      <w:r>
        <w:t>,</w:t>
      </w:r>
      <w:r w:rsidRPr="00E06B10">
        <w:t xml:space="preserve"> cancers caused 1949 deaths and respiratory diseases resulted in 693</w:t>
      </w:r>
      <w:r>
        <w:t xml:space="preserve"> deaths</w:t>
      </w:r>
      <w:r w:rsidRPr="00E06B10">
        <w:t xml:space="preserve"> </w:t>
      </w:r>
      <w:r>
        <w:t>during 2010-2012.</w:t>
      </w:r>
    </w:p>
    <w:p w:rsidR="00E57656" w:rsidRDefault="00E57656" w:rsidP="00E57656">
      <w:pPr>
        <w:pStyle w:val="ListParagraph"/>
        <w:numPr>
          <w:ilvl w:val="0"/>
          <w:numId w:val="37"/>
        </w:numPr>
        <w:jc w:val="both"/>
      </w:pPr>
      <w:r>
        <w:t>S</w:t>
      </w:r>
      <w:r w:rsidRPr="00E06B10">
        <w:t>moking, alcohol, air pollution, poor diet, high blood pressure, obesity and hepatitis are the most common causes of ill health leading to premature mortality.</w:t>
      </w:r>
    </w:p>
    <w:p w:rsidR="00E57656" w:rsidRDefault="00E57656" w:rsidP="00E57656">
      <w:pPr>
        <w:pStyle w:val="ListParagraph"/>
        <w:numPr>
          <w:ilvl w:val="0"/>
          <w:numId w:val="37"/>
        </w:numPr>
        <w:jc w:val="both"/>
      </w:pPr>
      <w:r>
        <w:t xml:space="preserve">Cardio Vascular Disease, </w:t>
      </w:r>
      <w:r w:rsidRPr="00E06B10">
        <w:t xml:space="preserve">CVD is the top cause of premature mortality, especially among the population </w:t>
      </w:r>
      <w:r>
        <w:t xml:space="preserve">under </w:t>
      </w:r>
      <w:r w:rsidRPr="00E06B10">
        <w:t>75 years of age.</w:t>
      </w:r>
      <w:r w:rsidRPr="00F111AD">
        <w:t xml:space="preserve"> </w:t>
      </w:r>
      <w:r>
        <w:t>In 2</w:t>
      </w:r>
      <w:r w:rsidRPr="00E06B10">
        <w:t xml:space="preserve">011-2013 the Barnet death rate due to preventable CVD in </w:t>
      </w:r>
      <w:r>
        <w:t xml:space="preserve">those aged less than </w:t>
      </w:r>
      <w:r w:rsidRPr="00E06B10">
        <w:t>75 years was 39.7 per 100,000</w:t>
      </w:r>
      <w:r>
        <w:t xml:space="preserve"> and </w:t>
      </w:r>
      <w:r w:rsidRPr="00E06B10">
        <w:t>was higher in males (58.3) compared to females (23.3).</w:t>
      </w:r>
    </w:p>
    <w:p w:rsidR="00E57656" w:rsidRDefault="00E57656" w:rsidP="00E57656">
      <w:pPr>
        <w:pStyle w:val="ListParagraph"/>
        <w:numPr>
          <w:ilvl w:val="0"/>
          <w:numId w:val="37"/>
        </w:numPr>
        <w:jc w:val="both"/>
      </w:pPr>
      <w:r w:rsidRPr="00E06B10">
        <w:t>There wer</w:t>
      </w:r>
      <w:r w:rsidR="004D5EDB">
        <w:t>e 5,187 live births in Barnet during</w:t>
      </w:r>
      <w:r w:rsidRPr="00E06B10">
        <w:t xml:space="preserve"> 2013 (only 1.5% by mothers aged less than 20 years and 37% by mothers aged 30-34 years). The highest</w:t>
      </w:r>
      <w:r w:rsidR="004D5EDB">
        <w:t xml:space="preserve"> live</w:t>
      </w:r>
      <w:r w:rsidRPr="00E06B10">
        <w:t xml:space="preserve"> birth rate was in women aged 30-34 years (115.6 / 1,000) in Barnet, which was</w:t>
      </w:r>
      <w:r>
        <w:t xml:space="preserve"> </w:t>
      </w:r>
      <w:r w:rsidRPr="00E06B10">
        <w:t>higher than the rates for London (14.7) and England (19.8) in women of the same age group.</w:t>
      </w:r>
    </w:p>
    <w:p w:rsidR="00E57656" w:rsidRPr="001C37E9" w:rsidRDefault="00E57656" w:rsidP="00E57656">
      <w:pPr>
        <w:pStyle w:val="ListParagraph"/>
        <w:numPr>
          <w:ilvl w:val="0"/>
          <w:numId w:val="37"/>
        </w:numPr>
        <w:jc w:val="both"/>
      </w:pPr>
      <w:r w:rsidRPr="001C37E9">
        <w:t>In 2008-2012 the proportion of babies born with a low birth weight (i.e. less than 2500 g) was highest amongst women resident in Finchley Church End (9.1%); Burnt Oak (8.5%); Colindale (8.3%); and Edgware (8.3%). The lowest proportion of underweight births was in the Hendon (5.9%); Coppetts (6.3%); and East Finchley (6.4</w:t>
      </w:r>
      <w:r w:rsidR="004D5EDB">
        <w:t>%</w:t>
      </w:r>
      <w:r w:rsidRPr="001C37E9">
        <w:t xml:space="preserve">). </w:t>
      </w:r>
    </w:p>
    <w:p w:rsidR="00E57656" w:rsidRPr="00E06B10" w:rsidRDefault="00E57656" w:rsidP="00E57656">
      <w:pPr>
        <w:pStyle w:val="Heading2"/>
        <w:numPr>
          <w:ilvl w:val="1"/>
          <w:numId w:val="35"/>
        </w:numPr>
        <w:jc w:val="both"/>
        <w:rPr>
          <w:rFonts w:asciiTheme="minorHAnsi" w:hAnsiTheme="minorHAnsi"/>
        </w:rPr>
      </w:pPr>
      <w:bookmarkStart w:id="566" w:name="_Toc426723330"/>
      <w:bookmarkStart w:id="567" w:name="_Toc431225157"/>
      <w:r>
        <w:rPr>
          <w:rFonts w:asciiTheme="minorHAnsi" w:hAnsiTheme="minorHAnsi"/>
        </w:rPr>
        <w:t>Strategic Needs</w:t>
      </w:r>
      <w:bookmarkEnd w:id="566"/>
      <w:bookmarkEnd w:id="567"/>
    </w:p>
    <w:p w:rsidR="00E57656" w:rsidRPr="00602B32" w:rsidRDefault="00E57656" w:rsidP="00E57656">
      <w:pPr>
        <w:pStyle w:val="ListParagraph"/>
        <w:numPr>
          <w:ilvl w:val="0"/>
          <w:numId w:val="38"/>
        </w:numPr>
        <w:jc w:val="both"/>
      </w:pPr>
      <w:r w:rsidRPr="00602B32">
        <w:t>Coronary Heart Disease is the number one cause of death amongst men and women</w:t>
      </w:r>
      <w:r w:rsidR="004D5EDB">
        <w:t xml:space="preserve"> in Barnet</w:t>
      </w:r>
      <w:r w:rsidRPr="00602B32">
        <w:t xml:space="preserve">. </w:t>
      </w:r>
      <w:r w:rsidRPr="00602B32">
        <w:rPr>
          <w:b/>
        </w:rPr>
        <w:t xml:space="preserve">As male life expectancy </w:t>
      </w:r>
      <w:r w:rsidRPr="00DA6D81">
        <w:rPr>
          <w:b/>
        </w:rPr>
        <w:t xml:space="preserve">continues to converge with women it is likely that dementia will become an increasingly </w:t>
      </w:r>
      <w:r w:rsidRPr="00DA6D81">
        <w:t>significant cause of death in the future.</w:t>
      </w:r>
      <w:r w:rsidRPr="00602B32">
        <w:rPr>
          <w:sz w:val="24"/>
        </w:rPr>
        <w:t xml:space="preserve">  </w:t>
      </w:r>
    </w:p>
    <w:p w:rsidR="00E57656" w:rsidRDefault="00E57656" w:rsidP="00E57656">
      <w:pPr>
        <w:pStyle w:val="ListParagraph"/>
        <w:numPr>
          <w:ilvl w:val="0"/>
          <w:numId w:val="38"/>
        </w:numPr>
        <w:jc w:val="both"/>
      </w:pPr>
      <w:r w:rsidRPr="002F4289">
        <w:rPr>
          <w:b/>
        </w:rPr>
        <w:t xml:space="preserve">There is </w:t>
      </w:r>
      <w:r w:rsidR="004D5EDB">
        <w:rPr>
          <w:b/>
        </w:rPr>
        <w:t>eight y</w:t>
      </w:r>
      <w:r w:rsidRPr="002F4289">
        <w:rPr>
          <w:b/>
        </w:rPr>
        <w:t>ears difference in male life expectancy between Burnt Oak and Garden Suburb wards.</w:t>
      </w:r>
      <w:r>
        <w:t xml:space="preserve"> </w:t>
      </w:r>
      <w:r w:rsidR="004D5EDB">
        <w:t xml:space="preserve">The life expectancy </w:t>
      </w:r>
      <w:r>
        <w:t xml:space="preserve">differences </w:t>
      </w:r>
      <w:r w:rsidR="004D5EDB">
        <w:t xml:space="preserve">are </w:t>
      </w:r>
      <w:r w:rsidR="00DD3A76">
        <w:t>bigger</w:t>
      </w:r>
      <w:r w:rsidR="004D5EDB">
        <w:t xml:space="preserve"> </w:t>
      </w:r>
      <w:r>
        <w:t xml:space="preserve">at lower geographical </w:t>
      </w:r>
      <w:r w:rsidRPr="00037414">
        <w:t>levels.</w:t>
      </w:r>
      <w:r w:rsidRPr="002F4289">
        <w:rPr>
          <w:b/>
        </w:rPr>
        <w:t xml:space="preserve"> Circulatory diseases are the main contributors to difference</w:t>
      </w:r>
      <w:r>
        <w:rPr>
          <w:b/>
        </w:rPr>
        <w:t>s in life expectancy between different areas</w:t>
      </w:r>
      <w:r>
        <w:t>.</w:t>
      </w:r>
    </w:p>
    <w:p w:rsidR="00E57656" w:rsidRDefault="004D5EDB" w:rsidP="00E57656">
      <w:pPr>
        <w:pStyle w:val="ListParagraph"/>
        <w:numPr>
          <w:ilvl w:val="0"/>
          <w:numId w:val="38"/>
        </w:numPr>
        <w:jc w:val="both"/>
      </w:pPr>
      <w:r>
        <w:t>Diet, s</w:t>
      </w:r>
      <w:r w:rsidR="00E57656">
        <w:t>moking, and alcohol are the main contributors to premature death in Barnet.</w:t>
      </w:r>
    </w:p>
    <w:p w:rsidR="00E57656" w:rsidRDefault="00E57656" w:rsidP="00E57656">
      <w:pPr>
        <w:pStyle w:val="ListParagraph"/>
        <w:numPr>
          <w:ilvl w:val="0"/>
          <w:numId w:val="38"/>
        </w:numPr>
        <w:jc w:val="both"/>
      </w:pPr>
      <w:r w:rsidRPr="009D2243">
        <w:rPr>
          <w:b/>
        </w:rPr>
        <w:t xml:space="preserve">The rate of emergency hospital admissions due to stroke is significantly higher in Barnet than London or England. </w:t>
      </w:r>
      <w:r>
        <w:t>The wards with the highest rates of mortality from stroke are Burnt Oak, Childs Hill and Colindale.</w:t>
      </w:r>
    </w:p>
    <w:p w:rsidR="00E57656" w:rsidRDefault="00E57656" w:rsidP="00E57656">
      <w:pPr>
        <w:pStyle w:val="ListParagraph"/>
        <w:numPr>
          <w:ilvl w:val="0"/>
          <w:numId w:val="38"/>
        </w:numPr>
        <w:spacing w:after="0" w:line="240" w:lineRule="auto"/>
        <w:ind w:left="714" w:hanging="357"/>
        <w:jc w:val="both"/>
      </w:pPr>
      <w:r w:rsidRPr="009D2243">
        <w:rPr>
          <w:b/>
        </w:rPr>
        <w:t>Screening rates for cervical and breast cancer are significantly lower in Barnet than the England average</w:t>
      </w:r>
      <w:r>
        <w:t xml:space="preserve"> (23.3 per 100,000 vs. 15.5 per 100,000). More work is needed to understand why this is.</w:t>
      </w:r>
    </w:p>
    <w:p w:rsidR="00E57656" w:rsidRPr="00CB56A0" w:rsidRDefault="00E57656" w:rsidP="00E57656">
      <w:pPr>
        <w:numPr>
          <w:ilvl w:val="0"/>
          <w:numId w:val="38"/>
        </w:numPr>
        <w:spacing w:after="0" w:line="240" w:lineRule="auto"/>
        <w:ind w:left="714" w:hanging="357"/>
        <w:contextualSpacing/>
        <w:jc w:val="both"/>
        <w:rPr>
          <w:rFonts w:cs="Arial"/>
        </w:rPr>
      </w:pPr>
      <w:r w:rsidRPr="00CB56A0">
        <w:rPr>
          <w:rFonts w:cs="Arial"/>
        </w:rPr>
        <w:t xml:space="preserve">Overall rates of individual mental health problems are higher in Barnet than London and England; </w:t>
      </w:r>
      <w:r w:rsidRPr="00CB56A0">
        <w:rPr>
          <w:rFonts w:cs="Arial"/>
          <w:b/>
          <w:bCs/>
        </w:rPr>
        <w:t>the rate of detention for a mental health condition is significantly higher than the London or England averages.</w:t>
      </w:r>
    </w:p>
    <w:p w:rsidR="00E57656" w:rsidRPr="009D2243" w:rsidRDefault="00E57656" w:rsidP="00E57656">
      <w:pPr>
        <w:pStyle w:val="ListParagraph"/>
        <w:numPr>
          <w:ilvl w:val="0"/>
          <w:numId w:val="38"/>
        </w:numPr>
        <w:spacing w:after="0" w:line="240" w:lineRule="auto"/>
        <w:ind w:left="714" w:hanging="357"/>
        <w:jc w:val="both"/>
        <w:rPr>
          <w:b/>
        </w:rPr>
      </w:pPr>
      <w:r>
        <w:t xml:space="preserve">Poor dental health is associated with poor health outcomes in later life. With this in mind, </w:t>
      </w:r>
      <w:r w:rsidRPr="009D2243">
        <w:rPr>
          <w:b/>
        </w:rPr>
        <w:t xml:space="preserve">Child dental decay is the top cause for non-emergency hospital admissions in </w:t>
      </w:r>
      <w:r>
        <w:rPr>
          <w:b/>
        </w:rPr>
        <w:t>B</w:t>
      </w:r>
      <w:r w:rsidRPr="009D2243">
        <w:rPr>
          <w:b/>
        </w:rPr>
        <w:t>arnet</w:t>
      </w:r>
      <w:r>
        <w:rPr>
          <w:b/>
        </w:rPr>
        <w:t>.</w:t>
      </w:r>
    </w:p>
    <w:p w:rsidR="00E57656" w:rsidRDefault="004D5EDB" w:rsidP="00E57656">
      <w:pPr>
        <w:pStyle w:val="ListParagraph"/>
        <w:numPr>
          <w:ilvl w:val="0"/>
          <w:numId w:val="38"/>
        </w:numPr>
        <w:jc w:val="both"/>
      </w:pPr>
      <w:r>
        <w:rPr>
          <w:b/>
        </w:rPr>
        <w:t>On average w</w:t>
      </w:r>
      <w:r w:rsidR="00E57656" w:rsidRPr="009D2243">
        <w:rPr>
          <w:b/>
        </w:rPr>
        <w:t>omen in Barnet are significantly less likely to quit smoking in pregnancy</w:t>
      </w:r>
      <w:r w:rsidR="00E57656">
        <w:t xml:space="preserve"> than women in London.  </w:t>
      </w:r>
    </w:p>
    <w:p w:rsidR="00E57656" w:rsidRPr="00E06B10" w:rsidRDefault="00E57656" w:rsidP="00E57656">
      <w:pPr>
        <w:pStyle w:val="ListParagraph"/>
        <w:numPr>
          <w:ilvl w:val="0"/>
          <w:numId w:val="38"/>
        </w:numPr>
        <w:jc w:val="both"/>
      </w:pPr>
      <w:r w:rsidRPr="009D2243">
        <w:rPr>
          <w:b/>
        </w:rPr>
        <w:t>Barnet performs poorly for some immunisations that are strongly associated with poor outcomes and additional demand pressures later on in life.</w:t>
      </w:r>
      <w:r>
        <w:t xml:space="preserve"> Particularly </w:t>
      </w:r>
      <w:r w:rsidRPr="00E06B10">
        <w:t xml:space="preserve">HPV, flu and </w:t>
      </w:r>
      <w:r w:rsidRPr="00E06B10">
        <w:lastRenderedPageBreak/>
        <w:t xml:space="preserve">pneumococcal (PCV) immunisation and childhood immunisations are lower than </w:t>
      </w:r>
      <w:r>
        <w:t>the average national rates.</w:t>
      </w:r>
    </w:p>
    <w:p w:rsidR="00E57656" w:rsidRDefault="00E57656" w:rsidP="00E57656">
      <w:pPr>
        <w:pStyle w:val="ListParagraph"/>
        <w:numPr>
          <w:ilvl w:val="0"/>
          <w:numId w:val="38"/>
        </w:numPr>
        <w:jc w:val="both"/>
      </w:pPr>
      <w:r w:rsidRPr="009D2243">
        <w:rPr>
          <w:b/>
        </w:rPr>
        <w:t>Overall the percentage</w:t>
      </w:r>
      <w:r w:rsidR="004D5EDB">
        <w:rPr>
          <w:b/>
        </w:rPr>
        <w:t xml:space="preserve"> of diabetic people having all eight </w:t>
      </w:r>
      <w:r w:rsidRPr="009D2243">
        <w:rPr>
          <w:b/>
        </w:rPr>
        <w:t xml:space="preserve">health checks in Barnet is below the national rate </w:t>
      </w:r>
      <w:r w:rsidRPr="00E06B10">
        <w:t xml:space="preserve">and </w:t>
      </w:r>
      <w:r>
        <w:t>the risk of complication and additional demand pressures from</w:t>
      </w:r>
      <w:r w:rsidRPr="00E06B10">
        <w:t xml:space="preserve"> people with diabetes in Barnet is higher compared to those without diabetes</w:t>
      </w:r>
      <w:r>
        <w:t>.</w:t>
      </w:r>
    </w:p>
    <w:p w:rsidR="00E57656" w:rsidRPr="00E06B10" w:rsidRDefault="00E57656" w:rsidP="00E57656">
      <w:pPr>
        <w:pStyle w:val="Heading2"/>
        <w:numPr>
          <w:ilvl w:val="1"/>
          <w:numId w:val="35"/>
        </w:numPr>
        <w:jc w:val="both"/>
        <w:rPr>
          <w:rFonts w:asciiTheme="minorHAnsi" w:hAnsiTheme="minorHAnsi"/>
        </w:rPr>
      </w:pPr>
      <w:bookmarkStart w:id="568" w:name="_Toc420678783"/>
      <w:bookmarkStart w:id="569" w:name="_Toc426723331"/>
      <w:bookmarkStart w:id="570" w:name="_Toc431225158"/>
      <w:r w:rsidRPr="00E06B10">
        <w:rPr>
          <w:rFonts w:asciiTheme="minorHAnsi" w:hAnsiTheme="minorHAnsi"/>
        </w:rPr>
        <w:t xml:space="preserve">Causes of </w:t>
      </w:r>
      <w:r w:rsidR="001C74D0">
        <w:rPr>
          <w:rFonts w:asciiTheme="minorHAnsi" w:hAnsiTheme="minorHAnsi"/>
        </w:rPr>
        <w:t>D</w:t>
      </w:r>
      <w:r w:rsidRPr="00E06B10">
        <w:rPr>
          <w:rFonts w:asciiTheme="minorHAnsi" w:hAnsiTheme="minorHAnsi"/>
        </w:rPr>
        <w:t>eath</w:t>
      </w:r>
      <w:bookmarkEnd w:id="568"/>
      <w:bookmarkEnd w:id="569"/>
      <w:bookmarkEnd w:id="570"/>
    </w:p>
    <w:p w:rsidR="00E57656" w:rsidRDefault="00E57656" w:rsidP="00E57656">
      <w:pPr>
        <w:jc w:val="both"/>
      </w:pPr>
      <w:r w:rsidRPr="00E06B10">
        <w:t xml:space="preserve">In Barnet, the top three broad causes of mortality in both men and women are circulatory diseases, cancers and respiratory </w:t>
      </w:r>
      <w:r w:rsidR="00DD3A76" w:rsidRPr="00E06B10">
        <w:t>diseases</w:t>
      </w:r>
      <w:r w:rsidR="004D5EDB">
        <w:rPr>
          <w:rStyle w:val="FootnoteReference"/>
        </w:rPr>
        <w:footnoteReference w:id="32"/>
      </w:r>
      <w:r w:rsidRPr="00E06B10">
        <w:t>. Circulatory diseases led to 2254 deaths (male</w:t>
      </w:r>
      <w:r>
        <w:t>s</w:t>
      </w:r>
      <w:r w:rsidRPr="00E06B10">
        <w:t xml:space="preserve"> 1002, female</w:t>
      </w:r>
      <w:r>
        <w:t>s</w:t>
      </w:r>
      <w:r w:rsidRPr="00E06B10">
        <w:t xml:space="preserve"> 1252), cancers caused 1949 deaths (male</w:t>
      </w:r>
      <w:r>
        <w:t>s</w:t>
      </w:r>
      <w:r w:rsidRPr="00E06B10">
        <w:t xml:space="preserve"> 963, females 986) and respiratory diseases resulted in 693 deaths (male</w:t>
      </w:r>
      <w:r>
        <w:t>s</w:t>
      </w:r>
      <w:r w:rsidRPr="00E06B10">
        <w:t xml:space="preserve"> 445, female</w:t>
      </w:r>
      <w:r>
        <w:t>s</w:t>
      </w:r>
      <w:r w:rsidRPr="00E06B10">
        <w:t xml:space="preserve"> 248)</w:t>
      </w:r>
      <w:r>
        <w:t xml:space="preserve"> during 2010-2012</w:t>
      </w:r>
      <w:r w:rsidRPr="00E06B10">
        <w:t xml:space="preserve">. </w:t>
      </w:r>
      <w:r>
        <w:t>In th</w:t>
      </w:r>
      <w:r w:rsidRPr="00E16328">
        <w:t>e</w:t>
      </w:r>
      <w:r>
        <w:t xml:space="preserve"> same period, d</w:t>
      </w:r>
      <w:r w:rsidRPr="00E06B10">
        <w:t>ementia</w:t>
      </w:r>
      <w:r>
        <w:t xml:space="preserve">, </w:t>
      </w:r>
      <w:r w:rsidRPr="00E06B10">
        <w:t>another leading cause of death in Barnet</w:t>
      </w:r>
      <w:r>
        <w:t>,</w:t>
      </w:r>
      <w:r w:rsidRPr="00E06B10">
        <w:t xml:space="preserve"> result</w:t>
      </w:r>
      <w:r>
        <w:t>ed</w:t>
      </w:r>
      <w:r w:rsidRPr="00E06B10">
        <w:t xml:space="preserve"> in 579 deaths, which involved more females</w:t>
      </w:r>
      <w:r>
        <w:t xml:space="preserve"> (n=383)</w:t>
      </w:r>
      <w:r w:rsidRPr="00E06B10">
        <w:t xml:space="preserve"> than males (</w:t>
      </w:r>
      <w:r>
        <w:t>n=</w:t>
      </w:r>
      <w:r w:rsidRPr="00E06B10">
        <w:t>196).</w:t>
      </w:r>
      <w:r w:rsidRPr="00E06B10">
        <w:fldChar w:fldCharType="begin"/>
      </w:r>
      <w:r w:rsidRPr="00E06B10">
        <w:instrText xml:space="preserve"> NOTEREF _Ref418081774 \f \h </w:instrText>
      </w:r>
      <w:r w:rsidRPr="00E06B10">
        <w:fldChar w:fldCharType="separate"/>
      </w:r>
      <w:r w:rsidR="001663C2">
        <w:rPr>
          <w:b/>
          <w:bCs/>
          <w:lang w:val="en-US"/>
        </w:rPr>
        <w:t>Error! Bookmark not defined.</w:t>
      </w:r>
      <w:r w:rsidRPr="00E06B10">
        <w:fldChar w:fldCharType="end"/>
      </w:r>
      <w:r w:rsidRPr="00E06B10">
        <w:t xml:space="preserve"> </w:t>
      </w:r>
      <w:r>
        <w:t xml:space="preserve"> </w:t>
      </w:r>
    </w:p>
    <w:p w:rsidR="00E57656" w:rsidRPr="00E06B10" w:rsidRDefault="00E57656" w:rsidP="00E57656">
      <w:pPr>
        <w:pStyle w:val="Caption"/>
      </w:pPr>
      <w:r>
        <w:t xml:space="preserve">Figure </w:t>
      </w:r>
      <w:fldSimple w:instr=" STYLEREF 1 \s ">
        <w:r w:rsidR="001663C2">
          <w:rPr>
            <w:noProof/>
          </w:rPr>
          <w:t>5</w:t>
        </w:r>
      </w:fldSimple>
      <w:r w:rsidR="00943DC2">
        <w:noBreakHyphen/>
      </w:r>
      <w:fldSimple w:instr=" SEQ Figure \* ARABIC \s 1 ">
        <w:r w:rsidR="001663C2">
          <w:rPr>
            <w:noProof/>
          </w:rPr>
          <w:t>1</w:t>
        </w:r>
      </w:fldSimple>
      <w:proofErr w:type="gramStart"/>
      <w:r>
        <w:t>a &amp;</w:t>
      </w:r>
      <w:proofErr w:type="gramEnd"/>
      <w:r>
        <w:t xml:space="preserve"> b:</w:t>
      </w:r>
      <w:r w:rsidRPr="00E06B10">
        <w:t xml:space="preserve"> </w:t>
      </w:r>
      <w:r>
        <w:t>C</w:t>
      </w:r>
      <w:r w:rsidRPr="00E06B10">
        <w:t xml:space="preserve">auses of death in </w:t>
      </w:r>
      <w:r>
        <w:t>fe</w:t>
      </w:r>
      <w:r w:rsidRPr="00E06B10">
        <w:t>male</w:t>
      </w:r>
      <w:r>
        <w:t>s</w:t>
      </w:r>
      <w:r w:rsidRPr="00E06B10">
        <w:t xml:space="preserve"> and male</w:t>
      </w:r>
      <w:r>
        <w:t>s</w:t>
      </w:r>
      <w:r w:rsidRPr="00E06B10">
        <w:t xml:space="preserve"> in Barnet (2010-2012)</w:t>
      </w:r>
    </w:p>
    <w:p w:rsidR="00E57656" w:rsidRPr="00E06B10" w:rsidRDefault="00E57656" w:rsidP="00E57656">
      <w:pPr>
        <w:pStyle w:val="Caption"/>
      </w:pPr>
      <w:r>
        <w:rPr>
          <w:noProof/>
          <w:lang w:eastAsia="en-GB"/>
        </w:rPr>
        <w:drawing>
          <wp:inline distT="0" distB="0" distL="0" distR="0" wp14:anchorId="5178C07E" wp14:editId="207D9338">
            <wp:extent cx="6367345" cy="230688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386560" cy="2313846"/>
                    </a:xfrm>
                    <a:prstGeom prst="rect">
                      <a:avLst/>
                    </a:prstGeom>
                    <a:noFill/>
                  </pic:spPr>
                </pic:pic>
              </a:graphicData>
            </a:graphic>
          </wp:inline>
        </w:drawing>
      </w:r>
    </w:p>
    <w:p w:rsidR="00E57656" w:rsidRDefault="00E57656" w:rsidP="00E57656"/>
    <w:p w:rsidR="00E57656" w:rsidRDefault="00E57656" w:rsidP="00E57656">
      <w:pPr>
        <w:jc w:val="both"/>
      </w:pPr>
      <w:r>
        <w:t>T</w:t>
      </w:r>
      <w:r w:rsidRPr="00E06B10">
        <w:t xml:space="preserve">here are inequalities in life expectancy </w:t>
      </w:r>
      <w:r>
        <w:t>i</w:t>
      </w:r>
      <w:r w:rsidRPr="00E06B10">
        <w:t>n Barnet</w:t>
      </w:r>
      <w:r>
        <w:t xml:space="preserve"> by gender, locality / ward and the level of deprivation.</w:t>
      </w:r>
      <w:r w:rsidRPr="00E06B10">
        <w:t xml:space="preserve"> </w:t>
      </w:r>
      <w:r>
        <w:t>L</w:t>
      </w:r>
      <w:r w:rsidRPr="00E06B10">
        <w:t>ife expectancy at birth in females (85.0 years) is higher than males (81.9</w:t>
      </w:r>
      <w:r>
        <w:t xml:space="preserve"> years</w:t>
      </w:r>
      <w:r w:rsidRPr="00E06B10">
        <w:t>)</w:t>
      </w:r>
      <w:r w:rsidR="004D5EDB">
        <w:t>,</w:t>
      </w:r>
      <w:r w:rsidRPr="00E06B10">
        <w:t xml:space="preserve"> and overall life expectancy for both </w:t>
      </w:r>
      <w:r>
        <w:t xml:space="preserve">the </w:t>
      </w:r>
      <w:r w:rsidRPr="00E06B10">
        <w:t>male and female population in Barnet is higher than the average for England (male =79.4</w:t>
      </w:r>
      <w:r>
        <w:t xml:space="preserve"> years</w:t>
      </w:r>
      <w:r w:rsidRPr="00E06B10">
        <w:t>, female =83.1</w:t>
      </w:r>
      <w:r>
        <w:t xml:space="preserve"> years</w:t>
      </w:r>
      <w:r w:rsidRPr="00E06B10">
        <w:t>).</w:t>
      </w:r>
      <w:r w:rsidRPr="00E06B10">
        <w:rPr>
          <w:rStyle w:val="FootnoteReference"/>
        </w:rPr>
        <w:footnoteReference w:id="33"/>
      </w:r>
      <w:r w:rsidRPr="00E06B10">
        <w:t xml:space="preserve"> </w:t>
      </w:r>
      <w:r w:rsidRPr="00632D96">
        <w:t xml:space="preserve">The Garden Suburb ward has the highest </w:t>
      </w:r>
      <w:bookmarkStart w:id="571" w:name="OLE_LINK1"/>
      <w:r w:rsidRPr="00632D96">
        <w:t xml:space="preserve">life expectancy </w:t>
      </w:r>
      <w:bookmarkEnd w:id="571"/>
      <w:r w:rsidRPr="00632D96">
        <w:t>for both males (84.1 years) and females (88.5 years) while the Burnt Oak ward has the lowest life expectancy for both males (75.8 years) and females (81.6 years). In</w:t>
      </w:r>
      <w:r>
        <w:t xml:space="preserve"> addition, the life expectancy gap is wider and mortality is higher in </w:t>
      </w:r>
      <w:r w:rsidRPr="00E06B10">
        <w:t xml:space="preserve">the most deprived areas </w:t>
      </w:r>
      <w:r>
        <w:t xml:space="preserve">compared to </w:t>
      </w:r>
      <w:r w:rsidRPr="00E06B10">
        <w:t xml:space="preserve">the least deprived areas in Barnet (Figure </w:t>
      </w:r>
      <w:r>
        <w:t>5-</w:t>
      </w:r>
      <w:r w:rsidRPr="00E06B10">
        <w:t>2a&amp;b)</w:t>
      </w:r>
      <w:r>
        <w:t xml:space="preserve">. </w:t>
      </w:r>
    </w:p>
    <w:p w:rsidR="00E57656" w:rsidRDefault="00E57656" w:rsidP="00E57656">
      <w:pPr>
        <w:pStyle w:val="Caption"/>
      </w:pPr>
    </w:p>
    <w:p w:rsidR="00E57656" w:rsidRDefault="00E57656" w:rsidP="00E57656">
      <w:pPr>
        <w:pStyle w:val="Caption"/>
      </w:pPr>
    </w:p>
    <w:p w:rsidR="00E57656" w:rsidRDefault="00E57656" w:rsidP="00E57656">
      <w:pPr>
        <w:pStyle w:val="Caption"/>
      </w:pPr>
    </w:p>
    <w:p w:rsidR="00E57656" w:rsidRDefault="00E57656" w:rsidP="00E57656">
      <w:pPr>
        <w:pStyle w:val="Caption"/>
      </w:pPr>
    </w:p>
    <w:p w:rsidR="00E57656" w:rsidRPr="00E06B10" w:rsidRDefault="00E57656" w:rsidP="00E57656">
      <w:pPr>
        <w:pStyle w:val="Caption"/>
      </w:pPr>
      <w:r>
        <w:lastRenderedPageBreak/>
        <w:t xml:space="preserve">Figure </w:t>
      </w:r>
      <w:fldSimple w:instr=" STYLEREF 1 \s ">
        <w:r w:rsidR="001663C2">
          <w:rPr>
            <w:noProof/>
          </w:rPr>
          <w:t>5</w:t>
        </w:r>
      </w:fldSimple>
      <w:r w:rsidR="00943DC2">
        <w:noBreakHyphen/>
      </w:r>
      <w:fldSimple w:instr=" SEQ Figure \* ARABIC \s 1 ">
        <w:r w:rsidR="001663C2">
          <w:rPr>
            <w:noProof/>
          </w:rPr>
          <w:t>2</w:t>
        </w:r>
      </w:fldSimple>
      <w:proofErr w:type="gramStart"/>
      <w:r w:rsidRPr="00E06B10">
        <w:t>a&amp;</w:t>
      </w:r>
      <w:proofErr w:type="gramEnd"/>
      <w:r w:rsidRPr="00E06B10">
        <w:t xml:space="preserve">b. </w:t>
      </w:r>
      <w:r>
        <w:t>Percentage e</w:t>
      </w:r>
      <w:r w:rsidRPr="00E06B10">
        <w:t>xcess deaths</w:t>
      </w:r>
      <w:r>
        <w:rPr>
          <w:rStyle w:val="FootnoteReference"/>
        </w:rPr>
        <w:footnoteReference w:id="34"/>
      </w:r>
      <w:r w:rsidRPr="00E06B10">
        <w:t xml:space="preserve"> in male</w:t>
      </w:r>
      <w:r>
        <w:t>s</w:t>
      </w:r>
      <w:r w:rsidRPr="00E06B10">
        <w:t xml:space="preserve"> and female</w:t>
      </w:r>
      <w:r>
        <w:t xml:space="preserve">s: the </w:t>
      </w:r>
      <w:r w:rsidRPr="00E06B10">
        <w:t xml:space="preserve">most deprived quintile vs. </w:t>
      </w:r>
      <w:r>
        <w:t xml:space="preserve">the </w:t>
      </w:r>
      <w:r w:rsidRPr="00E06B10">
        <w:t>least deprived quintile in Barnet (2010-2012)</w:t>
      </w:r>
    </w:p>
    <w:p w:rsidR="00E57656" w:rsidRDefault="00E57656" w:rsidP="00E57656">
      <w:pPr>
        <w:jc w:val="center"/>
      </w:pPr>
      <w:r>
        <w:rPr>
          <w:noProof/>
          <w:lang w:eastAsia="en-GB"/>
        </w:rPr>
        <w:drawing>
          <wp:inline distT="0" distB="0" distL="0" distR="0" wp14:anchorId="0C857EF9" wp14:editId="7864CFB3">
            <wp:extent cx="5608920" cy="2420188"/>
            <wp:effectExtent l="0" t="0" r="0" b="0"/>
            <wp:docPr id="43012" name="Picture 43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0066" r="22003" b="8960"/>
                    <a:stretch/>
                  </pic:blipFill>
                  <pic:spPr bwMode="auto">
                    <a:xfrm>
                      <a:off x="0" y="0"/>
                      <a:ext cx="5617247" cy="2423781"/>
                    </a:xfrm>
                    <a:prstGeom prst="rect">
                      <a:avLst/>
                    </a:prstGeom>
                    <a:noFill/>
                    <a:ln>
                      <a:noFill/>
                    </a:ln>
                    <a:extLst>
                      <a:ext uri="{53640926-AAD7-44D8-BBD7-CCE9431645EC}">
                        <a14:shadowObscured xmlns:a14="http://schemas.microsoft.com/office/drawing/2010/main"/>
                      </a:ext>
                    </a:extLst>
                  </pic:spPr>
                </pic:pic>
              </a:graphicData>
            </a:graphic>
          </wp:inline>
        </w:drawing>
      </w:r>
    </w:p>
    <w:p w:rsidR="00E57656" w:rsidRDefault="00E57656" w:rsidP="00E57656">
      <w:r w:rsidRPr="00E06B10">
        <w:t>The greatest contributor to the life expectancy gap in the most deprived quintile vers</w:t>
      </w:r>
      <w:r>
        <w:t>u</w:t>
      </w:r>
      <w:r w:rsidRPr="00E06B10">
        <w:t>s le</w:t>
      </w:r>
      <w:r>
        <w:t xml:space="preserve">ast </w:t>
      </w:r>
      <w:r w:rsidRPr="00E06B10">
        <w:t xml:space="preserve">deprived quintile in Barnet </w:t>
      </w:r>
      <w:r>
        <w:t>is in</w:t>
      </w:r>
      <w:r w:rsidRPr="00E06B10">
        <w:t xml:space="preserve"> circulatory diseases</w:t>
      </w:r>
      <w:r w:rsidR="004D5EDB">
        <w:t>,</w:t>
      </w:r>
      <w:r w:rsidRPr="00E06B10">
        <w:t xml:space="preserve"> in both </w:t>
      </w:r>
      <w:r>
        <w:t xml:space="preserve">the </w:t>
      </w:r>
      <w:r w:rsidRPr="00E06B10">
        <w:t xml:space="preserve">male and female population. </w:t>
      </w:r>
      <w:r>
        <w:t>Th</w:t>
      </w:r>
      <w:r w:rsidRPr="00E06B10">
        <w:t xml:space="preserve">e second and third highest contributors </w:t>
      </w:r>
      <w:r>
        <w:t>to</w:t>
      </w:r>
      <w:r w:rsidRPr="00E06B10">
        <w:t xml:space="preserve"> the life expectancy gap in Barnet </w:t>
      </w:r>
      <w:r>
        <w:t>are</w:t>
      </w:r>
      <w:r w:rsidRPr="00E06B10">
        <w:t xml:space="preserve"> cancers and external causes</w:t>
      </w:r>
      <w:r>
        <w:t xml:space="preserve"> (i.e. </w:t>
      </w:r>
      <w:r w:rsidRPr="00C15B23">
        <w:t>injury, poisoning and suicide</w:t>
      </w:r>
      <w:r>
        <w:t>)</w:t>
      </w:r>
      <w:r w:rsidRPr="00E06B10">
        <w:t xml:space="preserve"> in males and respiratory diseases and mental and behavioural illness in females (Figure </w:t>
      </w:r>
      <w:r>
        <w:t>5-</w:t>
      </w:r>
      <w:r w:rsidRPr="00E06B10">
        <w:t xml:space="preserve">3). </w:t>
      </w:r>
    </w:p>
    <w:p w:rsidR="00E57656" w:rsidRDefault="00E57656" w:rsidP="00E57656">
      <w:r w:rsidRPr="00E06B10">
        <w:t>In Barnet’s most deprived areas</w:t>
      </w:r>
      <w:r w:rsidR="004D5EDB">
        <w:t>,</w:t>
      </w:r>
      <w:r w:rsidRPr="00E06B10">
        <w:t xml:space="preserve"> the three leading causes of excess </w:t>
      </w:r>
      <w:r>
        <w:t>deaths include CHD, stroke and cancer</w:t>
      </w:r>
      <w:r w:rsidRPr="00E06B10">
        <w:t xml:space="preserve"> in males and dementia, CHD and COPD in females. These excess deaths can be avoided by reducing inequalities between different areas of Barnet. </w:t>
      </w:r>
    </w:p>
    <w:p w:rsidR="00E57656" w:rsidRPr="00E06B10" w:rsidRDefault="00E57656" w:rsidP="00E57656">
      <w:pPr>
        <w:pStyle w:val="Caption"/>
      </w:pPr>
      <w:r>
        <w:t xml:space="preserve">Figure </w:t>
      </w:r>
      <w:fldSimple w:instr=" STYLEREF 1 \s ">
        <w:r w:rsidR="001663C2">
          <w:rPr>
            <w:noProof/>
          </w:rPr>
          <w:t>5</w:t>
        </w:r>
      </w:fldSimple>
      <w:r w:rsidR="00943DC2">
        <w:noBreakHyphen/>
      </w:r>
      <w:fldSimple w:instr=" SEQ Figure \* ARABIC \s 1 ">
        <w:r w:rsidR="001663C2">
          <w:rPr>
            <w:noProof/>
          </w:rPr>
          <w:t>3</w:t>
        </w:r>
      </w:fldSimple>
      <w:r>
        <w:t>:</w:t>
      </w:r>
      <w:r w:rsidRPr="00E06B10">
        <w:t xml:space="preserve"> The breakdown of the life expectancy gap between the most deprived quintile and the least deprived quintile in Barnet by broad cause of death</w:t>
      </w:r>
      <w:r>
        <w:t xml:space="preserve"> and gender</w:t>
      </w:r>
      <w:r w:rsidRPr="00E06B10">
        <w:t xml:space="preserve"> (2010-2012)</w:t>
      </w:r>
    </w:p>
    <w:p w:rsidR="00E57656" w:rsidRDefault="00E57656" w:rsidP="00E57656">
      <w:pPr>
        <w:spacing w:after="0" w:line="240" w:lineRule="auto"/>
        <w:jc w:val="center"/>
      </w:pPr>
      <w:r w:rsidRPr="00E06B10">
        <w:rPr>
          <w:noProof/>
          <w:lang w:eastAsia="en-GB"/>
        </w:rPr>
        <w:drawing>
          <wp:inline distT="0" distB="0" distL="0" distR="0" wp14:anchorId="4E80FD8A" wp14:editId="458B662F">
            <wp:extent cx="5229225" cy="2913507"/>
            <wp:effectExtent l="0" t="0" r="0" b="127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257349" cy="2929177"/>
                    </a:xfrm>
                    <a:prstGeom prst="rect">
                      <a:avLst/>
                    </a:prstGeom>
                  </pic:spPr>
                </pic:pic>
              </a:graphicData>
            </a:graphic>
          </wp:inline>
        </w:drawing>
      </w:r>
    </w:p>
    <w:p w:rsidR="00E57656" w:rsidRDefault="00E57656" w:rsidP="00E57656"/>
    <w:p w:rsidR="00E57656" w:rsidRPr="00E06B10" w:rsidRDefault="00E57656" w:rsidP="00E57656">
      <w:pPr>
        <w:pStyle w:val="Heading2"/>
        <w:numPr>
          <w:ilvl w:val="1"/>
          <w:numId w:val="35"/>
        </w:numPr>
        <w:jc w:val="both"/>
        <w:rPr>
          <w:rFonts w:asciiTheme="minorHAnsi" w:hAnsiTheme="minorHAnsi"/>
        </w:rPr>
      </w:pPr>
      <w:bookmarkStart w:id="572" w:name="_Toc420678784"/>
      <w:bookmarkStart w:id="573" w:name="_Toc426723332"/>
      <w:bookmarkStart w:id="574" w:name="_Toc431225159"/>
      <w:r w:rsidRPr="00E06B10">
        <w:rPr>
          <w:rFonts w:asciiTheme="minorHAnsi" w:hAnsiTheme="minorHAnsi"/>
        </w:rPr>
        <w:lastRenderedPageBreak/>
        <w:t xml:space="preserve">Causes of </w:t>
      </w:r>
      <w:r w:rsidR="001C74D0">
        <w:rPr>
          <w:rFonts w:asciiTheme="minorHAnsi" w:hAnsiTheme="minorHAnsi"/>
        </w:rPr>
        <w:t>Ill H</w:t>
      </w:r>
      <w:r w:rsidRPr="00E06B10">
        <w:rPr>
          <w:rFonts w:asciiTheme="minorHAnsi" w:hAnsiTheme="minorHAnsi"/>
        </w:rPr>
        <w:t>ealth</w:t>
      </w:r>
      <w:bookmarkEnd w:id="572"/>
      <w:bookmarkEnd w:id="573"/>
      <w:bookmarkEnd w:id="574"/>
    </w:p>
    <w:p w:rsidR="00E57656" w:rsidRPr="00E06B10" w:rsidRDefault="00E57656" w:rsidP="00E57656">
      <w:pPr>
        <w:jc w:val="both"/>
      </w:pPr>
      <w:r w:rsidRPr="00E06B10">
        <w:t>In Barnet, smoking, alcohol, air pollution, poor diet, high blood pressure, obesity and hepatitis are the most common causes of ill health l</w:t>
      </w:r>
      <w:bookmarkStart w:id="575" w:name="_Ref418589416"/>
      <w:r w:rsidR="004D5EDB">
        <w:t>eading to premature mortality</w:t>
      </w:r>
      <w:r w:rsidRPr="00E06B10">
        <w:rPr>
          <w:rStyle w:val="FootnoteReference"/>
        </w:rPr>
        <w:footnoteReference w:id="35"/>
      </w:r>
      <w:bookmarkEnd w:id="575"/>
      <w:r w:rsidR="004D5EDB">
        <w:t xml:space="preserve">. </w:t>
      </w:r>
      <w:r w:rsidRPr="00E06B10">
        <w:t xml:space="preserve">Based on </w:t>
      </w:r>
      <w:r>
        <w:t xml:space="preserve">a </w:t>
      </w:r>
      <w:r w:rsidRPr="00E06B10">
        <w:t>total 1,981 premature deaths during 2011-13, Barnet ranks the 7</w:t>
      </w:r>
      <w:r w:rsidRPr="00E06B10">
        <w:rPr>
          <w:vertAlign w:val="superscript"/>
        </w:rPr>
        <w:t>th</w:t>
      </w:r>
      <w:r w:rsidRPr="00E06B10">
        <w:t xml:space="preserve"> best out of 150 local authorities in England and the 2</w:t>
      </w:r>
      <w:r w:rsidRPr="00E06B10">
        <w:rPr>
          <w:vertAlign w:val="superscript"/>
        </w:rPr>
        <w:t>nd</w:t>
      </w:r>
      <w:r w:rsidRPr="00E06B10">
        <w:t xml:space="preserve"> best within 15 similar local authorities. Table </w:t>
      </w:r>
      <w:r w:rsidR="004D5EDB">
        <w:t>5-</w:t>
      </w:r>
      <w:r w:rsidRPr="00E06B10">
        <w:t>1 below shows Barnet statistics on common c</w:t>
      </w:r>
      <w:r w:rsidR="004D5EDB">
        <w:t>auses of illness and</w:t>
      </w:r>
      <w:r w:rsidRPr="00E06B10">
        <w:t xml:space="preserve"> the major diseases / conditions</w:t>
      </w:r>
      <w:r>
        <w:t xml:space="preserve"> that</w:t>
      </w:r>
      <w:r w:rsidRPr="00E06B10">
        <w:t xml:space="preserve"> are the leading causes of local premature mortality, rates of premature mortality by cause, and the Barnet rank and premature mortality outcomes compared to other local authorities (LAs). </w:t>
      </w:r>
    </w:p>
    <w:p w:rsidR="00E57656" w:rsidRPr="00E06B10" w:rsidRDefault="00E57656" w:rsidP="00E57656">
      <w:pPr>
        <w:pStyle w:val="Caption"/>
      </w:pPr>
      <w:r>
        <w:t xml:space="preserve">Table </w:t>
      </w:r>
      <w:fldSimple w:instr=" STYLEREF 1 \s ">
        <w:r w:rsidR="001663C2">
          <w:rPr>
            <w:noProof/>
          </w:rPr>
          <w:t>5</w:t>
        </w:r>
      </w:fldSimple>
      <w:r>
        <w:noBreakHyphen/>
      </w:r>
      <w:fldSimple w:instr=" SEQ Table \* ARABIC \s 1 ">
        <w:r w:rsidR="001663C2">
          <w:rPr>
            <w:noProof/>
          </w:rPr>
          <w:t>1</w:t>
        </w:r>
      </w:fldSimple>
      <w:r>
        <w:t>:</w:t>
      </w:r>
      <w:r w:rsidRPr="00E06B10">
        <w:t xml:space="preserve"> Common causes of major illness, major diseases leading to premature mortality, premature mortality rates by cause, and premature mortality ranks and outcomes in Barnet</w:t>
      </w:r>
    </w:p>
    <w:tbl>
      <w:tblPr>
        <w:tblW w:w="9781"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1276"/>
        <w:gridCol w:w="1276"/>
        <w:gridCol w:w="1417"/>
        <w:gridCol w:w="1276"/>
        <w:gridCol w:w="1417"/>
        <w:gridCol w:w="1276"/>
      </w:tblGrid>
      <w:tr w:rsidR="00E57656" w:rsidRPr="00E06B10" w:rsidTr="00E57656">
        <w:trPr>
          <w:trHeight w:val="316"/>
          <w:jc w:val="center"/>
        </w:trPr>
        <w:tc>
          <w:tcPr>
            <w:tcW w:w="1843" w:type="dxa"/>
            <w:shd w:val="clear" w:color="auto" w:fill="auto"/>
            <w:noWrap/>
            <w:hideMark/>
          </w:tcPr>
          <w:p w:rsidR="00E57656" w:rsidRPr="0079073E" w:rsidRDefault="00E57656" w:rsidP="00031B92">
            <w:pPr>
              <w:spacing w:after="0" w:line="240" w:lineRule="auto"/>
              <w:rPr>
                <w:rFonts w:eastAsia="Times New Roman" w:cs="Arial"/>
                <w:b/>
                <w:color w:val="000000"/>
                <w:lang w:eastAsia="en-GB"/>
              </w:rPr>
            </w:pPr>
            <w:r w:rsidRPr="0079073E">
              <w:rPr>
                <w:rFonts w:eastAsia="Times New Roman" w:cs="Arial"/>
                <w:b/>
                <w:color w:val="000000"/>
                <w:lang w:eastAsia="en-GB"/>
              </w:rPr>
              <w:t>Common causes of major illnesses causing premature mortality</w:t>
            </w:r>
          </w:p>
        </w:tc>
        <w:tc>
          <w:tcPr>
            <w:tcW w:w="1276" w:type="dxa"/>
          </w:tcPr>
          <w:p w:rsidR="00E57656" w:rsidRPr="0079073E" w:rsidRDefault="00E57656" w:rsidP="00031B92">
            <w:pPr>
              <w:spacing w:after="0" w:line="240" w:lineRule="auto"/>
              <w:rPr>
                <w:rFonts w:eastAsia="Times New Roman" w:cs="Arial"/>
                <w:b/>
                <w:color w:val="000000"/>
                <w:lang w:eastAsia="en-GB"/>
              </w:rPr>
            </w:pPr>
            <w:r w:rsidRPr="0079073E">
              <w:rPr>
                <w:rFonts w:eastAsia="Times New Roman" w:cs="Arial"/>
                <w:b/>
                <w:color w:val="000000"/>
                <w:lang w:eastAsia="en-GB"/>
              </w:rPr>
              <w:t xml:space="preserve">Major diseases / causes of </w:t>
            </w:r>
            <w:r w:rsidRPr="0079073E">
              <w:rPr>
                <w:b/>
              </w:rPr>
              <w:t>premature mortality</w:t>
            </w:r>
          </w:p>
        </w:tc>
        <w:tc>
          <w:tcPr>
            <w:tcW w:w="1276" w:type="dxa"/>
            <w:shd w:val="clear" w:color="auto" w:fill="auto"/>
            <w:noWrap/>
            <w:hideMark/>
          </w:tcPr>
          <w:p w:rsidR="00E57656" w:rsidRPr="0079073E" w:rsidRDefault="00E57656" w:rsidP="00031B92">
            <w:pPr>
              <w:spacing w:after="0" w:line="240" w:lineRule="auto"/>
              <w:rPr>
                <w:rFonts w:eastAsia="Times New Roman" w:cs="Arial"/>
                <w:b/>
                <w:color w:val="000000"/>
                <w:lang w:eastAsia="en-GB"/>
              </w:rPr>
            </w:pPr>
            <w:r w:rsidRPr="0079073E">
              <w:rPr>
                <w:rFonts w:eastAsia="Times New Roman" w:cs="Arial"/>
                <w:b/>
                <w:color w:val="000000"/>
                <w:lang w:eastAsia="en-GB"/>
              </w:rPr>
              <w:t>Premature deaths (per 100,000)† for 2011-13</w:t>
            </w:r>
          </w:p>
        </w:tc>
        <w:tc>
          <w:tcPr>
            <w:tcW w:w="1417" w:type="dxa"/>
            <w:shd w:val="clear" w:color="auto" w:fill="auto"/>
            <w:noWrap/>
            <w:hideMark/>
          </w:tcPr>
          <w:p w:rsidR="00E57656" w:rsidRPr="0079073E" w:rsidRDefault="00E57656" w:rsidP="00031B92">
            <w:pPr>
              <w:spacing w:after="0" w:line="240" w:lineRule="auto"/>
              <w:rPr>
                <w:rFonts w:eastAsia="Times New Roman" w:cs="Arial"/>
                <w:b/>
                <w:color w:val="000000"/>
                <w:lang w:eastAsia="en-GB"/>
              </w:rPr>
            </w:pPr>
            <w:r w:rsidRPr="0079073E">
              <w:rPr>
                <w:rFonts w:eastAsia="Times New Roman" w:cs="Arial"/>
                <w:b/>
                <w:color w:val="000000"/>
                <w:lang w:eastAsia="en-GB"/>
              </w:rPr>
              <w:t xml:space="preserve">Rank out of 150 local authorities* </w:t>
            </w:r>
          </w:p>
        </w:tc>
        <w:tc>
          <w:tcPr>
            <w:tcW w:w="1276" w:type="dxa"/>
            <w:shd w:val="clear" w:color="auto" w:fill="auto"/>
            <w:noWrap/>
            <w:hideMark/>
          </w:tcPr>
          <w:p w:rsidR="00E57656" w:rsidRPr="0079073E" w:rsidRDefault="00E57656" w:rsidP="00031B92">
            <w:pPr>
              <w:spacing w:after="0" w:line="240" w:lineRule="auto"/>
              <w:jc w:val="center"/>
              <w:rPr>
                <w:rFonts w:eastAsia="Times New Roman" w:cs="Arial"/>
                <w:b/>
                <w:color w:val="000000"/>
                <w:lang w:eastAsia="en-GB"/>
              </w:rPr>
            </w:pPr>
            <w:r w:rsidRPr="0079073E">
              <w:rPr>
                <w:rFonts w:eastAsia="Times New Roman" w:cs="Arial"/>
                <w:b/>
                <w:color w:val="000000"/>
                <w:lang w:eastAsia="en-GB"/>
              </w:rPr>
              <w:t>Premature mortality outcomes</w:t>
            </w:r>
          </w:p>
        </w:tc>
        <w:tc>
          <w:tcPr>
            <w:tcW w:w="1417" w:type="dxa"/>
            <w:shd w:val="clear" w:color="auto" w:fill="auto"/>
            <w:noWrap/>
          </w:tcPr>
          <w:p w:rsidR="00E57656" w:rsidRPr="0079073E" w:rsidRDefault="00E57656" w:rsidP="00031B92">
            <w:pPr>
              <w:spacing w:after="0" w:line="240" w:lineRule="auto"/>
              <w:rPr>
                <w:rFonts w:eastAsia="Times New Roman" w:cs="Arial"/>
                <w:b/>
                <w:color w:val="000000"/>
                <w:lang w:eastAsia="en-GB"/>
              </w:rPr>
            </w:pPr>
            <w:r w:rsidRPr="0079073E">
              <w:rPr>
                <w:rFonts w:eastAsia="Times New Roman" w:cs="Arial"/>
                <w:b/>
                <w:color w:val="000000"/>
                <w:lang w:eastAsia="en-GB"/>
              </w:rPr>
              <w:t>Rank within 15 similar local authorities*</w:t>
            </w:r>
          </w:p>
        </w:tc>
        <w:tc>
          <w:tcPr>
            <w:tcW w:w="1276" w:type="dxa"/>
            <w:shd w:val="clear" w:color="auto" w:fill="auto"/>
            <w:noWrap/>
          </w:tcPr>
          <w:p w:rsidR="00E57656" w:rsidRPr="0079073E" w:rsidRDefault="00E57656" w:rsidP="00031B92">
            <w:pPr>
              <w:spacing w:after="0" w:line="240" w:lineRule="auto"/>
              <w:rPr>
                <w:rFonts w:eastAsia="Times New Roman" w:cs="Arial"/>
                <w:b/>
                <w:color w:val="000000"/>
                <w:lang w:eastAsia="en-GB"/>
              </w:rPr>
            </w:pPr>
            <w:r w:rsidRPr="0079073E">
              <w:rPr>
                <w:rFonts w:eastAsia="Times New Roman" w:cs="Arial"/>
                <w:b/>
                <w:color w:val="000000"/>
                <w:lang w:eastAsia="en-GB"/>
              </w:rPr>
              <w:t>Premature mortality outcomes</w:t>
            </w:r>
          </w:p>
        </w:tc>
      </w:tr>
      <w:tr w:rsidR="00E57656" w:rsidRPr="00E06B10" w:rsidTr="00E57656">
        <w:trPr>
          <w:trHeight w:val="363"/>
          <w:jc w:val="center"/>
        </w:trPr>
        <w:tc>
          <w:tcPr>
            <w:tcW w:w="1843" w:type="dxa"/>
            <w:shd w:val="clear" w:color="auto" w:fill="auto"/>
            <w:noWrap/>
            <w:vAlign w:val="center"/>
            <w:hideMark/>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Smoking, poor diet, alcohol</w:t>
            </w:r>
          </w:p>
        </w:tc>
        <w:tc>
          <w:tcPr>
            <w:tcW w:w="1276" w:type="dxa"/>
            <w:vAlign w:val="center"/>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Cancer (all)</w:t>
            </w:r>
          </w:p>
        </w:tc>
        <w:tc>
          <w:tcPr>
            <w:tcW w:w="1276" w:type="dxa"/>
            <w:shd w:val="clear" w:color="auto" w:fill="auto"/>
            <w:noWrap/>
            <w:vAlign w:val="center"/>
            <w:hideMark/>
          </w:tcPr>
          <w:p w:rsidR="00E57656" w:rsidRPr="00E06B10" w:rsidRDefault="00E57656" w:rsidP="00031B92">
            <w:pPr>
              <w:spacing w:after="0" w:line="240" w:lineRule="auto"/>
              <w:jc w:val="center"/>
              <w:rPr>
                <w:rFonts w:eastAsia="Times New Roman" w:cs="Arial"/>
                <w:color w:val="000000"/>
                <w:lang w:eastAsia="en-GB"/>
              </w:rPr>
            </w:pPr>
            <w:r w:rsidRPr="00E06B10">
              <w:rPr>
                <w:rFonts w:eastAsia="Times New Roman" w:cs="Arial"/>
                <w:color w:val="000000"/>
                <w:lang w:eastAsia="en-GB"/>
              </w:rPr>
              <w:t>118</w:t>
            </w:r>
          </w:p>
        </w:tc>
        <w:tc>
          <w:tcPr>
            <w:tcW w:w="1417" w:type="dxa"/>
            <w:shd w:val="clear" w:color="auto" w:fill="auto"/>
            <w:noWrap/>
            <w:vAlign w:val="center"/>
            <w:hideMark/>
          </w:tcPr>
          <w:p w:rsidR="00E57656" w:rsidRPr="00E06B10" w:rsidRDefault="00E57656" w:rsidP="00031B92">
            <w:pPr>
              <w:spacing w:after="0" w:line="240" w:lineRule="auto"/>
              <w:jc w:val="center"/>
              <w:rPr>
                <w:rFonts w:eastAsia="Times New Roman" w:cs="Arial"/>
                <w:color w:val="000000"/>
                <w:lang w:eastAsia="en-GB"/>
              </w:rPr>
            </w:pPr>
            <w:r w:rsidRPr="00E06B10">
              <w:rPr>
                <w:rFonts w:eastAsia="Times New Roman" w:cs="Arial"/>
                <w:color w:val="000000"/>
                <w:lang w:eastAsia="en-GB"/>
              </w:rPr>
              <w:t>3</w:t>
            </w:r>
          </w:p>
        </w:tc>
        <w:tc>
          <w:tcPr>
            <w:tcW w:w="1276" w:type="dxa"/>
            <w:shd w:val="clear" w:color="auto" w:fill="auto"/>
            <w:noWrap/>
            <w:vAlign w:val="center"/>
            <w:hideMark/>
          </w:tcPr>
          <w:p w:rsidR="00E57656" w:rsidRPr="00E06B10" w:rsidRDefault="00E57656" w:rsidP="00031B92">
            <w:pPr>
              <w:spacing w:after="0" w:line="240" w:lineRule="auto"/>
              <w:jc w:val="center"/>
              <w:rPr>
                <w:rFonts w:eastAsia="Times New Roman" w:cs="Arial"/>
                <w:color w:val="000000"/>
                <w:lang w:eastAsia="en-GB"/>
              </w:rPr>
            </w:pPr>
            <w:r w:rsidRPr="00E06B10">
              <w:rPr>
                <w:rFonts w:eastAsia="Times New Roman" w:cs="Arial"/>
                <w:noProof/>
                <w:color w:val="000000"/>
                <w:lang w:eastAsia="en-GB"/>
              </w:rPr>
              <w:drawing>
                <wp:anchor distT="0" distB="0" distL="114300" distR="114300" simplePos="0" relativeHeight="251830272" behindDoc="0" locked="0" layoutInCell="1" allowOverlap="1" wp14:anchorId="0FDBE4C1" wp14:editId="01E38520">
                  <wp:simplePos x="0" y="0"/>
                  <wp:positionH relativeFrom="column">
                    <wp:posOffset>244475</wp:posOffset>
                  </wp:positionH>
                  <wp:positionV relativeFrom="paragraph">
                    <wp:posOffset>26670</wp:posOffset>
                  </wp:positionV>
                  <wp:extent cx="209550" cy="209550"/>
                  <wp:effectExtent l="19050" t="19050" r="19050" b="19050"/>
                  <wp:wrapNone/>
                  <wp:docPr id="97" name="Picture 97" descr="best"/>
                  <wp:cNvGraphicFramePr/>
                  <a:graphic xmlns:a="http://schemas.openxmlformats.org/drawingml/2006/main">
                    <a:graphicData uri="http://schemas.openxmlformats.org/drawingml/2006/picture">
                      <pic:pic xmlns:pic="http://schemas.openxmlformats.org/drawingml/2006/picture">
                        <pic:nvPicPr>
                          <pic:cNvPr id="3" name="Picture 2" descr="best"/>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solidFill>
                              <a:srgbClr val="00B050"/>
                            </a:solidFill>
                          </a:ln>
                          <a:extLst/>
                        </pic:spPr>
                      </pic:pic>
                    </a:graphicData>
                  </a:graphic>
                  <wp14:sizeRelH relativeFrom="page">
                    <wp14:pctWidth>0</wp14:pctWidth>
                  </wp14:sizeRelH>
                  <wp14:sizeRelV relativeFrom="page">
                    <wp14:pctHeight>0</wp14:pctHeight>
                  </wp14:sizeRelV>
                </wp:anchor>
              </w:drawing>
            </w:r>
          </w:p>
        </w:tc>
        <w:tc>
          <w:tcPr>
            <w:tcW w:w="1417" w:type="dxa"/>
            <w:shd w:val="clear" w:color="auto" w:fill="auto"/>
            <w:noWrap/>
            <w:vAlign w:val="center"/>
          </w:tcPr>
          <w:p w:rsidR="00E57656" w:rsidRPr="00E06B10" w:rsidRDefault="00E57656" w:rsidP="00031B92">
            <w:pPr>
              <w:spacing w:after="0" w:line="240" w:lineRule="auto"/>
              <w:jc w:val="center"/>
              <w:rPr>
                <w:rFonts w:eastAsia="Times New Roman" w:cs="Arial"/>
                <w:color w:val="000000"/>
                <w:lang w:eastAsia="en-GB"/>
              </w:rPr>
            </w:pPr>
            <w:r w:rsidRPr="00E06B10">
              <w:rPr>
                <w:rFonts w:eastAsia="Times New Roman" w:cs="Arial"/>
                <w:color w:val="000000"/>
                <w:lang w:eastAsia="en-GB"/>
              </w:rPr>
              <w:t>2</w:t>
            </w:r>
          </w:p>
        </w:tc>
        <w:tc>
          <w:tcPr>
            <w:tcW w:w="1276" w:type="dxa"/>
            <w:shd w:val="clear" w:color="auto" w:fill="auto"/>
            <w:noWrap/>
            <w:vAlign w:val="center"/>
          </w:tcPr>
          <w:p w:rsidR="00E57656" w:rsidRPr="00E06B10" w:rsidRDefault="00E57656" w:rsidP="00031B92">
            <w:pPr>
              <w:spacing w:after="0" w:line="240" w:lineRule="auto"/>
              <w:jc w:val="center"/>
              <w:rPr>
                <w:rFonts w:eastAsia="Times New Roman" w:cs="Arial"/>
                <w:color w:val="000000"/>
                <w:lang w:eastAsia="en-GB"/>
              </w:rPr>
            </w:pPr>
            <w:r w:rsidRPr="00E06B10">
              <w:rPr>
                <w:rFonts w:eastAsia="Times New Roman" w:cs="Arial"/>
                <w:noProof/>
                <w:color w:val="000000"/>
                <w:lang w:eastAsia="en-GB"/>
              </w:rPr>
              <w:drawing>
                <wp:anchor distT="0" distB="0" distL="114300" distR="114300" simplePos="0" relativeHeight="251843584" behindDoc="0" locked="0" layoutInCell="1" allowOverlap="1" wp14:anchorId="1076DB45" wp14:editId="3AC693DA">
                  <wp:simplePos x="0" y="0"/>
                  <wp:positionH relativeFrom="column">
                    <wp:posOffset>238760</wp:posOffset>
                  </wp:positionH>
                  <wp:positionV relativeFrom="paragraph">
                    <wp:posOffset>-1905</wp:posOffset>
                  </wp:positionV>
                  <wp:extent cx="200025" cy="209550"/>
                  <wp:effectExtent l="19050" t="19050" r="28575" b="19050"/>
                  <wp:wrapNone/>
                  <wp:docPr id="107" name="Picture 107" descr="best"/>
                  <wp:cNvGraphicFramePr/>
                  <a:graphic xmlns:a="http://schemas.openxmlformats.org/drawingml/2006/main">
                    <a:graphicData uri="http://schemas.openxmlformats.org/drawingml/2006/picture">
                      <pic:pic xmlns:pic="http://schemas.openxmlformats.org/drawingml/2006/picture">
                        <pic:nvPicPr>
                          <pic:cNvPr id="32" name="Picture 31" descr="best"/>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0025" cy="209550"/>
                          </a:xfrm>
                          <a:prstGeom prst="rect">
                            <a:avLst/>
                          </a:prstGeom>
                          <a:solidFill>
                            <a:srgbClr val="92D050"/>
                          </a:solidFill>
                          <a:ln>
                            <a:solidFill>
                              <a:srgbClr val="00B050"/>
                            </a:solidFill>
                          </a:ln>
                        </pic:spPr>
                      </pic:pic>
                    </a:graphicData>
                  </a:graphic>
                  <wp14:sizeRelH relativeFrom="page">
                    <wp14:pctWidth>0</wp14:pctWidth>
                  </wp14:sizeRelH>
                  <wp14:sizeRelV relativeFrom="page">
                    <wp14:pctHeight>0</wp14:pctHeight>
                  </wp14:sizeRelV>
                </wp:anchor>
              </w:drawing>
            </w:r>
          </w:p>
        </w:tc>
      </w:tr>
      <w:tr w:rsidR="00E57656" w:rsidRPr="00E06B10" w:rsidTr="00E57656">
        <w:trPr>
          <w:trHeight w:val="363"/>
          <w:jc w:val="center"/>
        </w:trPr>
        <w:tc>
          <w:tcPr>
            <w:tcW w:w="1843" w:type="dxa"/>
            <w:shd w:val="clear" w:color="auto" w:fill="auto"/>
            <w:noWrap/>
            <w:vAlign w:val="center"/>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Smoking, poor diet, alcohol</w:t>
            </w:r>
          </w:p>
        </w:tc>
        <w:tc>
          <w:tcPr>
            <w:tcW w:w="1276" w:type="dxa"/>
            <w:vAlign w:val="center"/>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Lung cancer</w:t>
            </w:r>
          </w:p>
        </w:tc>
        <w:tc>
          <w:tcPr>
            <w:tcW w:w="1276" w:type="dxa"/>
            <w:shd w:val="clear" w:color="auto" w:fill="auto"/>
            <w:noWrap/>
            <w:vAlign w:val="center"/>
            <w:hideMark/>
          </w:tcPr>
          <w:p w:rsidR="00E57656" w:rsidRPr="00E06B10" w:rsidRDefault="00E57656" w:rsidP="00031B92">
            <w:pPr>
              <w:spacing w:after="0" w:line="240" w:lineRule="auto"/>
              <w:jc w:val="center"/>
              <w:rPr>
                <w:rFonts w:eastAsia="Times New Roman" w:cs="Arial"/>
                <w:color w:val="000000"/>
                <w:lang w:eastAsia="en-GB"/>
              </w:rPr>
            </w:pPr>
            <w:r w:rsidRPr="00E06B10">
              <w:rPr>
                <w:rFonts w:eastAsia="Times New Roman" w:cs="Arial"/>
                <w:color w:val="000000"/>
                <w:lang w:eastAsia="en-GB"/>
              </w:rPr>
              <w:t>46</w:t>
            </w:r>
          </w:p>
        </w:tc>
        <w:tc>
          <w:tcPr>
            <w:tcW w:w="1417" w:type="dxa"/>
            <w:shd w:val="clear" w:color="auto" w:fill="auto"/>
            <w:noWrap/>
            <w:vAlign w:val="center"/>
            <w:hideMark/>
          </w:tcPr>
          <w:p w:rsidR="00E57656" w:rsidRPr="00E06B10" w:rsidRDefault="00E57656" w:rsidP="00031B92">
            <w:pPr>
              <w:spacing w:after="0" w:line="240" w:lineRule="auto"/>
              <w:jc w:val="center"/>
              <w:rPr>
                <w:rFonts w:eastAsia="Times New Roman" w:cs="Arial"/>
                <w:color w:val="000000"/>
                <w:lang w:eastAsia="en-GB"/>
              </w:rPr>
            </w:pPr>
            <w:r w:rsidRPr="00E06B10">
              <w:rPr>
                <w:rFonts w:eastAsia="Times New Roman" w:cs="Arial"/>
                <w:color w:val="000000"/>
                <w:lang w:eastAsia="en-GB"/>
              </w:rPr>
              <w:t>13</w:t>
            </w:r>
          </w:p>
        </w:tc>
        <w:tc>
          <w:tcPr>
            <w:tcW w:w="1276" w:type="dxa"/>
            <w:shd w:val="clear" w:color="auto" w:fill="auto"/>
            <w:noWrap/>
            <w:vAlign w:val="center"/>
          </w:tcPr>
          <w:p w:rsidR="00E57656" w:rsidRPr="00E06B10" w:rsidRDefault="00E57656" w:rsidP="00031B92">
            <w:pPr>
              <w:spacing w:after="0" w:line="240" w:lineRule="auto"/>
              <w:jc w:val="center"/>
              <w:rPr>
                <w:rFonts w:eastAsia="Times New Roman" w:cs="Arial"/>
                <w:color w:val="000000"/>
                <w:lang w:eastAsia="en-GB"/>
              </w:rPr>
            </w:pPr>
            <w:r w:rsidRPr="00E06B10">
              <w:rPr>
                <w:rFonts w:eastAsia="Times New Roman" w:cs="Arial"/>
                <w:noProof/>
                <w:color w:val="000000"/>
                <w:lang w:eastAsia="en-GB"/>
              </w:rPr>
              <w:drawing>
                <wp:anchor distT="0" distB="0" distL="114300" distR="114300" simplePos="0" relativeHeight="251849728" behindDoc="0" locked="0" layoutInCell="1" allowOverlap="1" wp14:anchorId="6F22DBFF" wp14:editId="275EC29E">
                  <wp:simplePos x="0" y="0"/>
                  <wp:positionH relativeFrom="column">
                    <wp:posOffset>255905</wp:posOffset>
                  </wp:positionH>
                  <wp:positionV relativeFrom="paragraph">
                    <wp:posOffset>-19050</wp:posOffset>
                  </wp:positionV>
                  <wp:extent cx="200025" cy="200025"/>
                  <wp:effectExtent l="19050" t="19050" r="28575" b="28575"/>
                  <wp:wrapNone/>
                  <wp:docPr id="117" name="Picture 117" descr="best"/>
                  <wp:cNvGraphicFramePr/>
                  <a:graphic xmlns:a="http://schemas.openxmlformats.org/drawingml/2006/main">
                    <a:graphicData uri="http://schemas.openxmlformats.org/drawingml/2006/picture">
                      <pic:pic xmlns:pic="http://schemas.openxmlformats.org/drawingml/2006/picture">
                        <pic:nvPicPr>
                          <pic:cNvPr id="22" name="Picture 21" descr="best"/>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solidFill>
                            <a:srgbClr val="92D050"/>
                          </a:solidFill>
                          <a:ln>
                            <a:solidFill>
                              <a:srgbClr val="00B050"/>
                            </a:solidFill>
                          </a:ln>
                        </pic:spPr>
                      </pic:pic>
                    </a:graphicData>
                  </a:graphic>
                  <wp14:sizeRelH relativeFrom="page">
                    <wp14:pctWidth>0</wp14:pctWidth>
                  </wp14:sizeRelH>
                  <wp14:sizeRelV relativeFrom="page">
                    <wp14:pctHeight>0</wp14:pctHeight>
                  </wp14:sizeRelV>
                </wp:anchor>
              </w:drawing>
            </w:r>
          </w:p>
        </w:tc>
        <w:tc>
          <w:tcPr>
            <w:tcW w:w="1417" w:type="dxa"/>
            <w:shd w:val="clear" w:color="auto" w:fill="auto"/>
            <w:noWrap/>
            <w:vAlign w:val="center"/>
          </w:tcPr>
          <w:p w:rsidR="00E57656" w:rsidRPr="00E06B10" w:rsidRDefault="00E57656" w:rsidP="00031B92">
            <w:pPr>
              <w:spacing w:after="0" w:line="240" w:lineRule="auto"/>
              <w:jc w:val="center"/>
              <w:rPr>
                <w:rFonts w:eastAsia="Times New Roman" w:cs="Arial"/>
                <w:color w:val="000000"/>
                <w:lang w:eastAsia="en-GB"/>
              </w:rPr>
            </w:pPr>
            <w:r w:rsidRPr="00E06B10">
              <w:rPr>
                <w:rFonts w:eastAsia="Times New Roman" w:cs="Arial"/>
                <w:color w:val="000000"/>
                <w:lang w:eastAsia="en-GB"/>
              </w:rPr>
              <w:t>2</w:t>
            </w:r>
          </w:p>
        </w:tc>
        <w:tc>
          <w:tcPr>
            <w:tcW w:w="1276" w:type="dxa"/>
            <w:shd w:val="clear" w:color="auto" w:fill="auto"/>
            <w:noWrap/>
            <w:vAlign w:val="center"/>
          </w:tcPr>
          <w:p w:rsidR="00E57656" w:rsidRPr="00E06B10" w:rsidRDefault="00E57656" w:rsidP="00031B92">
            <w:pPr>
              <w:spacing w:after="0" w:line="240" w:lineRule="auto"/>
              <w:jc w:val="center"/>
              <w:rPr>
                <w:rFonts w:eastAsia="Times New Roman" w:cs="Arial"/>
                <w:color w:val="000000"/>
                <w:lang w:eastAsia="en-GB"/>
              </w:rPr>
            </w:pPr>
            <w:r w:rsidRPr="00E06B10">
              <w:rPr>
                <w:rFonts w:eastAsia="Times New Roman" w:cs="Arial"/>
                <w:noProof/>
                <w:color w:val="000000"/>
                <w:lang w:eastAsia="en-GB"/>
              </w:rPr>
              <w:drawing>
                <wp:anchor distT="0" distB="0" distL="114300" distR="114300" simplePos="0" relativeHeight="251842560" behindDoc="0" locked="0" layoutInCell="1" allowOverlap="1" wp14:anchorId="795D0056" wp14:editId="7FE2D461">
                  <wp:simplePos x="0" y="0"/>
                  <wp:positionH relativeFrom="column">
                    <wp:posOffset>233045</wp:posOffset>
                  </wp:positionH>
                  <wp:positionV relativeFrom="paragraph">
                    <wp:posOffset>-31750</wp:posOffset>
                  </wp:positionV>
                  <wp:extent cx="200025" cy="209550"/>
                  <wp:effectExtent l="19050" t="19050" r="28575" b="19050"/>
                  <wp:wrapNone/>
                  <wp:docPr id="106" name="Picture 106" descr="best"/>
                  <wp:cNvGraphicFramePr/>
                  <a:graphic xmlns:a="http://schemas.openxmlformats.org/drawingml/2006/main">
                    <a:graphicData uri="http://schemas.openxmlformats.org/drawingml/2006/picture">
                      <pic:pic xmlns:pic="http://schemas.openxmlformats.org/drawingml/2006/picture">
                        <pic:nvPicPr>
                          <pic:cNvPr id="32" name="Picture 31" descr="best"/>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0025" cy="209550"/>
                          </a:xfrm>
                          <a:prstGeom prst="rect">
                            <a:avLst/>
                          </a:prstGeom>
                          <a:solidFill>
                            <a:srgbClr val="92D050"/>
                          </a:solidFill>
                          <a:ln>
                            <a:solidFill>
                              <a:srgbClr val="00B050"/>
                            </a:solidFill>
                          </a:ln>
                        </pic:spPr>
                      </pic:pic>
                    </a:graphicData>
                  </a:graphic>
                  <wp14:sizeRelH relativeFrom="page">
                    <wp14:pctWidth>0</wp14:pctWidth>
                  </wp14:sizeRelH>
                  <wp14:sizeRelV relativeFrom="page">
                    <wp14:pctHeight>0</wp14:pctHeight>
                  </wp14:sizeRelV>
                </wp:anchor>
              </w:drawing>
            </w:r>
          </w:p>
        </w:tc>
      </w:tr>
      <w:tr w:rsidR="00E57656" w:rsidRPr="00E06B10" w:rsidTr="00E57656">
        <w:trPr>
          <w:trHeight w:val="316"/>
          <w:jc w:val="center"/>
        </w:trPr>
        <w:tc>
          <w:tcPr>
            <w:tcW w:w="1843" w:type="dxa"/>
            <w:shd w:val="clear" w:color="auto" w:fill="auto"/>
            <w:noWrap/>
            <w:vAlign w:val="center"/>
            <w:hideMark/>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Smoking, poor diet, alcohol</w:t>
            </w:r>
          </w:p>
        </w:tc>
        <w:tc>
          <w:tcPr>
            <w:tcW w:w="1276" w:type="dxa"/>
            <w:vAlign w:val="center"/>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Breast cancer</w:t>
            </w:r>
          </w:p>
        </w:tc>
        <w:tc>
          <w:tcPr>
            <w:tcW w:w="1276" w:type="dxa"/>
            <w:shd w:val="clear" w:color="auto" w:fill="auto"/>
            <w:noWrap/>
            <w:vAlign w:val="center"/>
            <w:hideMark/>
          </w:tcPr>
          <w:p w:rsidR="00E57656" w:rsidRPr="00E06B10" w:rsidRDefault="00E57656" w:rsidP="00031B92">
            <w:pPr>
              <w:spacing w:after="0" w:line="240" w:lineRule="auto"/>
              <w:jc w:val="center"/>
              <w:rPr>
                <w:rFonts w:eastAsia="Times New Roman" w:cs="Arial"/>
                <w:color w:val="000000"/>
                <w:lang w:eastAsia="en-GB"/>
              </w:rPr>
            </w:pPr>
            <w:r w:rsidRPr="00E06B10">
              <w:rPr>
                <w:rFonts w:eastAsia="Times New Roman" w:cs="Arial"/>
                <w:color w:val="000000"/>
                <w:lang w:eastAsia="en-GB"/>
              </w:rPr>
              <w:t>22</w:t>
            </w:r>
          </w:p>
        </w:tc>
        <w:tc>
          <w:tcPr>
            <w:tcW w:w="1417" w:type="dxa"/>
            <w:shd w:val="clear" w:color="auto" w:fill="auto"/>
            <w:noWrap/>
            <w:vAlign w:val="center"/>
            <w:hideMark/>
          </w:tcPr>
          <w:p w:rsidR="00E57656" w:rsidRPr="00E06B10" w:rsidRDefault="00E57656" w:rsidP="00031B92">
            <w:pPr>
              <w:spacing w:after="0" w:line="240" w:lineRule="auto"/>
              <w:jc w:val="center"/>
              <w:rPr>
                <w:rFonts w:eastAsia="Times New Roman" w:cs="Arial"/>
                <w:color w:val="000000"/>
                <w:lang w:eastAsia="en-GB"/>
              </w:rPr>
            </w:pPr>
            <w:r w:rsidRPr="00E06B10">
              <w:rPr>
                <w:rFonts w:eastAsia="Times New Roman" w:cs="Arial"/>
                <w:color w:val="000000"/>
                <w:lang w:eastAsia="en-GB"/>
              </w:rPr>
              <w:t>70</w:t>
            </w:r>
          </w:p>
        </w:tc>
        <w:tc>
          <w:tcPr>
            <w:tcW w:w="1276" w:type="dxa"/>
            <w:shd w:val="clear" w:color="auto" w:fill="auto"/>
            <w:noWrap/>
            <w:vAlign w:val="center"/>
          </w:tcPr>
          <w:p w:rsidR="00E57656" w:rsidRPr="00E06B10" w:rsidRDefault="00E57656" w:rsidP="00031B92">
            <w:pPr>
              <w:spacing w:after="0" w:line="240" w:lineRule="auto"/>
              <w:jc w:val="center"/>
              <w:rPr>
                <w:rFonts w:eastAsia="Times New Roman" w:cs="Arial"/>
                <w:color w:val="000000"/>
                <w:lang w:eastAsia="en-GB"/>
              </w:rPr>
            </w:pPr>
            <w:r w:rsidRPr="00E06B10">
              <w:rPr>
                <w:rFonts w:eastAsia="Times New Roman" w:cs="Arial"/>
                <w:noProof/>
                <w:color w:val="000000"/>
                <w:lang w:eastAsia="en-GB"/>
              </w:rPr>
              <w:drawing>
                <wp:anchor distT="0" distB="0" distL="114300" distR="114300" simplePos="0" relativeHeight="251848704" behindDoc="0" locked="0" layoutInCell="1" allowOverlap="1" wp14:anchorId="3BFA9815" wp14:editId="17A92770">
                  <wp:simplePos x="0" y="0"/>
                  <wp:positionH relativeFrom="column">
                    <wp:posOffset>252730</wp:posOffset>
                  </wp:positionH>
                  <wp:positionV relativeFrom="paragraph">
                    <wp:posOffset>-19685</wp:posOffset>
                  </wp:positionV>
                  <wp:extent cx="200025" cy="200025"/>
                  <wp:effectExtent l="19050" t="19050" r="28575" b="28575"/>
                  <wp:wrapNone/>
                  <wp:docPr id="115" name="Picture 115" descr="best"/>
                  <wp:cNvGraphicFramePr/>
                  <a:graphic xmlns:a="http://schemas.openxmlformats.org/drawingml/2006/main">
                    <a:graphicData uri="http://schemas.openxmlformats.org/drawingml/2006/picture">
                      <pic:pic xmlns:pic="http://schemas.openxmlformats.org/drawingml/2006/picture">
                        <pic:nvPicPr>
                          <pic:cNvPr id="14" name="Picture 13" descr="best"/>
                          <pic:cNvPicPr>
                            <a:picLocks noChangeAspect="1" noChangeArrowheads="1"/>
                          </pic:cNvPicPr>
                        </pic:nvPicPr>
                        <pic:blipFill>
                          <a:blip r:embed="rId63">
                            <a:extLst>
                              <a:ext uri="{BEBA8EAE-BF5A-486C-A8C5-ECC9F3942E4B}">
                                <a14:imgProps xmlns:a14="http://schemas.microsoft.com/office/drawing/2010/main">
                                  <a14:imgLayer r:embed="rId64">
                                    <a14:imgEffect>
                                      <a14:sharpenSoften amount="50000"/>
                                    </a14:imgEffect>
                                    <a14:imgEffect>
                                      <a14:colorTemperature colorTemp="112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solidFill>
                            <a:schemeClr val="accent6"/>
                          </a:solidFill>
                          <a:ln>
                            <a:solidFill>
                              <a:srgbClr val="FFC000"/>
                            </a:solidFill>
                          </a:ln>
                        </pic:spPr>
                      </pic:pic>
                    </a:graphicData>
                  </a:graphic>
                  <wp14:sizeRelH relativeFrom="page">
                    <wp14:pctWidth>0</wp14:pctWidth>
                  </wp14:sizeRelH>
                  <wp14:sizeRelV relativeFrom="page">
                    <wp14:pctHeight>0</wp14:pctHeight>
                  </wp14:sizeRelV>
                </wp:anchor>
              </w:drawing>
            </w:r>
          </w:p>
        </w:tc>
        <w:tc>
          <w:tcPr>
            <w:tcW w:w="1417" w:type="dxa"/>
            <w:shd w:val="clear" w:color="auto" w:fill="auto"/>
            <w:noWrap/>
            <w:vAlign w:val="center"/>
          </w:tcPr>
          <w:p w:rsidR="00E57656" w:rsidRPr="00E06B10" w:rsidRDefault="00E57656" w:rsidP="00031B92">
            <w:pPr>
              <w:spacing w:after="0" w:line="240" w:lineRule="auto"/>
              <w:jc w:val="center"/>
              <w:rPr>
                <w:rFonts w:eastAsia="Times New Roman" w:cs="Arial"/>
                <w:color w:val="000000"/>
                <w:lang w:eastAsia="en-GB"/>
              </w:rPr>
            </w:pPr>
            <w:r w:rsidRPr="00E06B10">
              <w:rPr>
                <w:rFonts w:eastAsia="Times New Roman" w:cs="Arial"/>
                <w:color w:val="000000"/>
                <w:lang w:eastAsia="en-GB"/>
              </w:rPr>
              <w:t>6</w:t>
            </w:r>
          </w:p>
        </w:tc>
        <w:tc>
          <w:tcPr>
            <w:tcW w:w="1276" w:type="dxa"/>
            <w:shd w:val="clear" w:color="auto" w:fill="auto"/>
            <w:noWrap/>
            <w:vAlign w:val="center"/>
          </w:tcPr>
          <w:p w:rsidR="00E57656" w:rsidRPr="00E06B10" w:rsidRDefault="00E57656" w:rsidP="00031B92">
            <w:pPr>
              <w:spacing w:after="0" w:line="240" w:lineRule="auto"/>
              <w:jc w:val="center"/>
              <w:rPr>
                <w:rFonts w:eastAsia="Times New Roman" w:cs="Arial"/>
                <w:color w:val="000000"/>
                <w:lang w:eastAsia="en-GB"/>
              </w:rPr>
            </w:pPr>
            <w:r w:rsidRPr="00E06B10">
              <w:rPr>
                <w:rFonts w:eastAsia="Times New Roman" w:cs="Arial"/>
                <w:noProof/>
                <w:color w:val="000000"/>
                <w:lang w:eastAsia="en-GB"/>
              </w:rPr>
              <w:drawing>
                <wp:anchor distT="0" distB="0" distL="114300" distR="114300" simplePos="0" relativeHeight="251835392" behindDoc="0" locked="0" layoutInCell="1" allowOverlap="1" wp14:anchorId="4F5AA3F1" wp14:editId="63502D7D">
                  <wp:simplePos x="0" y="0"/>
                  <wp:positionH relativeFrom="column">
                    <wp:posOffset>220980</wp:posOffset>
                  </wp:positionH>
                  <wp:positionV relativeFrom="paragraph">
                    <wp:posOffset>-31115</wp:posOffset>
                  </wp:positionV>
                  <wp:extent cx="200025" cy="200025"/>
                  <wp:effectExtent l="19050" t="19050" r="28575" b="28575"/>
                  <wp:wrapNone/>
                  <wp:docPr id="82" name="Picture 82" descr="best"/>
                  <wp:cNvGraphicFramePr/>
                  <a:graphic xmlns:a="http://schemas.openxmlformats.org/drawingml/2006/main">
                    <a:graphicData uri="http://schemas.openxmlformats.org/drawingml/2006/picture">
                      <pic:pic xmlns:pic="http://schemas.openxmlformats.org/drawingml/2006/picture">
                        <pic:nvPicPr>
                          <pic:cNvPr id="40" name="Picture 39" descr="best"/>
                          <pic:cNvPicPr>
                            <a:picLocks noChangeAspect="1" noChangeArrowheads="1"/>
                          </pic:cNvPicPr>
                        </pic:nvPicPr>
                        <pic:blipFill>
                          <a:blip r:embed="rId63">
                            <a:extLst>
                              <a:ext uri="{BEBA8EAE-BF5A-486C-A8C5-ECC9F3942E4B}">
                                <a14:imgProps xmlns:a14="http://schemas.microsoft.com/office/drawing/2010/main">
                                  <a14:imgLayer r:embed="rId64">
                                    <a14:imgEffect>
                                      <a14:sharpenSoften amount="50000"/>
                                    </a14:imgEffect>
                                    <a14:imgEffect>
                                      <a14:colorTemperature colorTemp="112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solidFill>
                            <a:schemeClr val="accent6"/>
                          </a:solidFill>
                          <a:ln>
                            <a:solidFill>
                              <a:srgbClr val="FFC000"/>
                            </a:solidFill>
                          </a:ln>
                        </pic:spPr>
                      </pic:pic>
                    </a:graphicData>
                  </a:graphic>
                  <wp14:sizeRelH relativeFrom="page">
                    <wp14:pctWidth>0</wp14:pctWidth>
                  </wp14:sizeRelH>
                  <wp14:sizeRelV relativeFrom="page">
                    <wp14:pctHeight>0</wp14:pctHeight>
                  </wp14:sizeRelV>
                </wp:anchor>
              </w:drawing>
            </w:r>
          </w:p>
        </w:tc>
      </w:tr>
      <w:tr w:rsidR="00E57656" w:rsidRPr="00E06B10" w:rsidTr="00E57656">
        <w:trPr>
          <w:trHeight w:val="316"/>
          <w:jc w:val="center"/>
        </w:trPr>
        <w:tc>
          <w:tcPr>
            <w:tcW w:w="1843" w:type="dxa"/>
            <w:shd w:val="clear" w:color="auto" w:fill="auto"/>
            <w:noWrap/>
            <w:vAlign w:val="center"/>
            <w:hideMark/>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Smoking, poor diet, alcohol</w:t>
            </w:r>
          </w:p>
        </w:tc>
        <w:tc>
          <w:tcPr>
            <w:tcW w:w="1276" w:type="dxa"/>
            <w:vAlign w:val="center"/>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Colorectal cancer</w:t>
            </w:r>
          </w:p>
        </w:tc>
        <w:tc>
          <w:tcPr>
            <w:tcW w:w="1276" w:type="dxa"/>
            <w:shd w:val="clear" w:color="auto" w:fill="auto"/>
            <w:noWrap/>
            <w:vAlign w:val="center"/>
            <w:hideMark/>
          </w:tcPr>
          <w:p w:rsidR="00E57656" w:rsidRPr="00E06B10" w:rsidRDefault="00E57656" w:rsidP="00031B92">
            <w:pPr>
              <w:spacing w:after="0" w:line="240" w:lineRule="auto"/>
              <w:jc w:val="center"/>
              <w:rPr>
                <w:rFonts w:eastAsia="Times New Roman" w:cs="Arial"/>
                <w:color w:val="000000"/>
                <w:lang w:eastAsia="en-GB"/>
              </w:rPr>
            </w:pPr>
            <w:r w:rsidRPr="00E06B10">
              <w:rPr>
                <w:rFonts w:eastAsia="Times New Roman" w:cs="Arial"/>
                <w:color w:val="000000"/>
                <w:lang w:eastAsia="en-GB"/>
              </w:rPr>
              <w:t>12</w:t>
            </w:r>
          </w:p>
        </w:tc>
        <w:tc>
          <w:tcPr>
            <w:tcW w:w="1417" w:type="dxa"/>
            <w:shd w:val="clear" w:color="auto" w:fill="auto"/>
            <w:noWrap/>
            <w:vAlign w:val="center"/>
            <w:hideMark/>
          </w:tcPr>
          <w:p w:rsidR="00E57656" w:rsidRPr="00E06B10" w:rsidRDefault="00E57656" w:rsidP="00031B92">
            <w:pPr>
              <w:spacing w:after="0" w:line="240" w:lineRule="auto"/>
              <w:jc w:val="center"/>
              <w:rPr>
                <w:rFonts w:eastAsia="Times New Roman" w:cs="Arial"/>
                <w:color w:val="000000"/>
                <w:lang w:eastAsia="en-GB"/>
              </w:rPr>
            </w:pPr>
            <w:r w:rsidRPr="00E06B10">
              <w:rPr>
                <w:rFonts w:eastAsia="Times New Roman" w:cs="Arial"/>
                <w:color w:val="000000"/>
                <w:lang w:eastAsia="en-GB"/>
              </w:rPr>
              <w:t>46</w:t>
            </w:r>
          </w:p>
        </w:tc>
        <w:tc>
          <w:tcPr>
            <w:tcW w:w="1276" w:type="dxa"/>
            <w:shd w:val="clear" w:color="auto" w:fill="auto"/>
            <w:noWrap/>
            <w:vAlign w:val="center"/>
            <w:hideMark/>
          </w:tcPr>
          <w:p w:rsidR="00E57656" w:rsidRPr="00E06B10" w:rsidRDefault="00E57656" w:rsidP="00031B92">
            <w:pPr>
              <w:spacing w:after="0" w:line="240" w:lineRule="auto"/>
              <w:jc w:val="center"/>
              <w:rPr>
                <w:rFonts w:eastAsia="Times New Roman" w:cs="Arial"/>
                <w:color w:val="000000"/>
                <w:lang w:eastAsia="en-GB"/>
              </w:rPr>
            </w:pPr>
            <w:r w:rsidRPr="00E06B10">
              <w:rPr>
                <w:rFonts w:eastAsia="Times New Roman" w:cs="Arial"/>
                <w:noProof/>
                <w:color w:val="000000"/>
                <w:lang w:eastAsia="en-GB"/>
              </w:rPr>
              <w:drawing>
                <wp:anchor distT="0" distB="0" distL="114300" distR="114300" simplePos="0" relativeHeight="251831296" behindDoc="0" locked="0" layoutInCell="1" allowOverlap="1" wp14:anchorId="15EE058E" wp14:editId="6757D6B3">
                  <wp:simplePos x="0" y="0"/>
                  <wp:positionH relativeFrom="column">
                    <wp:posOffset>255905</wp:posOffset>
                  </wp:positionH>
                  <wp:positionV relativeFrom="paragraph">
                    <wp:posOffset>43180</wp:posOffset>
                  </wp:positionV>
                  <wp:extent cx="200025" cy="200025"/>
                  <wp:effectExtent l="19050" t="19050" r="28575" b="28575"/>
                  <wp:wrapNone/>
                  <wp:docPr id="85" name="Picture 85" descr="best"/>
                  <wp:cNvGraphicFramePr/>
                  <a:graphic xmlns:a="http://schemas.openxmlformats.org/drawingml/2006/main">
                    <a:graphicData uri="http://schemas.openxmlformats.org/drawingml/2006/picture">
                      <pic:pic xmlns:pic="http://schemas.openxmlformats.org/drawingml/2006/picture">
                        <pic:nvPicPr>
                          <pic:cNvPr id="14" name="Picture 13" descr="best"/>
                          <pic:cNvPicPr>
                            <a:picLocks noChangeAspect="1" noChangeArrowheads="1"/>
                          </pic:cNvPicPr>
                        </pic:nvPicPr>
                        <pic:blipFill>
                          <a:blip r:embed="rId63">
                            <a:extLst>
                              <a:ext uri="{BEBA8EAE-BF5A-486C-A8C5-ECC9F3942E4B}">
                                <a14:imgProps xmlns:a14="http://schemas.microsoft.com/office/drawing/2010/main">
                                  <a14:imgLayer r:embed="rId64">
                                    <a14:imgEffect>
                                      <a14:sharpenSoften amount="50000"/>
                                    </a14:imgEffect>
                                    <a14:imgEffect>
                                      <a14:colorTemperature colorTemp="112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solidFill>
                            <a:schemeClr val="accent6"/>
                          </a:solidFill>
                          <a:ln>
                            <a:solidFill>
                              <a:srgbClr val="FFC000"/>
                            </a:solidFill>
                          </a:ln>
                        </pic:spPr>
                      </pic:pic>
                    </a:graphicData>
                  </a:graphic>
                  <wp14:sizeRelH relativeFrom="page">
                    <wp14:pctWidth>0</wp14:pctWidth>
                  </wp14:sizeRelH>
                  <wp14:sizeRelV relativeFrom="page">
                    <wp14:pctHeight>0</wp14:pctHeight>
                  </wp14:sizeRelV>
                </wp:anchor>
              </w:drawing>
            </w:r>
          </w:p>
        </w:tc>
        <w:tc>
          <w:tcPr>
            <w:tcW w:w="1417" w:type="dxa"/>
            <w:shd w:val="clear" w:color="auto" w:fill="auto"/>
            <w:noWrap/>
            <w:vAlign w:val="center"/>
          </w:tcPr>
          <w:p w:rsidR="00E57656" w:rsidRPr="00E06B10" w:rsidRDefault="00E57656" w:rsidP="00031B92">
            <w:pPr>
              <w:spacing w:after="0" w:line="240" w:lineRule="auto"/>
              <w:jc w:val="center"/>
              <w:rPr>
                <w:rFonts w:eastAsia="Times New Roman" w:cs="Arial"/>
                <w:color w:val="000000"/>
                <w:lang w:eastAsia="en-GB"/>
              </w:rPr>
            </w:pPr>
            <w:r w:rsidRPr="00E06B10">
              <w:rPr>
                <w:rFonts w:eastAsia="Times New Roman" w:cs="Arial"/>
                <w:color w:val="000000"/>
                <w:lang w:eastAsia="en-GB"/>
              </w:rPr>
              <w:t>6</w:t>
            </w:r>
          </w:p>
        </w:tc>
        <w:tc>
          <w:tcPr>
            <w:tcW w:w="1276" w:type="dxa"/>
            <w:shd w:val="clear" w:color="auto" w:fill="auto"/>
            <w:noWrap/>
            <w:vAlign w:val="center"/>
          </w:tcPr>
          <w:p w:rsidR="00E57656" w:rsidRPr="00E06B10" w:rsidRDefault="00E57656" w:rsidP="00031B92">
            <w:pPr>
              <w:spacing w:after="0" w:line="240" w:lineRule="auto"/>
              <w:jc w:val="center"/>
              <w:rPr>
                <w:rFonts w:eastAsia="Times New Roman" w:cs="Arial"/>
                <w:color w:val="000000"/>
                <w:lang w:eastAsia="en-GB"/>
              </w:rPr>
            </w:pPr>
            <w:r w:rsidRPr="00E06B10">
              <w:rPr>
                <w:rFonts w:eastAsia="Times New Roman" w:cs="Arial"/>
                <w:noProof/>
                <w:color w:val="000000"/>
                <w:lang w:eastAsia="en-GB"/>
              </w:rPr>
              <w:drawing>
                <wp:anchor distT="0" distB="0" distL="114300" distR="114300" simplePos="0" relativeHeight="251836416" behindDoc="0" locked="0" layoutInCell="1" allowOverlap="1" wp14:anchorId="2FD4811F" wp14:editId="066A51EA">
                  <wp:simplePos x="0" y="0"/>
                  <wp:positionH relativeFrom="column">
                    <wp:posOffset>220980</wp:posOffset>
                  </wp:positionH>
                  <wp:positionV relativeFrom="paragraph">
                    <wp:posOffset>10795</wp:posOffset>
                  </wp:positionV>
                  <wp:extent cx="200025" cy="200025"/>
                  <wp:effectExtent l="19050" t="19050" r="28575" b="28575"/>
                  <wp:wrapNone/>
                  <wp:docPr id="81" name="Picture 81" descr="best"/>
                  <wp:cNvGraphicFramePr/>
                  <a:graphic xmlns:a="http://schemas.openxmlformats.org/drawingml/2006/main">
                    <a:graphicData uri="http://schemas.openxmlformats.org/drawingml/2006/picture">
                      <pic:pic xmlns:pic="http://schemas.openxmlformats.org/drawingml/2006/picture">
                        <pic:nvPicPr>
                          <pic:cNvPr id="42" name="Picture 41" descr="best"/>
                          <pic:cNvPicPr>
                            <a:picLocks noChangeAspect="1" noChangeArrowheads="1"/>
                          </pic:cNvPicPr>
                        </pic:nvPicPr>
                        <pic:blipFill>
                          <a:blip r:embed="rId63">
                            <a:extLst>
                              <a:ext uri="{BEBA8EAE-BF5A-486C-A8C5-ECC9F3942E4B}">
                                <a14:imgProps xmlns:a14="http://schemas.microsoft.com/office/drawing/2010/main">
                                  <a14:imgLayer r:embed="rId64">
                                    <a14:imgEffect>
                                      <a14:sharpenSoften amount="50000"/>
                                    </a14:imgEffect>
                                    <a14:imgEffect>
                                      <a14:colorTemperature colorTemp="112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solidFill>
                            <a:schemeClr val="accent6"/>
                          </a:solidFill>
                          <a:ln>
                            <a:solidFill>
                              <a:srgbClr val="FFC000"/>
                            </a:solidFill>
                          </a:ln>
                        </pic:spPr>
                      </pic:pic>
                    </a:graphicData>
                  </a:graphic>
                  <wp14:sizeRelH relativeFrom="page">
                    <wp14:pctWidth>0</wp14:pctWidth>
                  </wp14:sizeRelH>
                  <wp14:sizeRelV relativeFrom="page">
                    <wp14:pctHeight>0</wp14:pctHeight>
                  </wp14:sizeRelV>
                </wp:anchor>
              </w:drawing>
            </w:r>
          </w:p>
        </w:tc>
      </w:tr>
      <w:tr w:rsidR="00E57656" w:rsidRPr="00E06B10" w:rsidTr="00E57656">
        <w:trPr>
          <w:trHeight w:val="363"/>
          <w:jc w:val="center"/>
        </w:trPr>
        <w:tc>
          <w:tcPr>
            <w:tcW w:w="1843" w:type="dxa"/>
            <w:shd w:val="clear" w:color="auto" w:fill="auto"/>
            <w:noWrap/>
            <w:vAlign w:val="center"/>
            <w:hideMark/>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High blood pressure, poor diet, smoking, physical inactivity</w:t>
            </w:r>
          </w:p>
        </w:tc>
        <w:tc>
          <w:tcPr>
            <w:tcW w:w="1276" w:type="dxa"/>
            <w:vAlign w:val="center"/>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Heart disease and stroke</w:t>
            </w:r>
          </w:p>
        </w:tc>
        <w:tc>
          <w:tcPr>
            <w:tcW w:w="1276" w:type="dxa"/>
            <w:shd w:val="clear" w:color="auto" w:fill="auto"/>
            <w:noWrap/>
            <w:vAlign w:val="center"/>
            <w:hideMark/>
          </w:tcPr>
          <w:p w:rsidR="00E57656" w:rsidRPr="00E06B10" w:rsidRDefault="00E57656" w:rsidP="00031B92">
            <w:pPr>
              <w:spacing w:after="0" w:line="240" w:lineRule="auto"/>
              <w:jc w:val="center"/>
              <w:rPr>
                <w:rFonts w:eastAsia="Times New Roman" w:cs="Arial"/>
                <w:color w:val="000000"/>
                <w:lang w:eastAsia="en-GB"/>
              </w:rPr>
            </w:pPr>
            <w:r w:rsidRPr="00E06B10">
              <w:rPr>
                <w:rFonts w:eastAsia="Times New Roman" w:cs="Arial"/>
                <w:color w:val="000000"/>
                <w:lang w:eastAsia="en-GB"/>
              </w:rPr>
              <w:t>63</w:t>
            </w:r>
          </w:p>
        </w:tc>
        <w:tc>
          <w:tcPr>
            <w:tcW w:w="1417" w:type="dxa"/>
            <w:shd w:val="clear" w:color="auto" w:fill="auto"/>
            <w:noWrap/>
            <w:vAlign w:val="center"/>
            <w:hideMark/>
          </w:tcPr>
          <w:p w:rsidR="00E57656" w:rsidRPr="00E06B10" w:rsidRDefault="00E57656" w:rsidP="00031B92">
            <w:pPr>
              <w:spacing w:after="0" w:line="240" w:lineRule="auto"/>
              <w:jc w:val="center"/>
              <w:rPr>
                <w:rFonts w:eastAsia="Times New Roman" w:cs="Arial"/>
                <w:color w:val="000000"/>
                <w:lang w:eastAsia="en-GB"/>
              </w:rPr>
            </w:pPr>
            <w:r w:rsidRPr="00E06B10">
              <w:rPr>
                <w:rFonts w:eastAsia="Times New Roman" w:cs="Arial"/>
                <w:color w:val="000000"/>
                <w:lang w:eastAsia="en-GB"/>
              </w:rPr>
              <w:t>16</w:t>
            </w:r>
          </w:p>
        </w:tc>
        <w:tc>
          <w:tcPr>
            <w:tcW w:w="1276" w:type="dxa"/>
            <w:shd w:val="clear" w:color="auto" w:fill="auto"/>
            <w:noWrap/>
            <w:vAlign w:val="center"/>
            <w:hideMark/>
          </w:tcPr>
          <w:p w:rsidR="00E57656" w:rsidRPr="00E06B10" w:rsidRDefault="00E57656" w:rsidP="00031B92">
            <w:pPr>
              <w:spacing w:after="0" w:line="240" w:lineRule="auto"/>
              <w:jc w:val="center"/>
              <w:rPr>
                <w:rFonts w:eastAsia="Times New Roman" w:cs="Arial"/>
                <w:color w:val="000000"/>
                <w:lang w:eastAsia="en-GB"/>
              </w:rPr>
            </w:pPr>
            <w:r w:rsidRPr="00E06B10">
              <w:rPr>
                <w:rFonts w:eastAsia="Times New Roman" w:cs="Arial"/>
                <w:noProof/>
                <w:color w:val="000000"/>
                <w:lang w:eastAsia="en-GB"/>
              </w:rPr>
              <w:drawing>
                <wp:anchor distT="0" distB="0" distL="114300" distR="114300" simplePos="0" relativeHeight="251833344" behindDoc="0" locked="0" layoutInCell="1" allowOverlap="1" wp14:anchorId="37D534B5" wp14:editId="0953CE29">
                  <wp:simplePos x="0" y="0"/>
                  <wp:positionH relativeFrom="column">
                    <wp:posOffset>260985</wp:posOffset>
                  </wp:positionH>
                  <wp:positionV relativeFrom="paragraph">
                    <wp:posOffset>-1905</wp:posOffset>
                  </wp:positionV>
                  <wp:extent cx="200025" cy="200025"/>
                  <wp:effectExtent l="19050" t="19050" r="28575" b="28575"/>
                  <wp:wrapNone/>
                  <wp:docPr id="64" name="Picture 64" descr="best"/>
                  <wp:cNvGraphicFramePr/>
                  <a:graphic xmlns:a="http://schemas.openxmlformats.org/drawingml/2006/main">
                    <a:graphicData uri="http://schemas.openxmlformats.org/drawingml/2006/picture">
                      <pic:pic xmlns:pic="http://schemas.openxmlformats.org/drawingml/2006/picture">
                        <pic:nvPicPr>
                          <pic:cNvPr id="22" name="Picture 21" descr="best"/>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solidFill>
                            <a:srgbClr val="92D050"/>
                          </a:solidFill>
                          <a:ln>
                            <a:solidFill>
                              <a:srgbClr val="00B050"/>
                            </a:solidFill>
                          </a:ln>
                        </pic:spPr>
                      </pic:pic>
                    </a:graphicData>
                  </a:graphic>
                  <wp14:sizeRelH relativeFrom="page">
                    <wp14:pctWidth>0</wp14:pctWidth>
                  </wp14:sizeRelH>
                  <wp14:sizeRelV relativeFrom="page">
                    <wp14:pctHeight>0</wp14:pctHeight>
                  </wp14:sizeRelV>
                </wp:anchor>
              </w:drawing>
            </w:r>
          </w:p>
        </w:tc>
        <w:tc>
          <w:tcPr>
            <w:tcW w:w="1417" w:type="dxa"/>
            <w:shd w:val="clear" w:color="auto" w:fill="auto"/>
            <w:noWrap/>
            <w:vAlign w:val="center"/>
          </w:tcPr>
          <w:p w:rsidR="00E57656" w:rsidRPr="00E06B10" w:rsidRDefault="00E57656" w:rsidP="00031B92">
            <w:pPr>
              <w:spacing w:after="0" w:line="240" w:lineRule="auto"/>
              <w:jc w:val="center"/>
              <w:rPr>
                <w:rFonts w:eastAsia="Times New Roman" w:cs="Arial"/>
                <w:color w:val="000000"/>
                <w:lang w:eastAsia="en-GB"/>
              </w:rPr>
            </w:pPr>
            <w:r w:rsidRPr="00E06B10">
              <w:rPr>
                <w:rFonts w:eastAsia="Times New Roman" w:cs="Arial"/>
                <w:color w:val="000000"/>
                <w:lang w:eastAsia="en-GB"/>
              </w:rPr>
              <w:t>3</w:t>
            </w:r>
          </w:p>
        </w:tc>
        <w:tc>
          <w:tcPr>
            <w:tcW w:w="1276" w:type="dxa"/>
            <w:shd w:val="clear" w:color="auto" w:fill="auto"/>
            <w:noWrap/>
            <w:vAlign w:val="center"/>
          </w:tcPr>
          <w:p w:rsidR="00E57656" w:rsidRPr="00E06B10" w:rsidRDefault="00E57656" w:rsidP="00031B92">
            <w:pPr>
              <w:spacing w:after="0" w:line="240" w:lineRule="auto"/>
              <w:jc w:val="center"/>
              <w:rPr>
                <w:rFonts w:eastAsia="Times New Roman" w:cs="Arial"/>
                <w:color w:val="000000"/>
                <w:lang w:eastAsia="en-GB"/>
              </w:rPr>
            </w:pPr>
            <w:r w:rsidRPr="00E06B10">
              <w:rPr>
                <w:rFonts w:eastAsia="Times New Roman" w:cs="Arial"/>
                <w:noProof/>
                <w:color w:val="000000"/>
                <w:lang w:eastAsia="en-GB"/>
              </w:rPr>
              <w:drawing>
                <wp:anchor distT="0" distB="0" distL="114300" distR="114300" simplePos="0" relativeHeight="251837440" behindDoc="0" locked="0" layoutInCell="1" allowOverlap="1" wp14:anchorId="6F18BC87" wp14:editId="23058BBE">
                  <wp:simplePos x="0" y="0"/>
                  <wp:positionH relativeFrom="column">
                    <wp:posOffset>220345</wp:posOffset>
                  </wp:positionH>
                  <wp:positionV relativeFrom="paragraph">
                    <wp:posOffset>-6985</wp:posOffset>
                  </wp:positionV>
                  <wp:extent cx="200025" cy="200025"/>
                  <wp:effectExtent l="19050" t="19050" r="28575" b="28575"/>
                  <wp:wrapNone/>
                  <wp:docPr id="80" name="Picture 80" descr="best"/>
                  <wp:cNvGraphicFramePr/>
                  <a:graphic xmlns:a="http://schemas.openxmlformats.org/drawingml/2006/main">
                    <a:graphicData uri="http://schemas.openxmlformats.org/drawingml/2006/picture">
                      <pic:pic xmlns:pic="http://schemas.openxmlformats.org/drawingml/2006/picture">
                        <pic:nvPicPr>
                          <pic:cNvPr id="44" name="Picture 43" descr="best"/>
                          <pic:cNvPicPr>
                            <a:picLocks noChangeAspect="1" noChangeArrowheads="1"/>
                          </pic:cNvPicPr>
                        </pic:nvPicPr>
                        <pic:blipFill>
                          <a:blip r:embed="rId63">
                            <a:extLst>
                              <a:ext uri="{BEBA8EAE-BF5A-486C-A8C5-ECC9F3942E4B}">
                                <a14:imgProps xmlns:a14="http://schemas.microsoft.com/office/drawing/2010/main">
                                  <a14:imgLayer r:embed="rId64">
                                    <a14:imgEffect>
                                      <a14:sharpenSoften amount="50000"/>
                                    </a14:imgEffect>
                                    <a14:imgEffect>
                                      <a14:colorTemperature colorTemp="112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solidFill>
                            <a:schemeClr val="accent6"/>
                          </a:solidFill>
                          <a:ln>
                            <a:solidFill>
                              <a:srgbClr val="FFC000"/>
                            </a:solidFill>
                          </a:ln>
                        </pic:spPr>
                      </pic:pic>
                    </a:graphicData>
                  </a:graphic>
                  <wp14:sizeRelH relativeFrom="page">
                    <wp14:pctWidth>0</wp14:pctWidth>
                  </wp14:sizeRelH>
                  <wp14:sizeRelV relativeFrom="page">
                    <wp14:pctHeight>0</wp14:pctHeight>
                  </wp14:sizeRelV>
                </wp:anchor>
              </w:drawing>
            </w:r>
          </w:p>
        </w:tc>
      </w:tr>
      <w:tr w:rsidR="00E57656" w:rsidRPr="00E06B10" w:rsidTr="00E57656">
        <w:trPr>
          <w:trHeight w:val="363"/>
          <w:jc w:val="center"/>
        </w:trPr>
        <w:tc>
          <w:tcPr>
            <w:tcW w:w="1843" w:type="dxa"/>
            <w:shd w:val="clear" w:color="auto" w:fill="auto"/>
            <w:noWrap/>
            <w:vAlign w:val="center"/>
            <w:hideMark/>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High blood pressure, poor diet, smoking, physical inactivity</w:t>
            </w:r>
          </w:p>
        </w:tc>
        <w:tc>
          <w:tcPr>
            <w:tcW w:w="1276" w:type="dxa"/>
            <w:vAlign w:val="center"/>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Heart disease</w:t>
            </w:r>
          </w:p>
        </w:tc>
        <w:tc>
          <w:tcPr>
            <w:tcW w:w="1276" w:type="dxa"/>
            <w:shd w:val="clear" w:color="auto" w:fill="auto"/>
            <w:noWrap/>
            <w:vAlign w:val="center"/>
            <w:hideMark/>
          </w:tcPr>
          <w:p w:rsidR="00E57656" w:rsidRPr="00E06B10" w:rsidRDefault="00E57656" w:rsidP="00031B92">
            <w:pPr>
              <w:spacing w:after="0" w:line="240" w:lineRule="auto"/>
              <w:jc w:val="center"/>
              <w:rPr>
                <w:rFonts w:eastAsia="Times New Roman" w:cs="Arial"/>
                <w:color w:val="000000"/>
                <w:lang w:eastAsia="en-GB"/>
              </w:rPr>
            </w:pPr>
            <w:r w:rsidRPr="00E06B10">
              <w:rPr>
                <w:rFonts w:eastAsia="Times New Roman" w:cs="Arial"/>
                <w:color w:val="000000"/>
                <w:lang w:eastAsia="en-GB"/>
              </w:rPr>
              <w:t>35</w:t>
            </w:r>
          </w:p>
        </w:tc>
        <w:tc>
          <w:tcPr>
            <w:tcW w:w="1417" w:type="dxa"/>
            <w:shd w:val="clear" w:color="auto" w:fill="auto"/>
            <w:noWrap/>
            <w:vAlign w:val="center"/>
            <w:hideMark/>
          </w:tcPr>
          <w:p w:rsidR="00E57656" w:rsidRPr="00E06B10" w:rsidRDefault="00E57656" w:rsidP="00031B92">
            <w:pPr>
              <w:spacing w:after="0" w:line="240" w:lineRule="auto"/>
              <w:jc w:val="center"/>
              <w:rPr>
                <w:rFonts w:eastAsia="Times New Roman" w:cs="Arial"/>
                <w:color w:val="000000"/>
                <w:lang w:eastAsia="en-GB"/>
              </w:rPr>
            </w:pPr>
            <w:r w:rsidRPr="00E06B10">
              <w:rPr>
                <w:rFonts w:eastAsia="Times New Roman" w:cs="Arial"/>
                <w:color w:val="000000"/>
                <w:lang w:eastAsia="en-GB"/>
              </w:rPr>
              <w:t>24</w:t>
            </w:r>
          </w:p>
        </w:tc>
        <w:tc>
          <w:tcPr>
            <w:tcW w:w="1276" w:type="dxa"/>
            <w:shd w:val="clear" w:color="auto" w:fill="auto"/>
            <w:noWrap/>
            <w:vAlign w:val="center"/>
          </w:tcPr>
          <w:p w:rsidR="00E57656" w:rsidRPr="00E06B10" w:rsidRDefault="00E57656" w:rsidP="00031B92">
            <w:pPr>
              <w:spacing w:after="0" w:line="240" w:lineRule="auto"/>
              <w:jc w:val="center"/>
              <w:rPr>
                <w:rFonts w:eastAsia="Times New Roman" w:cs="Arial"/>
                <w:color w:val="000000"/>
                <w:lang w:eastAsia="en-GB"/>
              </w:rPr>
            </w:pPr>
            <w:r w:rsidRPr="00E06B10">
              <w:rPr>
                <w:rFonts w:eastAsia="Times New Roman" w:cs="Arial"/>
                <w:noProof/>
                <w:color w:val="000000"/>
                <w:lang w:eastAsia="en-GB"/>
              </w:rPr>
              <w:drawing>
                <wp:anchor distT="0" distB="0" distL="114300" distR="114300" simplePos="0" relativeHeight="251844608" behindDoc="0" locked="0" layoutInCell="1" allowOverlap="1" wp14:anchorId="26CEC5E0" wp14:editId="6589F1A6">
                  <wp:simplePos x="0" y="0"/>
                  <wp:positionH relativeFrom="column">
                    <wp:posOffset>255905</wp:posOffset>
                  </wp:positionH>
                  <wp:positionV relativeFrom="paragraph">
                    <wp:posOffset>-25400</wp:posOffset>
                  </wp:positionV>
                  <wp:extent cx="200025" cy="200025"/>
                  <wp:effectExtent l="19050" t="19050" r="28575" b="28575"/>
                  <wp:wrapNone/>
                  <wp:docPr id="109" name="Picture 109" descr="best"/>
                  <wp:cNvGraphicFramePr/>
                  <a:graphic xmlns:a="http://schemas.openxmlformats.org/drawingml/2006/main">
                    <a:graphicData uri="http://schemas.openxmlformats.org/drawingml/2006/picture">
                      <pic:pic xmlns:pic="http://schemas.openxmlformats.org/drawingml/2006/picture">
                        <pic:nvPicPr>
                          <pic:cNvPr id="22" name="Picture 21" descr="best"/>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solidFill>
                            <a:srgbClr val="92D050"/>
                          </a:solidFill>
                          <a:ln>
                            <a:solidFill>
                              <a:srgbClr val="00B050"/>
                            </a:solidFill>
                          </a:ln>
                        </pic:spPr>
                      </pic:pic>
                    </a:graphicData>
                  </a:graphic>
                  <wp14:sizeRelH relativeFrom="page">
                    <wp14:pctWidth>0</wp14:pctWidth>
                  </wp14:sizeRelH>
                  <wp14:sizeRelV relativeFrom="page">
                    <wp14:pctHeight>0</wp14:pctHeight>
                  </wp14:sizeRelV>
                </wp:anchor>
              </w:drawing>
            </w:r>
          </w:p>
        </w:tc>
        <w:tc>
          <w:tcPr>
            <w:tcW w:w="1417" w:type="dxa"/>
            <w:shd w:val="clear" w:color="auto" w:fill="auto"/>
            <w:noWrap/>
            <w:vAlign w:val="center"/>
          </w:tcPr>
          <w:p w:rsidR="00E57656" w:rsidRPr="00E06B10" w:rsidRDefault="00E57656" w:rsidP="00031B92">
            <w:pPr>
              <w:spacing w:after="0" w:line="240" w:lineRule="auto"/>
              <w:jc w:val="center"/>
              <w:rPr>
                <w:rFonts w:eastAsia="Times New Roman" w:cs="Arial"/>
                <w:color w:val="000000"/>
                <w:lang w:eastAsia="en-GB"/>
              </w:rPr>
            </w:pPr>
            <w:r w:rsidRPr="00E06B10">
              <w:rPr>
                <w:rFonts w:eastAsia="Times New Roman" w:cs="Arial"/>
                <w:color w:val="000000"/>
                <w:lang w:eastAsia="en-GB"/>
              </w:rPr>
              <w:t>6</w:t>
            </w:r>
          </w:p>
        </w:tc>
        <w:tc>
          <w:tcPr>
            <w:tcW w:w="1276" w:type="dxa"/>
            <w:shd w:val="clear" w:color="auto" w:fill="auto"/>
            <w:noWrap/>
            <w:vAlign w:val="center"/>
          </w:tcPr>
          <w:p w:rsidR="00E57656" w:rsidRPr="00E06B10" w:rsidRDefault="00E57656" w:rsidP="00031B92">
            <w:pPr>
              <w:spacing w:after="0" w:line="240" w:lineRule="auto"/>
              <w:jc w:val="center"/>
              <w:rPr>
                <w:rFonts w:eastAsia="Times New Roman" w:cs="Arial"/>
                <w:color w:val="000000"/>
                <w:lang w:eastAsia="en-GB"/>
              </w:rPr>
            </w:pPr>
            <w:r w:rsidRPr="00E06B10">
              <w:rPr>
                <w:rFonts w:eastAsia="Times New Roman" w:cs="Arial"/>
                <w:noProof/>
                <w:color w:val="000000"/>
                <w:lang w:eastAsia="en-GB"/>
              </w:rPr>
              <w:drawing>
                <wp:anchor distT="0" distB="0" distL="114300" distR="114300" simplePos="0" relativeHeight="251838464" behindDoc="0" locked="0" layoutInCell="1" allowOverlap="1" wp14:anchorId="78084DE2" wp14:editId="71A0DC79">
                  <wp:simplePos x="0" y="0"/>
                  <wp:positionH relativeFrom="column">
                    <wp:posOffset>220980</wp:posOffset>
                  </wp:positionH>
                  <wp:positionV relativeFrom="paragraph">
                    <wp:posOffset>17145</wp:posOffset>
                  </wp:positionV>
                  <wp:extent cx="200025" cy="209550"/>
                  <wp:effectExtent l="19050" t="19050" r="28575" b="19050"/>
                  <wp:wrapNone/>
                  <wp:docPr id="73" name="Picture 73" descr="best"/>
                  <wp:cNvGraphicFramePr/>
                  <a:graphic xmlns:a="http://schemas.openxmlformats.org/drawingml/2006/main">
                    <a:graphicData uri="http://schemas.openxmlformats.org/drawingml/2006/picture">
                      <pic:pic xmlns:pic="http://schemas.openxmlformats.org/drawingml/2006/picture">
                        <pic:nvPicPr>
                          <pic:cNvPr id="46" name="Picture 45" descr="best"/>
                          <pic:cNvPicPr>
                            <a:picLocks noChangeAspect="1" noChangeArrowheads="1"/>
                          </pic:cNvPicPr>
                        </pic:nvPicPr>
                        <pic:blipFill>
                          <a:blip r:embed="rId63">
                            <a:extLst>
                              <a:ext uri="{BEBA8EAE-BF5A-486C-A8C5-ECC9F3942E4B}">
                                <a14:imgProps xmlns:a14="http://schemas.microsoft.com/office/drawing/2010/main">
                                  <a14:imgLayer r:embed="rId64">
                                    <a14:imgEffect>
                                      <a14:sharpenSoften amount="50000"/>
                                    </a14:imgEffect>
                                    <a14:imgEffect>
                                      <a14:colorTemperature colorTemp="112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00025" cy="209550"/>
                          </a:xfrm>
                          <a:prstGeom prst="rect">
                            <a:avLst/>
                          </a:prstGeom>
                          <a:solidFill>
                            <a:schemeClr val="accent6"/>
                          </a:solidFill>
                          <a:ln>
                            <a:solidFill>
                              <a:srgbClr val="FFC000"/>
                            </a:solidFill>
                          </a:ln>
                        </pic:spPr>
                      </pic:pic>
                    </a:graphicData>
                  </a:graphic>
                  <wp14:sizeRelH relativeFrom="page">
                    <wp14:pctWidth>0</wp14:pctWidth>
                  </wp14:sizeRelH>
                  <wp14:sizeRelV relativeFrom="page">
                    <wp14:pctHeight>0</wp14:pctHeight>
                  </wp14:sizeRelV>
                </wp:anchor>
              </w:drawing>
            </w:r>
          </w:p>
        </w:tc>
      </w:tr>
      <w:tr w:rsidR="00E57656" w:rsidRPr="00E06B10" w:rsidTr="00E57656">
        <w:trPr>
          <w:trHeight w:val="316"/>
          <w:jc w:val="center"/>
        </w:trPr>
        <w:tc>
          <w:tcPr>
            <w:tcW w:w="1843" w:type="dxa"/>
            <w:shd w:val="clear" w:color="auto" w:fill="auto"/>
            <w:noWrap/>
            <w:vAlign w:val="center"/>
            <w:hideMark/>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High blood pressure, poor diet, smoking, physical inactivity</w:t>
            </w:r>
          </w:p>
        </w:tc>
        <w:tc>
          <w:tcPr>
            <w:tcW w:w="1276" w:type="dxa"/>
            <w:vAlign w:val="center"/>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Stroke</w:t>
            </w:r>
          </w:p>
        </w:tc>
        <w:tc>
          <w:tcPr>
            <w:tcW w:w="1276" w:type="dxa"/>
            <w:shd w:val="clear" w:color="auto" w:fill="auto"/>
            <w:noWrap/>
            <w:vAlign w:val="center"/>
            <w:hideMark/>
          </w:tcPr>
          <w:p w:rsidR="00E57656" w:rsidRPr="00E06B10" w:rsidRDefault="00E57656" w:rsidP="00031B92">
            <w:pPr>
              <w:spacing w:after="0" w:line="240" w:lineRule="auto"/>
              <w:jc w:val="center"/>
              <w:rPr>
                <w:rFonts w:eastAsia="Times New Roman" w:cs="Arial"/>
                <w:color w:val="000000"/>
                <w:lang w:eastAsia="en-GB"/>
              </w:rPr>
            </w:pPr>
            <w:r w:rsidRPr="00E06B10">
              <w:rPr>
                <w:rFonts w:eastAsia="Times New Roman" w:cs="Arial"/>
                <w:color w:val="000000"/>
                <w:lang w:eastAsia="en-GB"/>
              </w:rPr>
              <w:t>13</w:t>
            </w:r>
          </w:p>
        </w:tc>
        <w:tc>
          <w:tcPr>
            <w:tcW w:w="1417" w:type="dxa"/>
            <w:shd w:val="clear" w:color="auto" w:fill="auto"/>
            <w:noWrap/>
            <w:vAlign w:val="center"/>
          </w:tcPr>
          <w:p w:rsidR="00E57656" w:rsidRPr="00E06B10" w:rsidRDefault="00E57656" w:rsidP="00031B92">
            <w:pPr>
              <w:spacing w:after="0" w:line="240" w:lineRule="auto"/>
              <w:jc w:val="center"/>
              <w:rPr>
                <w:rFonts w:eastAsia="Times New Roman" w:cs="Arial"/>
                <w:color w:val="000000"/>
                <w:lang w:eastAsia="en-GB"/>
              </w:rPr>
            </w:pPr>
            <w:r w:rsidRPr="00E06B10">
              <w:rPr>
                <w:rFonts w:eastAsia="Times New Roman" w:cs="Arial"/>
                <w:color w:val="000000"/>
                <w:lang w:eastAsia="en-GB"/>
              </w:rPr>
              <w:t>39</w:t>
            </w:r>
          </w:p>
        </w:tc>
        <w:tc>
          <w:tcPr>
            <w:tcW w:w="1276" w:type="dxa"/>
            <w:shd w:val="clear" w:color="auto" w:fill="auto"/>
            <w:noWrap/>
            <w:vAlign w:val="center"/>
          </w:tcPr>
          <w:p w:rsidR="00E57656" w:rsidRPr="00E06B10" w:rsidRDefault="00E57656" w:rsidP="00031B92">
            <w:pPr>
              <w:spacing w:after="0" w:line="240" w:lineRule="auto"/>
              <w:jc w:val="center"/>
              <w:rPr>
                <w:rFonts w:eastAsia="Times New Roman" w:cs="Arial"/>
                <w:color w:val="000000"/>
                <w:lang w:eastAsia="en-GB"/>
              </w:rPr>
            </w:pPr>
            <w:r w:rsidRPr="00E06B10">
              <w:rPr>
                <w:rFonts w:eastAsia="Times New Roman" w:cs="Arial"/>
                <w:noProof/>
                <w:color w:val="000000"/>
                <w:lang w:eastAsia="en-GB"/>
              </w:rPr>
              <w:drawing>
                <wp:anchor distT="0" distB="0" distL="114300" distR="114300" simplePos="0" relativeHeight="251845632" behindDoc="0" locked="0" layoutInCell="1" allowOverlap="1" wp14:anchorId="4336F416" wp14:editId="2E3EB9A6">
                  <wp:simplePos x="0" y="0"/>
                  <wp:positionH relativeFrom="column">
                    <wp:posOffset>218440</wp:posOffset>
                  </wp:positionH>
                  <wp:positionV relativeFrom="paragraph">
                    <wp:posOffset>635</wp:posOffset>
                  </wp:positionV>
                  <wp:extent cx="200025" cy="200025"/>
                  <wp:effectExtent l="19050" t="19050" r="28575" b="28575"/>
                  <wp:wrapNone/>
                  <wp:docPr id="110" name="Picture 110" descr="best"/>
                  <wp:cNvGraphicFramePr/>
                  <a:graphic xmlns:a="http://schemas.openxmlformats.org/drawingml/2006/main">
                    <a:graphicData uri="http://schemas.openxmlformats.org/drawingml/2006/picture">
                      <pic:pic xmlns:pic="http://schemas.openxmlformats.org/drawingml/2006/picture">
                        <pic:nvPicPr>
                          <pic:cNvPr id="14" name="Picture 13" descr="best"/>
                          <pic:cNvPicPr>
                            <a:picLocks noChangeAspect="1" noChangeArrowheads="1"/>
                          </pic:cNvPicPr>
                        </pic:nvPicPr>
                        <pic:blipFill>
                          <a:blip r:embed="rId63">
                            <a:extLst>
                              <a:ext uri="{BEBA8EAE-BF5A-486C-A8C5-ECC9F3942E4B}">
                                <a14:imgProps xmlns:a14="http://schemas.microsoft.com/office/drawing/2010/main">
                                  <a14:imgLayer r:embed="rId64">
                                    <a14:imgEffect>
                                      <a14:sharpenSoften amount="50000"/>
                                    </a14:imgEffect>
                                    <a14:imgEffect>
                                      <a14:colorTemperature colorTemp="112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solidFill>
                            <a:schemeClr val="accent6"/>
                          </a:solidFill>
                          <a:ln>
                            <a:solidFill>
                              <a:srgbClr val="FFC000"/>
                            </a:solidFill>
                          </a:ln>
                        </pic:spPr>
                      </pic:pic>
                    </a:graphicData>
                  </a:graphic>
                  <wp14:sizeRelH relativeFrom="page">
                    <wp14:pctWidth>0</wp14:pctWidth>
                  </wp14:sizeRelH>
                  <wp14:sizeRelV relativeFrom="page">
                    <wp14:pctHeight>0</wp14:pctHeight>
                  </wp14:sizeRelV>
                </wp:anchor>
              </w:drawing>
            </w:r>
          </w:p>
        </w:tc>
        <w:tc>
          <w:tcPr>
            <w:tcW w:w="1417" w:type="dxa"/>
            <w:shd w:val="clear" w:color="auto" w:fill="auto"/>
            <w:noWrap/>
            <w:vAlign w:val="center"/>
          </w:tcPr>
          <w:p w:rsidR="00E57656" w:rsidRPr="00E06B10" w:rsidRDefault="00E57656" w:rsidP="00031B92">
            <w:pPr>
              <w:spacing w:after="0" w:line="240" w:lineRule="auto"/>
              <w:jc w:val="center"/>
              <w:rPr>
                <w:rFonts w:eastAsia="Times New Roman" w:cs="Arial"/>
                <w:color w:val="000000"/>
                <w:lang w:eastAsia="en-GB"/>
              </w:rPr>
            </w:pPr>
            <w:r w:rsidRPr="00E06B10">
              <w:rPr>
                <w:rFonts w:eastAsia="Times New Roman" w:cs="Arial"/>
                <w:color w:val="000000"/>
                <w:lang w:eastAsia="en-GB"/>
              </w:rPr>
              <w:t>7</w:t>
            </w:r>
          </w:p>
        </w:tc>
        <w:tc>
          <w:tcPr>
            <w:tcW w:w="1276" w:type="dxa"/>
            <w:shd w:val="clear" w:color="auto" w:fill="auto"/>
            <w:noWrap/>
            <w:vAlign w:val="center"/>
          </w:tcPr>
          <w:p w:rsidR="00E57656" w:rsidRPr="00E06B10" w:rsidRDefault="00E57656" w:rsidP="00031B92">
            <w:pPr>
              <w:spacing w:after="0" w:line="240" w:lineRule="auto"/>
              <w:jc w:val="center"/>
              <w:rPr>
                <w:rFonts w:eastAsia="Times New Roman" w:cs="Arial"/>
                <w:color w:val="000000"/>
                <w:lang w:eastAsia="en-GB"/>
              </w:rPr>
            </w:pPr>
            <w:r w:rsidRPr="00E06B10">
              <w:rPr>
                <w:rFonts w:eastAsia="Times New Roman" w:cs="Arial"/>
                <w:noProof/>
                <w:color w:val="000000"/>
                <w:lang w:eastAsia="en-GB"/>
              </w:rPr>
              <w:drawing>
                <wp:anchor distT="0" distB="0" distL="114300" distR="114300" simplePos="0" relativeHeight="251841536" behindDoc="0" locked="0" layoutInCell="1" allowOverlap="1" wp14:anchorId="3764DDFC" wp14:editId="33A4EDBB">
                  <wp:simplePos x="0" y="0"/>
                  <wp:positionH relativeFrom="column">
                    <wp:posOffset>224790</wp:posOffset>
                  </wp:positionH>
                  <wp:positionV relativeFrom="paragraph">
                    <wp:posOffset>228600</wp:posOffset>
                  </wp:positionV>
                  <wp:extent cx="200025" cy="219075"/>
                  <wp:effectExtent l="76200" t="19050" r="85725" b="142875"/>
                  <wp:wrapNone/>
                  <wp:docPr id="70" name="Picture 70" descr="best"/>
                  <wp:cNvGraphicFramePr/>
                  <a:graphic xmlns:a="http://schemas.openxmlformats.org/drawingml/2006/main">
                    <a:graphicData uri="http://schemas.openxmlformats.org/drawingml/2006/picture">
                      <pic:pic xmlns:pic="http://schemas.openxmlformats.org/drawingml/2006/picture">
                        <pic:nvPicPr>
                          <pic:cNvPr id="52" name="Picture 51" descr="best"/>
                          <pic:cNvPicPr>
                            <a:picLocks noChangeAspect="1" noChangeArrowheads="1"/>
                          </pic:cNvPicPr>
                        </pic:nvPicPr>
                        <pic:blipFill>
                          <a:blip r:embed="rId65">
                            <a:duotone>
                              <a:prstClr val="black"/>
                              <a:schemeClr val="accent6">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200025" cy="219075"/>
                          </a:xfrm>
                          <a:prstGeom prst="rect">
                            <a:avLst/>
                          </a:prstGeom>
                          <a:solidFill>
                            <a:schemeClr val="accent6">
                              <a:lumMod val="75000"/>
                            </a:schemeClr>
                          </a:solidFill>
                          <a:ln>
                            <a:solidFill>
                              <a:schemeClr val="accent6"/>
                            </a:solidFill>
                          </a:ln>
                          <a:effectLst>
                            <a:outerShdw blurRad="50800" dist="50800" dir="5400000" algn="ctr" rotWithShape="0">
                              <a:schemeClr val="bg1"/>
                            </a:outerShdw>
                          </a:effectLst>
                        </pic:spPr>
                      </pic:pic>
                    </a:graphicData>
                  </a:graphic>
                  <wp14:sizeRelH relativeFrom="page">
                    <wp14:pctWidth>0</wp14:pctWidth>
                  </wp14:sizeRelH>
                  <wp14:sizeRelV relativeFrom="page">
                    <wp14:pctHeight>0</wp14:pctHeight>
                  </wp14:sizeRelV>
                </wp:anchor>
              </w:drawing>
            </w:r>
          </w:p>
        </w:tc>
      </w:tr>
      <w:tr w:rsidR="00E57656" w:rsidRPr="00E06B10" w:rsidTr="00E57656">
        <w:trPr>
          <w:trHeight w:val="363"/>
          <w:jc w:val="center"/>
        </w:trPr>
        <w:tc>
          <w:tcPr>
            <w:tcW w:w="1843" w:type="dxa"/>
            <w:shd w:val="clear" w:color="auto" w:fill="auto"/>
            <w:noWrap/>
            <w:vAlign w:val="center"/>
            <w:hideMark/>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Smoking, air pollution</w:t>
            </w:r>
          </w:p>
        </w:tc>
        <w:tc>
          <w:tcPr>
            <w:tcW w:w="1276" w:type="dxa"/>
            <w:vAlign w:val="center"/>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Lung disease</w:t>
            </w:r>
          </w:p>
        </w:tc>
        <w:tc>
          <w:tcPr>
            <w:tcW w:w="1276" w:type="dxa"/>
            <w:shd w:val="clear" w:color="auto" w:fill="auto"/>
            <w:noWrap/>
            <w:vAlign w:val="center"/>
            <w:hideMark/>
          </w:tcPr>
          <w:p w:rsidR="00E57656" w:rsidRPr="00E06B10" w:rsidRDefault="00E57656" w:rsidP="00031B92">
            <w:pPr>
              <w:spacing w:after="0" w:line="240" w:lineRule="auto"/>
              <w:jc w:val="center"/>
              <w:rPr>
                <w:rFonts w:eastAsia="Times New Roman" w:cs="Arial"/>
                <w:color w:val="000000"/>
                <w:lang w:eastAsia="en-GB"/>
              </w:rPr>
            </w:pPr>
            <w:r w:rsidRPr="00E06B10">
              <w:rPr>
                <w:rFonts w:eastAsia="Times New Roman" w:cs="Arial"/>
                <w:color w:val="000000"/>
                <w:lang w:eastAsia="en-GB"/>
              </w:rPr>
              <w:t>10</w:t>
            </w:r>
          </w:p>
        </w:tc>
        <w:tc>
          <w:tcPr>
            <w:tcW w:w="1417" w:type="dxa"/>
            <w:shd w:val="clear" w:color="auto" w:fill="auto"/>
            <w:noWrap/>
            <w:vAlign w:val="center"/>
            <w:hideMark/>
          </w:tcPr>
          <w:p w:rsidR="00E57656" w:rsidRPr="00E06B10" w:rsidRDefault="00E57656" w:rsidP="00031B92">
            <w:pPr>
              <w:spacing w:after="0" w:line="240" w:lineRule="auto"/>
              <w:jc w:val="center"/>
              <w:rPr>
                <w:rFonts w:eastAsia="Times New Roman" w:cs="Arial"/>
                <w:color w:val="000000"/>
                <w:lang w:eastAsia="en-GB"/>
              </w:rPr>
            </w:pPr>
            <w:r w:rsidRPr="00E06B10">
              <w:rPr>
                <w:rFonts w:eastAsia="Times New Roman" w:cs="Arial"/>
                <w:color w:val="000000"/>
                <w:lang w:eastAsia="en-GB"/>
              </w:rPr>
              <w:t>23</w:t>
            </w:r>
          </w:p>
        </w:tc>
        <w:tc>
          <w:tcPr>
            <w:tcW w:w="1276" w:type="dxa"/>
            <w:shd w:val="clear" w:color="auto" w:fill="auto"/>
            <w:noWrap/>
            <w:vAlign w:val="center"/>
            <w:hideMark/>
          </w:tcPr>
          <w:p w:rsidR="00E57656" w:rsidRPr="00E06B10" w:rsidRDefault="00E57656" w:rsidP="00031B92">
            <w:pPr>
              <w:spacing w:after="0" w:line="240" w:lineRule="auto"/>
              <w:jc w:val="center"/>
              <w:rPr>
                <w:rFonts w:eastAsia="Times New Roman" w:cs="Arial"/>
                <w:color w:val="000000"/>
                <w:lang w:eastAsia="en-GB"/>
              </w:rPr>
            </w:pPr>
            <w:r w:rsidRPr="00E06B10">
              <w:rPr>
                <w:rFonts w:eastAsia="Times New Roman" w:cs="Arial"/>
                <w:noProof/>
                <w:color w:val="000000"/>
                <w:lang w:eastAsia="en-GB"/>
              </w:rPr>
              <w:drawing>
                <wp:anchor distT="0" distB="0" distL="114300" distR="114300" simplePos="0" relativeHeight="251832320" behindDoc="0" locked="0" layoutInCell="1" allowOverlap="1" wp14:anchorId="5940E8F6" wp14:editId="2A3610E4">
                  <wp:simplePos x="0" y="0"/>
                  <wp:positionH relativeFrom="column">
                    <wp:posOffset>218440</wp:posOffset>
                  </wp:positionH>
                  <wp:positionV relativeFrom="paragraph">
                    <wp:posOffset>-12065</wp:posOffset>
                  </wp:positionV>
                  <wp:extent cx="200025" cy="209550"/>
                  <wp:effectExtent l="19050" t="19050" r="28575" b="19050"/>
                  <wp:wrapNone/>
                  <wp:docPr id="74" name="Picture 74" descr="best"/>
                  <wp:cNvGraphicFramePr/>
                  <a:graphic xmlns:a="http://schemas.openxmlformats.org/drawingml/2006/main">
                    <a:graphicData uri="http://schemas.openxmlformats.org/drawingml/2006/picture">
                      <pic:pic xmlns:pic="http://schemas.openxmlformats.org/drawingml/2006/picture">
                        <pic:nvPicPr>
                          <pic:cNvPr id="16" name="Picture 15" descr="best"/>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0025" cy="209550"/>
                          </a:xfrm>
                          <a:prstGeom prst="rect">
                            <a:avLst/>
                          </a:prstGeom>
                          <a:solidFill>
                            <a:srgbClr val="92D050"/>
                          </a:solidFill>
                          <a:ln>
                            <a:solidFill>
                              <a:srgbClr val="00B050"/>
                            </a:solidFill>
                          </a:ln>
                        </pic:spPr>
                      </pic:pic>
                    </a:graphicData>
                  </a:graphic>
                  <wp14:sizeRelH relativeFrom="page">
                    <wp14:pctWidth>0</wp14:pctWidth>
                  </wp14:sizeRelH>
                  <wp14:sizeRelV relativeFrom="page">
                    <wp14:pctHeight>0</wp14:pctHeight>
                  </wp14:sizeRelV>
                </wp:anchor>
              </w:drawing>
            </w:r>
          </w:p>
        </w:tc>
        <w:tc>
          <w:tcPr>
            <w:tcW w:w="1417" w:type="dxa"/>
            <w:shd w:val="clear" w:color="auto" w:fill="auto"/>
            <w:noWrap/>
            <w:vAlign w:val="center"/>
          </w:tcPr>
          <w:p w:rsidR="00E57656" w:rsidRPr="00E06B10" w:rsidRDefault="00E57656" w:rsidP="00031B92">
            <w:pPr>
              <w:spacing w:after="0" w:line="240" w:lineRule="auto"/>
              <w:jc w:val="center"/>
              <w:rPr>
                <w:rFonts w:eastAsia="Times New Roman" w:cs="Arial"/>
                <w:color w:val="000000"/>
                <w:lang w:eastAsia="en-GB"/>
              </w:rPr>
            </w:pPr>
            <w:r w:rsidRPr="00E06B10">
              <w:rPr>
                <w:rFonts w:eastAsia="Times New Roman" w:cs="Arial"/>
                <w:color w:val="000000"/>
                <w:lang w:eastAsia="en-GB"/>
              </w:rPr>
              <w:t>3</w:t>
            </w:r>
          </w:p>
        </w:tc>
        <w:tc>
          <w:tcPr>
            <w:tcW w:w="1276" w:type="dxa"/>
            <w:shd w:val="clear" w:color="auto" w:fill="auto"/>
            <w:noWrap/>
            <w:vAlign w:val="center"/>
          </w:tcPr>
          <w:p w:rsidR="00E57656" w:rsidRPr="00E06B10" w:rsidRDefault="00E57656" w:rsidP="00031B92">
            <w:pPr>
              <w:spacing w:after="0" w:line="240" w:lineRule="auto"/>
              <w:jc w:val="center"/>
              <w:rPr>
                <w:rFonts w:eastAsia="Times New Roman" w:cs="Arial"/>
                <w:color w:val="000000"/>
                <w:lang w:eastAsia="en-GB"/>
              </w:rPr>
            </w:pPr>
            <w:r w:rsidRPr="00E06B10">
              <w:rPr>
                <w:rFonts w:eastAsia="Times New Roman" w:cs="Arial"/>
                <w:noProof/>
                <w:color w:val="000000"/>
                <w:lang w:eastAsia="en-GB"/>
              </w:rPr>
              <w:drawing>
                <wp:anchor distT="0" distB="0" distL="114300" distR="114300" simplePos="0" relativeHeight="251840512" behindDoc="0" locked="0" layoutInCell="1" allowOverlap="1" wp14:anchorId="7732C767" wp14:editId="7218ACAE">
                  <wp:simplePos x="0" y="0"/>
                  <wp:positionH relativeFrom="column">
                    <wp:posOffset>226060</wp:posOffset>
                  </wp:positionH>
                  <wp:positionV relativeFrom="paragraph">
                    <wp:posOffset>1905</wp:posOffset>
                  </wp:positionV>
                  <wp:extent cx="200025" cy="200025"/>
                  <wp:effectExtent l="19050" t="19050" r="28575" b="28575"/>
                  <wp:wrapNone/>
                  <wp:docPr id="71" name="Picture 71" descr="best"/>
                  <wp:cNvGraphicFramePr/>
                  <a:graphic xmlns:a="http://schemas.openxmlformats.org/drawingml/2006/main">
                    <a:graphicData uri="http://schemas.openxmlformats.org/drawingml/2006/picture">
                      <pic:pic xmlns:pic="http://schemas.openxmlformats.org/drawingml/2006/picture">
                        <pic:nvPicPr>
                          <pic:cNvPr id="50" name="Picture 49" descr="best"/>
                          <pic:cNvPicPr>
                            <a:picLocks noChangeAspect="1" noChangeArrowheads="1"/>
                          </pic:cNvPicPr>
                        </pic:nvPicPr>
                        <pic:blipFill>
                          <a:blip r:embed="rId63">
                            <a:extLst>
                              <a:ext uri="{BEBA8EAE-BF5A-486C-A8C5-ECC9F3942E4B}">
                                <a14:imgProps xmlns:a14="http://schemas.microsoft.com/office/drawing/2010/main">
                                  <a14:imgLayer r:embed="rId64">
                                    <a14:imgEffect>
                                      <a14:sharpenSoften amount="50000"/>
                                    </a14:imgEffect>
                                    <a14:imgEffect>
                                      <a14:colorTemperature colorTemp="112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solidFill>
                            <a:schemeClr val="accent6"/>
                          </a:solidFill>
                          <a:ln>
                            <a:solidFill>
                              <a:srgbClr val="FFC000"/>
                            </a:solidFill>
                          </a:ln>
                        </pic:spPr>
                      </pic:pic>
                    </a:graphicData>
                  </a:graphic>
                  <wp14:sizeRelH relativeFrom="page">
                    <wp14:pctWidth>0</wp14:pctWidth>
                  </wp14:sizeRelH>
                  <wp14:sizeRelV relativeFrom="page">
                    <wp14:pctHeight>0</wp14:pctHeight>
                  </wp14:sizeRelV>
                </wp:anchor>
              </w:drawing>
            </w:r>
          </w:p>
        </w:tc>
      </w:tr>
      <w:tr w:rsidR="00E57656" w:rsidRPr="00E06B10" w:rsidTr="00E57656">
        <w:trPr>
          <w:trHeight w:val="363"/>
          <w:jc w:val="center"/>
        </w:trPr>
        <w:tc>
          <w:tcPr>
            <w:tcW w:w="1843" w:type="dxa"/>
            <w:shd w:val="clear" w:color="auto" w:fill="auto"/>
            <w:noWrap/>
            <w:vAlign w:val="center"/>
            <w:hideMark/>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Alcohol, hepatitis, obesity</w:t>
            </w:r>
          </w:p>
        </w:tc>
        <w:tc>
          <w:tcPr>
            <w:tcW w:w="1276" w:type="dxa"/>
            <w:vAlign w:val="center"/>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Liver disease</w:t>
            </w:r>
          </w:p>
        </w:tc>
        <w:tc>
          <w:tcPr>
            <w:tcW w:w="1276" w:type="dxa"/>
            <w:shd w:val="clear" w:color="auto" w:fill="auto"/>
            <w:noWrap/>
            <w:vAlign w:val="center"/>
            <w:hideMark/>
          </w:tcPr>
          <w:p w:rsidR="00E57656" w:rsidRPr="00E06B10" w:rsidRDefault="00E57656" w:rsidP="00031B92">
            <w:pPr>
              <w:spacing w:after="0" w:line="240" w:lineRule="auto"/>
              <w:jc w:val="center"/>
              <w:rPr>
                <w:rFonts w:eastAsia="Times New Roman" w:cs="Arial"/>
                <w:color w:val="000000"/>
                <w:lang w:eastAsia="en-GB"/>
              </w:rPr>
            </w:pPr>
            <w:r w:rsidRPr="00E06B10">
              <w:rPr>
                <w:rFonts w:eastAsia="Times New Roman" w:cs="Arial"/>
                <w:color w:val="000000"/>
                <w:lang w:eastAsia="en-GB"/>
              </w:rPr>
              <w:t>12</w:t>
            </w:r>
          </w:p>
        </w:tc>
        <w:tc>
          <w:tcPr>
            <w:tcW w:w="1417" w:type="dxa"/>
            <w:shd w:val="clear" w:color="auto" w:fill="auto"/>
            <w:noWrap/>
            <w:vAlign w:val="center"/>
            <w:hideMark/>
          </w:tcPr>
          <w:p w:rsidR="00E57656" w:rsidRPr="00E06B10" w:rsidRDefault="00E57656" w:rsidP="00031B92">
            <w:pPr>
              <w:spacing w:after="0" w:line="240" w:lineRule="auto"/>
              <w:jc w:val="center"/>
              <w:rPr>
                <w:rFonts w:eastAsia="Times New Roman" w:cs="Arial"/>
                <w:color w:val="000000"/>
                <w:lang w:eastAsia="en-GB"/>
              </w:rPr>
            </w:pPr>
            <w:r w:rsidRPr="00E06B10">
              <w:rPr>
                <w:rFonts w:eastAsia="Times New Roman" w:cs="Arial"/>
                <w:color w:val="000000"/>
                <w:lang w:eastAsia="en-GB"/>
              </w:rPr>
              <w:t>6</w:t>
            </w:r>
          </w:p>
        </w:tc>
        <w:tc>
          <w:tcPr>
            <w:tcW w:w="1276" w:type="dxa"/>
            <w:shd w:val="clear" w:color="auto" w:fill="auto"/>
            <w:noWrap/>
            <w:vAlign w:val="center"/>
          </w:tcPr>
          <w:p w:rsidR="00E57656" w:rsidRPr="00E06B10" w:rsidRDefault="00E57656" w:rsidP="00031B92">
            <w:pPr>
              <w:spacing w:after="0" w:line="240" w:lineRule="auto"/>
              <w:jc w:val="center"/>
              <w:rPr>
                <w:rFonts w:eastAsia="Times New Roman" w:cs="Arial"/>
                <w:color w:val="000000"/>
                <w:lang w:eastAsia="en-GB"/>
              </w:rPr>
            </w:pPr>
            <w:r w:rsidRPr="00E06B10">
              <w:rPr>
                <w:rFonts w:eastAsia="Times New Roman" w:cs="Arial"/>
                <w:noProof/>
                <w:color w:val="000000"/>
                <w:lang w:eastAsia="en-GB"/>
              </w:rPr>
              <w:drawing>
                <wp:anchor distT="0" distB="0" distL="114300" distR="114300" simplePos="0" relativeHeight="251846656" behindDoc="0" locked="0" layoutInCell="1" allowOverlap="1" wp14:anchorId="37A58F90" wp14:editId="658166FE">
                  <wp:simplePos x="0" y="0"/>
                  <wp:positionH relativeFrom="column">
                    <wp:posOffset>218440</wp:posOffset>
                  </wp:positionH>
                  <wp:positionV relativeFrom="paragraph">
                    <wp:posOffset>-14605</wp:posOffset>
                  </wp:positionV>
                  <wp:extent cx="200025" cy="209550"/>
                  <wp:effectExtent l="19050" t="19050" r="28575" b="19050"/>
                  <wp:wrapNone/>
                  <wp:docPr id="112" name="Picture 112" descr="best"/>
                  <wp:cNvGraphicFramePr/>
                  <a:graphic xmlns:a="http://schemas.openxmlformats.org/drawingml/2006/main">
                    <a:graphicData uri="http://schemas.openxmlformats.org/drawingml/2006/picture">
                      <pic:pic xmlns:pic="http://schemas.openxmlformats.org/drawingml/2006/picture">
                        <pic:nvPicPr>
                          <pic:cNvPr id="16" name="Picture 15" descr="best"/>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0025" cy="209550"/>
                          </a:xfrm>
                          <a:prstGeom prst="rect">
                            <a:avLst/>
                          </a:prstGeom>
                          <a:solidFill>
                            <a:srgbClr val="92D050"/>
                          </a:solidFill>
                          <a:ln>
                            <a:solidFill>
                              <a:srgbClr val="00B050"/>
                            </a:solidFill>
                          </a:ln>
                        </pic:spPr>
                      </pic:pic>
                    </a:graphicData>
                  </a:graphic>
                  <wp14:sizeRelH relativeFrom="page">
                    <wp14:pctWidth>0</wp14:pctWidth>
                  </wp14:sizeRelH>
                  <wp14:sizeRelV relativeFrom="page">
                    <wp14:pctHeight>0</wp14:pctHeight>
                  </wp14:sizeRelV>
                </wp:anchor>
              </w:drawing>
            </w:r>
          </w:p>
        </w:tc>
        <w:tc>
          <w:tcPr>
            <w:tcW w:w="1417" w:type="dxa"/>
            <w:shd w:val="clear" w:color="auto" w:fill="auto"/>
            <w:noWrap/>
            <w:vAlign w:val="center"/>
          </w:tcPr>
          <w:p w:rsidR="00E57656" w:rsidRPr="00E06B10" w:rsidRDefault="00E57656" w:rsidP="00031B92">
            <w:pPr>
              <w:spacing w:after="0" w:line="240" w:lineRule="auto"/>
              <w:jc w:val="center"/>
              <w:rPr>
                <w:rFonts w:eastAsia="Times New Roman" w:cs="Arial"/>
                <w:color w:val="000000"/>
                <w:lang w:eastAsia="en-GB"/>
              </w:rPr>
            </w:pPr>
            <w:r w:rsidRPr="00E06B10">
              <w:rPr>
                <w:rFonts w:eastAsia="Times New Roman" w:cs="Arial"/>
                <w:color w:val="000000"/>
                <w:lang w:eastAsia="en-GB"/>
              </w:rPr>
              <w:t>1</w:t>
            </w:r>
          </w:p>
        </w:tc>
        <w:tc>
          <w:tcPr>
            <w:tcW w:w="1276" w:type="dxa"/>
            <w:shd w:val="clear" w:color="auto" w:fill="auto"/>
            <w:noWrap/>
            <w:vAlign w:val="center"/>
          </w:tcPr>
          <w:p w:rsidR="00E57656" w:rsidRPr="00E06B10" w:rsidRDefault="00E57656" w:rsidP="00031B92">
            <w:pPr>
              <w:spacing w:after="0" w:line="240" w:lineRule="auto"/>
              <w:jc w:val="center"/>
              <w:rPr>
                <w:rFonts w:eastAsia="Times New Roman" w:cs="Arial"/>
                <w:color w:val="000000"/>
                <w:lang w:eastAsia="en-GB"/>
              </w:rPr>
            </w:pPr>
            <w:r w:rsidRPr="00E06B10">
              <w:rPr>
                <w:rFonts w:eastAsia="Times New Roman" w:cs="Arial"/>
                <w:noProof/>
                <w:color w:val="000000"/>
                <w:lang w:eastAsia="en-GB"/>
              </w:rPr>
              <w:drawing>
                <wp:anchor distT="0" distB="0" distL="114300" distR="114300" simplePos="0" relativeHeight="251839488" behindDoc="0" locked="0" layoutInCell="1" allowOverlap="1" wp14:anchorId="30591CC1" wp14:editId="65B0E2F7">
                  <wp:simplePos x="0" y="0"/>
                  <wp:positionH relativeFrom="column">
                    <wp:posOffset>224155</wp:posOffset>
                  </wp:positionH>
                  <wp:positionV relativeFrom="paragraph">
                    <wp:posOffset>-12065</wp:posOffset>
                  </wp:positionV>
                  <wp:extent cx="200025" cy="200025"/>
                  <wp:effectExtent l="19050" t="19050" r="28575" b="28575"/>
                  <wp:wrapNone/>
                  <wp:docPr id="51" name="Picture 51" descr="best"/>
                  <wp:cNvGraphicFramePr/>
                  <a:graphic xmlns:a="http://schemas.openxmlformats.org/drawingml/2006/main">
                    <a:graphicData uri="http://schemas.openxmlformats.org/drawingml/2006/picture">
                      <pic:pic xmlns:pic="http://schemas.openxmlformats.org/drawingml/2006/picture">
                        <pic:nvPicPr>
                          <pic:cNvPr id="48" name="Picture 47" descr="best"/>
                          <pic:cNvPicPr>
                            <a:picLocks noChangeAspect="1" noChangeArrowheads="1"/>
                          </pic:cNvPicPr>
                        </pic:nvPicPr>
                        <pic:blipFill>
                          <a:blip r:embed="rId63">
                            <a:extLst>
                              <a:ext uri="{BEBA8EAE-BF5A-486C-A8C5-ECC9F3942E4B}">
                                <a14:imgProps xmlns:a14="http://schemas.microsoft.com/office/drawing/2010/main">
                                  <a14:imgLayer r:embed="rId64">
                                    <a14:imgEffect>
                                      <a14:sharpenSoften amount="50000"/>
                                    </a14:imgEffect>
                                    <a14:imgEffect>
                                      <a14:colorTemperature colorTemp="112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solidFill>
                            <a:schemeClr val="accent6"/>
                          </a:solidFill>
                          <a:ln>
                            <a:solidFill>
                              <a:srgbClr val="FFC000"/>
                            </a:solidFill>
                          </a:ln>
                        </pic:spPr>
                      </pic:pic>
                    </a:graphicData>
                  </a:graphic>
                  <wp14:sizeRelH relativeFrom="page">
                    <wp14:pctWidth>0</wp14:pctWidth>
                  </wp14:sizeRelH>
                  <wp14:sizeRelV relativeFrom="page">
                    <wp14:pctHeight>0</wp14:pctHeight>
                  </wp14:sizeRelV>
                </wp:anchor>
              </w:drawing>
            </w:r>
          </w:p>
        </w:tc>
      </w:tr>
      <w:tr w:rsidR="00E57656" w:rsidRPr="00E06B10" w:rsidTr="00E57656">
        <w:trPr>
          <w:trHeight w:val="545"/>
          <w:jc w:val="center"/>
        </w:trPr>
        <w:tc>
          <w:tcPr>
            <w:tcW w:w="1843" w:type="dxa"/>
            <w:tcBorders>
              <w:bottom w:val="single" w:sz="4" w:space="0" w:color="auto"/>
            </w:tcBorders>
            <w:shd w:val="clear" w:color="auto" w:fill="auto"/>
            <w:noWrap/>
            <w:vAlign w:val="center"/>
            <w:hideMark/>
          </w:tcPr>
          <w:p w:rsidR="00E57656" w:rsidRPr="00E06B10" w:rsidRDefault="00E57656" w:rsidP="00031B92">
            <w:pPr>
              <w:spacing w:after="0" w:line="240" w:lineRule="auto"/>
              <w:rPr>
                <w:rFonts w:eastAsia="Times New Roman" w:cs="Arial"/>
                <w:color w:val="000000"/>
                <w:lang w:eastAsia="en-GB"/>
              </w:rPr>
            </w:pPr>
          </w:p>
        </w:tc>
        <w:tc>
          <w:tcPr>
            <w:tcW w:w="1276" w:type="dxa"/>
            <w:tcBorders>
              <w:bottom w:val="single" w:sz="4" w:space="0" w:color="auto"/>
            </w:tcBorders>
            <w:vAlign w:val="center"/>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Injuries</w:t>
            </w:r>
          </w:p>
        </w:tc>
        <w:tc>
          <w:tcPr>
            <w:tcW w:w="1276" w:type="dxa"/>
            <w:tcBorders>
              <w:bottom w:val="single" w:sz="4" w:space="0" w:color="auto"/>
            </w:tcBorders>
            <w:shd w:val="clear" w:color="auto" w:fill="auto"/>
            <w:noWrap/>
            <w:vAlign w:val="center"/>
            <w:hideMark/>
          </w:tcPr>
          <w:p w:rsidR="00E57656" w:rsidRPr="00E06B10" w:rsidRDefault="00E57656" w:rsidP="00031B92">
            <w:pPr>
              <w:spacing w:after="0" w:line="240" w:lineRule="auto"/>
              <w:ind w:left="-391" w:firstLine="391"/>
              <w:jc w:val="center"/>
              <w:rPr>
                <w:rFonts w:eastAsia="Times New Roman" w:cs="Arial"/>
                <w:color w:val="000000"/>
                <w:lang w:eastAsia="en-GB"/>
              </w:rPr>
            </w:pPr>
            <w:r w:rsidRPr="00E06B10">
              <w:rPr>
                <w:rFonts w:eastAsia="Times New Roman" w:cs="Arial"/>
                <w:color w:val="000000"/>
                <w:lang w:eastAsia="en-GB"/>
              </w:rPr>
              <w:t>7</w:t>
            </w:r>
          </w:p>
        </w:tc>
        <w:tc>
          <w:tcPr>
            <w:tcW w:w="1417" w:type="dxa"/>
            <w:tcBorders>
              <w:bottom w:val="single" w:sz="4" w:space="0" w:color="auto"/>
            </w:tcBorders>
            <w:shd w:val="clear" w:color="auto" w:fill="auto"/>
            <w:noWrap/>
            <w:vAlign w:val="center"/>
            <w:hideMark/>
          </w:tcPr>
          <w:p w:rsidR="00E57656" w:rsidRPr="00E06B10" w:rsidRDefault="00E57656" w:rsidP="00031B92">
            <w:pPr>
              <w:spacing w:after="0" w:line="240" w:lineRule="auto"/>
              <w:jc w:val="center"/>
              <w:rPr>
                <w:rFonts w:eastAsia="Times New Roman" w:cs="Arial"/>
                <w:color w:val="000000"/>
                <w:lang w:eastAsia="en-GB"/>
              </w:rPr>
            </w:pPr>
            <w:r w:rsidRPr="00E06B10">
              <w:rPr>
                <w:rFonts w:eastAsia="Times New Roman" w:cs="Arial"/>
                <w:color w:val="000000"/>
                <w:lang w:eastAsia="en-GB"/>
              </w:rPr>
              <w:t>14</w:t>
            </w:r>
          </w:p>
        </w:tc>
        <w:tc>
          <w:tcPr>
            <w:tcW w:w="1276" w:type="dxa"/>
            <w:tcBorders>
              <w:bottom w:val="single" w:sz="4" w:space="0" w:color="auto"/>
            </w:tcBorders>
            <w:shd w:val="clear" w:color="auto" w:fill="auto"/>
            <w:noWrap/>
            <w:vAlign w:val="center"/>
          </w:tcPr>
          <w:p w:rsidR="00E57656" w:rsidRPr="00E06B10" w:rsidRDefault="00E57656" w:rsidP="00031B92">
            <w:pPr>
              <w:spacing w:after="0" w:line="240" w:lineRule="auto"/>
              <w:jc w:val="center"/>
              <w:rPr>
                <w:rFonts w:eastAsia="Times New Roman" w:cs="Arial"/>
                <w:color w:val="000000"/>
                <w:lang w:eastAsia="en-GB"/>
              </w:rPr>
            </w:pPr>
            <w:r w:rsidRPr="00E06B10">
              <w:rPr>
                <w:rFonts w:eastAsia="Times New Roman" w:cs="Arial"/>
                <w:noProof/>
                <w:color w:val="000000"/>
                <w:lang w:eastAsia="en-GB"/>
              </w:rPr>
              <w:drawing>
                <wp:anchor distT="0" distB="0" distL="114300" distR="114300" simplePos="0" relativeHeight="251847680" behindDoc="0" locked="0" layoutInCell="1" allowOverlap="1" wp14:anchorId="4E00092D" wp14:editId="726CEF51">
                  <wp:simplePos x="0" y="0"/>
                  <wp:positionH relativeFrom="column">
                    <wp:posOffset>218440</wp:posOffset>
                  </wp:positionH>
                  <wp:positionV relativeFrom="paragraph">
                    <wp:posOffset>17780</wp:posOffset>
                  </wp:positionV>
                  <wp:extent cx="200025" cy="209550"/>
                  <wp:effectExtent l="19050" t="19050" r="28575" b="19050"/>
                  <wp:wrapNone/>
                  <wp:docPr id="113" name="Picture 113" descr="best"/>
                  <wp:cNvGraphicFramePr/>
                  <a:graphic xmlns:a="http://schemas.openxmlformats.org/drawingml/2006/main">
                    <a:graphicData uri="http://schemas.openxmlformats.org/drawingml/2006/picture">
                      <pic:pic xmlns:pic="http://schemas.openxmlformats.org/drawingml/2006/picture">
                        <pic:nvPicPr>
                          <pic:cNvPr id="16" name="Picture 15" descr="best"/>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0025" cy="209550"/>
                          </a:xfrm>
                          <a:prstGeom prst="rect">
                            <a:avLst/>
                          </a:prstGeom>
                          <a:solidFill>
                            <a:srgbClr val="92D050"/>
                          </a:solidFill>
                          <a:ln>
                            <a:solidFill>
                              <a:srgbClr val="00B050"/>
                            </a:solidFill>
                          </a:ln>
                        </pic:spPr>
                      </pic:pic>
                    </a:graphicData>
                  </a:graphic>
                  <wp14:sizeRelH relativeFrom="page">
                    <wp14:pctWidth>0</wp14:pctWidth>
                  </wp14:sizeRelH>
                  <wp14:sizeRelV relativeFrom="page">
                    <wp14:pctHeight>0</wp14:pctHeight>
                  </wp14:sizeRelV>
                </wp:anchor>
              </w:drawing>
            </w:r>
          </w:p>
        </w:tc>
        <w:tc>
          <w:tcPr>
            <w:tcW w:w="1417" w:type="dxa"/>
            <w:tcBorders>
              <w:bottom w:val="single" w:sz="4" w:space="0" w:color="auto"/>
            </w:tcBorders>
            <w:shd w:val="clear" w:color="auto" w:fill="auto"/>
            <w:noWrap/>
            <w:vAlign w:val="center"/>
          </w:tcPr>
          <w:p w:rsidR="00E57656" w:rsidRPr="00E06B10" w:rsidRDefault="00E57656" w:rsidP="00031B92">
            <w:pPr>
              <w:spacing w:after="0" w:line="240" w:lineRule="auto"/>
              <w:jc w:val="center"/>
              <w:rPr>
                <w:rFonts w:eastAsia="Times New Roman" w:cs="Arial"/>
                <w:color w:val="000000"/>
                <w:lang w:eastAsia="en-GB"/>
              </w:rPr>
            </w:pPr>
            <w:r w:rsidRPr="00E06B10">
              <w:rPr>
                <w:rFonts w:eastAsia="Times New Roman" w:cs="Arial"/>
                <w:color w:val="000000"/>
                <w:lang w:eastAsia="en-GB"/>
              </w:rPr>
              <w:t>3</w:t>
            </w:r>
          </w:p>
        </w:tc>
        <w:tc>
          <w:tcPr>
            <w:tcW w:w="1276" w:type="dxa"/>
            <w:tcBorders>
              <w:bottom w:val="single" w:sz="4" w:space="0" w:color="auto"/>
            </w:tcBorders>
            <w:shd w:val="clear" w:color="auto" w:fill="auto"/>
            <w:noWrap/>
            <w:vAlign w:val="center"/>
          </w:tcPr>
          <w:p w:rsidR="00E57656" w:rsidRPr="00E06B10" w:rsidRDefault="00E57656" w:rsidP="00031B92">
            <w:pPr>
              <w:spacing w:after="0" w:line="240" w:lineRule="auto"/>
              <w:jc w:val="center"/>
              <w:rPr>
                <w:rFonts w:eastAsia="Times New Roman" w:cs="Arial"/>
                <w:color w:val="000000"/>
                <w:lang w:eastAsia="en-GB"/>
              </w:rPr>
            </w:pPr>
            <w:r w:rsidRPr="00E06B10">
              <w:rPr>
                <w:rFonts w:eastAsia="Times New Roman" w:cs="Arial"/>
                <w:noProof/>
                <w:color w:val="000000"/>
                <w:lang w:eastAsia="en-GB"/>
              </w:rPr>
              <w:drawing>
                <wp:anchor distT="0" distB="0" distL="114300" distR="114300" simplePos="0" relativeHeight="251834368" behindDoc="0" locked="0" layoutInCell="1" allowOverlap="1" wp14:anchorId="5825ECD0" wp14:editId="41FAC11A">
                  <wp:simplePos x="0" y="0"/>
                  <wp:positionH relativeFrom="column">
                    <wp:posOffset>232410</wp:posOffset>
                  </wp:positionH>
                  <wp:positionV relativeFrom="paragraph">
                    <wp:posOffset>24765</wp:posOffset>
                  </wp:positionV>
                  <wp:extent cx="200025" cy="209550"/>
                  <wp:effectExtent l="19050" t="19050" r="28575" b="19050"/>
                  <wp:wrapNone/>
                  <wp:docPr id="57" name="Picture 57" descr="best"/>
                  <wp:cNvGraphicFramePr/>
                  <a:graphic xmlns:a="http://schemas.openxmlformats.org/drawingml/2006/main">
                    <a:graphicData uri="http://schemas.openxmlformats.org/drawingml/2006/picture">
                      <pic:pic xmlns:pic="http://schemas.openxmlformats.org/drawingml/2006/picture">
                        <pic:nvPicPr>
                          <pic:cNvPr id="32" name="Picture 31" descr="best"/>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0025" cy="209550"/>
                          </a:xfrm>
                          <a:prstGeom prst="rect">
                            <a:avLst/>
                          </a:prstGeom>
                          <a:solidFill>
                            <a:srgbClr val="92D050"/>
                          </a:solidFill>
                          <a:ln>
                            <a:solidFill>
                              <a:srgbClr val="00B050"/>
                            </a:solidFill>
                          </a:ln>
                        </pic:spPr>
                      </pic:pic>
                    </a:graphicData>
                  </a:graphic>
                  <wp14:sizeRelH relativeFrom="page">
                    <wp14:pctWidth>0</wp14:pctWidth>
                  </wp14:sizeRelH>
                  <wp14:sizeRelV relativeFrom="page">
                    <wp14:pctHeight>0</wp14:pctHeight>
                  </wp14:sizeRelV>
                </wp:anchor>
              </w:drawing>
            </w:r>
          </w:p>
        </w:tc>
      </w:tr>
      <w:tr w:rsidR="00E57656" w:rsidRPr="00E06B10" w:rsidTr="00E57656">
        <w:trPr>
          <w:trHeight w:val="357"/>
          <w:jc w:val="center"/>
        </w:trPr>
        <w:tc>
          <w:tcPr>
            <w:tcW w:w="9781" w:type="dxa"/>
            <w:gridSpan w:val="7"/>
            <w:tcBorders>
              <w:top w:val="single" w:sz="4" w:space="0" w:color="auto"/>
              <w:left w:val="nil"/>
              <w:bottom w:val="nil"/>
              <w:right w:val="nil"/>
            </w:tcBorders>
            <w:shd w:val="clear" w:color="auto" w:fill="auto"/>
            <w:noWrap/>
            <w:vAlign w:val="center"/>
          </w:tcPr>
          <w:p w:rsidR="00E57656" w:rsidRPr="00E06B10" w:rsidRDefault="00E57656" w:rsidP="00031B92">
            <w:pPr>
              <w:spacing w:after="0" w:line="240" w:lineRule="auto"/>
              <w:rPr>
                <w:rFonts w:eastAsia="Times New Roman" w:cs="Arial"/>
                <w:color w:val="000000"/>
                <w:sz w:val="20"/>
                <w:szCs w:val="20"/>
                <w:lang w:eastAsia="en-GB"/>
              </w:rPr>
            </w:pPr>
            <w:r w:rsidRPr="00E06B10">
              <w:rPr>
                <w:rFonts w:eastAsia="Times New Roman" w:cs="Arial"/>
                <w:color w:val="000000"/>
                <w:sz w:val="20"/>
                <w:szCs w:val="20"/>
                <w:lang w:eastAsia="en-GB"/>
              </w:rPr>
              <w:t>†Standardised rate of premature deaths (deaths before age of 75 years) per 100,000 population</w:t>
            </w:r>
          </w:p>
          <w:p w:rsidR="00E57656" w:rsidRPr="00E06B10" w:rsidRDefault="00E57656" w:rsidP="00031B92">
            <w:pPr>
              <w:spacing w:after="0" w:line="240" w:lineRule="auto"/>
              <w:rPr>
                <w:rFonts w:eastAsia="Times New Roman" w:cs="Arial"/>
                <w:noProof/>
                <w:color w:val="000000"/>
                <w:sz w:val="20"/>
                <w:szCs w:val="20"/>
                <w:lang w:eastAsia="en-GB"/>
              </w:rPr>
            </w:pPr>
            <w:r w:rsidRPr="00E06B10">
              <w:rPr>
                <w:rFonts w:eastAsia="Times New Roman" w:cs="Arial"/>
                <w:noProof/>
                <w:color w:val="000000"/>
                <w:sz w:val="20"/>
                <w:szCs w:val="20"/>
                <w:lang w:eastAsia="en-GB"/>
              </w:rPr>
              <w:t>*</w:t>
            </w:r>
            <w:r>
              <w:rPr>
                <w:rFonts w:eastAsia="Times New Roman" w:cs="Arial"/>
                <w:noProof/>
                <w:color w:val="000000"/>
                <w:sz w:val="20"/>
                <w:szCs w:val="20"/>
                <w:lang w:eastAsia="en-GB"/>
              </w:rPr>
              <w:t>The lowe</w:t>
            </w:r>
            <w:r w:rsidRPr="00E06B10">
              <w:rPr>
                <w:rFonts w:eastAsia="Times New Roman" w:cs="Arial"/>
                <w:noProof/>
                <w:color w:val="000000"/>
                <w:sz w:val="20"/>
                <w:szCs w:val="20"/>
                <w:lang w:eastAsia="en-GB"/>
              </w:rPr>
              <w:t xml:space="preserve">st rank number refers to the best outcome </w:t>
            </w:r>
          </w:p>
        </w:tc>
      </w:tr>
      <w:tr w:rsidR="00E57656" w:rsidRPr="00E06B10" w:rsidTr="00E57656">
        <w:trPr>
          <w:trHeight w:val="311"/>
          <w:jc w:val="center"/>
        </w:trPr>
        <w:tc>
          <w:tcPr>
            <w:tcW w:w="3119" w:type="dxa"/>
            <w:gridSpan w:val="2"/>
            <w:tcBorders>
              <w:top w:val="nil"/>
              <w:left w:val="nil"/>
              <w:bottom w:val="single" w:sz="4" w:space="0" w:color="auto"/>
              <w:right w:val="nil"/>
            </w:tcBorders>
            <w:shd w:val="clear" w:color="auto" w:fill="auto"/>
            <w:noWrap/>
            <w:vAlign w:val="center"/>
          </w:tcPr>
          <w:p w:rsidR="00E57656" w:rsidRPr="00E06B10" w:rsidRDefault="00E57656" w:rsidP="00031B92">
            <w:pPr>
              <w:spacing w:after="0" w:line="240" w:lineRule="auto"/>
              <w:rPr>
                <w:rFonts w:eastAsia="Times New Roman" w:cs="Arial"/>
                <w:color w:val="000000"/>
                <w:sz w:val="20"/>
                <w:szCs w:val="20"/>
                <w:lang w:eastAsia="en-GB"/>
              </w:rPr>
            </w:pPr>
            <w:r w:rsidRPr="00E06B10">
              <w:rPr>
                <w:rFonts w:eastAsia="Times New Roman" w:cs="Arial"/>
                <w:noProof/>
                <w:color w:val="000000"/>
                <w:sz w:val="20"/>
                <w:szCs w:val="20"/>
                <w:lang w:eastAsia="en-GB"/>
              </w:rPr>
              <w:drawing>
                <wp:anchor distT="0" distB="0" distL="114300" distR="114300" simplePos="0" relativeHeight="251850752" behindDoc="0" locked="0" layoutInCell="1" allowOverlap="1" wp14:anchorId="4BCEDE9B" wp14:editId="5A3ECA2E">
                  <wp:simplePos x="0" y="0"/>
                  <wp:positionH relativeFrom="column">
                    <wp:posOffset>128905</wp:posOffset>
                  </wp:positionH>
                  <wp:positionV relativeFrom="paragraph">
                    <wp:posOffset>-19050</wp:posOffset>
                  </wp:positionV>
                  <wp:extent cx="147320" cy="197485"/>
                  <wp:effectExtent l="19050" t="19050" r="24130" b="12065"/>
                  <wp:wrapNone/>
                  <wp:docPr id="118" name="Picture 118" descr="best"/>
                  <wp:cNvGraphicFramePr/>
                  <a:graphic xmlns:a="http://schemas.openxmlformats.org/drawingml/2006/main">
                    <a:graphicData uri="http://schemas.openxmlformats.org/drawingml/2006/picture">
                      <pic:pic xmlns:pic="http://schemas.openxmlformats.org/drawingml/2006/picture">
                        <pic:nvPicPr>
                          <pic:cNvPr id="16" name="Picture 15" descr="best"/>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7320" cy="197485"/>
                          </a:xfrm>
                          <a:prstGeom prst="rect">
                            <a:avLst/>
                          </a:prstGeom>
                          <a:solidFill>
                            <a:srgbClr val="92D050"/>
                          </a:solidFill>
                          <a:ln>
                            <a:solidFill>
                              <a:srgbClr val="00B050"/>
                            </a:solidFill>
                          </a:ln>
                        </pic:spPr>
                      </pic:pic>
                    </a:graphicData>
                  </a:graphic>
                  <wp14:sizeRelH relativeFrom="page">
                    <wp14:pctWidth>0</wp14:pctWidth>
                  </wp14:sizeRelH>
                  <wp14:sizeRelV relativeFrom="page">
                    <wp14:pctHeight>0</wp14:pctHeight>
                  </wp14:sizeRelV>
                </wp:anchor>
              </w:drawing>
            </w:r>
            <w:r w:rsidRPr="00E06B10">
              <w:rPr>
                <w:rFonts w:eastAsia="Times New Roman" w:cs="Arial"/>
                <w:color w:val="000000"/>
                <w:sz w:val="20"/>
                <w:szCs w:val="20"/>
                <w:lang w:eastAsia="en-GB"/>
              </w:rPr>
              <w:t xml:space="preserve">           Best </w:t>
            </w:r>
          </w:p>
        </w:tc>
        <w:tc>
          <w:tcPr>
            <w:tcW w:w="2693" w:type="dxa"/>
            <w:gridSpan w:val="2"/>
            <w:tcBorders>
              <w:top w:val="nil"/>
              <w:left w:val="nil"/>
              <w:bottom w:val="single" w:sz="4" w:space="0" w:color="auto"/>
              <w:right w:val="nil"/>
            </w:tcBorders>
            <w:shd w:val="clear" w:color="auto" w:fill="auto"/>
            <w:noWrap/>
            <w:vAlign w:val="center"/>
          </w:tcPr>
          <w:p w:rsidR="00E57656" w:rsidRPr="00E06B10" w:rsidRDefault="00E57656" w:rsidP="00031B92">
            <w:pPr>
              <w:spacing w:after="0" w:line="240" w:lineRule="auto"/>
              <w:ind w:left="-391" w:firstLine="391"/>
              <w:jc w:val="center"/>
              <w:rPr>
                <w:rFonts w:eastAsia="Times New Roman" w:cs="Arial"/>
                <w:color w:val="000000"/>
                <w:sz w:val="20"/>
                <w:szCs w:val="20"/>
                <w:lang w:eastAsia="en-GB"/>
              </w:rPr>
            </w:pPr>
            <w:r w:rsidRPr="00E06B10">
              <w:rPr>
                <w:rFonts w:eastAsia="Times New Roman" w:cs="Arial"/>
                <w:noProof/>
                <w:color w:val="000000"/>
                <w:sz w:val="20"/>
                <w:szCs w:val="20"/>
                <w:lang w:eastAsia="en-GB"/>
              </w:rPr>
              <w:drawing>
                <wp:anchor distT="0" distB="0" distL="114300" distR="114300" simplePos="0" relativeHeight="251851776" behindDoc="0" locked="0" layoutInCell="1" allowOverlap="1" wp14:anchorId="35DF39CD" wp14:editId="4FB94750">
                  <wp:simplePos x="0" y="0"/>
                  <wp:positionH relativeFrom="column">
                    <wp:posOffset>88265</wp:posOffset>
                  </wp:positionH>
                  <wp:positionV relativeFrom="paragraph">
                    <wp:posOffset>-11430</wp:posOffset>
                  </wp:positionV>
                  <wp:extent cx="163195" cy="197485"/>
                  <wp:effectExtent l="19050" t="19050" r="27305" b="12065"/>
                  <wp:wrapNone/>
                  <wp:docPr id="119" name="Picture 119" descr="best"/>
                  <wp:cNvGraphicFramePr/>
                  <a:graphic xmlns:a="http://schemas.openxmlformats.org/drawingml/2006/main">
                    <a:graphicData uri="http://schemas.openxmlformats.org/drawingml/2006/picture">
                      <pic:pic xmlns:pic="http://schemas.openxmlformats.org/drawingml/2006/picture">
                        <pic:nvPicPr>
                          <pic:cNvPr id="14" name="Picture 13" descr="best"/>
                          <pic:cNvPicPr>
                            <a:picLocks noChangeAspect="1" noChangeArrowheads="1"/>
                          </pic:cNvPicPr>
                        </pic:nvPicPr>
                        <pic:blipFill>
                          <a:blip r:embed="rId63">
                            <a:extLst>
                              <a:ext uri="{BEBA8EAE-BF5A-486C-A8C5-ECC9F3942E4B}">
                                <a14:imgProps xmlns:a14="http://schemas.microsoft.com/office/drawing/2010/main">
                                  <a14:imgLayer r:embed="rId64">
                                    <a14:imgEffect>
                                      <a14:sharpenSoften amount="50000"/>
                                    </a14:imgEffect>
                                    <a14:imgEffect>
                                      <a14:colorTemperature colorTemp="112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3195" cy="197485"/>
                          </a:xfrm>
                          <a:prstGeom prst="rect">
                            <a:avLst/>
                          </a:prstGeom>
                          <a:solidFill>
                            <a:schemeClr val="accent6"/>
                          </a:solidFill>
                          <a:ln>
                            <a:solidFill>
                              <a:srgbClr val="FFC000"/>
                            </a:solidFill>
                          </a:ln>
                        </pic:spPr>
                      </pic:pic>
                    </a:graphicData>
                  </a:graphic>
                  <wp14:sizeRelH relativeFrom="page">
                    <wp14:pctWidth>0</wp14:pctWidth>
                  </wp14:sizeRelH>
                  <wp14:sizeRelV relativeFrom="page">
                    <wp14:pctHeight>0</wp14:pctHeight>
                  </wp14:sizeRelV>
                </wp:anchor>
              </w:drawing>
            </w:r>
            <w:r w:rsidRPr="00E06B10">
              <w:rPr>
                <w:rFonts w:eastAsia="Times New Roman" w:cs="Arial"/>
                <w:color w:val="000000"/>
                <w:sz w:val="20"/>
                <w:szCs w:val="20"/>
                <w:lang w:eastAsia="en-GB"/>
              </w:rPr>
              <w:t xml:space="preserve">         Better than average</w:t>
            </w:r>
          </w:p>
        </w:tc>
        <w:tc>
          <w:tcPr>
            <w:tcW w:w="3969" w:type="dxa"/>
            <w:gridSpan w:val="3"/>
            <w:tcBorders>
              <w:top w:val="nil"/>
              <w:left w:val="nil"/>
              <w:bottom w:val="single" w:sz="4" w:space="0" w:color="auto"/>
              <w:right w:val="nil"/>
            </w:tcBorders>
            <w:shd w:val="clear" w:color="auto" w:fill="auto"/>
            <w:noWrap/>
            <w:vAlign w:val="center"/>
          </w:tcPr>
          <w:p w:rsidR="00E57656" w:rsidRPr="00E06B10" w:rsidRDefault="00E57656" w:rsidP="00031B92">
            <w:pPr>
              <w:spacing w:after="0" w:line="240" w:lineRule="auto"/>
              <w:rPr>
                <w:rFonts w:eastAsia="Times New Roman" w:cs="Arial"/>
                <w:color w:val="000000"/>
                <w:sz w:val="20"/>
                <w:szCs w:val="20"/>
                <w:lang w:eastAsia="en-GB"/>
              </w:rPr>
            </w:pPr>
            <w:r w:rsidRPr="00E06B10">
              <w:rPr>
                <w:rFonts w:eastAsia="Times New Roman" w:cs="Arial"/>
                <w:noProof/>
                <w:color w:val="000000"/>
                <w:sz w:val="20"/>
                <w:szCs w:val="20"/>
                <w:lang w:eastAsia="en-GB"/>
              </w:rPr>
              <w:drawing>
                <wp:anchor distT="0" distB="0" distL="114300" distR="114300" simplePos="0" relativeHeight="251852800" behindDoc="0" locked="0" layoutInCell="1" allowOverlap="1" wp14:anchorId="11F199BD" wp14:editId="7CA39AAF">
                  <wp:simplePos x="0" y="0"/>
                  <wp:positionH relativeFrom="column">
                    <wp:posOffset>245110</wp:posOffset>
                  </wp:positionH>
                  <wp:positionV relativeFrom="paragraph">
                    <wp:posOffset>-46355</wp:posOffset>
                  </wp:positionV>
                  <wp:extent cx="142875" cy="197485"/>
                  <wp:effectExtent l="19050" t="19050" r="28575" b="12065"/>
                  <wp:wrapNone/>
                  <wp:docPr id="121" name="Picture 121" descr="best"/>
                  <wp:cNvGraphicFramePr/>
                  <a:graphic xmlns:a="http://schemas.openxmlformats.org/drawingml/2006/main">
                    <a:graphicData uri="http://schemas.openxmlformats.org/drawingml/2006/picture">
                      <pic:pic xmlns:pic="http://schemas.openxmlformats.org/drawingml/2006/picture">
                        <pic:nvPicPr>
                          <pic:cNvPr id="14" name="Picture 13" descr="best"/>
                          <pic:cNvPicPr>
                            <a:picLocks noChangeAspect="1" noChangeArrowheads="1"/>
                          </pic:cNvPicPr>
                        </pic:nvPicPr>
                        <pic:blipFill>
                          <a:blip r:embed="rId63">
                            <a:duotone>
                              <a:prstClr val="black"/>
                              <a:schemeClr val="accent6">
                                <a:tint val="45000"/>
                                <a:satMod val="400000"/>
                              </a:schemeClr>
                            </a:duotone>
                            <a:extLst>
                              <a:ext uri="{BEBA8EAE-BF5A-486C-A8C5-ECC9F3942E4B}">
                                <a14:imgProps xmlns:a14="http://schemas.microsoft.com/office/drawing/2010/main">
                                  <a14:imgLayer r:embed="rId64">
                                    <a14:imgEffect>
                                      <a14:sharpenSoften amount="50000"/>
                                    </a14:imgEffect>
                                    <a14:imgEffect>
                                      <a14:colorTemperature colorTemp="112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42875" cy="197485"/>
                          </a:xfrm>
                          <a:prstGeom prst="rect">
                            <a:avLst/>
                          </a:prstGeom>
                          <a:solidFill>
                            <a:schemeClr val="accent6"/>
                          </a:solidFill>
                          <a:ln>
                            <a:solidFill>
                              <a:srgbClr val="FFC000"/>
                            </a:solidFill>
                          </a:ln>
                        </pic:spPr>
                      </pic:pic>
                    </a:graphicData>
                  </a:graphic>
                  <wp14:sizeRelH relativeFrom="page">
                    <wp14:pctWidth>0</wp14:pctWidth>
                  </wp14:sizeRelH>
                  <wp14:sizeRelV relativeFrom="page">
                    <wp14:pctHeight>0</wp14:pctHeight>
                  </wp14:sizeRelV>
                </wp:anchor>
              </w:drawing>
            </w:r>
            <w:r w:rsidRPr="00E06B10">
              <w:rPr>
                <w:rFonts w:eastAsia="Times New Roman" w:cs="Arial"/>
                <w:color w:val="000000"/>
                <w:sz w:val="20"/>
                <w:szCs w:val="20"/>
                <w:lang w:eastAsia="en-GB"/>
              </w:rPr>
              <w:t xml:space="preserve">                 Worse than average</w:t>
            </w:r>
          </w:p>
        </w:tc>
      </w:tr>
    </w:tbl>
    <w:p w:rsidR="00E57656" w:rsidRDefault="00E57656" w:rsidP="00E57656">
      <w:pPr>
        <w:rPr>
          <w:rStyle w:val="Hyperlink"/>
          <w:sz w:val="18"/>
          <w:szCs w:val="18"/>
        </w:rPr>
      </w:pPr>
      <w:r w:rsidRPr="00496C38">
        <w:rPr>
          <w:sz w:val="18"/>
          <w:szCs w:val="18"/>
        </w:rPr>
        <w:t xml:space="preserve">Data source: Public Health England. </w:t>
      </w:r>
      <w:hyperlink r:id="rId66" w:history="1">
        <w:r w:rsidRPr="00496C38">
          <w:rPr>
            <w:rStyle w:val="Hyperlink"/>
            <w:sz w:val="18"/>
            <w:szCs w:val="18"/>
          </w:rPr>
          <w:t>Healthier Lives: Premature mortality</w:t>
        </w:r>
      </w:hyperlink>
    </w:p>
    <w:p w:rsidR="00E57656" w:rsidRPr="00E06B10" w:rsidRDefault="00E57656" w:rsidP="00E57656">
      <w:pPr>
        <w:jc w:val="both"/>
      </w:pPr>
      <w:r w:rsidRPr="00E06B10">
        <w:lastRenderedPageBreak/>
        <w:t xml:space="preserve">The common causes of the major diseases that are leading to premature deaths under 75 years </w:t>
      </w:r>
      <w:r>
        <w:t xml:space="preserve">of age </w:t>
      </w:r>
      <w:r w:rsidRPr="00E06B10">
        <w:t xml:space="preserve">(Table </w:t>
      </w:r>
      <w:r>
        <w:t>5-</w:t>
      </w:r>
      <w:r w:rsidRPr="00E06B10">
        <w:t xml:space="preserve">1) are </w:t>
      </w:r>
      <w:r>
        <w:t>l</w:t>
      </w:r>
      <w:r w:rsidRPr="00E06B10">
        <w:t xml:space="preserve">ifestyle related </w:t>
      </w:r>
      <w:r>
        <w:t xml:space="preserve">factors; these </w:t>
      </w:r>
      <w:r w:rsidRPr="00E06B10">
        <w:t>could be modified to reduce and prevent premature mortality in Barnet</w:t>
      </w:r>
      <w:r>
        <w:t xml:space="preserve"> (as </w:t>
      </w:r>
      <w:r w:rsidRPr="00E06B10">
        <w:t xml:space="preserve">described in </w:t>
      </w:r>
      <w:r>
        <w:t xml:space="preserve">lifestyle </w:t>
      </w:r>
      <w:r w:rsidRPr="00E06B10">
        <w:t>chapter</w:t>
      </w:r>
      <w:r>
        <w:t>)</w:t>
      </w:r>
      <w:r w:rsidRPr="00E06B10">
        <w:t>.</w:t>
      </w:r>
      <w:r>
        <w:t xml:space="preserve"> The m</w:t>
      </w:r>
      <w:r w:rsidRPr="004C247A">
        <w:t xml:space="preserve">ajor diseases </w:t>
      </w:r>
      <w:r>
        <w:t>leading to</w:t>
      </w:r>
      <w:r w:rsidRPr="004C247A">
        <w:t xml:space="preserve"> premature mortality</w:t>
      </w:r>
      <w:r>
        <w:t xml:space="preserve"> in Barnet are reported below.</w:t>
      </w:r>
    </w:p>
    <w:p w:rsidR="00E57656" w:rsidRPr="00E06B10" w:rsidRDefault="00E57656" w:rsidP="00E57656">
      <w:pPr>
        <w:pStyle w:val="Heading2"/>
        <w:numPr>
          <w:ilvl w:val="1"/>
          <w:numId w:val="35"/>
        </w:numPr>
        <w:jc w:val="both"/>
        <w:rPr>
          <w:rFonts w:asciiTheme="minorHAnsi" w:hAnsiTheme="minorHAnsi"/>
        </w:rPr>
      </w:pPr>
      <w:bookmarkStart w:id="576" w:name="_Toc420678785"/>
      <w:bookmarkStart w:id="577" w:name="_Toc426723333"/>
      <w:bookmarkStart w:id="578" w:name="_Toc431225160"/>
      <w:r w:rsidRPr="00E06B10">
        <w:rPr>
          <w:rFonts w:asciiTheme="minorHAnsi" w:hAnsiTheme="minorHAnsi"/>
        </w:rPr>
        <w:t>Cardiovascular Disease</w:t>
      </w:r>
      <w:bookmarkEnd w:id="576"/>
      <w:bookmarkEnd w:id="577"/>
      <w:bookmarkEnd w:id="578"/>
    </w:p>
    <w:p w:rsidR="00E57656" w:rsidRPr="00E06B10" w:rsidRDefault="00E57656" w:rsidP="00E57656">
      <w:pPr>
        <w:jc w:val="both"/>
      </w:pPr>
      <w:r w:rsidRPr="00E06B10">
        <w:t xml:space="preserve">Cardiovascular disease (CVD) involves diseases of </w:t>
      </w:r>
      <w:r>
        <w:t xml:space="preserve">the </w:t>
      </w:r>
      <w:r w:rsidRPr="00E06B10">
        <w:t>heart and blood vessels and vascular diseases of the brain. CVD includes coronary heart disease</w:t>
      </w:r>
      <w:r>
        <w:t xml:space="preserve"> (CHD)</w:t>
      </w:r>
      <w:r w:rsidRPr="00E06B10">
        <w:t xml:space="preserve"> including heart attack and angina, hypertension, stro</w:t>
      </w:r>
      <w:bookmarkStart w:id="579" w:name="_Ref418082504"/>
      <w:r w:rsidR="004D5EDB">
        <w:t>ke and congenital heart disease</w:t>
      </w:r>
      <w:r w:rsidRPr="00E06B10">
        <w:rPr>
          <w:rStyle w:val="FootnoteReference"/>
          <w:rFonts w:cs="Arial"/>
        </w:rPr>
        <w:footnoteReference w:id="36"/>
      </w:r>
      <w:bookmarkEnd w:id="579"/>
      <w:r w:rsidR="004D5EDB">
        <w:t>.</w:t>
      </w:r>
      <w:r w:rsidRPr="00E06B10">
        <w:t xml:space="preserve">CVD is the number </w:t>
      </w:r>
      <w:r>
        <w:t>one</w:t>
      </w:r>
      <w:r w:rsidRPr="00E06B10">
        <w:t xml:space="preserve"> killer disease globally and one of the major causes of preventable mortality (WHO, 2011)</w:t>
      </w:r>
      <w:r w:rsidRPr="00E06B10">
        <w:fldChar w:fldCharType="begin"/>
      </w:r>
      <w:r w:rsidRPr="00E06B10">
        <w:instrText xml:space="preserve"> NOTEREF _Ref418082504 \f \h </w:instrText>
      </w:r>
      <w:r w:rsidRPr="00E06B10">
        <w:fldChar w:fldCharType="separate"/>
      </w:r>
      <w:r w:rsidR="001663C2" w:rsidRPr="001663C2">
        <w:rPr>
          <w:rStyle w:val="FootnoteReference"/>
        </w:rPr>
        <w:t>36</w:t>
      </w:r>
      <w:r w:rsidRPr="00E06B10">
        <w:fldChar w:fldCharType="end"/>
      </w:r>
      <w:r w:rsidR="004D5EDB">
        <w:t xml:space="preserve">. </w:t>
      </w:r>
      <w:r w:rsidRPr="00E06B10">
        <w:t xml:space="preserve">The global burden of CVD </w:t>
      </w:r>
      <w:bookmarkStart w:id="580" w:name="_Ref418083232"/>
      <w:r w:rsidR="004D5EDB">
        <w:t>was 17.5 million deaths in 2012</w:t>
      </w:r>
      <w:r w:rsidRPr="00E06B10">
        <w:rPr>
          <w:rStyle w:val="FootnoteReference"/>
          <w:rFonts w:cs="Arial"/>
        </w:rPr>
        <w:footnoteReference w:id="37"/>
      </w:r>
      <w:bookmarkEnd w:id="580"/>
      <w:r w:rsidR="004D5EDB">
        <w:t xml:space="preserve">. </w:t>
      </w:r>
      <w:r w:rsidRPr="00E06B10">
        <w:t>In the UK, CVD caused 160,000 deaths in 2011</w:t>
      </w:r>
      <w:r w:rsidRPr="00E06B10">
        <w:rPr>
          <w:rStyle w:val="FootnoteReference"/>
        </w:rPr>
        <w:footnoteReference w:id="38"/>
      </w:r>
      <w:r w:rsidRPr="00E06B10">
        <w:t xml:space="preserve"> and there are </w:t>
      </w:r>
      <w:r>
        <w:t xml:space="preserve">an </w:t>
      </w:r>
      <w:r w:rsidRPr="00E06B10">
        <w:t>estimated 7 mill</w:t>
      </w:r>
      <w:r w:rsidR="004D5EDB">
        <w:t>ion CVD patients in the country</w:t>
      </w:r>
      <w:r w:rsidRPr="00E06B10">
        <w:rPr>
          <w:rStyle w:val="FootnoteReference"/>
        </w:rPr>
        <w:footnoteReference w:id="39"/>
      </w:r>
      <w:r w:rsidR="004D5EDB">
        <w:t xml:space="preserve">. A higher proportion of men are affected by </w:t>
      </w:r>
      <w:r w:rsidRPr="00E06B10">
        <w:t>CVD</w:t>
      </w:r>
      <w:r w:rsidR="004D5EDB">
        <w:t xml:space="preserve"> compared to</w:t>
      </w:r>
      <w:r w:rsidRPr="00E06B10">
        <w:t xml:space="preserve"> women. In the UK, the standardised death rate (per 100,000) due to CVD was 140.6 in ma</w:t>
      </w:r>
      <w:r w:rsidR="004D5EDB">
        <w:t>les and 86.7 in females in 2012</w:t>
      </w:r>
      <w:r w:rsidRPr="00E06B10">
        <w:rPr>
          <w:rStyle w:val="FootnoteReference"/>
          <w:rFonts w:cs="Arial"/>
        </w:rPr>
        <w:footnoteReference w:id="40"/>
      </w:r>
      <w:r w:rsidR="004D5EDB">
        <w:t>.</w:t>
      </w:r>
      <w:r w:rsidRPr="00E06B10">
        <w:t xml:space="preserve"> </w:t>
      </w:r>
    </w:p>
    <w:p w:rsidR="00E57656" w:rsidRPr="00E06B10" w:rsidRDefault="00E57656" w:rsidP="00E57656">
      <w:pPr>
        <w:jc w:val="both"/>
      </w:pPr>
      <w:r w:rsidRPr="00E06B10">
        <w:t xml:space="preserve">In </w:t>
      </w:r>
      <w:r>
        <w:t xml:space="preserve">the </w:t>
      </w:r>
      <w:r w:rsidRPr="00E06B10">
        <w:t xml:space="preserve">London </w:t>
      </w:r>
      <w:r>
        <w:t>Borough</w:t>
      </w:r>
      <w:r w:rsidRPr="00E06B10">
        <w:t xml:space="preserve"> of Barnet (LBB), CVD is the top cause of premature mortality, especially among the population </w:t>
      </w:r>
      <w:r>
        <w:t xml:space="preserve">under </w:t>
      </w:r>
      <w:r w:rsidRPr="00E06B10">
        <w:t xml:space="preserve">75 years of age. Data for 2011-2013 show that the Barnet death rate due to preventable CVD in </w:t>
      </w:r>
      <w:r>
        <w:t xml:space="preserve">those aged less than </w:t>
      </w:r>
      <w:r w:rsidRPr="00E06B10">
        <w:t>75 years was 39.7 per 100,000</w:t>
      </w:r>
      <w:r>
        <w:t xml:space="preserve"> and </w:t>
      </w:r>
      <w:r w:rsidRPr="00E06B10">
        <w:t xml:space="preserve">was higher in males (58.3) compared to females (23.3). In addition, </w:t>
      </w:r>
      <w:r>
        <w:t xml:space="preserve">CVD </w:t>
      </w:r>
      <w:r w:rsidRPr="00E06B10">
        <w:t xml:space="preserve">mortality </w:t>
      </w:r>
      <w:r>
        <w:t xml:space="preserve">rate in age under 75 years </w:t>
      </w:r>
      <w:r w:rsidRPr="00E06B10">
        <w:t>was also higher in males than in females i.e. 89.6 vs. 39.4 respectively</w:t>
      </w:r>
      <w:r>
        <w:t xml:space="preserve">; however, these Barnet rates </w:t>
      </w:r>
      <w:r w:rsidRPr="00E06B10">
        <w:t xml:space="preserve">were lower than the </w:t>
      </w:r>
      <w:r>
        <w:t xml:space="preserve">average </w:t>
      </w:r>
      <w:r w:rsidRPr="00E06B10">
        <w:t xml:space="preserve">rates </w:t>
      </w:r>
      <w:r>
        <w:t>for the London</w:t>
      </w:r>
      <w:r w:rsidRPr="00E06B10">
        <w:t xml:space="preserve"> region </w:t>
      </w:r>
      <w:r>
        <w:t>(</w:t>
      </w:r>
      <w:r w:rsidRPr="00E06B10">
        <w:t xml:space="preserve">males </w:t>
      </w:r>
      <w:r>
        <w:t xml:space="preserve">= </w:t>
      </w:r>
      <w:r w:rsidRPr="00E06B10">
        <w:t>113.5</w:t>
      </w:r>
      <w:r>
        <w:t xml:space="preserve">, </w:t>
      </w:r>
      <w:r w:rsidRPr="00E06B10">
        <w:t xml:space="preserve">females </w:t>
      </w:r>
      <w:r>
        <w:t xml:space="preserve">= </w:t>
      </w:r>
      <w:r w:rsidRPr="00E06B10">
        <w:t xml:space="preserve">49.6) </w:t>
      </w:r>
      <w:r>
        <w:t>and England (</w:t>
      </w:r>
      <w:r w:rsidRPr="00E06B10">
        <w:t>males</w:t>
      </w:r>
      <w:r>
        <w:t xml:space="preserve"> =</w:t>
      </w:r>
      <w:r w:rsidRPr="00E06B10">
        <w:t>109.5</w:t>
      </w:r>
      <w:r>
        <w:t xml:space="preserve">, </w:t>
      </w:r>
      <w:r w:rsidRPr="00E06B10">
        <w:t>females</w:t>
      </w:r>
      <w:r>
        <w:t xml:space="preserve"> =</w:t>
      </w:r>
      <w:r w:rsidRPr="00E06B10">
        <w:t xml:space="preserve"> 48.6) (Figure </w:t>
      </w:r>
      <w:r>
        <w:t>5-4</w:t>
      </w:r>
      <w:r w:rsidRPr="00E06B10">
        <w:t>).</w:t>
      </w:r>
    </w:p>
    <w:p w:rsidR="00E57656" w:rsidRPr="00E06B10" w:rsidRDefault="00E57656" w:rsidP="00E57656">
      <w:pPr>
        <w:pStyle w:val="Caption"/>
      </w:pPr>
      <w:r>
        <w:t xml:space="preserve">Figure </w:t>
      </w:r>
      <w:fldSimple w:instr=" STYLEREF 1 \s ">
        <w:r w:rsidR="001663C2">
          <w:rPr>
            <w:noProof/>
          </w:rPr>
          <w:t>5</w:t>
        </w:r>
      </w:fldSimple>
      <w:r w:rsidR="00943DC2">
        <w:noBreakHyphen/>
      </w:r>
      <w:fldSimple w:instr=" SEQ Figure \* ARABIC \s 1 ">
        <w:r w:rsidR="001663C2">
          <w:rPr>
            <w:noProof/>
          </w:rPr>
          <w:t>4</w:t>
        </w:r>
      </w:fldSimple>
      <w:r>
        <w:t>:</w:t>
      </w:r>
      <w:r w:rsidRPr="00E06B10">
        <w:t xml:space="preserve"> CVD mortality rates (under 75) in Barnet</w:t>
      </w:r>
    </w:p>
    <w:p w:rsidR="00E57656" w:rsidRPr="00E06B10" w:rsidRDefault="00E57656" w:rsidP="00E57656">
      <w:pPr>
        <w:spacing w:after="0" w:line="240" w:lineRule="auto"/>
        <w:jc w:val="center"/>
        <w:rPr>
          <w:rFonts w:cs="Arial"/>
        </w:rPr>
      </w:pPr>
      <w:r w:rsidRPr="00E06B10">
        <w:rPr>
          <w:rFonts w:cs="Arial"/>
          <w:noProof/>
          <w:lang w:eastAsia="en-GB"/>
        </w:rPr>
        <w:drawing>
          <wp:inline distT="0" distB="0" distL="0" distR="0" wp14:anchorId="2B72202A" wp14:editId="5448B702">
            <wp:extent cx="4442604" cy="3286664"/>
            <wp:effectExtent l="0" t="0" r="0"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441478" cy="3285831"/>
                    </a:xfrm>
                    <a:prstGeom prst="rect">
                      <a:avLst/>
                    </a:prstGeom>
                    <a:noFill/>
                    <a:ln>
                      <a:noFill/>
                    </a:ln>
                  </pic:spPr>
                </pic:pic>
              </a:graphicData>
            </a:graphic>
          </wp:inline>
        </w:drawing>
      </w:r>
    </w:p>
    <w:p w:rsidR="00E57656" w:rsidRPr="004D5EDB" w:rsidRDefault="00E57656" w:rsidP="00E57656">
      <w:pPr>
        <w:pStyle w:val="FootnoteText"/>
        <w:rPr>
          <w:rFonts w:asciiTheme="minorHAnsi" w:hAnsiTheme="minorHAnsi"/>
          <w:sz w:val="22"/>
          <w:szCs w:val="22"/>
        </w:rPr>
      </w:pPr>
      <w:r w:rsidRPr="004D5EDB">
        <w:rPr>
          <w:rFonts w:asciiTheme="minorHAnsi" w:hAnsiTheme="minorHAnsi"/>
          <w:sz w:val="22"/>
          <w:szCs w:val="22"/>
        </w:rPr>
        <w:t xml:space="preserve">Source: Public Health England. Public Health Outcomes Framework </w:t>
      </w:r>
      <w:hyperlink r:id="rId68" w:history="1">
        <w:r w:rsidRPr="004D5EDB">
          <w:rPr>
            <w:rStyle w:val="Hyperlink"/>
            <w:rFonts w:asciiTheme="minorHAnsi" w:hAnsiTheme="minorHAnsi" w:cs="Arial"/>
            <w:sz w:val="22"/>
            <w:szCs w:val="22"/>
          </w:rPr>
          <w:t>http://www.phoutcomes.info/</w:t>
        </w:r>
      </w:hyperlink>
      <w:r w:rsidRPr="004D5EDB">
        <w:rPr>
          <w:rFonts w:asciiTheme="minorHAnsi" w:hAnsiTheme="minorHAnsi"/>
          <w:sz w:val="22"/>
          <w:szCs w:val="22"/>
        </w:rPr>
        <w:t xml:space="preserve"> </w:t>
      </w:r>
    </w:p>
    <w:p w:rsidR="00E57656" w:rsidRDefault="00E57656" w:rsidP="00E57656">
      <w:pPr>
        <w:pStyle w:val="Heading3"/>
        <w:numPr>
          <w:ilvl w:val="2"/>
          <w:numId w:val="35"/>
        </w:numPr>
        <w:jc w:val="both"/>
      </w:pPr>
      <w:bookmarkStart w:id="581" w:name="_Toc420678786"/>
      <w:r>
        <w:lastRenderedPageBreak/>
        <w:t>Coronary Heart Disease</w:t>
      </w:r>
      <w:bookmarkEnd w:id="581"/>
      <w:r>
        <w:t xml:space="preserve"> </w:t>
      </w:r>
    </w:p>
    <w:p w:rsidR="00E57656" w:rsidRPr="00E06B10" w:rsidRDefault="00E57656" w:rsidP="00E57656">
      <w:pPr>
        <w:jc w:val="both"/>
      </w:pPr>
      <w:r w:rsidRPr="00E06B10">
        <w:t xml:space="preserve">The prevalence of </w:t>
      </w:r>
      <w:r>
        <w:t>coronary heart disease (</w:t>
      </w:r>
      <w:r w:rsidRPr="00E06B10">
        <w:t>CHD</w:t>
      </w:r>
      <w:r>
        <w:t>)</w:t>
      </w:r>
      <w:r w:rsidRPr="00E06B10">
        <w:t xml:space="preserve"> in Barnet </w:t>
      </w:r>
      <w:r>
        <w:t>(</w:t>
      </w:r>
      <w:r w:rsidRPr="00E06B10">
        <w:t>2.6%</w:t>
      </w:r>
      <w:r>
        <w:t>)</w:t>
      </w:r>
      <w:r w:rsidRPr="00E06B10">
        <w:t xml:space="preserve"> was less than the national prevalence </w:t>
      </w:r>
      <w:r>
        <w:t>(</w:t>
      </w:r>
      <w:r w:rsidRPr="00E06B10">
        <w:t>3.3%</w:t>
      </w:r>
      <w:r>
        <w:t>)</w:t>
      </w:r>
      <w:r w:rsidRPr="00E06B10">
        <w:t xml:space="preserve"> </w:t>
      </w:r>
      <w:r>
        <w:t>in</w:t>
      </w:r>
      <w:r w:rsidRPr="00E06B10">
        <w:t xml:space="preserve"> 2013</w:t>
      </w:r>
      <w:r w:rsidR="00270AEE">
        <w:t>/</w:t>
      </w:r>
      <w:bookmarkStart w:id="582" w:name="_Ref418082713"/>
      <w:r w:rsidR="004D5EDB">
        <w:t>14</w:t>
      </w:r>
      <w:r w:rsidRPr="00E06B10">
        <w:rPr>
          <w:rStyle w:val="FootnoteReference"/>
          <w:rFonts w:cs="Arial"/>
        </w:rPr>
        <w:footnoteReference w:id="41"/>
      </w:r>
      <w:bookmarkEnd w:id="582"/>
      <w:r w:rsidR="004D5EDB">
        <w:t xml:space="preserve">. </w:t>
      </w:r>
      <w:r w:rsidRPr="00E06B10">
        <w:t>For the same period, 10,273 people were diagnosed with CHD, which was lower than the expected 13,400 cases of CHD in Barnet</w:t>
      </w:r>
      <w:r w:rsidRPr="00E06B10">
        <w:rPr>
          <w:rFonts w:cs="Arial"/>
        </w:rPr>
        <w:fldChar w:fldCharType="begin"/>
      </w:r>
      <w:r w:rsidRPr="00E06B10">
        <w:instrText xml:space="preserve"> NOTEREF _Ref418082713 \f \h </w:instrText>
      </w:r>
      <w:r w:rsidRPr="00E06B10">
        <w:rPr>
          <w:rFonts w:cs="Arial"/>
        </w:rPr>
      </w:r>
      <w:r w:rsidRPr="00E06B10">
        <w:rPr>
          <w:rFonts w:cs="Arial"/>
        </w:rPr>
        <w:fldChar w:fldCharType="separate"/>
      </w:r>
      <w:r w:rsidR="001663C2" w:rsidRPr="001663C2">
        <w:rPr>
          <w:rStyle w:val="FootnoteReference"/>
        </w:rPr>
        <w:t>41</w:t>
      </w:r>
      <w:r w:rsidRPr="00E06B10">
        <w:rPr>
          <w:rFonts w:cs="Arial"/>
        </w:rPr>
        <w:fldChar w:fldCharType="end"/>
      </w:r>
      <w:r w:rsidR="004D5EDB">
        <w:rPr>
          <w:rFonts w:cs="Arial"/>
        </w:rPr>
        <w:t>.</w:t>
      </w:r>
      <w:r w:rsidRPr="00E06B10">
        <w:t xml:space="preserve"> The </w:t>
      </w:r>
      <w:hyperlink r:id="rId69" w:history="1">
        <w:r w:rsidRPr="00E06B10">
          <w:rPr>
            <w:rStyle w:val="Hyperlink"/>
            <w:rFonts w:cs="Arial"/>
          </w:rPr>
          <w:t>national general practice profile data</w:t>
        </w:r>
      </w:hyperlink>
      <w:r w:rsidRPr="00E06B10">
        <w:t xml:space="preserve"> show that hospital emergency admissions</w:t>
      </w:r>
      <w:r>
        <w:t xml:space="preserve"> rate</w:t>
      </w:r>
      <w:r w:rsidRPr="00E06B10">
        <w:t xml:space="preserve"> (per 100 patients on </w:t>
      </w:r>
      <w:r>
        <w:t xml:space="preserve">the </w:t>
      </w:r>
      <w:r w:rsidRPr="00E06B10">
        <w:t>register) due to CHD in Barnet w</w:t>
      </w:r>
      <w:r>
        <w:t>as</w:t>
      </w:r>
      <w:r w:rsidRPr="00E06B10">
        <w:t xml:space="preserve"> 6.4% in 2010-2012, which was lower than the national average (7.1%).</w:t>
      </w:r>
    </w:p>
    <w:p w:rsidR="00E57656" w:rsidRDefault="00E57656" w:rsidP="00E57656">
      <w:pPr>
        <w:pStyle w:val="Heading3"/>
        <w:numPr>
          <w:ilvl w:val="2"/>
          <w:numId w:val="35"/>
        </w:numPr>
        <w:jc w:val="both"/>
      </w:pPr>
      <w:bookmarkStart w:id="583" w:name="_Toc420678787"/>
      <w:r>
        <w:t>Stroke</w:t>
      </w:r>
      <w:bookmarkEnd w:id="583"/>
      <w:r>
        <w:t xml:space="preserve"> </w:t>
      </w:r>
    </w:p>
    <w:p w:rsidR="00E57656" w:rsidRPr="00632D96" w:rsidRDefault="00270AEE" w:rsidP="00E57656">
      <w:pPr>
        <w:jc w:val="both"/>
      </w:pPr>
      <w:r>
        <w:t>In 2013/</w:t>
      </w:r>
      <w:r w:rsidR="00E57656">
        <w:t>14, t</w:t>
      </w:r>
      <w:r w:rsidR="00E57656" w:rsidRPr="00E06B10">
        <w:t xml:space="preserve">he prevalence of stroke or transient ischaemic attacks (TIAs) in Barnet </w:t>
      </w:r>
      <w:r w:rsidR="00E57656">
        <w:t>wa</w:t>
      </w:r>
      <w:r w:rsidR="00E57656" w:rsidRPr="00E06B10">
        <w:t xml:space="preserve">s 1.3% compared to 1.7% in England. In </w:t>
      </w:r>
      <w:r w:rsidR="00E57656">
        <w:t>the same period</w:t>
      </w:r>
      <w:r w:rsidR="00E57656" w:rsidRPr="00E06B10">
        <w:t xml:space="preserve">, 4,957 people were diagnosed with a stroke and the rate of stroke mortality under 75 years of age was 12.4 / 100,000 people, which </w:t>
      </w:r>
      <w:r w:rsidR="00E57656">
        <w:t>wa</w:t>
      </w:r>
      <w:r w:rsidR="00E57656" w:rsidRPr="00E06B10">
        <w:t xml:space="preserve">s similar to </w:t>
      </w:r>
      <w:r w:rsidR="00E57656" w:rsidRPr="00632D96">
        <w:t xml:space="preserve">the average rate for England (13.7 / </w:t>
      </w:r>
      <w:bookmarkStart w:id="584" w:name="_Ref418082775"/>
      <w:r w:rsidR="004D5EDB">
        <w:t>100,000 people)</w:t>
      </w:r>
      <w:r w:rsidR="00E57656" w:rsidRPr="00632D96">
        <w:rPr>
          <w:rStyle w:val="FootnoteReference"/>
          <w:rFonts w:cs="Arial"/>
        </w:rPr>
        <w:footnoteReference w:id="42"/>
      </w:r>
      <w:bookmarkEnd w:id="584"/>
      <w:r w:rsidR="004D5EDB">
        <w:t>.</w:t>
      </w:r>
      <w:r w:rsidR="00E57656" w:rsidRPr="00632D96">
        <w:t xml:space="preserve"> </w:t>
      </w:r>
    </w:p>
    <w:p w:rsidR="00E57656" w:rsidRDefault="00E57656" w:rsidP="00E57656">
      <w:pPr>
        <w:jc w:val="both"/>
      </w:pPr>
      <w:r w:rsidRPr="00632D96">
        <w:t>In Barnet, the standardised mortality ratio (SMR) for deaths from stroke (at all ages) by ward was the highest in Childs Hill (117.7), Colindale (115.5) and Burnt Oak (110.3) wards while the lowest</w:t>
      </w:r>
      <w:r w:rsidR="004D5EDB">
        <w:t xml:space="preserve"> were</w:t>
      </w:r>
      <w:r w:rsidRPr="00632D96">
        <w:t xml:space="preserve"> in Finchley (47.9), Mill Hill (51) and Garden Suburb (53.1) wards for the period 2008-2012.</w:t>
      </w:r>
    </w:p>
    <w:p w:rsidR="00E57656" w:rsidRDefault="00E57656" w:rsidP="00E57656">
      <w:pPr>
        <w:jc w:val="both"/>
      </w:pPr>
      <w:r w:rsidRPr="00E06B10">
        <w:t xml:space="preserve">The rate of emergency hospital admissions for stroke in Barnet (235.4 / 100,000 people) </w:t>
      </w:r>
      <w:r>
        <w:t>wa</w:t>
      </w:r>
      <w:r w:rsidRPr="00E06B10">
        <w:t>s</w:t>
      </w:r>
      <w:r>
        <w:t xml:space="preserve"> </w:t>
      </w:r>
      <w:r w:rsidRPr="00E06B10">
        <w:t xml:space="preserve">higher than the </w:t>
      </w:r>
      <w:r>
        <w:t xml:space="preserve">national </w:t>
      </w:r>
      <w:r w:rsidRPr="00E06B10">
        <w:t xml:space="preserve">rate (174.3 / 100,000 people) (Figure </w:t>
      </w:r>
      <w:r>
        <w:t>5</w:t>
      </w:r>
      <w:r w:rsidRPr="00E06B10">
        <w:t>)</w:t>
      </w:r>
      <w:r w:rsidRPr="00E06B10">
        <w:fldChar w:fldCharType="begin"/>
      </w:r>
      <w:r w:rsidRPr="00E06B10">
        <w:instrText xml:space="preserve"> NOTEREF _Ref418082775 \f \h </w:instrText>
      </w:r>
      <w:r w:rsidRPr="00E06B10">
        <w:fldChar w:fldCharType="separate"/>
      </w:r>
      <w:r w:rsidR="001663C2" w:rsidRPr="001663C2">
        <w:rPr>
          <w:rStyle w:val="FootnoteReference"/>
        </w:rPr>
        <w:t>42</w:t>
      </w:r>
      <w:r w:rsidRPr="00E06B10">
        <w:fldChar w:fldCharType="end"/>
      </w:r>
      <w:r w:rsidR="004D5EDB">
        <w:t>.</w:t>
      </w:r>
      <w:r w:rsidRPr="00E06B10">
        <w:t xml:space="preserve"> Overall, the emergency hospital admissions rate due to stroke in Barnet increased by 51.9% from 2003-04 to 2013</w:t>
      </w:r>
      <w:r w:rsidR="00270AEE">
        <w:t>/</w:t>
      </w:r>
      <w:r w:rsidRPr="00E06B10">
        <w:t>14</w:t>
      </w:r>
      <w:r w:rsidRPr="00E06B10">
        <w:fldChar w:fldCharType="begin"/>
      </w:r>
      <w:r w:rsidRPr="00E06B10">
        <w:instrText xml:space="preserve"> NOTEREF _Ref418082775 \f \h </w:instrText>
      </w:r>
      <w:r w:rsidRPr="00E06B10">
        <w:fldChar w:fldCharType="separate"/>
      </w:r>
      <w:r w:rsidR="001663C2" w:rsidRPr="001663C2">
        <w:rPr>
          <w:rStyle w:val="FootnoteReference"/>
        </w:rPr>
        <w:t>42</w:t>
      </w:r>
      <w:r w:rsidRPr="00E06B10">
        <w:fldChar w:fldCharType="end"/>
      </w:r>
      <w:r w:rsidR="004D5EDB">
        <w:t>.</w:t>
      </w:r>
      <w:r w:rsidRPr="00E06B10">
        <w:t xml:space="preserve"> </w:t>
      </w:r>
    </w:p>
    <w:p w:rsidR="00E57656" w:rsidRDefault="00E57656" w:rsidP="00E57656">
      <w:pPr>
        <w:jc w:val="both"/>
      </w:pPr>
      <w:r w:rsidRPr="00632D96">
        <w:t>For the period 2008-2012, the standardised admission ratios (SAR) for emergency hospital admissions for stroke (all ages, persons) in Barnet was the highest in Burnt Oak (173), Colindale (152.3) and Coppetts (132.3) wards while the lowest</w:t>
      </w:r>
      <w:r w:rsidR="004D5EDB">
        <w:t xml:space="preserve"> were</w:t>
      </w:r>
      <w:r w:rsidRPr="00632D96">
        <w:t xml:space="preserve"> in Garden Suburb  (78.9), Hendon (91.9) and Brunswick (93.7) wards.</w:t>
      </w:r>
    </w:p>
    <w:p w:rsidR="00E57656" w:rsidRPr="00E06B10" w:rsidRDefault="00E57656" w:rsidP="00E57656">
      <w:pPr>
        <w:pStyle w:val="Caption"/>
      </w:pPr>
      <w:r>
        <w:t xml:space="preserve">Figure </w:t>
      </w:r>
      <w:fldSimple w:instr=" STYLEREF 1 \s ">
        <w:r w:rsidR="001663C2">
          <w:rPr>
            <w:noProof/>
          </w:rPr>
          <w:t>5</w:t>
        </w:r>
      </w:fldSimple>
      <w:r w:rsidR="00943DC2">
        <w:noBreakHyphen/>
      </w:r>
      <w:fldSimple w:instr=" SEQ Figure \* ARABIC \s 1 ">
        <w:r w:rsidR="001663C2">
          <w:rPr>
            <w:noProof/>
          </w:rPr>
          <w:t>5</w:t>
        </w:r>
      </w:fldSimple>
      <w:r>
        <w:t>:</w:t>
      </w:r>
      <w:r w:rsidRPr="00E06B10">
        <w:t xml:space="preserve"> Emergency hospital admissions in Barnet compared to England (standardised admission ratios) (from 2008-09 to 2012-13)</w:t>
      </w:r>
    </w:p>
    <w:p w:rsidR="00E57656" w:rsidRPr="00E06B10" w:rsidRDefault="00E57656" w:rsidP="00E57656">
      <w:pPr>
        <w:jc w:val="center"/>
      </w:pPr>
      <w:r w:rsidRPr="00E06B10">
        <w:rPr>
          <w:noProof/>
          <w:lang w:eastAsia="en-GB"/>
        </w:rPr>
        <w:drawing>
          <wp:inline distT="0" distB="0" distL="0" distR="0" wp14:anchorId="04A1BA12" wp14:editId="4B6BFF0F">
            <wp:extent cx="5724525" cy="272415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24525" cy="2724150"/>
                    </a:xfrm>
                    <a:prstGeom prst="rect">
                      <a:avLst/>
                    </a:prstGeom>
                    <a:noFill/>
                    <a:ln>
                      <a:noFill/>
                    </a:ln>
                  </pic:spPr>
                </pic:pic>
              </a:graphicData>
            </a:graphic>
          </wp:inline>
        </w:drawing>
      </w:r>
    </w:p>
    <w:p w:rsidR="00E57656" w:rsidRDefault="00E57656" w:rsidP="00E57656">
      <w:pPr>
        <w:pStyle w:val="Heading3"/>
        <w:numPr>
          <w:ilvl w:val="2"/>
          <w:numId w:val="35"/>
        </w:numPr>
        <w:jc w:val="both"/>
      </w:pPr>
      <w:bookmarkStart w:id="585" w:name="_Toc420678788"/>
      <w:r>
        <w:lastRenderedPageBreak/>
        <w:t xml:space="preserve">CVD </w:t>
      </w:r>
      <w:r w:rsidR="001C74D0">
        <w:t>P</w:t>
      </w:r>
      <w:r>
        <w:t>revention</w:t>
      </w:r>
      <w:bookmarkEnd w:id="585"/>
    </w:p>
    <w:p w:rsidR="00E57656" w:rsidRPr="00E06B10" w:rsidRDefault="00E57656" w:rsidP="00E57656">
      <w:pPr>
        <w:jc w:val="both"/>
      </w:pPr>
      <w:r w:rsidRPr="00E06B10">
        <w:t xml:space="preserve">In Barnet, there are variations in </w:t>
      </w:r>
      <w:r>
        <w:t xml:space="preserve">the </w:t>
      </w:r>
      <w:r w:rsidRPr="00E06B10">
        <w:t>prevalence of CHD and stroke at GP</w:t>
      </w:r>
      <w:r w:rsidRPr="00E06B10">
        <w:rPr>
          <w:vertAlign w:val="superscript"/>
        </w:rPr>
        <w:fldChar w:fldCharType="begin"/>
      </w:r>
      <w:r w:rsidRPr="00E06B10">
        <w:instrText xml:space="preserve"> NOTEREF _Ref418082713 \f \h </w:instrText>
      </w:r>
      <w:r>
        <w:rPr>
          <w:vertAlign w:val="superscript"/>
        </w:rPr>
        <w:instrText xml:space="preserve"> \* MERGEFORMAT </w:instrText>
      </w:r>
      <w:r w:rsidRPr="00E06B10">
        <w:rPr>
          <w:vertAlign w:val="superscript"/>
        </w:rPr>
      </w:r>
      <w:r w:rsidRPr="00E06B10">
        <w:rPr>
          <w:vertAlign w:val="superscript"/>
        </w:rPr>
        <w:fldChar w:fldCharType="separate"/>
      </w:r>
      <w:r w:rsidR="001663C2" w:rsidRPr="001663C2">
        <w:rPr>
          <w:rStyle w:val="FootnoteReference"/>
        </w:rPr>
        <w:t>41</w:t>
      </w:r>
      <w:r w:rsidRPr="00E06B10">
        <w:rPr>
          <w:vertAlign w:val="superscript"/>
        </w:rPr>
        <w:fldChar w:fldCharType="end"/>
      </w:r>
      <w:r w:rsidRPr="00E06B10">
        <w:rPr>
          <w:vertAlign w:val="superscript"/>
        </w:rPr>
        <w:t xml:space="preserve">, </w:t>
      </w:r>
      <w:r w:rsidRPr="00E06B10">
        <w:rPr>
          <w:vertAlign w:val="superscript"/>
        </w:rPr>
        <w:fldChar w:fldCharType="begin"/>
      </w:r>
      <w:r w:rsidRPr="00E06B10">
        <w:rPr>
          <w:vertAlign w:val="superscript"/>
        </w:rPr>
        <w:instrText xml:space="preserve"> NOTEREF _Ref418082775 \f \h </w:instrText>
      </w:r>
      <w:r>
        <w:rPr>
          <w:vertAlign w:val="superscript"/>
        </w:rPr>
        <w:instrText xml:space="preserve"> \* MERGEFORMAT </w:instrText>
      </w:r>
      <w:r w:rsidRPr="00E06B10">
        <w:rPr>
          <w:vertAlign w:val="superscript"/>
        </w:rPr>
      </w:r>
      <w:r w:rsidRPr="00E06B10">
        <w:rPr>
          <w:vertAlign w:val="superscript"/>
        </w:rPr>
        <w:fldChar w:fldCharType="separate"/>
      </w:r>
      <w:r w:rsidR="001663C2" w:rsidRPr="001663C2">
        <w:rPr>
          <w:rStyle w:val="FootnoteReference"/>
        </w:rPr>
        <w:t>42</w:t>
      </w:r>
      <w:r w:rsidRPr="00E06B10">
        <w:rPr>
          <w:vertAlign w:val="superscript"/>
        </w:rPr>
        <w:fldChar w:fldCharType="end"/>
      </w:r>
      <w:r w:rsidR="004D5EDB">
        <w:rPr>
          <w:vertAlign w:val="superscript"/>
        </w:rPr>
        <w:t xml:space="preserve"> </w:t>
      </w:r>
      <w:r w:rsidRPr="00E06B10">
        <w:t>and ward levels</w:t>
      </w:r>
      <w:r w:rsidRPr="00E06B10">
        <w:rPr>
          <w:rStyle w:val="FootnoteReference"/>
          <w:rFonts w:cs="Arial"/>
        </w:rPr>
        <w:footnoteReference w:id="43"/>
      </w:r>
      <w:r w:rsidR="004D5EDB">
        <w:t xml:space="preserve">. </w:t>
      </w:r>
      <w:r w:rsidRPr="00E06B10">
        <w:t xml:space="preserve">The higher prevalence in particular </w:t>
      </w:r>
      <w:r>
        <w:t xml:space="preserve">Barnet </w:t>
      </w:r>
      <w:r w:rsidRPr="00E06B10">
        <w:t xml:space="preserve">wards and GP registered </w:t>
      </w:r>
      <w:proofErr w:type="gramStart"/>
      <w:r w:rsidRPr="00E06B10">
        <w:t>population</w:t>
      </w:r>
      <w:r>
        <w:t>s</w:t>
      </w:r>
      <w:proofErr w:type="gramEnd"/>
      <w:r w:rsidRPr="00E06B10">
        <w:t xml:space="preserve"> merit</w:t>
      </w:r>
      <w:r>
        <w:t>s</w:t>
      </w:r>
      <w:r w:rsidRPr="00E06B10">
        <w:t xml:space="preserve"> further investigation. </w:t>
      </w:r>
      <w:r>
        <w:t xml:space="preserve">Barnet people of </w:t>
      </w:r>
      <w:r w:rsidRPr="00E06B10">
        <w:t xml:space="preserve">Black, Asian and Minority Ethnic (BAME) </w:t>
      </w:r>
      <w:r>
        <w:t xml:space="preserve">origin </w:t>
      </w:r>
      <w:r w:rsidRPr="00E06B10">
        <w:t xml:space="preserve">are more likely to </w:t>
      </w:r>
      <w:r>
        <w:t>experience</w:t>
      </w:r>
      <w:r w:rsidRPr="00E06B10">
        <w:t xml:space="preserve"> CHD or stroke. </w:t>
      </w:r>
    </w:p>
    <w:p w:rsidR="00E57656" w:rsidRPr="00E06B10" w:rsidRDefault="00E57656" w:rsidP="00E57656">
      <w:pPr>
        <w:jc w:val="both"/>
      </w:pPr>
      <w:r w:rsidRPr="00E06B10">
        <w:t>CVD can be prevented by reducing a number of behavioural risk factors such as tobacco use, unhealthy diet</w:t>
      </w:r>
      <w:r>
        <w:t xml:space="preserve">, </w:t>
      </w:r>
      <w:r w:rsidRPr="00E06B10">
        <w:t xml:space="preserve">obesity, physical inactivity and use of alcohol </w:t>
      </w:r>
      <w:r>
        <w:t xml:space="preserve">by means of </w:t>
      </w:r>
      <w:r w:rsidR="004D5EDB">
        <w:t>population-wide strategies</w:t>
      </w:r>
      <w:r w:rsidRPr="00E06B10">
        <w:fldChar w:fldCharType="begin"/>
      </w:r>
      <w:r w:rsidRPr="00E06B10">
        <w:instrText xml:space="preserve"> NOTEREF _Ref418083232 \f \h </w:instrText>
      </w:r>
      <w:r>
        <w:instrText xml:space="preserve"> \* MERGEFORMAT </w:instrText>
      </w:r>
      <w:r w:rsidRPr="00E06B10">
        <w:fldChar w:fldCharType="separate"/>
      </w:r>
      <w:r w:rsidR="001663C2" w:rsidRPr="001663C2">
        <w:rPr>
          <w:rStyle w:val="FootnoteReference"/>
        </w:rPr>
        <w:t>37</w:t>
      </w:r>
      <w:r w:rsidRPr="00E06B10">
        <w:fldChar w:fldCharType="end"/>
      </w:r>
      <w:r w:rsidR="004D5EDB">
        <w:t>.</w:t>
      </w:r>
      <w:r w:rsidRPr="00E06B10">
        <w:t xml:space="preserve"> A number of initiatives aimed at reducing the behavioural risk factors associated with CVD have been initiated</w:t>
      </w:r>
      <w:r w:rsidR="004D5EDB">
        <w:t>,</w:t>
      </w:r>
      <w:r w:rsidRPr="00E06B10">
        <w:t xml:space="preserve"> such as the </w:t>
      </w:r>
      <w:bookmarkStart w:id="586" w:name="_Hlk415043423"/>
      <w:r w:rsidRPr="00E06B10">
        <w:fldChar w:fldCharType="begin"/>
      </w:r>
      <w:r w:rsidRPr="00E06B10">
        <w:instrText xml:space="preserve"> HYPERLINK "http://www.healthcheck.nhs.uk/" </w:instrText>
      </w:r>
      <w:r w:rsidRPr="00E06B10">
        <w:fldChar w:fldCharType="separate"/>
      </w:r>
      <w:r w:rsidRPr="00E06B10">
        <w:rPr>
          <w:rStyle w:val="Hyperlink"/>
          <w:rFonts w:cs="Arial"/>
        </w:rPr>
        <w:t>NHS Health Check program</w:t>
      </w:r>
      <w:bookmarkEnd w:id="586"/>
      <w:r w:rsidRPr="00E06B10">
        <w:fldChar w:fldCharType="end"/>
      </w:r>
      <w:r w:rsidRPr="00E06B10">
        <w:t xml:space="preserve">, which involves carrying out medical tests </w:t>
      </w:r>
      <w:r>
        <w:t>including</w:t>
      </w:r>
      <w:r w:rsidRPr="00E06B10">
        <w:t xml:space="preserve"> measuring blood cholesterol level</w:t>
      </w:r>
      <w:r>
        <w:t>s</w:t>
      </w:r>
      <w:r w:rsidRPr="00E06B10">
        <w:t xml:space="preserve"> among people aged 40-74 years. In 2013</w:t>
      </w:r>
      <w:r w:rsidR="00270AEE">
        <w:t>/</w:t>
      </w:r>
      <w:r w:rsidRPr="00E06B10">
        <w:t>14, 91,139 persons in Barnet were eligible for a</w:t>
      </w:r>
      <w:r>
        <w:t>n</w:t>
      </w:r>
      <w:r w:rsidRPr="00E06B10">
        <w:t xml:space="preserve"> NHS health check</w:t>
      </w:r>
      <w:r>
        <w:t>;</w:t>
      </w:r>
      <w:r w:rsidRPr="00E06B10">
        <w:t xml:space="preserve"> of </w:t>
      </w:r>
      <w:r>
        <w:t>these</w:t>
      </w:r>
      <w:r w:rsidRPr="00E06B10">
        <w:t xml:space="preserve"> 14,657 people (16.1%) were offered a health check</w:t>
      </w:r>
      <w:r>
        <w:t xml:space="preserve"> but </w:t>
      </w:r>
      <w:r w:rsidRPr="00E06B10">
        <w:t xml:space="preserve">only 37.3% </w:t>
      </w:r>
      <w:r>
        <w:t xml:space="preserve">of these </w:t>
      </w:r>
      <w:r w:rsidRPr="00E06B10">
        <w:t>(</w:t>
      </w:r>
      <w:r>
        <w:t>n=</w:t>
      </w:r>
      <w:r w:rsidRPr="00E06B10">
        <w:t>5</w:t>
      </w:r>
      <w:r w:rsidR="00494413">
        <w:t>,</w:t>
      </w:r>
      <w:r w:rsidRPr="00E06B10">
        <w:t>469 persons) actually received a</w:t>
      </w:r>
      <w:r>
        <w:t>n</w:t>
      </w:r>
      <w:r w:rsidRPr="00E06B10">
        <w:t xml:space="preserve"> NHS health check. Overall, NHS Health Check appointments offered and received in Barnet are lower than the average</w:t>
      </w:r>
      <w:r>
        <w:t xml:space="preserve"> values </w:t>
      </w:r>
      <w:r w:rsidRPr="00E06B10">
        <w:t xml:space="preserve">for England </w:t>
      </w:r>
      <w:r>
        <w:t>(</w:t>
      </w:r>
      <w:r w:rsidRPr="00E06B10">
        <w:t>18% offered and 49% received</w:t>
      </w:r>
      <w:r>
        <w:t>)</w:t>
      </w:r>
      <w:r w:rsidRPr="00E06B10">
        <w:t xml:space="preserve">. </w:t>
      </w:r>
    </w:p>
    <w:p w:rsidR="00E57656" w:rsidRPr="00E06B10" w:rsidRDefault="00E57656" w:rsidP="00E57656">
      <w:pPr>
        <w:pStyle w:val="Heading2"/>
        <w:numPr>
          <w:ilvl w:val="1"/>
          <w:numId w:val="35"/>
        </w:numPr>
        <w:jc w:val="both"/>
        <w:rPr>
          <w:rFonts w:asciiTheme="minorHAnsi" w:hAnsiTheme="minorHAnsi"/>
        </w:rPr>
      </w:pPr>
      <w:bookmarkStart w:id="587" w:name="_Toc420678789"/>
      <w:bookmarkStart w:id="588" w:name="_Toc426723334"/>
      <w:bookmarkStart w:id="589" w:name="_Toc431225161"/>
      <w:r w:rsidRPr="00E06B10">
        <w:rPr>
          <w:rFonts w:asciiTheme="minorHAnsi" w:hAnsiTheme="minorHAnsi"/>
        </w:rPr>
        <w:t>Cancers</w:t>
      </w:r>
      <w:bookmarkEnd w:id="587"/>
      <w:bookmarkEnd w:id="588"/>
      <w:bookmarkEnd w:id="589"/>
    </w:p>
    <w:p w:rsidR="00E57656" w:rsidRPr="00E06B10" w:rsidRDefault="00E57656" w:rsidP="00494413">
      <w:pPr>
        <w:jc w:val="both"/>
      </w:pPr>
      <w:r w:rsidRPr="00E06B10">
        <w:t xml:space="preserve">Cancers of </w:t>
      </w:r>
      <w:r>
        <w:t xml:space="preserve">the </w:t>
      </w:r>
      <w:r w:rsidRPr="00E06B10">
        <w:t xml:space="preserve">breast, bowel, lung, and prostate are the most common cancers in England. </w:t>
      </w:r>
      <w:r>
        <w:t>The p</w:t>
      </w:r>
      <w:r w:rsidRPr="00E06B10">
        <w:t xml:space="preserve">revalence rate of these cancers in Barnet is lower than in </w:t>
      </w:r>
      <w:r>
        <w:t xml:space="preserve">the </w:t>
      </w:r>
      <w:r w:rsidRPr="00E06B10">
        <w:t xml:space="preserve">London </w:t>
      </w:r>
      <w:r>
        <w:t xml:space="preserve">region </w:t>
      </w:r>
      <w:r w:rsidR="00494413">
        <w:t>and England</w:t>
      </w:r>
      <w:r w:rsidRPr="00E06B10">
        <w:rPr>
          <w:rStyle w:val="FootnoteReference"/>
          <w:rFonts w:cs="Arial"/>
        </w:rPr>
        <w:footnoteReference w:id="44"/>
      </w:r>
      <w:r w:rsidR="00494413">
        <w:t>.</w:t>
      </w:r>
      <w:r w:rsidRPr="00E06B10">
        <w:t xml:space="preserve"> </w:t>
      </w:r>
    </w:p>
    <w:p w:rsidR="00E57656" w:rsidRDefault="00E57656" w:rsidP="00E57656">
      <w:pPr>
        <w:pStyle w:val="Heading3"/>
        <w:numPr>
          <w:ilvl w:val="2"/>
          <w:numId w:val="35"/>
        </w:numPr>
        <w:jc w:val="both"/>
      </w:pPr>
      <w:bookmarkStart w:id="590" w:name="_Toc420678790"/>
      <w:r>
        <w:t xml:space="preserve">Cancer </w:t>
      </w:r>
      <w:r w:rsidR="001C74D0">
        <w:t>I</w:t>
      </w:r>
      <w:r>
        <w:t>ncidence</w:t>
      </w:r>
      <w:bookmarkEnd w:id="590"/>
      <w:r>
        <w:t xml:space="preserve"> </w:t>
      </w:r>
    </w:p>
    <w:p w:rsidR="00E57656" w:rsidRDefault="00E57656" w:rsidP="00E57656">
      <w:pPr>
        <w:jc w:val="both"/>
      </w:pPr>
      <w:r w:rsidRPr="00E06B10">
        <w:t xml:space="preserve">The incidence rate for all cancers in Barnet (356.7 per 100,000) is lower than the average </w:t>
      </w:r>
      <w:bookmarkStart w:id="591" w:name="_Ref418083636"/>
      <w:r w:rsidR="000F6A6C">
        <w:t>for England (398.1 per 100,000)</w:t>
      </w:r>
      <w:r w:rsidRPr="00E06B10">
        <w:rPr>
          <w:rStyle w:val="FootnoteReference"/>
          <w:rFonts w:cs="Arial"/>
        </w:rPr>
        <w:footnoteReference w:id="45"/>
      </w:r>
      <w:bookmarkEnd w:id="591"/>
      <w:r w:rsidR="000F6A6C">
        <w:t xml:space="preserve">. </w:t>
      </w:r>
      <w:r w:rsidRPr="00E06B10">
        <w:t>The incidence rates (per 100,000) of breast cancer (126.6), prostate cancer (99.8 per 100,000), cervical cancer (6.7), ovarian cancer (14.9) and stomach cancer (8.1) are similar to the national average rates of these cancers (i.e. 125.7, 105.8, 8.8, 16.7 and 8.4 per 100,000, respectively)</w:t>
      </w:r>
      <w:r w:rsidRPr="00E06B10">
        <w:fldChar w:fldCharType="begin"/>
      </w:r>
      <w:r w:rsidRPr="00E06B10">
        <w:instrText xml:space="preserve"> NOTEREF _Ref418083636 \f \h </w:instrText>
      </w:r>
      <w:r>
        <w:instrText xml:space="preserve"> \* MERGEFORMAT </w:instrText>
      </w:r>
      <w:r w:rsidRPr="00E06B10">
        <w:fldChar w:fldCharType="separate"/>
      </w:r>
      <w:r w:rsidR="001663C2" w:rsidRPr="001663C2">
        <w:rPr>
          <w:rStyle w:val="FootnoteReference"/>
        </w:rPr>
        <w:t>45</w:t>
      </w:r>
      <w:r w:rsidRPr="00E06B10">
        <w:fldChar w:fldCharType="end"/>
      </w:r>
      <w:r w:rsidR="00063420">
        <w:t>.</w:t>
      </w:r>
      <w:r w:rsidRPr="00E06B10">
        <w:t xml:space="preserve"> The incidence rate of lung cancer (35.6 per 100,000) and bowel cancer (403 per 100,000) in Barnet are lower than the average rates of these cancers </w:t>
      </w:r>
      <w:r>
        <w:t xml:space="preserve">in </w:t>
      </w:r>
      <w:r w:rsidRPr="00E06B10">
        <w:t>England (47.7 and 46.5 per 1000,000 respectively)</w:t>
      </w:r>
      <w:r w:rsidRPr="00E06B10">
        <w:fldChar w:fldCharType="begin"/>
      </w:r>
      <w:r w:rsidRPr="00E06B10">
        <w:instrText xml:space="preserve"> NOTEREF _Ref418083636 \f \h </w:instrText>
      </w:r>
      <w:r w:rsidRPr="00E06B10">
        <w:fldChar w:fldCharType="separate"/>
      </w:r>
      <w:r w:rsidR="001663C2" w:rsidRPr="001663C2">
        <w:rPr>
          <w:rStyle w:val="FootnoteReference"/>
        </w:rPr>
        <w:t>45</w:t>
      </w:r>
      <w:r w:rsidRPr="00E06B10">
        <w:fldChar w:fldCharType="end"/>
      </w:r>
      <w:r w:rsidR="000F6A6C">
        <w:t>.</w:t>
      </w:r>
      <w:r w:rsidRPr="00E06B10">
        <w:t xml:space="preserve"> </w:t>
      </w:r>
    </w:p>
    <w:p w:rsidR="00E57656" w:rsidRPr="00E06B10" w:rsidRDefault="00E57656" w:rsidP="00E57656">
      <w:pPr>
        <w:jc w:val="both"/>
      </w:pPr>
      <w:r w:rsidRPr="00632D96">
        <w:t>Data for 2007-2011 shows that new cases of cancer (stan</w:t>
      </w:r>
      <w:r w:rsidR="00063420">
        <w:t>dardised incidence ratio) vary by the type of cancer across</w:t>
      </w:r>
      <w:r w:rsidRPr="00632D96">
        <w:t xml:space="preserve"> Barnet wards. Breast cancer incidence was the highest in Mill Hill ward (118.2) and the lowest in Burnt Oak ward (77.5). The Coppetts ward had the highest incidence of colorectal cancer (122.8) and lung cancer (117.3) while Hale ward had the lowest incidence of colorectal cancer (69.8) and Garden Suburb ward had the lowest incidence of lung cancer (53.2). The incidence of prostate cancer was the highest in West Finchley ward (115.6) and the lowest in Brunt Oak ward (72.6). Overall, the Underhill ward had the highest incidence of all cancers (103.3) and the Garden suburb ward the lowest incidence of all cancers (86.2) during 2007-2011.</w:t>
      </w:r>
      <w:r>
        <w:t xml:space="preserve"> </w:t>
      </w:r>
    </w:p>
    <w:p w:rsidR="00E57656" w:rsidRDefault="001C74D0" w:rsidP="00E57656">
      <w:pPr>
        <w:pStyle w:val="Heading3"/>
        <w:numPr>
          <w:ilvl w:val="2"/>
          <w:numId w:val="35"/>
        </w:numPr>
        <w:jc w:val="both"/>
      </w:pPr>
      <w:bookmarkStart w:id="592" w:name="_Toc420678791"/>
      <w:r>
        <w:t>Cancer M</w:t>
      </w:r>
      <w:r w:rsidR="00E57656">
        <w:t>ortality</w:t>
      </w:r>
      <w:bookmarkEnd w:id="592"/>
      <w:r w:rsidR="00E57656">
        <w:t xml:space="preserve"> </w:t>
      </w:r>
    </w:p>
    <w:p w:rsidR="00E57656" w:rsidRPr="00E06B10" w:rsidRDefault="00E57656" w:rsidP="00E57656">
      <w:pPr>
        <w:jc w:val="both"/>
      </w:pPr>
      <w:r w:rsidRPr="00E06B10">
        <w:t>Overall cance</w:t>
      </w:r>
      <w:r w:rsidR="00063420">
        <w:t>r related deaths in all persons</w:t>
      </w:r>
      <w:r w:rsidRPr="00E06B10">
        <w:t xml:space="preserve"> </w:t>
      </w:r>
      <w:r w:rsidR="00063420">
        <w:t>in B</w:t>
      </w:r>
      <w:r w:rsidRPr="00E06B10">
        <w:t xml:space="preserve">arnet are lower than in London and England. The directly standardised rates (DSR) for all cancer mortality </w:t>
      </w:r>
      <w:r>
        <w:t>in</w:t>
      </w:r>
      <w:r w:rsidR="00063420">
        <w:t xml:space="preserve"> all persons </w:t>
      </w:r>
      <w:r>
        <w:t>age</w:t>
      </w:r>
      <w:r w:rsidR="00063420">
        <w:t>d</w:t>
      </w:r>
      <w:r>
        <w:t xml:space="preserve"> </w:t>
      </w:r>
      <w:proofErr w:type="gramStart"/>
      <w:r w:rsidRPr="00E06B10">
        <w:t>under</w:t>
      </w:r>
      <w:proofErr w:type="gramEnd"/>
      <w:r w:rsidRPr="00E06B10">
        <w:t xml:space="preserve"> 75</w:t>
      </w:r>
      <w:r>
        <w:t xml:space="preserve"> years</w:t>
      </w:r>
      <w:r w:rsidR="00063420">
        <w:t xml:space="preserve"> in females </w:t>
      </w:r>
      <w:r w:rsidRPr="00E06B10">
        <w:t xml:space="preserve">in Barnet are also less than the average London regional and national rates. The age-standardised mortality rates (ASMR) for cancer in patients </w:t>
      </w:r>
      <w:r>
        <w:t xml:space="preserve">aged </w:t>
      </w:r>
      <w:r w:rsidRPr="00E06B10">
        <w:t xml:space="preserve">less than 75 years have decreased in </w:t>
      </w:r>
      <w:r w:rsidR="00063420">
        <w:lastRenderedPageBreak/>
        <w:t>2008-2010 compared to 1995-1997</w:t>
      </w:r>
      <w:r w:rsidRPr="00E06B10">
        <w:rPr>
          <w:rStyle w:val="FootnoteReference"/>
          <w:rFonts w:cs="Arial"/>
        </w:rPr>
        <w:footnoteReference w:id="46"/>
      </w:r>
      <w:r w:rsidR="00063420">
        <w:t>.</w:t>
      </w:r>
      <w:r w:rsidRPr="00E06B10">
        <w:t xml:space="preserve"> The highest reduction is in colorectal cancers in females (57%) followed by breast cancer in female (36%), lung cancer in males (36%), prostate cancer (27%) and upper GI cancer in males (20%). </w:t>
      </w:r>
      <w:r>
        <w:t>The</w:t>
      </w:r>
      <w:r w:rsidRPr="00E06B10">
        <w:t xml:space="preserve"> reduction of the ASMR due to upper GI cancer in females was 24% less in 2008-2010 compared to 1995-1997. </w:t>
      </w:r>
    </w:p>
    <w:p w:rsidR="00E57656" w:rsidRDefault="00E57656" w:rsidP="00E57656">
      <w:pPr>
        <w:pStyle w:val="Heading3"/>
        <w:numPr>
          <w:ilvl w:val="2"/>
          <w:numId w:val="35"/>
        </w:numPr>
        <w:jc w:val="both"/>
      </w:pPr>
      <w:bookmarkStart w:id="593" w:name="_Toc420678792"/>
      <w:r>
        <w:t xml:space="preserve">Cancer </w:t>
      </w:r>
      <w:r w:rsidR="001C74D0">
        <w:t>S</w:t>
      </w:r>
      <w:r>
        <w:t>urvival</w:t>
      </w:r>
      <w:bookmarkEnd w:id="593"/>
    </w:p>
    <w:p w:rsidR="00E57656" w:rsidRPr="00E06B10" w:rsidRDefault="00E57656" w:rsidP="00E57656">
      <w:pPr>
        <w:jc w:val="both"/>
      </w:pPr>
      <w:r w:rsidRPr="00E06B10">
        <w:t>One-year net survival index</w:t>
      </w:r>
      <w:r>
        <w:t xml:space="preserve"> for </w:t>
      </w:r>
      <w:r w:rsidRPr="00E06B10">
        <w:t xml:space="preserve">all types of cancers combined in adults (aged 15-99 years) in Barnet is higher (73.5%) than the average for </w:t>
      </w:r>
      <w:r>
        <w:t xml:space="preserve">the </w:t>
      </w:r>
      <w:r w:rsidRPr="00E06B10">
        <w:t xml:space="preserve">London </w:t>
      </w:r>
      <w:r>
        <w:t xml:space="preserve">region </w:t>
      </w:r>
      <w:r w:rsidR="00063420">
        <w:t>(69.7%) and England (69.3%)</w:t>
      </w:r>
      <w:r w:rsidRPr="00E06B10">
        <w:rPr>
          <w:rStyle w:val="FootnoteReference"/>
          <w:rFonts w:cs="Arial"/>
        </w:rPr>
        <w:footnoteReference w:id="47"/>
      </w:r>
      <w:r w:rsidR="00063420">
        <w:t>.</w:t>
      </w:r>
      <w:r w:rsidRPr="00E06B10">
        <w:t xml:space="preserve"> From 1997 to 2012, one year survival index for three cancers combined (breast </w:t>
      </w:r>
      <w:r>
        <w:t>[</w:t>
      </w:r>
      <w:r w:rsidRPr="00E06B10">
        <w:t>women</w:t>
      </w:r>
      <w:r>
        <w:t>]</w:t>
      </w:r>
      <w:r w:rsidRPr="00E06B10">
        <w:t xml:space="preserve">, colorectal and lung) in adults (aged 15-99 years) in Barnet was higher than London and England but lower than </w:t>
      </w:r>
      <w:r>
        <w:t xml:space="preserve">in </w:t>
      </w:r>
      <w:r w:rsidRPr="00E06B10">
        <w:t>the nei</w:t>
      </w:r>
      <w:r w:rsidR="00063420">
        <w:t>ghbouring Harrow and Brent CCGs</w:t>
      </w:r>
      <w:r w:rsidRPr="00E06B10">
        <w:rPr>
          <w:rStyle w:val="FootnoteReference"/>
          <w:rFonts w:cs="Arial"/>
        </w:rPr>
        <w:footnoteReference w:id="48"/>
      </w:r>
      <w:r w:rsidR="00063420">
        <w:t>.</w:t>
      </w:r>
    </w:p>
    <w:p w:rsidR="00E57656" w:rsidRDefault="001C74D0" w:rsidP="00E57656">
      <w:pPr>
        <w:pStyle w:val="Heading3"/>
        <w:numPr>
          <w:ilvl w:val="2"/>
          <w:numId w:val="35"/>
        </w:numPr>
        <w:jc w:val="both"/>
      </w:pPr>
      <w:bookmarkStart w:id="594" w:name="_Toc420678793"/>
      <w:r>
        <w:t>Cancer S</w:t>
      </w:r>
      <w:r w:rsidR="00E57656" w:rsidRPr="00E06B10">
        <w:t>creening</w:t>
      </w:r>
      <w:bookmarkEnd w:id="594"/>
    </w:p>
    <w:p w:rsidR="00E57656" w:rsidRPr="00E06B10" w:rsidRDefault="00E57656" w:rsidP="00E57656">
      <w:r w:rsidRPr="00E06B10">
        <w:t>Cancer screening coverage for breast cancer</w:t>
      </w:r>
      <w:r w:rsidR="00063420">
        <w:t xml:space="preserve"> (female)</w:t>
      </w:r>
      <w:r w:rsidRPr="00E06B10">
        <w:t xml:space="preserve"> in Barnet is better than </w:t>
      </w:r>
      <w:r>
        <w:t xml:space="preserve">the average for the </w:t>
      </w:r>
      <w:r w:rsidRPr="00E06B10">
        <w:t>London</w:t>
      </w:r>
      <w:r>
        <w:t xml:space="preserve"> region </w:t>
      </w:r>
      <w:r w:rsidRPr="00E06B10">
        <w:t xml:space="preserve">but </w:t>
      </w:r>
      <w:r>
        <w:t>worse</w:t>
      </w:r>
      <w:r w:rsidRPr="00E06B10">
        <w:t xml:space="preserve"> than </w:t>
      </w:r>
      <w:r>
        <w:t xml:space="preserve">the national average </w:t>
      </w:r>
      <w:r w:rsidRPr="00E06B10">
        <w:t xml:space="preserve">(Figure </w:t>
      </w:r>
      <w:r w:rsidR="00063420">
        <w:t>5-6</w:t>
      </w:r>
      <w:r w:rsidRPr="00E06B10">
        <w:t>a</w:t>
      </w:r>
      <w:r w:rsidR="00063420">
        <w:t xml:space="preserve"> and b</w:t>
      </w:r>
      <w:r w:rsidRPr="00E06B10">
        <w:t>); while, cervical cancer screening coverage in Barnet is wors</w:t>
      </w:r>
      <w:r>
        <w:t>e</w:t>
      </w:r>
      <w:r w:rsidRPr="00E06B10">
        <w:t xml:space="preserve"> than </w:t>
      </w:r>
      <w:r>
        <w:t xml:space="preserve">the average rates for </w:t>
      </w:r>
      <w:r w:rsidRPr="00E06B10">
        <w:t xml:space="preserve">London </w:t>
      </w:r>
      <w:r>
        <w:t xml:space="preserve">region </w:t>
      </w:r>
      <w:r w:rsidR="00063420">
        <w:t>and England</w:t>
      </w:r>
      <w:r w:rsidRPr="00E06B10">
        <w:t xml:space="preserve">. </w:t>
      </w:r>
    </w:p>
    <w:p w:rsidR="00E57656" w:rsidRPr="00E06B10" w:rsidRDefault="00E57656" w:rsidP="00E57656">
      <w:pPr>
        <w:pStyle w:val="Caption"/>
      </w:pPr>
      <w:r>
        <w:t xml:space="preserve">Figure </w:t>
      </w:r>
      <w:fldSimple w:instr=" STYLEREF 1 \s ">
        <w:r w:rsidR="001663C2">
          <w:rPr>
            <w:noProof/>
          </w:rPr>
          <w:t>5</w:t>
        </w:r>
      </w:fldSimple>
      <w:r w:rsidR="00943DC2">
        <w:noBreakHyphen/>
      </w:r>
      <w:fldSimple w:instr=" SEQ Figure \* ARABIC \s 1 ">
        <w:r w:rsidR="001663C2">
          <w:rPr>
            <w:noProof/>
          </w:rPr>
          <w:t>6</w:t>
        </w:r>
      </w:fldSimple>
      <w:r>
        <w:t>a&amp;b:</w:t>
      </w:r>
      <w:r w:rsidRPr="00E06B10">
        <w:t xml:space="preserve"> Breast (Female) Cancer and screening</w:t>
      </w:r>
    </w:p>
    <w:p w:rsidR="00E57656" w:rsidRDefault="00E57656" w:rsidP="00E57656">
      <w:pPr>
        <w:jc w:val="center"/>
      </w:pPr>
      <w:r w:rsidRPr="00E06B10">
        <w:rPr>
          <w:noProof/>
          <w:lang w:eastAsia="en-GB"/>
        </w:rPr>
        <w:drawing>
          <wp:inline distT="0" distB="0" distL="0" distR="0" wp14:anchorId="0924B6F9" wp14:editId="608C1DBC">
            <wp:extent cx="5342399" cy="2112987"/>
            <wp:effectExtent l="0" t="0" r="0" b="190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343359" cy="2113367"/>
                    </a:xfrm>
                    <a:prstGeom prst="rect">
                      <a:avLst/>
                    </a:prstGeom>
                  </pic:spPr>
                </pic:pic>
              </a:graphicData>
            </a:graphic>
          </wp:inline>
        </w:drawing>
      </w:r>
    </w:p>
    <w:p w:rsidR="00E57656" w:rsidRPr="00E06B10" w:rsidRDefault="00063420" w:rsidP="00E57656">
      <w:pPr>
        <w:jc w:val="both"/>
      </w:pPr>
      <w:r>
        <w:t>Data for three</w:t>
      </w:r>
      <w:r w:rsidR="00E57656" w:rsidRPr="00E06B10">
        <w:t xml:space="preserve"> years prior to March 2014</w:t>
      </w:r>
      <w:r w:rsidR="00E57656">
        <w:t>,</w:t>
      </w:r>
      <w:r w:rsidR="00E57656" w:rsidRPr="00E06B10">
        <w:t xml:space="preserve"> show</w:t>
      </w:r>
      <w:r w:rsidR="00E57656">
        <w:t>s</w:t>
      </w:r>
      <w:r w:rsidR="00E57656" w:rsidRPr="00E06B10">
        <w:t xml:space="preserve"> that the rate of cancer screening coverage for breast cancer was 71.2% in Barnet, which is better than </w:t>
      </w:r>
      <w:r w:rsidR="00E57656">
        <w:t xml:space="preserve">the </w:t>
      </w:r>
      <w:r w:rsidR="00E57656" w:rsidRPr="00E06B10">
        <w:t xml:space="preserve">average coverage rate for </w:t>
      </w:r>
      <w:r w:rsidR="00E57656">
        <w:t xml:space="preserve">the </w:t>
      </w:r>
      <w:r w:rsidR="00E57656" w:rsidRPr="00E06B10">
        <w:t>London</w:t>
      </w:r>
      <w:r w:rsidR="00E57656">
        <w:t xml:space="preserve"> region</w:t>
      </w:r>
      <w:r w:rsidR="00E57656" w:rsidRPr="00E06B10">
        <w:t xml:space="preserve"> (68.9%) but </w:t>
      </w:r>
      <w:r w:rsidR="00E57656">
        <w:t>worse</w:t>
      </w:r>
      <w:r w:rsidR="00E57656" w:rsidRPr="00E06B10">
        <w:t xml:space="preserve"> than the </w:t>
      </w:r>
      <w:r w:rsidR="00E57656">
        <w:t xml:space="preserve">rate for </w:t>
      </w:r>
      <w:r w:rsidR="00E57656" w:rsidRPr="00E06B10">
        <w:t>England (75.9%)</w:t>
      </w:r>
      <w:r w:rsidR="00E57656" w:rsidRPr="00E06B10">
        <w:rPr>
          <w:rStyle w:val="FootnoteReference"/>
          <w:rFonts w:cs="Arial"/>
        </w:rPr>
        <w:footnoteReference w:id="49"/>
      </w:r>
      <w:r>
        <w:t>.</w:t>
      </w:r>
      <w:r w:rsidR="00E57656" w:rsidRPr="00E06B10">
        <w:t xml:space="preserve"> For the same period, coverage for cervical cancer screening was 68.8% </w:t>
      </w:r>
      <w:r w:rsidR="00E57656">
        <w:t xml:space="preserve">in Barnet </w:t>
      </w:r>
      <w:r w:rsidR="00E57656" w:rsidRPr="00E06B10">
        <w:t xml:space="preserve">that is lower than </w:t>
      </w:r>
      <w:r w:rsidR="00E57656">
        <w:t xml:space="preserve">the </w:t>
      </w:r>
      <w:r w:rsidR="00E57656" w:rsidRPr="00E06B10">
        <w:t>average</w:t>
      </w:r>
      <w:r w:rsidR="00E57656">
        <w:t>s</w:t>
      </w:r>
      <w:r w:rsidR="00E57656" w:rsidRPr="00E06B10">
        <w:t xml:space="preserve"> for </w:t>
      </w:r>
      <w:r w:rsidR="00E57656">
        <w:t xml:space="preserve">the </w:t>
      </w:r>
      <w:r w:rsidR="00E57656" w:rsidRPr="00E06B10">
        <w:t xml:space="preserve">London </w:t>
      </w:r>
      <w:r w:rsidR="00E57656">
        <w:t xml:space="preserve">region </w:t>
      </w:r>
      <w:r w:rsidR="00E57656" w:rsidRPr="00E06B10">
        <w:t>(70.3%) and England (74.2</w:t>
      </w:r>
      <w:r>
        <w:t>%</w:t>
      </w:r>
      <w:r w:rsidR="00E57656" w:rsidRPr="00E06B10">
        <w:t>). These findings suggest a gap between the eligible population and population covered in screening for cervical and breast cancers in females</w:t>
      </w:r>
      <w:r w:rsidR="00DF3097">
        <w:t xml:space="preserve">. </w:t>
      </w:r>
    </w:p>
    <w:p w:rsidR="00E57656" w:rsidRDefault="001C74D0" w:rsidP="00E57656">
      <w:pPr>
        <w:pStyle w:val="Heading3"/>
        <w:numPr>
          <w:ilvl w:val="2"/>
          <w:numId w:val="35"/>
        </w:numPr>
        <w:jc w:val="both"/>
      </w:pPr>
      <w:bookmarkStart w:id="595" w:name="_Toc420678794"/>
      <w:r>
        <w:t>Cancer R</w:t>
      </w:r>
      <w:r w:rsidR="00E57656" w:rsidRPr="00E06B10">
        <w:t>egistration</w:t>
      </w:r>
      <w:bookmarkEnd w:id="595"/>
      <w:r w:rsidR="00E57656" w:rsidRPr="00E06B10">
        <w:t xml:space="preserve"> </w:t>
      </w:r>
    </w:p>
    <w:p w:rsidR="00E57656" w:rsidRPr="00E06B10" w:rsidRDefault="00E57656" w:rsidP="00E57656">
      <w:pPr>
        <w:jc w:val="both"/>
      </w:pPr>
      <w:r>
        <w:t>For 2010-2012 period, cancer r</w:t>
      </w:r>
      <w:r w:rsidRPr="00E06B10">
        <w:t xml:space="preserve">egistration rates </w:t>
      </w:r>
      <w:r>
        <w:t xml:space="preserve">(directly standardised rates per 100,000) </w:t>
      </w:r>
      <w:r w:rsidRPr="00E06B10">
        <w:t>for cervical</w:t>
      </w:r>
      <w:r>
        <w:t xml:space="preserve"> (6.8)</w:t>
      </w:r>
      <w:r w:rsidRPr="00E06B10">
        <w:t xml:space="preserve"> and lung</w:t>
      </w:r>
      <w:r>
        <w:t xml:space="preserve"> (58.1)</w:t>
      </w:r>
      <w:r w:rsidRPr="00E06B10">
        <w:t xml:space="preserve"> cancers in Barnet </w:t>
      </w:r>
      <w:r>
        <w:t>were</w:t>
      </w:r>
      <w:r w:rsidRPr="00E06B10">
        <w:t xml:space="preserve"> low</w:t>
      </w:r>
      <w:r>
        <w:t>er</w:t>
      </w:r>
      <w:r w:rsidRPr="00E06B10">
        <w:t xml:space="preserve"> compared to </w:t>
      </w:r>
      <w:r>
        <w:t xml:space="preserve">the average rates for </w:t>
      </w:r>
      <w:r w:rsidRPr="00E06B10">
        <w:t xml:space="preserve">London </w:t>
      </w:r>
      <w:r>
        <w:t xml:space="preserve">region (7.9 and 72.2 respectively) </w:t>
      </w:r>
      <w:r w:rsidRPr="00E06B10">
        <w:t xml:space="preserve">and </w:t>
      </w:r>
      <w:r>
        <w:t>England (9.2 and 76.0</w:t>
      </w:r>
      <w:r w:rsidRPr="00E06B10">
        <w:t xml:space="preserve"> </w:t>
      </w:r>
      <w:bookmarkStart w:id="596" w:name="_Ref420061500"/>
      <w:r w:rsidR="00DF3097">
        <w:t>respectively)</w:t>
      </w:r>
      <w:r>
        <w:rPr>
          <w:rStyle w:val="FootnoteReference"/>
        </w:rPr>
        <w:footnoteReference w:id="50"/>
      </w:r>
      <w:bookmarkEnd w:id="596"/>
      <w:r w:rsidR="00DF3097">
        <w:t xml:space="preserve">. </w:t>
      </w:r>
      <w:r>
        <w:t>The</w:t>
      </w:r>
      <w:r w:rsidRPr="00E06B10">
        <w:t xml:space="preserve"> oral cancer registration </w:t>
      </w:r>
      <w:r>
        <w:lastRenderedPageBreak/>
        <w:t xml:space="preserve">rate </w:t>
      </w:r>
      <w:r w:rsidRPr="00E06B10">
        <w:t xml:space="preserve">in Barnet </w:t>
      </w:r>
      <w:r>
        <w:t>(12.4) wa</w:t>
      </w:r>
      <w:r w:rsidRPr="00E06B10">
        <w:t xml:space="preserve">s higher than the </w:t>
      </w:r>
      <w:r>
        <w:t xml:space="preserve">average rates for London </w:t>
      </w:r>
      <w:r w:rsidRPr="00E06B10">
        <w:t>region</w:t>
      </w:r>
      <w:r>
        <w:t xml:space="preserve"> (13.5)</w:t>
      </w:r>
      <w:r w:rsidRPr="00E06B10">
        <w:t xml:space="preserve"> and national</w:t>
      </w:r>
      <w:r>
        <w:t>ly</w:t>
      </w:r>
      <w:r w:rsidRPr="00E06B10">
        <w:t xml:space="preserve"> </w:t>
      </w:r>
      <w:r>
        <w:t>(13.2) during 2010-2012</w:t>
      </w:r>
      <w:r>
        <w:fldChar w:fldCharType="begin"/>
      </w:r>
      <w:r>
        <w:instrText xml:space="preserve"> NOTEREF _Ref420061500 \f \h </w:instrText>
      </w:r>
      <w:r>
        <w:fldChar w:fldCharType="separate"/>
      </w:r>
      <w:r w:rsidR="001663C2" w:rsidRPr="001663C2">
        <w:rPr>
          <w:rStyle w:val="FootnoteReference"/>
        </w:rPr>
        <w:t>50</w:t>
      </w:r>
      <w:r>
        <w:fldChar w:fldCharType="end"/>
      </w:r>
      <w:r w:rsidR="00DF3097">
        <w:t xml:space="preserve">. </w:t>
      </w:r>
      <w:r w:rsidRPr="00E06B10">
        <w:t>To encourage the early detection of cancers, the NHS Barnet CCG joined the “</w:t>
      </w:r>
      <w:hyperlink r:id="rId72" w:history="1">
        <w:r w:rsidRPr="00E06B10">
          <w:rPr>
            <w:rStyle w:val="Hyperlink"/>
            <w:rFonts w:cs="Arial"/>
          </w:rPr>
          <w:t>Be Clear on Cancer campaign</w:t>
        </w:r>
      </w:hyperlink>
      <w:r w:rsidRPr="00E06B10">
        <w:t>” in July 2013. The campaign is aimed at raising awareness among local people about the early signs of cancers and promot</w:t>
      </w:r>
      <w:r>
        <w:t xml:space="preserve">ing early diagnosis of cancer. </w:t>
      </w:r>
    </w:p>
    <w:p w:rsidR="00E57656" w:rsidRPr="00E06B10" w:rsidRDefault="00E57656" w:rsidP="00E57656">
      <w:pPr>
        <w:pStyle w:val="Heading2"/>
        <w:numPr>
          <w:ilvl w:val="1"/>
          <w:numId w:val="35"/>
        </w:numPr>
        <w:jc w:val="both"/>
        <w:rPr>
          <w:rFonts w:asciiTheme="minorHAnsi" w:hAnsiTheme="minorHAnsi"/>
        </w:rPr>
      </w:pPr>
      <w:bookmarkStart w:id="597" w:name="_Toc420678795"/>
      <w:bookmarkStart w:id="598" w:name="_Toc426723335"/>
      <w:bookmarkStart w:id="599" w:name="_Toc431225162"/>
      <w:r w:rsidRPr="00E06B10">
        <w:rPr>
          <w:rFonts w:asciiTheme="minorHAnsi" w:hAnsiTheme="minorHAnsi"/>
        </w:rPr>
        <w:t>Respiratory disease</w:t>
      </w:r>
      <w:bookmarkEnd w:id="597"/>
      <w:bookmarkEnd w:id="598"/>
      <w:bookmarkEnd w:id="599"/>
    </w:p>
    <w:p w:rsidR="00E57656" w:rsidRPr="00E06B10" w:rsidRDefault="00E57656" w:rsidP="00E57656">
      <w:pPr>
        <w:pStyle w:val="Heading3"/>
        <w:numPr>
          <w:ilvl w:val="2"/>
          <w:numId w:val="35"/>
        </w:numPr>
        <w:jc w:val="both"/>
        <w:rPr>
          <w:rFonts w:asciiTheme="minorHAnsi" w:hAnsiTheme="minorHAnsi"/>
        </w:rPr>
      </w:pPr>
      <w:bookmarkStart w:id="600" w:name="_Toc420678796"/>
      <w:r w:rsidRPr="00E06B10">
        <w:rPr>
          <w:rFonts w:asciiTheme="minorHAnsi" w:hAnsiTheme="minorHAnsi"/>
        </w:rPr>
        <w:t>Chronic Obstructive Pulmonary Disease</w:t>
      </w:r>
      <w:bookmarkEnd w:id="600"/>
    </w:p>
    <w:p w:rsidR="00E57656" w:rsidRDefault="00E57656" w:rsidP="00E57656">
      <w:pPr>
        <w:jc w:val="both"/>
      </w:pPr>
      <w:r w:rsidRPr="00E06B10">
        <w:t xml:space="preserve">Chronic Obstructive Pulmonary Disease (COPD) is an airway disease that causes breathing difficulty and it includes several respiratory tract conditions </w:t>
      </w:r>
      <w:r>
        <w:t>including</w:t>
      </w:r>
      <w:r w:rsidRPr="00E06B10">
        <w:t xml:space="preserve"> emphysema and chronic bronchitis</w:t>
      </w:r>
      <w:r w:rsidRPr="00E06B10">
        <w:rPr>
          <w:rStyle w:val="FootnoteReference"/>
        </w:rPr>
        <w:footnoteReference w:id="51"/>
      </w:r>
      <w:r w:rsidR="00DF3097">
        <w:t>.</w:t>
      </w:r>
      <w:r>
        <w:t xml:space="preserve"> </w:t>
      </w:r>
      <w:r w:rsidRPr="00E06B10">
        <w:t>There are 4,247 COPD cases on GP registers (data for 2013/14)</w:t>
      </w:r>
      <w:bookmarkStart w:id="601" w:name="_Ref418085752"/>
      <w:r w:rsidRPr="00E06B10">
        <w:rPr>
          <w:rStyle w:val="FootnoteReference"/>
        </w:rPr>
        <w:footnoteReference w:id="52"/>
      </w:r>
      <w:bookmarkEnd w:id="601"/>
      <w:r w:rsidR="00DF3097">
        <w:t>.</w:t>
      </w:r>
      <w:r w:rsidRPr="00E06B10">
        <w:t xml:space="preserve"> </w:t>
      </w:r>
    </w:p>
    <w:p w:rsidR="00E57656" w:rsidRPr="007627F3" w:rsidRDefault="00E57656" w:rsidP="00E57656">
      <w:pPr>
        <w:pStyle w:val="Heading4"/>
        <w:numPr>
          <w:ilvl w:val="3"/>
          <w:numId w:val="35"/>
        </w:numPr>
        <w:ind w:left="864"/>
        <w:jc w:val="both"/>
        <w:rPr>
          <w:b w:val="0"/>
        </w:rPr>
      </w:pPr>
      <w:r w:rsidRPr="007627F3">
        <w:rPr>
          <w:b w:val="0"/>
        </w:rPr>
        <w:t xml:space="preserve">COPD </w:t>
      </w:r>
      <w:r w:rsidR="001C74D0">
        <w:rPr>
          <w:b w:val="0"/>
        </w:rPr>
        <w:t>P</w:t>
      </w:r>
      <w:r w:rsidRPr="007627F3">
        <w:rPr>
          <w:b w:val="0"/>
        </w:rPr>
        <w:t>revalence</w:t>
      </w:r>
    </w:p>
    <w:p w:rsidR="00E57656" w:rsidRDefault="00E57656" w:rsidP="00E57656">
      <w:pPr>
        <w:jc w:val="both"/>
      </w:pPr>
      <w:r w:rsidRPr="00E06B10">
        <w:t xml:space="preserve">The average COPD prevalence rate for NHS Barnet CCG (1.1%) is lower than the average </w:t>
      </w:r>
      <w:r>
        <w:t xml:space="preserve">rate for </w:t>
      </w:r>
      <w:r w:rsidRPr="00E06B10">
        <w:t>England (1.8%) and there are wide variations in the COPD prevalence across GPs in Barnet</w:t>
      </w:r>
      <w:r w:rsidRPr="00E06B10">
        <w:rPr>
          <w:rStyle w:val="FootnoteReference"/>
        </w:rPr>
        <w:footnoteReference w:id="53"/>
      </w:r>
      <w:r w:rsidR="00DF3097">
        <w:t>.</w:t>
      </w:r>
      <w:r w:rsidRPr="00E06B10">
        <w:t xml:space="preserve"> The COPD prevalence confirmed by spirometry is 88.56% (95% CI: 86.54-90.32) in the NHS Barnet CCG, which is lower than 90.18% (95% CI: 89.83-90.53) in London and 90.74% (95% CI: 90.63-90.85) in England</w:t>
      </w:r>
      <w:r w:rsidRPr="00E06B10">
        <w:rPr>
          <w:rStyle w:val="FootnoteReference"/>
        </w:rPr>
        <w:footnoteReference w:id="54"/>
      </w:r>
      <w:r w:rsidR="00DF3097">
        <w:t xml:space="preserve">. </w:t>
      </w:r>
      <w:r w:rsidRPr="00E06B10">
        <w:t>However, the estimated prevalence of COPD is 2.82% (as of 2011)</w:t>
      </w:r>
      <w:r w:rsidRPr="00E06B10">
        <w:rPr>
          <w:vertAlign w:val="superscript"/>
        </w:rPr>
        <w:t>2</w:t>
      </w:r>
      <w:r w:rsidRPr="00E06B10">
        <w:t xml:space="preserve">, which suggests </w:t>
      </w:r>
      <w:r>
        <w:t xml:space="preserve">a need for </w:t>
      </w:r>
      <w:r w:rsidRPr="00E06B10">
        <w:t xml:space="preserve">increasing the rate of COPD diagnosis. </w:t>
      </w:r>
    </w:p>
    <w:p w:rsidR="00E57656" w:rsidRPr="007627F3" w:rsidRDefault="00E57656" w:rsidP="00E57656">
      <w:pPr>
        <w:pStyle w:val="Heading4"/>
        <w:numPr>
          <w:ilvl w:val="3"/>
          <w:numId w:val="35"/>
        </w:numPr>
        <w:ind w:left="864"/>
        <w:jc w:val="both"/>
        <w:rPr>
          <w:b w:val="0"/>
        </w:rPr>
      </w:pPr>
      <w:r w:rsidRPr="007627F3">
        <w:rPr>
          <w:b w:val="0"/>
        </w:rPr>
        <w:t xml:space="preserve">COPD </w:t>
      </w:r>
      <w:r w:rsidR="001C74D0">
        <w:rPr>
          <w:b w:val="0"/>
        </w:rPr>
        <w:t>H</w:t>
      </w:r>
      <w:r w:rsidRPr="007627F3">
        <w:rPr>
          <w:b w:val="0"/>
        </w:rPr>
        <w:t xml:space="preserve">ospital </w:t>
      </w:r>
      <w:r w:rsidR="001C74D0">
        <w:rPr>
          <w:b w:val="0"/>
        </w:rPr>
        <w:t>A</w:t>
      </w:r>
      <w:r w:rsidRPr="007627F3">
        <w:rPr>
          <w:b w:val="0"/>
        </w:rPr>
        <w:t>dmissions</w:t>
      </w:r>
    </w:p>
    <w:p w:rsidR="00E57656" w:rsidRPr="00E06B10" w:rsidRDefault="00E57656" w:rsidP="00E57656">
      <w:pPr>
        <w:jc w:val="both"/>
      </w:pPr>
      <w:r w:rsidRPr="00E06B10">
        <w:t xml:space="preserve">The total COPD hospital admissions rate (per 1000 patients on </w:t>
      </w:r>
      <w:r>
        <w:t xml:space="preserve">the </w:t>
      </w:r>
      <w:r w:rsidRPr="00E06B10">
        <w:t xml:space="preserve">disease register) in Barnet </w:t>
      </w:r>
      <w:r>
        <w:t>(</w:t>
      </w:r>
      <w:r w:rsidRPr="00E06B10">
        <w:t>1.3</w:t>
      </w:r>
      <w:r>
        <w:t>)</w:t>
      </w:r>
      <w:r w:rsidRPr="00E06B10">
        <w:t xml:space="preserve"> is lower than the </w:t>
      </w:r>
      <w:r w:rsidRPr="00632D96">
        <w:t xml:space="preserve">average national rate (2.2). The standardised admissions ratio of emergency hospital admissions for COPD varies across Barnet (Figure </w:t>
      </w:r>
      <w:r w:rsidR="00DF3097">
        <w:t>5-</w:t>
      </w:r>
      <w:r w:rsidRPr="00632D96">
        <w:t>7) with the highest ratio in Burnt Oak ward (141.8) and the lowest ratio in Garden suburb ward (28.3).</w:t>
      </w:r>
    </w:p>
    <w:p w:rsidR="00E57656" w:rsidRDefault="00E57656" w:rsidP="00E57656">
      <w:pPr>
        <w:pStyle w:val="Caption"/>
      </w:pPr>
    </w:p>
    <w:p w:rsidR="00E57656" w:rsidRDefault="00E57656" w:rsidP="00E57656">
      <w:pPr>
        <w:pStyle w:val="Caption"/>
      </w:pPr>
    </w:p>
    <w:p w:rsidR="00DF3097" w:rsidRDefault="00DF3097" w:rsidP="00DF3097"/>
    <w:p w:rsidR="00DF3097" w:rsidRDefault="00DF3097" w:rsidP="00DF3097"/>
    <w:p w:rsidR="00DF3097" w:rsidRPr="00DF3097" w:rsidRDefault="00DF3097" w:rsidP="00DF3097"/>
    <w:p w:rsidR="00E57656" w:rsidRDefault="00E57656" w:rsidP="00E57656">
      <w:pPr>
        <w:pStyle w:val="Caption"/>
      </w:pPr>
    </w:p>
    <w:p w:rsidR="00E57656" w:rsidRDefault="00E57656" w:rsidP="00E57656">
      <w:pPr>
        <w:pStyle w:val="Caption"/>
      </w:pPr>
    </w:p>
    <w:p w:rsidR="00E57656" w:rsidRDefault="00E57656" w:rsidP="00E57656">
      <w:pPr>
        <w:pStyle w:val="Caption"/>
      </w:pPr>
    </w:p>
    <w:p w:rsidR="00E57656" w:rsidRDefault="00E57656" w:rsidP="00E57656">
      <w:pPr>
        <w:pStyle w:val="Caption"/>
      </w:pPr>
    </w:p>
    <w:p w:rsidR="00E57656" w:rsidRDefault="00E57656" w:rsidP="00E57656">
      <w:pPr>
        <w:pStyle w:val="Caption"/>
      </w:pPr>
    </w:p>
    <w:p w:rsidR="00E57656" w:rsidRDefault="00E57656" w:rsidP="00E57656">
      <w:pPr>
        <w:pStyle w:val="Caption"/>
      </w:pPr>
    </w:p>
    <w:p w:rsidR="00E57656" w:rsidRDefault="00E57656" w:rsidP="00E57656">
      <w:pPr>
        <w:pStyle w:val="Caption"/>
      </w:pPr>
    </w:p>
    <w:p w:rsidR="00E57656" w:rsidRDefault="00E57656" w:rsidP="00E57656">
      <w:pPr>
        <w:pStyle w:val="Caption"/>
      </w:pPr>
    </w:p>
    <w:p w:rsidR="00E57656" w:rsidRDefault="00E57656" w:rsidP="00E57656">
      <w:pPr>
        <w:pStyle w:val="Caption"/>
      </w:pPr>
      <w:r>
        <w:lastRenderedPageBreak/>
        <w:t xml:space="preserve">Figure </w:t>
      </w:r>
      <w:fldSimple w:instr=" STYLEREF 1 \s ">
        <w:r w:rsidR="001663C2">
          <w:rPr>
            <w:noProof/>
          </w:rPr>
          <w:t>5</w:t>
        </w:r>
      </w:fldSimple>
      <w:r w:rsidR="00943DC2">
        <w:noBreakHyphen/>
      </w:r>
      <w:fldSimple w:instr=" SEQ Figure \* ARABIC \s 1 ">
        <w:r w:rsidR="001663C2">
          <w:rPr>
            <w:noProof/>
          </w:rPr>
          <w:t>7</w:t>
        </w:r>
      </w:fldSimple>
      <w:r>
        <w:t>:</w:t>
      </w:r>
      <w:r w:rsidRPr="00E06B10">
        <w:t xml:space="preserve"> Emergency hospital admissions </w:t>
      </w:r>
      <w:r>
        <w:t xml:space="preserve">rates </w:t>
      </w:r>
      <w:r w:rsidRPr="00E06B10">
        <w:t xml:space="preserve">for COPD </w:t>
      </w:r>
      <w:r>
        <w:t xml:space="preserve">by wards </w:t>
      </w:r>
      <w:r w:rsidRPr="00E06B10">
        <w:t xml:space="preserve">in Barnet </w:t>
      </w:r>
    </w:p>
    <w:p w:rsidR="00E57656" w:rsidRDefault="00E57656" w:rsidP="00E57656">
      <w:pPr>
        <w:pStyle w:val="Caption"/>
        <w:jc w:val="center"/>
      </w:pPr>
      <w:r>
        <w:rPr>
          <w:noProof/>
          <w:lang w:eastAsia="en-GB"/>
        </w:rPr>
        <w:drawing>
          <wp:inline distT="0" distB="0" distL="0" distR="0" wp14:anchorId="7A5DA6BC" wp14:editId="75D27AA5">
            <wp:extent cx="3971925" cy="3336688"/>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976452" cy="3340491"/>
                    </a:xfrm>
                    <a:prstGeom prst="rect">
                      <a:avLst/>
                    </a:prstGeom>
                    <a:noFill/>
                    <a:ln>
                      <a:noFill/>
                    </a:ln>
                  </pic:spPr>
                </pic:pic>
              </a:graphicData>
            </a:graphic>
          </wp:inline>
        </w:drawing>
      </w:r>
    </w:p>
    <w:p w:rsidR="00E57656" w:rsidRPr="00E06B10" w:rsidRDefault="00E57656" w:rsidP="00E57656">
      <w:pPr>
        <w:pStyle w:val="Heading3"/>
        <w:numPr>
          <w:ilvl w:val="2"/>
          <w:numId w:val="35"/>
        </w:numPr>
        <w:jc w:val="both"/>
        <w:rPr>
          <w:rFonts w:asciiTheme="minorHAnsi" w:hAnsiTheme="minorHAnsi"/>
        </w:rPr>
      </w:pPr>
      <w:bookmarkStart w:id="602" w:name="_Toc420678797"/>
      <w:r w:rsidRPr="00E06B10">
        <w:rPr>
          <w:rFonts w:asciiTheme="minorHAnsi" w:hAnsiTheme="minorHAnsi"/>
        </w:rPr>
        <w:t>Asthma</w:t>
      </w:r>
      <w:bookmarkEnd w:id="602"/>
    </w:p>
    <w:p w:rsidR="00E57656" w:rsidRPr="00E06B10" w:rsidRDefault="00E57656" w:rsidP="00E57656">
      <w:pPr>
        <w:jc w:val="both"/>
      </w:pPr>
      <w:r w:rsidRPr="00E06B10">
        <w:t>Barnet has 17,609 asthma patients registered with local GPs and the asthma prevalence rate (all ages) is 5.54%</w:t>
      </w:r>
      <w:r w:rsidR="00DF3097">
        <w:t>,</w:t>
      </w:r>
      <w:r w:rsidRPr="00E06B10">
        <w:t xml:space="preserve"> below the average rate (5.9%) for England</w:t>
      </w:r>
      <w:r w:rsidRPr="00E06B10">
        <w:fldChar w:fldCharType="begin"/>
      </w:r>
      <w:r w:rsidRPr="00E06B10">
        <w:instrText xml:space="preserve"> NOTEREF _Ref418085752 \f \h </w:instrText>
      </w:r>
      <w:r>
        <w:instrText xml:space="preserve"> \* MERGEFORMAT </w:instrText>
      </w:r>
      <w:r w:rsidRPr="00E06B10">
        <w:fldChar w:fldCharType="separate"/>
      </w:r>
      <w:r w:rsidR="001663C2" w:rsidRPr="001663C2">
        <w:rPr>
          <w:rStyle w:val="FootnoteReference"/>
        </w:rPr>
        <w:t>52</w:t>
      </w:r>
      <w:r w:rsidRPr="00E06B10">
        <w:fldChar w:fldCharType="end"/>
      </w:r>
      <w:r w:rsidR="00DF3097">
        <w:t>.</w:t>
      </w:r>
      <w:r w:rsidRPr="00E06B10">
        <w:t xml:space="preserve"> The prevalence of asthma widely varies between GPs in the NHS Barnet CCG</w:t>
      </w:r>
      <w:r w:rsidRPr="00E06B10">
        <w:fldChar w:fldCharType="begin"/>
      </w:r>
      <w:r w:rsidRPr="00E06B10">
        <w:instrText xml:space="preserve"> NOTEREF _Ref418085752 \f \h </w:instrText>
      </w:r>
      <w:r>
        <w:instrText xml:space="preserve"> \* MERGEFORMAT </w:instrText>
      </w:r>
      <w:r w:rsidRPr="00E06B10">
        <w:fldChar w:fldCharType="separate"/>
      </w:r>
      <w:r w:rsidR="001663C2" w:rsidRPr="001663C2">
        <w:rPr>
          <w:rStyle w:val="FootnoteReference"/>
        </w:rPr>
        <w:t>52</w:t>
      </w:r>
      <w:r w:rsidRPr="00E06B10">
        <w:fldChar w:fldCharType="end"/>
      </w:r>
      <w:r w:rsidR="00DF3097">
        <w:t>.</w:t>
      </w:r>
    </w:p>
    <w:p w:rsidR="00E57656" w:rsidRPr="00E06B10" w:rsidRDefault="00E57656" w:rsidP="00E57656">
      <w:pPr>
        <w:pStyle w:val="Heading3"/>
        <w:numPr>
          <w:ilvl w:val="2"/>
          <w:numId w:val="35"/>
        </w:numPr>
        <w:jc w:val="both"/>
        <w:rPr>
          <w:rFonts w:asciiTheme="minorHAnsi" w:hAnsiTheme="minorHAnsi"/>
        </w:rPr>
      </w:pPr>
      <w:bookmarkStart w:id="603" w:name="_Toc420678798"/>
      <w:r w:rsidRPr="00E06B10">
        <w:rPr>
          <w:rFonts w:asciiTheme="minorHAnsi" w:hAnsiTheme="minorHAnsi"/>
        </w:rPr>
        <w:t xml:space="preserve">Risk </w:t>
      </w:r>
      <w:r w:rsidR="001C74D0">
        <w:rPr>
          <w:rFonts w:asciiTheme="minorHAnsi" w:hAnsiTheme="minorHAnsi"/>
        </w:rPr>
        <w:t>F</w:t>
      </w:r>
      <w:r w:rsidRPr="00E06B10">
        <w:rPr>
          <w:rFonts w:asciiTheme="minorHAnsi" w:hAnsiTheme="minorHAnsi"/>
        </w:rPr>
        <w:t>actors</w:t>
      </w:r>
      <w:bookmarkEnd w:id="603"/>
      <w:r w:rsidRPr="00E06B10">
        <w:rPr>
          <w:rFonts w:asciiTheme="minorHAnsi" w:hAnsiTheme="minorHAnsi"/>
        </w:rPr>
        <w:t xml:space="preserve"> </w:t>
      </w:r>
    </w:p>
    <w:p w:rsidR="00E57656" w:rsidRPr="00E06B10" w:rsidRDefault="00E57656" w:rsidP="00E57656">
      <w:pPr>
        <w:jc w:val="both"/>
      </w:pPr>
      <w:r w:rsidRPr="00E06B10">
        <w:t xml:space="preserve">Smoking and influenza virus infection of the respiratory system are the two important risk factors </w:t>
      </w:r>
      <w:r>
        <w:t>for</w:t>
      </w:r>
      <w:r w:rsidRPr="00E06B10">
        <w:t xml:space="preserve"> COPD and asthma. Information regarding smoking in Barnet is reported in the section on tobacco use and smoking in the lifestyle chapter while influenza infections related Barnet information is given below. Influenza viruses cause respiratory tract infection that </w:t>
      </w:r>
      <w:r>
        <w:t>can</w:t>
      </w:r>
      <w:r w:rsidRPr="00E06B10">
        <w:t xml:space="preserve"> lead to exacerbations of COPD and asthma, which can be prevented by influenza vaccination</w:t>
      </w:r>
      <w:r w:rsidRPr="00E06B10">
        <w:rPr>
          <w:rStyle w:val="FootnoteReference"/>
        </w:rPr>
        <w:footnoteReference w:id="55"/>
      </w:r>
      <w:r w:rsidR="00DF3097">
        <w:t>.</w:t>
      </w:r>
      <w:r w:rsidRPr="00E06B10">
        <w:t xml:space="preserve"> </w:t>
      </w:r>
      <w:r>
        <w:t>The i</w:t>
      </w:r>
      <w:r w:rsidRPr="00E06B10">
        <w:t xml:space="preserve">nfluenza immunisation rate in Barnet (83%) is slightly higher than the average </w:t>
      </w:r>
      <w:r>
        <w:t xml:space="preserve">rate for </w:t>
      </w:r>
      <w:r w:rsidRPr="00E06B10">
        <w:t>England (81.9%)</w:t>
      </w:r>
      <w:r w:rsidRPr="00E06B10">
        <w:fldChar w:fldCharType="begin"/>
      </w:r>
      <w:r w:rsidRPr="00E06B10">
        <w:instrText xml:space="preserve"> NOTEREF _Ref418085752 \f \h </w:instrText>
      </w:r>
      <w:r>
        <w:instrText xml:space="preserve"> \* MERGEFORMAT </w:instrText>
      </w:r>
      <w:r w:rsidRPr="00E06B10">
        <w:fldChar w:fldCharType="separate"/>
      </w:r>
      <w:r w:rsidR="001663C2" w:rsidRPr="001663C2">
        <w:rPr>
          <w:rStyle w:val="FootnoteReference"/>
        </w:rPr>
        <w:t>52</w:t>
      </w:r>
      <w:r w:rsidRPr="00E06B10">
        <w:fldChar w:fldCharType="end"/>
      </w:r>
      <w:r w:rsidR="00DF3097">
        <w:t>.</w:t>
      </w:r>
      <w:r w:rsidRPr="00E06B10">
        <w:t xml:space="preserve"> </w:t>
      </w:r>
    </w:p>
    <w:p w:rsidR="00E57656" w:rsidRPr="00E06B10" w:rsidRDefault="00E57656" w:rsidP="00E57656">
      <w:pPr>
        <w:pStyle w:val="Heading2"/>
        <w:numPr>
          <w:ilvl w:val="1"/>
          <w:numId w:val="35"/>
        </w:numPr>
        <w:jc w:val="both"/>
        <w:rPr>
          <w:rFonts w:asciiTheme="minorHAnsi" w:hAnsiTheme="minorHAnsi"/>
        </w:rPr>
      </w:pPr>
      <w:bookmarkStart w:id="604" w:name="_Toc420678799"/>
      <w:bookmarkStart w:id="605" w:name="_Toc426723336"/>
      <w:bookmarkStart w:id="606" w:name="_Toc431225163"/>
      <w:r w:rsidRPr="00E06B10">
        <w:rPr>
          <w:rFonts w:asciiTheme="minorHAnsi" w:hAnsiTheme="minorHAnsi"/>
        </w:rPr>
        <w:t>Mental Health</w:t>
      </w:r>
      <w:bookmarkEnd w:id="604"/>
      <w:bookmarkEnd w:id="605"/>
      <w:bookmarkEnd w:id="606"/>
    </w:p>
    <w:p w:rsidR="00E57656" w:rsidRPr="00E06B10" w:rsidRDefault="00E57656" w:rsidP="00E57656">
      <w:pPr>
        <w:jc w:val="both"/>
      </w:pPr>
      <w:r w:rsidRPr="00E06B10">
        <w:t xml:space="preserve">Mental health is a high </w:t>
      </w:r>
      <w:r>
        <w:t>public</w:t>
      </w:r>
      <w:r w:rsidRPr="00E06B10">
        <w:t xml:space="preserve"> health </w:t>
      </w:r>
      <w:r>
        <w:t xml:space="preserve">priority </w:t>
      </w:r>
      <w:r w:rsidRPr="00E06B10">
        <w:t>area in the country</w:t>
      </w:r>
      <w:r w:rsidR="00DF3097">
        <w:t>. A</w:t>
      </w:r>
      <w:r w:rsidRPr="00E06B10">
        <w:t>ddressing mental health problems in all age</w:t>
      </w:r>
      <w:r>
        <w:t xml:space="preserve"> group</w:t>
      </w:r>
      <w:r w:rsidRPr="00E06B10">
        <w:t>s and improving outcomes and relevant services are suggested in the 2011 mental health strategy for England entitled “</w:t>
      </w:r>
      <w:hyperlink r:id="rId74" w:history="1">
        <w:r w:rsidRPr="00E06B10">
          <w:rPr>
            <w:rStyle w:val="Hyperlink"/>
          </w:rPr>
          <w:t>No health without mental health</w:t>
        </w:r>
      </w:hyperlink>
      <w:r w:rsidRPr="00E06B10">
        <w:t xml:space="preserve">”. Tackling mental health is important because </w:t>
      </w:r>
      <w:r>
        <w:t xml:space="preserve">poor mental health </w:t>
      </w:r>
      <w:r w:rsidRPr="00E06B10">
        <w:t xml:space="preserve">not only costs too much </w:t>
      </w:r>
      <w:r>
        <w:t>for</w:t>
      </w:r>
      <w:r w:rsidRPr="00E06B10">
        <w:t xml:space="preserve"> the economy and </w:t>
      </w:r>
      <w:r>
        <w:t xml:space="preserve">the </w:t>
      </w:r>
      <w:r w:rsidRPr="00E06B10">
        <w:t xml:space="preserve">health system but also leads to and is </w:t>
      </w:r>
      <w:r>
        <w:t xml:space="preserve">associated with </w:t>
      </w:r>
      <w:r w:rsidR="00DF3097">
        <w:t>inequalities</w:t>
      </w:r>
      <w:r w:rsidRPr="00E06B10">
        <w:rPr>
          <w:rStyle w:val="FootnoteReference"/>
        </w:rPr>
        <w:footnoteReference w:id="56"/>
      </w:r>
      <w:r w:rsidR="00DF3097">
        <w:t>.</w:t>
      </w:r>
      <w:r w:rsidRPr="00E06B10">
        <w:t xml:space="preserve"> </w:t>
      </w:r>
    </w:p>
    <w:p w:rsidR="00E57656" w:rsidRPr="00E06B10" w:rsidRDefault="00E57656" w:rsidP="00E57656">
      <w:pPr>
        <w:pStyle w:val="Heading3"/>
        <w:numPr>
          <w:ilvl w:val="2"/>
          <w:numId w:val="35"/>
        </w:numPr>
        <w:jc w:val="both"/>
        <w:rPr>
          <w:rFonts w:asciiTheme="minorHAnsi" w:hAnsiTheme="minorHAnsi"/>
        </w:rPr>
      </w:pPr>
      <w:bookmarkStart w:id="607" w:name="_Toc420678800"/>
      <w:r>
        <w:rPr>
          <w:rFonts w:asciiTheme="minorHAnsi" w:hAnsiTheme="minorHAnsi"/>
        </w:rPr>
        <w:t>Adult</w:t>
      </w:r>
      <w:r w:rsidRPr="00E06B10">
        <w:rPr>
          <w:rFonts w:asciiTheme="minorHAnsi" w:hAnsiTheme="minorHAnsi"/>
        </w:rPr>
        <w:t xml:space="preserve"> Mental Health</w:t>
      </w:r>
      <w:bookmarkEnd w:id="607"/>
      <w:r w:rsidRPr="00E06B10">
        <w:rPr>
          <w:rFonts w:asciiTheme="minorHAnsi" w:hAnsiTheme="minorHAnsi"/>
        </w:rPr>
        <w:t xml:space="preserve"> </w:t>
      </w:r>
    </w:p>
    <w:p w:rsidR="00E57656" w:rsidRDefault="00E57656" w:rsidP="00E57656">
      <w:pPr>
        <w:jc w:val="both"/>
      </w:pPr>
      <w:r w:rsidRPr="00E06B10">
        <w:t>The prevalence of mental health problems including schizophrenia, bipolar affective disorder and other psychoses in all ages recorded on GP disease registers in Barnet is 0.95%, which is</w:t>
      </w:r>
      <w:r>
        <w:t xml:space="preserve"> </w:t>
      </w:r>
      <w:r w:rsidRPr="00E06B10">
        <w:t xml:space="preserve">higher than the average rate </w:t>
      </w:r>
      <w:r>
        <w:t xml:space="preserve">for </w:t>
      </w:r>
      <w:r w:rsidRPr="00E06B10">
        <w:t>England (0.84%).</w:t>
      </w:r>
      <w:r w:rsidRPr="00E06B10">
        <w:fldChar w:fldCharType="begin"/>
      </w:r>
      <w:r w:rsidRPr="00E06B10">
        <w:instrText xml:space="preserve"> NOTEREF _Ref418086063 \f \h </w:instrText>
      </w:r>
      <w:r>
        <w:instrText xml:space="preserve"> \* MERGEFORMAT </w:instrText>
      </w:r>
      <w:r w:rsidRPr="00E06B10">
        <w:fldChar w:fldCharType="separate"/>
      </w:r>
      <w:r w:rsidR="001663C2" w:rsidRPr="001663C2">
        <w:rPr>
          <w:rStyle w:val="FootnoteReference"/>
        </w:rPr>
        <w:t>57</w:t>
      </w:r>
      <w:r w:rsidRPr="00E06B10">
        <w:fldChar w:fldCharType="end"/>
      </w:r>
      <w:r w:rsidRPr="00E06B10">
        <w:rPr>
          <w:vertAlign w:val="superscript"/>
        </w:rPr>
        <w:t>,</w:t>
      </w:r>
      <w:r w:rsidRPr="00E06B10">
        <w:rPr>
          <w:vertAlign w:val="superscript"/>
        </w:rPr>
        <w:fldChar w:fldCharType="begin"/>
      </w:r>
      <w:r w:rsidRPr="00E06B10">
        <w:rPr>
          <w:vertAlign w:val="superscript"/>
        </w:rPr>
        <w:instrText xml:space="preserve"> NOTEREF _Ref418086127 \f \h </w:instrText>
      </w:r>
      <w:r>
        <w:rPr>
          <w:vertAlign w:val="superscript"/>
        </w:rPr>
        <w:instrText xml:space="preserve"> \* MERGEFORMAT </w:instrText>
      </w:r>
      <w:r w:rsidRPr="00E06B10">
        <w:rPr>
          <w:vertAlign w:val="superscript"/>
        </w:rPr>
      </w:r>
      <w:r w:rsidRPr="00E06B10">
        <w:rPr>
          <w:vertAlign w:val="superscript"/>
        </w:rPr>
        <w:fldChar w:fldCharType="separate"/>
      </w:r>
      <w:r w:rsidR="001663C2" w:rsidRPr="001663C2">
        <w:rPr>
          <w:rStyle w:val="FootnoteReference"/>
        </w:rPr>
        <w:t>58</w:t>
      </w:r>
      <w:r w:rsidRPr="00E06B10">
        <w:rPr>
          <w:vertAlign w:val="superscript"/>
        </w:rPr>
        <w:fldChar w:fldCharType="end"/>
      </w:r>
    </w:p>
    <w:p w:rsidR="00E57656" w:rsidRPr="00E06B10" w:rsidRDefault="00E57656" w:rsidP="00E57656">
      <w:pPr>
        <w:jc w:val="both"/>
      </w:pPr>
      <w:r w:rsidRPr="00E06B10">
        <w:lastRenderedPageBreak/>
        <w:t xml:space="preserve">In Barnet, the prevalence rate of depression (recorded in adults aged 18 and over) is 4.3% (12,921 persons of </w:t>
      </w:r>
      <w:r>
        <w:t xml:space="preserve">the </w:t>
      </w:r>
      <w:r w:rsidRPr="00E06B10">
        <w:t>total 298,601 GP registered population aged 18+). The Barnet rate is</w:t>
      </w:r>
      <w:r>
        <w:t xml:space="preserve"> </w:t>
      </w:r>
      <w:r w:rsidRPr="00E06B10">
        <w:t>lower than the average rate for England (5.8%).</w:t>
      </w:r>
      <w:bookmarkStart w:id="608" w:name="_Ref418086063"/>
      <w:r w:rsidRPr="00E06B10">
        <w:rPr>
          <w:rStyle w:val="FootnoteReference"/>
        </w:rPr>
        <w:footnoteReference w:id="57"/>
      </w:r>
      <w:bookmarkEnd w:id="608"/>
      <w:r w:rsidRPr="00E06B10">
        <w:rPr>
          <w:vertAlign w:val="superscript"/>
        </w:rPr>
        <w:t>,</w:t>
      </w:r>
      <w:bookmarkStart w:id="609" w:name="_Ref418086127"/>
      <w:r w:rsidRPr="00E06B10">
        <w:rPr>
          <w:rStyle w:val="FootnoteReference"/>
        </w:rPr>
        <w:footnoteReference w:id="58"/>
      </w:r>
      <w:bookmarkEnd w:id="609"/>
      <w:r w:rsidRPr="00E06B10">
        <w:t xml:space="preserve"> There were 2,303 new cases of depression recorded in GP registers during 2013</w:t>
      </w:r>
      <w:r w:rsidR="00270AEE">
        <w:t>/</w:t>
      </w:r>
      <w:r w:rsidRPr="00E06B10">
        <w:t>14 showing the incidence rate of 0.8% for Barnet, which is lower than the average national rate (1</w:t>
      </w:r>
      <w:r w:rsidR="00DF3097">
        <w:t>.0</w:t>
      </w:r>
      <w:r w:rsidRPr="00E06B10">
        <w:t>%)</w:t>
      </w:r>
      <w:r w:rsidRPr="00E06B10">
        <w:fldChar w:fldCharType="begin"/>
      </w:r>
      <w:r w:rsidRPr="00E06B10">
        <w:instrText xml:space="preserve"> NOTEREF _Ref418086127 \f \h </w:instrText>
      </w:r>
      <w:r w:rsidRPr="00E06B10">
        <w:fldChar w:fldCharType="separate"/>
      </w:r>
      <w:r w:rsidR="001663C2" w:rsidRPr="001663C2">
        <w:rPr>
          <w:rStyle w:val="FootnoteReference"/>
        </w:rPr>
        <w:t>58</w:t>
      </w:r>
      <w:r w:rsidRPr="00E06B10">
        <w:fldChar w:fldCharType="end"/>
      </w:r>
      <w:r w:rsidRPr="00E06B10">
        <w:rPr>
          <w:vertAlign w:val="superscript"/>
        </w:rPr>
        <w:t>,</w:t>
      </w:r>
      <w:r w:rsidRPr="00E06B10">
        <w:rPr>
          <w:rStyle w:val="FootnoteReference"/>
        </w:rPr>
        <w:footnoteReference w:id="59"/>
      </w:r>
      <w:r w:rsidR="00DF3097">
        <w:rPr>
          <w:vertAlign w:val="superscript"/>
        </w:rPr>
        <w:t>.</w:t>
      </w:r>
      <w:r w:rsidRPr="00E06B10">
        <w:t xml:space="preserve"> </w:t>
      </w:r>
    </w:p>
    <w:p w:rsidR="00E57656" w:rsidRPr="00E06B10" w:rsidRDefault="00E57656" w:rsidP="00E57656">
      <w:pPr>
        <w:jc w:val="both"/>
      </w:pPr>
      <w:r w:rsidRPr="00E06B10">
        <w:t xml:space="preserve">The </w:t>
      </w:r>
      <w:r>
        <w:t xml:space="preserve">average </w:t>
      </w:r>
      <w:r w:rsidRPr="00E06B10">
        <w:t xml:space="preserve">rate of people with a mental illness in residential or nursing care per 100,000 </w:t>
      </w:r>
      <w:r>
        <w:t xml:space="preserve">of the </w:t>
      </w:r>
      <w:r w:rsidRPr="00E06B10">
        <w:t xml:space="preserve">population in Barnet (34.9) is similar to England (32.7). The percentage of mental health service users who were inpatients in </w:t>
      </w:r>
      <w:r>
        <w:t xml:space="preserve">a </w:t>
      </w:r>
      <w:r w:rsidRPr="00E06B10">
        <w:t xml:space="preserve">psychiatric hospital </w:t>
      </w:r>
      <w:r>
        <w:t>in</w:t>
      </w:r>
      <w:r w:rsidR="00D93787">
        <w:t xml:space="preserve"> Barnet (2.7%) is also similar to the </w:t>
      </w:r>
      <w:r w:rsidRPr="00E06B10">
        <w:t xml:space="preserve">national average (2.4%). However, the rate of detentions under the National Mental Health Act per 100,000 population is higher in Barnet (23.3) compared to the average for England (15.5). In addition, Barnet rates for attendances at A&amp;E for a psychiatric disorder (47 per 100,000 </w:t>
      </w:r>
      <w:proofErr w:type="gramStart"/>
      <w:r w:rsidRPr="00E06B10">
        <w:t>population</w:t>
      </w:r>
      <w:proofErr w:type="gramEnd"/>
      <w:r w:rsidRPr="00E06B10">
        <w:t>) and number of bed days (4</w:t>
      </w:r>
      <w:r>
        <w:t>,</w:t>
      </w:r>
      <w:r w:rsidRPr="00E06B10">
        <w:t>180 per 100,000 population) are</w:t>
      </w:r>
      <w:r>
        <w:t xml:space="preserve"> </w:t>
      </w:r>
      <w:r w:rsidRPr="00E06B10">
        <w:t>lower than the average national rates (243.5 and 4</w:t>
      </w:r>
      <w:r w:rsidR="00D93787">
        <w:t>,</w:t>
      </w:r>
      <w:r w:rsidRPr="00E06B10">
        <w:t xml:space="preserve">686 per 100,000 population, respectively). </w:t>
      </w:r>
    </w:p>
    <w:p w:rsidR="00E57656" w:rsidRDefault="00E57656" w:rsidP="00E57656">
      <w:pPr>
        <w:jc w:val="both"/>
      </w:pPr>
      <w:r w:rsidRPr="00E06B10">
        <w:t xml:space="preserve">Moreover, the rates of emergency admissions for self-harm (109.9 per 100,000 population) and hospital admissions for unintentional and deliberate injuries in aged 0-24 years (76.0 per 10,000 </w:t>
      </w:r>
      <w:proofErr w:type="gramStart"/>
      <w:r w:rsidRPr="00E06B10">
        <w:t>population</w:t>
      </w:r>
      <w:proofErr w:type="gramEnd"/>
      <w:r w:rsidRPr="00E06B10">
        <w:t>) in Barnet are</w:t>
      </w:r>
      <w:r>
        <w:t xml:space="preserve"> </w:t>
      </w:r>
      <w:r w:rsidRPr="00E06B10">
        <w:t xml:space="preserve">lower than the average for England (191.0 / 100,000 and 116.0 / 10,000 population respectively). The suicide rate in Barnet (6.9 per 100,000 </w:t>
      </w:r>
      <w:proofErr w:type="gramStart"/>
      <w:r w:rsidRPr="00E06B10">
        <w:t>population</w:t>
      </w:r>
      <w:proofErr w:type="gramEnd"/>
      <w:r w:rsidRPr="00E06B10">
        <w:t xml:space="preserve">) is similar to the average national rate (8.5 per 100,000 population). </w:t>
      </w:r>
    </w:p>
    <w:p w:rsidR="00E57656" w:rsidRDefault="00E57656" w:rsidP="00E57656">
      <w:pPr>
        <w:jc w:val="both"/>
      </w:pPr>
      <w:r w:rsidRPr="00E06B10">
        <w:t xml:space="preserve">A summary of mental health related indicators for Barnet benchmarked against England are shown in Figure </w:t>
      </w:r>
      <w:r>
        <w:t>5-8</w:t>
      </w:r>
      <w:r w:rsidRPr="00E06B10">
        <w:t xml:space="preserve">, which shows that most of Barnet indicators are better than </w:t>
      </w:r>
      <w:r>
        <w:t xml:space="preserve">those at </w:t>
      </w:r>
      <w:r w:rsidRPr="00E06B10">
        <w:t xml:space="preserve">the national level. </w:t>
      </w:r>
    </w:p>
    <w:p w:rsidR="00E57656" w:rsidRDefault="00E57656" w:rsidP="00E57656">
      <w:pPr>
        <w:pStyle w:val="Caption"/>
      </w:pPr>
    </w:p>
    <w:p w:rsidR="00E57656" w:rsidRDefault="00E57656" w:rsidP="00E57656">
      <w:pPr>
        <w:pStyle w:val="Caption"/>
      </w:pPr>
    </w:p>
    <w:p w:rsidR="00E57656" w:rsidRDefault="00E57656" w:rsidP="00E57656">
      <w:pPr>
        <w:pStyle w:val="Caption"/>
      </w:pPr>
    </w:p>
    <w:p w:rsidR="00E57656" w:rsidRDefault="00E57656" w:rsidP="00E57656">
      <w:pPr>
        <w:pStyle w:val="Caption"/>
      </w:pPr>
    </w:p>
    <w:p w:rsidR="00E57656" w:rsidRDefault="00E57656" w:rsidP="00E57656">
      <w:pPr>
        <w:pStyle w:val="Caption"/>
      </w:pPr>
    </w:p>
    <w:p w:rsidR="00E57656" w:rsidRDefault="00E57656" w:rsidP="00E57656">
      <w:pPr>
        <w:pStyle w:val="Caption"/>
      </w:pPr>
    </w:p>
    <w:p w:rsidR="00E57656" w:rsidRDefault="00E57656" w:rsidP="00E57656">
      <w:pPr>
        <w:pStyle w:val="Caption"/>
      </w:pPr>
    </w:p>
    <w:p w:rsidR="00E57656" w:rsidRDefault="00E57656" w:rsidP="00E57656">
      <w:pPr>
        <w:pStyle w:val="Caption"/>
      </w:pPr>
    </w:p>
    <w:p w:rsidR="00E57656" w:rsidRDefault="00E57656" w:rsidP="00E57656">
      <w:pPr>
        <w:pStyle w:val="Caption"/>
      </w:pPr>
    </w:p>
    <w:p w:rsidR="00E57656" w:rsidRDefault="00E57656" w:rsidP="00E57656">
      <w:pPr>
        <w:pStyle w:val="Caption"/>
      </w:pPr>
    </w:p>
    <w:p w:rsidR="00E57656" w:rsidRDefault="00E57656" w:rsidP="00E57656">
      <w:pPr>
        <w:pStyle w:val="Caption"/>
      </w:pPr>
    </w:p>
    <w:p w:rsidR="00E57656" w:rsidRDefault="00E57656" w:rsidP="00E57656">
      <w:pPr>
        <w:pStyle w:val="Caption"/>
      </w:pPr>
    </w:p>
    <w:p w:rsidR="00E57656" w:rsidRDefault="00E57656" w:rsidP="00E57656">
      <w:pPr>
        <w:pStyle w:val="Caption"/>
      </w:pPr>
    </w:p>
    <w:p w:rsidR="00E57656" w:rsidRDefault="00E57656" w:rsidP="00E57656">
      <w:pPr>
        <w:pStyle w:val="Caption"/>
      </w:pPr>
    </w:p>
    <w:p w:rsidR="00E57656" w:rsidRDefault="00E57656" w:rsidP="00E57656">
      <w:pPr>
        <w:pStyle w:val="Caption"/>
      </w:pPr>
    </w:p>
    <w:p w:rsidR="001C74D0" w:rsidRDefault="001C74D0" w:rsidP="00E57656">
      <w:pPr>
        <w:pStyle w:val="Caption"/>
      </w:pPr>
    </w:p>
    <w:p w:rsidR="001C74D0" w:rsidRDefault="001C74D0" w:rsidP="00E57656">
      <w:pPr>
        <w:pStyle w:val="Caption"/>
      </w:pPr>
    </w:p>
    <w:p w:rsidR="001C74D0" w:rsidRDefault="001C74D0" w:rsidP="00E57656">
      <w:pPr>
        <w:pStyle w:val="Caption"/>
      </w:pPr>
    </w:p>
    <w:p w:rsidR="00E57656" w:rsidRPr="00E06B10" w:rsidRDefault="00E57656" w:rsidP="00E57656">
      <w:pPr>
        <w:pStyle w:val="Caption"/>
      </w:pPr>
      <w:r>
        <w:lastRenderedPageBreak/>
        <w:t xml:space="preserve">Figure </w:t>
      </w:r>
      <w:fldSimple w:instr=" STYLEREF 1 \s ">
        <w:r w:rsidR="001663C2">
          <w:rPr>
            <w:noProof/>
          </w:rPr>
          <w:t>5</w:t>
        </w:r>
      </w:fldSimple>
      <w:r w:rsidR="00943DC2">
        <w:noBreakHyphen/>
      </w:r>
      <w:fldSimple w:instr=" SEQ Figure \* ARABIC \s 1 ">
        <w:r w:rsidR="001663C2">
          <w:rPr>
            <w:noProof/>
          </w:rPr>
          <w:t>8</w:t>
        </w:r>
      </w:fldSimple>
      <w:r>
        <w:t>:</w:t>
      </w:r>
      <w:r w:rsidRPr="00E06B10">
        <w:t xml:space="preserve"> Mental health indicators for Barnet </w:t>
      </w:r>
    </w:p>
    <w:p w:rsidR="00E57656" w:rsidRPr="00E06B10" w:rsidRDefault="00E57656" w:rsidP="00E57656">
      <w:pPr>
        <w:pStyle w:val="Caption"/>
        <w:ind w:hanging="426"/>
      </w:pPr>
      <w:r w:rsidRPr="00E06B10">
        <w:rPr>
          <w:noProof/>
          <w:lang w:eastAsia="en-GB"/>
        </w:rPr>
        <w:drawing>
          <wp:inline distT="0" distB="0" distL="0" distR="0" wp14:anchorId="26B811FD" wp14:editId="7E96EF19">
            <wp:extent cx="6412684" cy="7439025"/>
            <wp:effectExtent l="0" t="0" r="762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429431" cy="7458453"/>
                    </a:xfrm>
                    <a:prstGeom prst="rect">
                      <a:avLst/>
                    </a:prstGeom>
                    <a:noFill/>
                    <a:ln>
                      <a:noFill/>
                    </a:ln>
                  </pic:spPr>
                </pic:pic>
              </a:graphicData>
            </a:graphic>
          </wp:inline>
        </w:drawing>
      </w:r>
    </w:p>
    <w:p w:rsidR="00E57656" w:rsidRPr="00D93787" w:rsidRDefault="00E57656" w:rsidP="00E57656">
      <w:pPr>
        <w:pStyle w:val="FootnoteText"/>
        <w:rPr>
          <w:rFonts w:asciiTheme="minorHAnsi" w:hAnsiTheme="minorHAnsi"/>
          <w:sz w:val="22"/>
          <w:szCs w:val="22"/>
        </w:rPr>
      </w:pPr>
      <w:r w:rsidRPr="00D93787">
        <w:rPr>
          <w:rFonts w:asciiTheme="minorHAnsi" w:hAnsiTheme="minorHAnsi"/>
          <w:sz w:val="22"/>
          <w:szCs w:val="22"/>
        </w:rPr>
        <w:t xml:space="preserve">Source: Public Health England. </w:t>
      </w:r>
      <w:hyperlink r:id="rId76" w:history="1">
        <w:r w:rsidRPr="00D93787">
          <w:rPr>
            <w:rStyle w:val="Hyperlink"/>
            <w:rFonts w:asciiTheme="minorHAnsi" w:hAnsiTheme="minorHAnsi"/>
            <w:sz w:val="22"/>
            <w:szCs w:val="22"/>
          </w:rPr>
          <w:t>Barnet Children's and Young People's Mental Health and Wellbeing Profile</w:t>
        </w:r>
      </w:hyperlink>
    </w:p>
    <w:p w:rsidR="00E57656" w:rsidRPr="00E06B10" w:rsidRDefault="00E57656" w:rsidP="00E57656">
      <w:pPr>
        <w:pStyle w:val="Heading3"/>
        <w:numPr>
          <w:ilvl w:val="2"/>
          <w:numId w:val="35"/>
        </w:numPr>
        <w:jc w:val="both"/>
        <w:rPr>
          <w:rFonts w:asciiTheme="minorHAnsi" w:hAnsiTheme="minorHAnsi"/>
        </w:rPr>
      </w:pPr>
      <w:bookmarkStart w:id="610" w:name="_Toc420678801"/>
      <w:r w:rsidRPr="00E06B10">
        <w:rPr>
          <w:rFonts w:asciiTheme="minorHAnsi" w:hAnsiTheme="minorHAnsi"/>
        </w:rPr>
        <w:lastRenderedPageBreak/>
        <w:t>Children</w:t>
      </w:r>
      <w:r>
        <w:rPr>
          <w:rFonts w:asciiTheme="minorHAnsi" w:hAnsiTheme="minorHAnsi"/>
        </w:rPr>
        <w:t>’s</w:t>
      </w:r>
      <w:r w:rsidRPr="00E06B10">
        <w:rPr>
          <w:rFonts w:asciiTheme="minorHAnsi" w:hAnsiTheme="minorHAnsi"/>
        </w:rPr>
        <w:t xml:space="preserve"> and Young People's Mental Health and Wellbeing</w:t>
      </w:r>
      <w:bookmarkEnd w:id="610"/>
      <w:r w:rsidRPr="00E06B10">
        <w:rPr>
          <w:rFonts w:asciiTheme="minorHAnsi" w:hAnsiTheme="minorHAnsi"/>
        </w:rPr>
        <w:t xml:space="preserve"> </w:t>
      </w:r>
    </w:p>
    <w:p w:rsidR="00E57656" w:rsidRPr="00E06B10" w:rsidRDefault="00E57656" w:rsidP="00E57656">
      <w:pPr>
        <w:jc w:val="both"/>
      </w:pPr>
      <w:r w:rsidRPr="00E06B10">
        <w:t>In Barnet children aged 5-16 years, the estimated prevalence of any mental disorder (8.3%), emotional disorder (3.2%), conduct disorder (4.99%) and hyperkinetic disorders (1.35%) are</w:t>
      </w:r>
      <w:r w:rsidR="00D93787">
        <w:t xml:space="preserve"> all</w:t>
      </w:r>
      <w:r w:rsidRPr="00E06B10">
        <w:t xml:space="preserve"> lower than the average rates </w:t>
      </w:r>
      <w:r>
        <w:t xml:space="preserve">for </w:t>
      </w:r>
      <w:r w:rsidRPr="00E06B10">
        <w:t>England (i.e. 9.6%, 3.7%, 5.8% and 1.5% respectively).</w:t>
      </w:r>
    </w:p>
    <w:p w:rsidR="00E57656" w:rsidRDefault="00E57656" w:rsidP="00E57656">
      <w:pPr>
        <w:jc w:val="both"/>
        <w:rPr>
          <w:noProof/>
          <w:lang w:eastAsia="en-GB"/>
        </w:rPr>
      </w:pPr>
      <w:r w:rsidRPr="00E06B10">
        <w:rPr>
          <w:noProof/>
          <w:lang w:eastAsia="en-GB"/>
        </w:rPr>
        <w:t>Barnet hospital admissions rates (per 100,000) for self-harm</w:t>
      </w:r>
      <w:r w:rsidRPr="00A80E4A">
        <w:rPr>
          <w:noProof/>
          <w:lang w:eastAsia="en-GB"/>
        </w:rPr>
        <w:t xml:space="preserve"> </w:t>
      </w:r>
      <w:r>
        <w:rPr>
          <w:noProof/>
          <w:lang w:eastAsia="en-GB"/>
        </w:rPr>
        <w:t>in</w:t>
      </w:r>
      <w:r w:rsidRPr="00E06B10">
        <w:rPr>
          <w:noProof/>
          <w:lang w:eastAsia="en-GB"/>
        </w:rPr>
        <w:t xml:space="preserve"> young people </w:t>
      </w:r>
      <w:r>
        <w:rPr>
          <w:noProof/>
          <w:lang w:eastAsia="en-GB"/>
        </w:rPr>
        <w:t xml:space="preserve">(aged </w:t>
      </w:r>
      <w:r w:rsidRPr="00E06B10">
        <w:rPr>
          <w:noProof/>
          <w:lang w:eastAsia="en-GB"/>
        </w:rPr>
        <w:t>10-24 years)</w:t>
      </w:r>
      <w:r>
        <w:rPr>
          <w:noProof/>
          <w:lang w:eastAsia="en-GB"/>
        </w:rPr>
        <w:t>,</w:t>
      </w:r>
      <w:r w:rsidRPr="00E06B10">
        <w:rPr>
          <w:noProof/>
          <w:lang w:eastAsia="en-GB"/>
        </w:rPr>
        <w:t xml:space="preserve"> substance misuse</w:t>
      </w:r>
      <w:r>
        <w:rPr>
          <w:noProof/>
          <w:lang w:eastAsia="en-GB"/>
        </w:rPr>
        <w:t xml:space="preserve"> and </w:t>
      </w:r>
      <w:r w:rsidRPr="00E06B10">
        <w:rPr>
          <w:noProof/>
          <w:lang w:eastAsia="en-GB"/>
        </w:rPr>
        <w:t xml:space="preserve">unintentional and deliberate injuries </w:t>
      </w:r>
      <w:r>
        <w:rPr>
          <w:noProof/>
          <w:lang w:eastAsia="en-GB"/>
        </w:rPr>
        <w:t xml:space="preserve">in </w:t>
      </w:r>
      <w:r w:rsidRPr="00E06B10">
        <w:rPr>
          <w:noProof/>
          <w:lang w:eastAsia="en-GB"/>
        </w:rPr>
        <w:t xml:space="preserve">young people </w:t>
      </w:r>
      <w:r>
        <w:rPr>
          <w:noProof/>
          <w:lang w:eastAsia="en-GB"/>
        </w:rPr>
        <w:t>(</w:t>
      </w:r>
      <w:r w:rsidRPr="00E06B10">
        <w:rPr>
          <w:noProof/>
          <w:lang w:eastAsia="en-GB"/>
        </w:rPr>
        <w:t>15-24 years</w:t>
      </w:r>
      <w:r>
        <w:rPr>
          <w:noProof/>
          <w:lang w:eastAsia="en-GB"/>
        </w:rPr>
        <w:t xml:space="preserve"> old), alcohol specific conditions in children (</w:t>
      </w:r>
      <w:r w:rsidRPr="00E06B10">
        <w:rPr>
          <w:noProof/>
          <w:lang w:eastAsia="en-GB"/>
        </w:rPr>
        <w:t xml:space="preserve">aged </w:t>
      </w:r>
      <w:r>
        <w:rPr>
          <w:noProof/>
          <w:lang w:eastAsia="en-GB"/>
        </w:rPr>
        <w:t>less than</w:t>
      </w:r>
      <w:r w:rsidRPr="00E06B10">
        <w:rPr>
          <w:noProof/>
          <w:lang w:eastAsia="en-GB"/>
        </w:rPr>
        <w:t xml:space="preserve"> 18 years</w:t>
      </w:r>
      <w:r>
        <w:rPr>
          <w:noProof/>
          <w:lang w:eastAsia="en-GB"/>
        </w:rPr>
        <w:t xml:space="preserve">) and </w:t>
      </w:r>
      <w:r w:rsidRPr="00E06B10">
        <w:rPr>
          <w:noProof/>
          <w:lang w:eastAsia="en-GB"/>
        </w:rPr>
        <w:t>uninten</w:t>
      </w:r>
      <w:r>
        <w:rPr>
          <w:noProof/>
          <w:lang w:eastAsia="en-GB"/>
        </w:rPr>
        <w:t xml:space="preserve">tional and deliberate injuries in </w:t>
      </w:r>
      <w:r w:rsidRPr="00E06B10">
        <w:rPr>
          <w:noProof/>
          <w:lang w:eastAsia="en-GB"/>
        </w:rPr>
        <w:t xml:space="preserve">children </w:t>
      </w:r>
      <w:r>
        <w:rPr>
          <w:noProof/>
          <w:lang w:eastAsia="en-GB"/>
        </w:rPr>
        <w:t xml:space="preserve">(less than </w:t>
      </w:r>
      <w:r w:rsidRPr="00E06B10">
        <w:rPr>
          <w:noProof/>
          <w:lang w:eastAsia="en-GB"/>
        </w:rPr>
        <w:t>15 years</w:t>
      </w:r>
      <w:r>
        <w:rPr>
          <w:noProof/>
          <w:lang w:eastAsia="en-GB"/>
        </w:rPr>
        <w:t xml:space="preserve"> old</w:t>
      </w:r>
      <w:r w:rsidRPr="00E06B10">
        <w:rPr>
          <w:noProof/>
          <w:lang w:eastAsia="en-GB"/>
        </w:rPr>
        <w:t xml:space="preserve">) are lower than the average rates for England. However, the hospital admissions rate for mental health in children (aged </w:t>
      </w:r>
      <w:r>
        <w:rPr>
          <w:noProof/>
          <w:lang w:eastAsia="en-GB"/>
        </w:rPr>
        <w:t>less than</w:t>
      </w:r>
      <w:r w:rsidRPr="00E06B10">
        <w:rPr>
          <w:noProof/>
          <w:lang w:eastAsia="en-GB"/>
        </w:rPr>
        <w:t xml:space="preserve"> 18 years) in Barnet is</w:t>
      </w:r>
      <w:r>
        <w:rPr>
          <w:noProof/>
          <w:lang w:eastAsia="en-GB"/>
        </w:rPr>
        <w:t xml:space="preserve"> </w:t>
      </w:r>
      <w:r w:rsidRPr="00E06B10">
        <w:rPr>
          <w:noProof/>
          <w:lang w:eastAsia="en-GB"/>
        </w:rPr>
        <w:t>higher than the average national</w:t>
      </w:r>
      <w:r>
        <w:rPr>
          <w:noProof/>
          <w:lang w:eastAsia="en-GB"/>
        </w:rPr>
        <w:t xml:space="preserve"> rate</w:t>
      </w:r>
      <w:r w:rsidRPr="00E06B10">
        <w:rPr>
          <w:noProof/>
          <w:lang w:eastAsia="en-GB"/>
        </w:rPr>
        <w:t xml:space="preserve"> (Figure </w:t>
      </w:r>
      <w:r>
        <w:t>5-</w:t>
      </w:r>
      <w:r>
        <w:rPr>
          <w:noProof/>
          <w:lang w:eastAsia="en-GB"/>
        </w:rPr>
        <w:t>9</w:t>
      </w:r>
      <w:r w:rsidRPr="00E06B10">
        <w:rPr>
          <w:noProof/>
          <w:lang w:eastAsia="en-GB"/>
        </w:rPr>
        <w:t xml:space="preserve">). </w:t>
      </w:r>
    </w:p>
    <w:p w:rsidR="00E57656" w:rsidRPr="00E06B10" w:rsidRDefault="00E57656" w:rsidP="00E57656">
      <w:pPr>
        <w:pStyle w:val="Caption"/>
      </w:pPr>
      <w:r>
        <w:t xml:space="preserve">Figure </w:t>
      </w:r>
      <w:fldSimple w:instr=" STYLEREF 1 \s ">
        <w:r w:rsidR="001663C2">
          <w:rPr>
            <w:noProof/>
          </w:rPr>
          <w:t>5</w:t>
        </w:r>
      </w:fldSimple>
      <w:r w:rsidR="00943DC2">
        <w:noBreakHyphen/>
      </w:r>
      <w:fldSimple w:instr=" SEQ Figure \* ARABIC \s 1 ">
        <w:r w:rsidR="001663C2">
          <w:rPr>
            <w:noProof/>
          </w:rPr>
          <w:t>9</w:t>
        </w:r>
      </w:fldSimple>
      <w:r>
        <w:t>:</w:t>
      </w:r>
      <w:r w:rsidRPr="00E06B10">
        <w:t xml:space="preserve"> Mental health indicators for Barnet vs. England </w:t>
      </w:r>
    </w:p>
    <w:p w:rsidR="00E57656" w:rsidRDefault="00E57656" w:rsidP="00E57656">
      <w:pPr>
        <w:spacing w:after="0" w:line="240" w:lineRule="auto"/>
        <w:rPr>
          <w:noProof/>
          <w:lang w:eastAsia="en-GB"/>
        </w:rPr>
      </w:pPr>
      <w:r w:rsidRPr="00E06B10">
        <w:rPr>
          <w:noProof/>
          <w:lang w:eastAsia="en-GB"/>
        </w:rPr>
        <mc:AlternateContent>
          <mc:Choice Requires="wpg">
            <w:drawing>
              <wp:inline distT="0" distB="0" distL="0" distR="0" wp14:anchorId="7F5F8A43" wp14:editId="0F483A08">
                <wp:extent cx="5645426" cy="5724939"/>
                <wp:effectExtent l="0" t="0" r="0" b="9525"/>
                <wp:docPr id="46" name="Group 16"/>
                <wp:cNvGraphicFramePr/>
                <a:graphic xmlns:a="http://schemas.openxmlformats.org/drawingml/2006/main">
                  <a:graphicData uri="http://schemas.microsoft.com/office/word/2010/wordprocessingGroup">
                    <wpg:wgp>
                      <wpg:cNvGrpSpPr/>
                      <wpg:grpSpPr>
                        <a:xfrm>
                          <a:off x="0" y="0"/>
                          <a:ext cx="5645426" cy="5724939"/>
                          <a:chOff x="0" y="0"/>
                          <a:chExt cx="5517174" cy="6638192"/>
                        </a:xfrm>
                      </wpg:grpSpPr>
                      <pic:pic xmlns:pic="http://schemas.openxmlformats.org/drawingml/2006/picture">
                        <pic:nvPicPr>
                          <pic:cNvPr id="47" name="Chart 1"/>
                          <pic:cNvPicPr>
                            <a:picLocks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1"/>
                            <a:ext cx="2762249" cy="22347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 name="Picture 48"/>
                          <pic:cNvPicPr>
                            <a:picLocks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2765913" y="0"/>
                            <a:ext cx="2751260" cy="22347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 name="Picture 49"/>
                          <pic:cNvPicPr>
                            <a:picLocks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2199" y="2234711"/>
                            <a:ext cx="2760052" cy="21980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 name="Picture 50"/>
                          <pic:cNvPicPr>
                            <a:picLocks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732" y="4430589"/>
                            <a:ext cx="2761518" cy="22002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 name="Picture 51"/>
                          <pic:cNvPicPr>
                            <a:picLocks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2759318" y="2236176"/>
                            <a:ext cx="2757856" cy="21966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 name="Picture 52"/>
                          <pic:cNvPicPr>
                            <a:picLocks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2760784" y="4432788"/>
                            <a:ext cx="2749061" cy="220540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16" o:spid="_x0000_s1026" style="width:444.5pt;height:450.8pt;mso-position-horizontal-relative:char;mso-position-vertical-relative:line" coordsize="55171,663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">
                <v:shape id="Chart 1" o:spid="_x0000_s1027" type="#_x0000_t75" style="position:absolute;width:27622;height:223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Mf+rGAAAA2wAAAA8AAABkcnMvZG93bnJldi54bWxEj0FrwkAUhO+F/oflFbzVTUWsRFeRQkUs&#10;SLVB8PbMPrNpsm9jdqvpv+8KQo/DzHzDTOedrcWFWl86VvDST0AQ506XXCjIvt6fxyB8QNZYOyYF&#10;v+RhPnt8mGKq3ZW3dNmFQkQI+xQVmBCaVEqfG7Lo+64hjt7JtRZDlG0hdYvXCLe1HCTJSFosOS4Y&#10;bOjNUF7tfqyCzfFjMP7enxeZMcv1YftZyaOulOo9dYsJiEBd+A/f2yutYPgKty/xB8jZ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Ix/6sYAAADbAAAADwAAAAAAAAAAAAAA&#10;AACfAgAAZHJzL2Rvd25yZXYueG1sUEsFBgAAAAAEAAQA9wAAAJIDAAAAAA==&#10;">
                  <v:imagedata r:id="rId83" o:title=""/>
                  <o:lock v:ext="edit" aspectratio="f"/>
                </v:shape>
                <v:shape id="Picture 48" o:spid="_x0000_s1028" type="#_x0000_t75" style="position:absolute;left:27659;width:27512;height:223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v6zu/AAAA2wAAAA8AAABkcnMvZG93bnJldi54bWxET8uKwjAU3Qv+Q7jC7GxacQappiKC6Oxm&#10;fOwvzbUtbW5qE9vO308WgsvDeW+2o2lET52rLCtIohgEcW51xYWC6+UwX4FwHlljY5kU/JGDbTad&#10;bDDVduBf6s++ECGEXYoKSu/bVEqXl2TQRbYlDtzddgZ9gF0hdYdDCDeNXMTxlzRYcWgosaV9SXl9&#10;fhoF3w9pd0PyM8RJe3x+9ocbcn1T6mM27tYgPI3+LX65T1rBMowNX8IPkNk/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Zr+s7vwAAANsAAAAPAAAAAAAAAAAAAAAAAJ8CAABk&#10;cnMvZG93bnJldi54bWxQSwUGAAAAAAQABAD3AAAAiwMAAAAA&#10;">
                  <v:imagedata r:id="rId84" o:title=""/>
                  <o:lock v:ext="edit" aspectratio="f"/>
                </v:shape>
                <v:shape id="Picture 49" o:spid="_x0000_s1029" type="#_x0000_t75" style="position:absolute;left:21;top:22347;width:27601;height:219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Jv8XBAAAA2wAAAA8AAABkcnMvZG93bnJldi54bWxEj09rAjEUxO+FfofwCt4063/dGqUKSq9q&#10;6fmxed1d3LwsSepGP70RCj0OM/MbZrWJphFXcr62rGA4yEAQF1bXXCr4Ou/7CxA+IGtsLJOCG3nY&#10;rF9fVphr2/GRrqdQigRhn6OCKoQ2l9IXFRn0A9sSJ+/HOoMhSVdK7bBLcNPIUZbNpMGa00KFLe0q&#10;Ki6nX5Mo02Z+/96Xoy4bBzO3OrrDNirVe4sf7yACxfAf/mt/agWTJTy/pB8g1w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qJv8XBAAAA2wAAAA8AAAAAAAAAAAAAAAAAnwIA&#10;AGRycy9kb3ducmV2LnhtbFBLBQYAAAAABAAEAPcAAACNAwAAAAA=&#10;">
                  <v:imagedata r:id="rId85" o:title=""/>
                  <o:lock v:ext="edit" aspectratio="f"/>
                </v:shape>
                <v:shape id="Picture 50" o:spid="_x0000_s1030" type="#_x0000_t75" style="position:absolute;left:7;top:44305;width:27615;height:22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Ui8HDAAAA2wAAAA8AAABkcnMvZG93bnJldi54bWxET89rwjAUvg/8H8IbeLPpKo5RjbIJw815&#10;WRXc8a15a4vNS0miVv96cxB2/Ph+zxa9acWJnG8sK3hKUhDEpdUNVwp22/fRCwgfkDW2lknBhTws&#10;5oOHGebanvmbTkWoRAxhn6OCOoQul9KXNRn0ie2II/dnncEQoaukdniO4aaVWZo+S4MNx4YaO1rW&#10;VB6Ko1Ew/ly5fXhLNz/Xr+x3bFdFdlkvlRo+9q9TEIH68C++uz+0gklcH7/EHyDn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5SLwcMAAADbAAAADwAAAAAAAAAAAAAAAACf&#10;AgAAZHJzL2Rvd25yZXYueG1sUEsFBgAAAAAEAAQA9wAAAI8DAAAAAA==&#10;">
                  <v:imagedata r:id="rId86" o:title=""/>
                  <o:lock v:ext="edit" aspectratio="f"/>
                </v:shape>
                <v:shape id="Picture 51" o:spid="_x0000_s1031" type="#_x0000_t75" style="position:absolute;left:27593;top:22361;width:27578;height:219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B/WHEAAAA2wAAAA8AAABkcnMvZG93bnJldi54bWxEj09rwkAUxO+C32F5Qi+imwqKRFdJC6GC&#10;vRh76PGRfU1Cs29Ddps/fnpXKHgcZuY3zP44mFp01LrKsoLXZQSCOLe64kLB1zVdbEE4j6yxtkwK&#10;RnJwPEwne4y17flCXeYLESDsYlRQet/EUrq8JINuaRvi4P3Y1qAPsi2kbrEPcFPLVRRtpMGKw0KJ&#10;Db2XlP9mf0bB2wd1Zn7e5Jxko7x9p/bzTCelXmZDsgPhafDP8H/7pBWsV/D4En6APN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ZB/WHEAAAA2wAAAA8AAAAAAAAAAAAAAAAA&#10;nwIAAGRycy9kb3ducmV2LnhtbFBLBQYAAAAABAAEAPcAAACQAwAAAAA=&#10;">
                  <v:imagedata r:id="rId87" o:title=""/>
                  <o:lock v:ext="edit" aspectratio="f"/>
                </v:shape>
                <v:shape id="Picture 52" o:spid="_x0000_s1032" type="#_x0000_t75" style="position:absolute;left:27607;top:44327;width:27491;height:220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4ReXFAAAA2wAAAA8AAABkcnMvZG93bnJldi54bWxEj0FrwkAUhO+F/oflCb3VjQqpRFcRaUFb&#10;Kk0Uz8/sMwnNvk2zq4n/3i0Uehxm5htmvuxNLa7UusqygtEwAkGcW11xoeCwf3uegnAeWWNtmRTc&#10;yMFy8fgwx0TbjlO6Zr4QAcIuQQWl900ipctLMuiGtiEO3tm2Bn2QbSF1i12Am1qOoyiWBisOCyU2&#10;tC4p/84uRsF6M6aXr49jnHWnn9d0l75Ptp+o1NOgX81AeOr9f/ivvdEK4gn8fgk/QC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EXlxQAAANsAAAAPAAAAAAAAAAAAAAAA&#10;AJ8CAABkcnMvZG93bnJldi54bWxQSwUGAAAAAAQABAD3AAAAkQMAAAAA&#10;">
                  <v:imagedata r:id="rId88" o:title=""/>
                  <o:lock v:ext="edit" aspectratio="f"/>
                </v:shape>
                <w10:anchorlock/>
              </v:group>
            </w:pict>
          </mc:Fallback>
        </mc:AlternateContent>
      </w:r>
    </w:p>
    <w:p w:rsidR="00E57656" w:rsidRPr="002C1DD6" w:rsidRDefault="00E57656" w:rsidP="00E57656">
      <w:pPr>
        <w:rPr>
          <w:noProof/>
          <w:sz w:val="16"/>
          <w:szCs w:val="16"/>
          <w:lang w:eastAsia="en-GB"/>
        </w:rPr>
      </w:pPr>
      <w:r w:rsidRPr="002C1DD6">
        <w:rPr>
          <w:noProof/>
          <w:sz w:val="16"/>
          <w:szCs w:val="16"/>
          <w:lang w:eastAsia="en-GB"/>
        </w:rPr>
        <w:t xml:space="preserve">Data Source: Public Health England. </w:t>
      </w:r>
      <w:hyperlink r:id="rId89" w:history="1">
        <w:r w:rsidRPr="002C1DD6">
          <w:rPr>
            <w:rStyle w:val="Hyperlink"/>
            <w:noProof/>
            <w:sz w:val="16"/>
            <w:szCs w:val="16"/>
            <w:lang w:eastAsia="en-GB"/>
          </w:rPr>
          <w:t>Children's and Young People's Mental Health and Wellbeing</w:t>
        </w:r>
      </w:hyperlink>
      <w:r w:rsidRPr="002C1DD6">
        <w:rPr>
          <w:noProof/>
          <w:sz w:val="16"/>
          <w:szCs w:val="16"/>
          <w:lang w:eastAsia="en-GB"/>
        </w:rPr>
        <w:t xml:space="preserve"> </w:t>
      </w:r>
    </w:p>
    <w:p w:rsidR="00E57656" w:rsidRDefault="001C74D0" w:rsidP="00E57656">
      <w:pPr>
        <w:pStyle w:val="Heading3"/>
        <w:numPr>
          <w:ilvl w:val="2"/>
          <w:numId w:val="35"/>
        </w:numPr>
        <w:jc w:val="both"/>
      </w:pPr>
      <w:bookmarkStart w:id="611" w:name="_Toc420678802"/>
      <w:r>
        <w:lastRenderedPageBreak/>
        <w:t>Mental H</w:t>
      </w:r>
      <w:r w:rsidR="00E57656">
        <w:t xml:space="preserve">ealth </w:t>
      </w:r>
      <w:r>
        <w:t>Illness P</w:t>
      </w:r>
      <w:r w:rsidR="00E57656">
        <w:t>revention</w:t>
      </w:r>
      <w:bookmarkEnd w:id="611"/>
    </w:p>
    <w:p w:rsidR="00E57656" w:rsidRPr="00E06B10" w:rsidRDefault="00E57656" w:rsidP="00D93787">
      <w:pPr>
        <w:jc w:val="both"/>
      </w:pPr>
      <w:r w:rsidRPr="00E06B10">
        <w:t xml:space="preserve">The </w:t>
      </w:r>
      <w:hyperlink r:id="rId90" w:history="1">
        <w:r w:rsidRPr="00E06B10">
          <w:rPr>
            <w:rStyle w:val="Hyperlink"/>
          </w:rPr>
          <w:t>National Service Framework for Children, Young People and Maternity Service (2004)</w:t>
        </w:r>
      </w:hyperlink>
      <w:r w:rsidRPr="00E06B10">
        <w:t xml:space="preserve"> suggests providing early and effective services to </w:t>
      </w:r>
      <w:r>
        <w:t xml:space="preserve">help </w:t>
      </w:r>
      <w:r w:rsidRPr="00E06B10">
        <w:t xml:space="preserve">children and young people with emotional, behavioural, psychological and mental health problems using the </w:t>
      </w:r>
      <w:hyperlink r:id="rId91" w:history="1">
        <w:r w:rsidRPr="00E06B10">
          <w:rPr>
            <w:rStyle w:val="Hyperlink"/>
          </w:rPr>
          <w:t>Child and Adolescent Health Services (CAMHS)</w:t>
        </w:r>
      </w:hyperlink>
      <w:r w:rsidRPr="00E06B10">
        <w:t xml:space="preserve"> </w:t>
      </w:r>
      <w:hyperlink r:id="rId92" w:history="1">
        <w:r w:rsidRPr="00E06B10">
          <w:rPr>
            <w:rStyle w:val="Hyperlink"/>
          </w:rPr>
          <w:t>strategic framework, which comprises 1 to 4 tiers</w:t>
        </w:r>
      </w:hyperlink>
      <w:r w:rsidRPr="00E06B10">
        <w:t>. Providing the CAMHS services at tiers 2-3 is the responsibility of the clinical commissioning groups (CCGs) while commissioning of the tier 4 CAMHS services is the responsibility of NHS England since April 2013</w:t>
      </w:r>
      <w:r w:rsidRPr="00E06B10">
        <w:rPr>
          <w:rStyle w:val="FootnoteReference"/>
        </w:rPr>
        <w:footnoteReference w:id="60"/>
      </w:r>
      <w:r w:rsidR="00D93787">
        <w:t>.</w:t>
      </w:r>
      <w:r w:rsidRPr="00E06B10">
        <w:t xml:space="preserve"> In Barnet, the estimated number of children aged less than 18 years requiring CAMHS services Tier 3 is 1,580 and those requiring the Tier 4 services is 65 (as per estimation of 2012). </w:t>
      </w:r>
    </w:p>
    <w:p w:rsidR="00E57656" w:rsidRPr="00E06B10" w:rsidRDefault="00E57656" w:rsidP="00E57656">
      <w:pPr>
        <w:jc w:val="both"/>
      </w:pPr>
      <w:r w:rsidRPr="00E06B10">
        <w:t xml:space="preserve">The London </w:t>
      </w:r>
      <w:r>
        <w:t>Borough</w:t>
      </w:r>
      <w:r w:rsidRPr="00E06B10">
        <w:t xml:space="preserve"> of Barnet (LBB) has a health and wellbeing strategy “</w:t>
      </w:r>
      <w:hyperlink r:id="rId93" w:history="1">
        <w:r w:rsidRPr="00E06B10">
          <w:rPr>
            <w:rStyle w:val="Hyperlink"/>
          </w:rPr>
          <w:t>Keeping Well, Keeping Independent</w:t>
        </w:r>
      </w:hyperlink>
      <w:r w:rsidRPr="00E06B10">
        <w:t>” for 2012-2015 that addresses overall health and wellbeing including mental health needs of the local population through a four themes approach. In addition, the LBB and Barnet C</w:t>
      </w:r>
      <w:r>
        <w:t xml:space="preserve">linical Commissioning Group </w:t>
      </w:r>
      <w:r w:rsidRPr="00E06B10">
        <w:t>have started a number of initiatives including programmes and services for improving mental health and wellbeing of the local people</w:t>
      </w:r>
      <w:r w:rsidRPr="00E06B10">
        <w:rPr>
          <w:rStyle w:val="FootnoteReference"/>
        </w:rPr>
        <w:footnoteReference w:id="61"/>
      </w:r>
      <w:r w:rsidR="00D93787">
        <w:t>.</w:t>
      </w:r>
      <w:r w:rsidRPr="00E06B10">
        <w:t xml:space="preserve"> For example, the LBB programmes for improving mental health and wellbeing include </w:t>
      </w:r>
      <w:r>
        <w:t xml:space="preserve">a </w:t>
      </w:r>
      <w:r w:rsidRPr="00E06B10">
        <w:t xml:space="preserve">schools wellbeing programme, mental health in the community, physical activity programme for older people, </w:t>
      </w:r>
      <w:r>
        <w:t xml:space="preserve">a </w:t>
      </w:r>
      <w:r w:rsidRPr="00E06B10">
        <w:t xml:space="preserve">programme to reduce the misuse of alcohol and </w:t>
      </w:r>
      <w:r>
        <w:t xml:space="preserve">an </w:t>
      </w:r>
      <w:r w:rsidRPr="00E06B10">
        <w:t xml:space="preserve">outdoor gyms and activator programme. The CCG led initiatives include developing an integrated commissioning health and wellbeing strategy with a multiagency forum mental health partnership board, planning redesigning of CAMHS Tier-4 services, remodelling the primary care mental health </w:t>
      </w:r>
      <w:r>
        <w:t>t</w:t>
      </w:r>
      <w:r w:rsidRPr="00E06B10">
        <w:t xml:space="preserve">eam, developing primary care support and liaison teams and re-commissioning mental health day opportunity services. </w:t>
      </w:r>
    </w:p>
    <w:p w:rsidR="00E57656" w:rsidRPr="00E06B10" w:rsidRDefault="00E57656" w:rsidP="00E57656">
      <w:pPr>
        <w:pStyle w:val="Heading2"/>
        <w:numPr>
          <w:ilvl w:val="1"/>
          <w:numId w:val="35"/>
        </w:numPr>
        <w:jc w:val="both"/>
        <w:rPr>
          <w:rFonts w:asciiTheme="minorHAnsi" w:hAnsiTheme="minorHAnsi"/>
        </w:rPr>
      </w:pPr>
      <w:bookmarkStart w:id="612" w:name="_Toc420678803"/>
      <w:bookmarkStart w:id="613" w:name="_Toc426723337"/>
      <w:bookmarkStart w:id="614" w:name="_Toc431225164"/>
      <w:r w:rsidRPr="00E06B10">
        <w:rPr>
          <w:rFonts w:asciiTheme="minorHAnsi" w:hAnsiTheme="minorHAnsi"/>
        </w:rPr>
        <w:t>Diabetes</w:t>
      </w:r>
      <w:bookmarkEnd w:id="612"/>
      <w:bookmarkEnd w:id="613"/>
      <w:bookmarkEnd w:id="614"/>
    </w:p>
    <w:p w:rsidR="00E57656" w:rsidRPr="00E06B10" w:rsidRDefault="00E57656" w:rsidP="00E57656">
      <w:pPr>
        <w:jc w:val="both"/>
      </w:pPr>
      <w:r w:rsidRPr="00E06B10">
        <w:t>The rate of recorded (diagnosed) diabetes (in GP registered population aged 17+) in Barnet (6.03%) is similar to London rate (6.00%) but lower than the national rate (6.21%). However, estimated total (diagnosed and undiagnosed) prevalence of diabetes in 2015 in Barnet adults (8.3%) is slightly higher than England (7.6%)</w:t>
      </w:r>
      <w:r w:rsidRPr="00E06B10">
        <w:rPr>
          <w:rStyle w:val="FootnoteReference"/>
        </w:rPr>
        <w:footnoteReference w:id="62"/>
      </w:r>
      <w:r w:rsidR="00D93787">
        <w:t>.</w:t>
      </w:r>
      <w:r w:rsidRPr="00E06B10">
        <w:t xml:space="preserve"> There are </w:t>
      </w:r>
      <w:r>
        <w:t xml:space="preserve">an </w:t>
      </w:r>
      <w:r w:rsidRPr="00E06B10">
        <w:t>estimated 5,259 (23%) undiagnosed cases of diabetes in Barnet.</w:t>
      </w:r>
      <w:r w:rsidRPr="00E06B10">
        <w:rPr>
          <w:rStyle w:val="FootnoteReference"/>
        </w:rPr>
        <w:footnoteReference w:id="63"/>
      </w:r>
      <w:r w:rsidRPr="00E06B10">
        <w:t xml:space="preserve"> </w:t>
      </w:r>
      <w:r w:rsidR="005935BA">
        <w:t>The prevalence rate of diabetes is forecast to rise at both national and local levels and this increase could be even higher if diabetes risk factors such as obesity are not addressed</w:t>
      </w:r>
      <w:r w:rsidRPr="00E06B10">
        <w:rPr>
          <w:rStyle w:val="FootnoteReference"/>
        </w:rPr>
        <w:footnoteReference w:id="64"/>
      </w:r>
      <w:r w:rsidR="00D93787">
        <w:t>.</w:t>
      </w:r>
    </w:p>
    <w:p w:rsidR="00E57656" w:rsidRPr="00E06B10" w:rsidRDefault="00E57656" w:rsidP="00E57656">
      <w:pPr>
        <w:jc w:val="both"/>
      </w:pPr>
      <w:r w:rsidRPr="00E06B10">
        <w:t>There is a wide variation between Barnet GPs (n=67) in terms of both the prevalence of diabetes (from 2.2% to 10.3%)</w:t>
      </w:r>
      <w:r w:rsidRPr="00E06B10">
        <w:rPr>
          <w:rStyle w:val="FootnoteReference"/>
        </w:rPr>
        <w:footnoteReference w:id="65"/>
      </w:r>
      <w:r w:rsidRPr="00E06B10">
        <w:t xml:space="preserve"> and the clinical management of diabetic patients. However, the Quality and Outcomes F</w:t>
      </w:r>
      <w:r w:rsidR="00270AEE">
        <w:t>ramework (QOF) results for 2013/</w:t>
      </w:r>
      <w:r w:rsidRPr="00E06B10">
        <w:t>14 reveal that Barnet GPs have better average diabetes outcomes compared to the national averages</w:t>
      </w:r>
      <w:r w:rsidRPr="00E06B10">
        <w:rPr>
          <w:rStyle w:val="FootnoteReference"/>
        </w:rPr>
        <w:footnoteReference w:id="66"/>
      </w:r>
      <w:r w:rsidR="00D93787">
        <w:t>.</w:t>
      </w:r>
      <w:r w:rsidRPr="00E06B10">
        <w:t xml:space="preserve"> However, some GPs in the Barnet CCGs have diabetes outcomes lower than the local and national ave</w:t>
      </w:r>
      <w:r w:rsidR="00D93787">
        <w:t>rages, which need to be reviewed</w:t>
      </w:r>
      <w:r w:rsidRPr="00E06B10">
        <w:t xml:space="preserve">. </w:t>
      </w:r>
    </w:p>
    <w:p w:rsidR="00E57656" w:rsidRPr="00E06B10" w:rsidRDefault="00E57656" w:rsidP="00E57656">
      <w:pPr>
        <w:jc w:val="both"/>
      </w:pPr>
      <w:r w:rsidRPr="00E06B10">
        <w:t>The Barnet indicators of care processes carried out on diabetic patients show that foot checks, urine testing for protein and smoking cessation advice is above the average</w:t>
      </w:r>
      <w:r w:rsidRPr="003078DB">
        <w:t xml:space="preserve"> </w:t>
      </w:r>
      <w:r>
        <w:t xml:space="preserve">for </w:t>
      </w:r>
      <w:r w:rsidR="00817299">
        <w:t>England whilst</w:t>
      </w:r>
      <w:r w:rsidRPr="00E06B10">
        <w:t xml:space="preserve"> flu vaccination and eye screening are similar to the national average. The BMI recording in diabetic </w:t>
      </w:r>
      <w:r w:rsidRPr="00E06B10">
        <w:lastRenderedPageBreak/>
        <w:t xml:space="preserve">patients in Barnet is below the average for England, </w:t>
      </w:r>
      <w:r w:rsidR="00465B82">
        <w:t xml:space="preserve">an area </w:t>
      </w:r>
      <w:r w:rsidRPr="00E06B10">
        <w:t xml:space="preserve">which needs </w:t>
      </w:r>
      <w:r w:rsidR="00817299">
        <w:t>to be reviewed</w:t>
      </w:r>
      <w:r w:rsidRPr="00E06B10">
        <w:t>. The percentage of diabetic people having all</w:t>
      </w:r>
      <w:r w:rsidR="00465B82">
        <w:t xml:space="preserve"> eight</w:t>
      </w:r>
      <w:r w:rsidRPr="00E06B10">
        <w:t xml:space="preserve"> check-ups in Barnet (56%) is also below the national average (59.5%), which </w:t>
      </w:r>
      <w:r w:rsidR="00465B82">
        <w:t>is an area for improvement in the future.</w:t>
      </w:r>
    </w:p>
    <w:p w:rsidR="00E57656" w:rsidRPr="00E06B10" w:rsidRDefault="00E57656" w:rsidP="00E57656">
      <w:pPr>
        <w:jc w:val="both"/>
      </w:pPr>
      <w:r w:rsidRPr="00E06B10">
        <w:t xml:space="preserve">Complications due to diabetes in Barnet patients are similar to the regional (London) and national averages. However, the </w:t>
      </w:r>
      <w:hyperlink r:id="rId94" w:history="1">
        <w:r w:rsidRPr="00E06B10">
          <w:rPr>
            <w:rStyle w:val="Hyperlink"/>
          </w:rPr>
          <w:t>National Diabetes Audit 2012-2013</w:t>
        </w:r>
      </w:hyperlink>
      <w:r w:rsidRPr="00E06B10">
        <w:t xml:space="preserve"> recommended that the Barnet CCG should review its diabetes care providers to reduce the risks associated with diabetes </w:t>
      </w:r>
      <w:r>
        <w:t>and use</w:t>
      </w:r>
      <w:r w:rsidRPr="00E06B10">
        <w:t xml:space="preserve"> different approaches including exercise, diet composition, weight management, smoking, glucose control, blood pressure control and cholesterol control</w:t>
      </w:r>
      <w:r w:rsidRPr="00E06B10">
        <w:rPr>
          <w:rStyle w:val="FootnoteReference"/>
        </w:rPr>
        <w:footnoteReference w:id="67"/>
      </w:r>
      <w:r w:rsidR="00DB3F90">
        <w:t>.</w:t>
      </w:r>
      <w:r w:rsidRPr="00E06B10">
        <w:t xml:space="preserve"> These recommendations </w:t>
      </w:r>
      <w:r>
        <w:t xml:space="preserve">should </w:t>
      </w:r>
      <w:r w:rsidRPr="00E06B10">
        <w:t xml:space="preserve">be taken seriously </w:t>
      </w:r>
      <w:r>
        <w:t xml:space="preserve">and implemented through </w:t>
      </w:r>
      <w:r w:rsidRPr="00E06B10">
        <w:t>appropriate interventions and services.</w:t>
      </w:r>
    </w:p>
    <w:p w:rsidR="00E57656" w:rsidRPr="00E06B10" w:rsidRDefault="00E57656" w:rsidP="00E57656">
      <w:pPr>
        <w:pStyle w:val="Heading2"/>
        <w:numPr>
          <w:ilvl w:val="1"/>
          <w:numId w:val="35"/>
        </w:numPr>
        <w:jc w:val="both"/>
        <w:rPr>
          <w:rFonts w:asciiTheme="minorHAnsi" w:hAnsiTheme="minorHAnsi"/>
        </w:rPr>
      </w:pPr>
      <w:bookmarkStart w:id="615" w:name="_Toc420678804"/>
      <w:bookmarkStart w:id="616" w:name="_Toc426723338"/>
      <w:bookmarkStart w:id="617" w:name="_Toc431225165"/>
      <w:r w:rsidRPr="00E06B10">
        <w:rPr>
          <w:rFonts w:asciiTheme="minorHAnsi" w:hAnsiTheme="minorHAnsi"/>
        </w:rPr>
        <w:t>Oral Health</w:t>
      </w:r>
      <w:bookmarkEnd w:id="615"/>
      <w:bookmarkEnd w:id="616"/>
      <w:bookmarkEnd w:id="617"/>
    </w:p>
    <w:p w:rsidR="00E57656" w:rsidRPr="00E06B10" w:rsidRDefault="00E57656" w:rsidP="00E57656">
      <w:pPr>
        <w:jc w:val="both"/>
      </w:pPr>
      <w:r w:rsidRPr="00E06B10">
        <w:t>Oral health is integral and essential to general health and an important det</w:t>
      </w:r>
      <w:bookmarkStart w:id="618" w:name="_Ref418087794"/>
      <w:r w:rsidR="00DB3F90">
        <w:t>erminant of the quality of life</w:t>
      </w:r>
      <w:r w:rsidRPr="00E06B10">
        <w:rPr>
          <w:rStyle w:val="FootnoteReference"/>
        </w:rPr>
        <w:footnoteReference w:id="68"/>
      </w:r>
      <w:bookmarkEnd w:id="618"/>
      <w:r w:rsidR="00DB3F90">
        <w:t xml:space="preserve">. </w:t>
      </w:r>
      <w:r w:rsidRPr="00E06B10">
        <w:t>Oral diseases limit activity at home and work, and in schools, and there is a strong association between oral diseases and non-communicable chronic diseases (NCDs)</w:t>
      </w:r>
      <w:r w:rsidRPr="00E06B10">
        <w:fldChar w:fldCharType="begin"/>
      </w:r>
      <w:r w:rsidRPr="00E06B10">
        <w:instrText xml:space="preserve"> NOTEREF _Ref418087794 \f \h </w:instrText>
      </w:r>
      <w:r>
        <w:instrText xml:space="preserve"> \* MERGEFORMAT </w:instrText>
      </w:r>
      <w:r w:rsidRPr="00E06B10">
        <w:fldChar w:fldCharType="separate"/>
      </w:r>
      <w:r w:rsidR="001663C2" w:rsidRPr="001663C2">
        <w:rPr>
          <w:rStyle w:val="FootnoteReference"/>
        </w:rPr>
        <w:t>68</w:t>
      </w:r>
      <w:r w:rsidRPr="00E06B10">
        <w:fldChar w:fldCharType="end"/>
      </w:r>
      <w:r w:rsidR="00DB3F90">
        <w:t>.</w:t>
      </w:r>
      <w:r w:rsidRPr="00E06B10">
        <w:t xml:space="preserve"> Thus, integration of oral health in to public policy agenda for the prevention and control of NCDs and development agenda has been suggested in the </w:t>
      </w:r>
      <w:hyperlink r:id="rId95" w:history="1">
        <w:r w:rsidRPr="00E06B10">
          <w:rPr>
            <w:rStyle w:val="Hyperlink"/>
          </w:rPr>
          <w:t>Tokyo Declaration on Dental care and oral health for healthy longevity 2015</w:t>
        </w:r>
      </w:hyperlink>
      <w:r w:rsidRPr="00E06B10">
        <w:rPr>
          <w:rStyle w:val="FootnoteReference"/>
        </w:rPr>
        <w:footnoteReference w:id="69"/>
      </w:r>
      <w:r w:rsidR="00DB3F90" w:rsidRPr="00DB3F90">
        <w:rPr>
          <w:rStyle w:val="Hyperlink"/>
          <w:u w:val="none"/>
        </w:rPr>
        <w:t>.</w:t>
      </w:r>
      <w:r w:rsidRPr="00E06B10">
        <w:t xml:space="preserve"> In addition, premature mortality can also be reduced by preventing oral diseases</w:t>
      </w:r>
      <w:r w:rsidRPr="00E06B10">
        <w:fldChar w:fldCharType="begin"/>
      </w:r>
      <w:r w:rsidRPr="00E06B10">
        <w:rPr>
          <w:rStyle w:val="FootnoteReference"/>
        </w:rPr>
        <w:instrText xml:space="preserve"> NOTEREF _Ref418087794 \f \h </w:instrText>
      </w:r>
      <w:r>
        <w:instrText xml:space="preserve"> \* MERGEFORMAT </w:instrText>
      </w:r>
      <w:r w:rsidRPr="00E06B10">
        <w:fldChar w:fldCharType="separate"/>
      </w:r>
      <w:r w:rsidR="001663C2" w:rsidRPr="001663C2">
        <w:rPr>
          <w:rStyle w:val="FootnoteReference"/>
        </w:rPr>
        <w:t>68</w:t>
      </w:r>
      <w:r w:rsidRPr="00E06B10">
        <w:fldChar w:fldCharType="end"/>
      </w:r>
      <w:r w:rsidR="00DB3F90">
        <w:t xml:space="preserve">. </w:t>
      </w:r>
      <w:r w:rsidRPr="00E06B10">
        <w:t>It is however important that oral disease preventative strategies and approaches should address not only the wider and distant socio-economic determinants of oral heath e.g. poor living conditions and low education but also the immediate and modifiable risk behaviours such as sugar consumption (amount, frequency of intake, types), oral hygiene practices, tobacco use and excessive alcohol consumption</w:t>
      </w:r>
      <w:bookmarkStart w:id="619" w:name="_Ref418088075"/>
      <w:r w:rsidRPr="00E06B10">
        <w:rPr>
          <w:rStyle w:val="FootnoteReference"/>
        </w:rPr>
        <w:footnoteReference w:id="70"/>
      </w:r>
      <w:bookmarkEnd w:id="619"/>
      <w:r w:rsidR="00DB3F90">
        <w:t>.</w:t>
      </w:r>
      <w:r w:rsidRPr="00E06B10">
        <w:t xml:space="preserve"> </w:t>
      </w:r>
    </w:p>
    <w:p w:rsidR="00E57656" w:rsidRPr="00E06B10" w:rsidRDefault="00E57656" w:rsidP="00E57656">
      <w:pPr>
        <w:pStyle w:val="Heading3"/>
        <w:numPr>
          <w:ilvl w:val="2"/>
          <w:numId w:val="35"/>
        </w:numPr>
        <w:jc w:val="both"/>
        <w:rPr>
          <w:rFonts w:asciiTheme="minorHAnsi" w:hAnsiTheme="minorHAnsi"/>
        </w:rPr>
      </w:pPr>
      <w:bookmarkStart w:id="620" w:name="_Toc420678805"/>
      <w:r w:rsidRPr="00E06B10">
        <w:rPr>
          <w:rFonts w:asciiTheme="minorHAnsi" w:hAnsiTheme="minorHAnsi"/>
        </w:rPr>
        <w:t xml:space="preserve">Adult </w:t>
      </w:r>
      <w:r w:rsidR="001C74D0">
        <w:rPr>
          <w:rFonts w:asciiTheme="minorHAnsi" w:hAnsiTheme="minorHAnsi"/>
        </w:rPr>
        <w:t>O</w:t>
      </w:r>
      <w:r w:rsidRPr="00E06B10">
        <w:rPr>
          <w:rFonts w:asciiTheme="minorHAnsi" w:hAnsiTheme="minorHAnsi"/>
        </w:rPr>
        <w:t xml:space="preserve">ral </w:t>
      </w:r>
      <w:r w:rsidR="001C74D0">
        <w:rPr>
          <w:rFonts w:asciiTheme="minorHAnsi" w:hAnsiTheme="minorHAnsi"/>
        </w:rPr>
        <w:t>H</w:t>
      </w:r>
      <w:r w:rsidRPr="00E06B10">
        <w:rPr>
          <w:rFonts w:asciiTheme="minorHAnsi" w:hAnsiTheme="minorHAnsi"/>
        </w:rPr>
        <w:t>ealth</w:t>
      </w:r>
      <w:bookmarkEnd w:id="620"/>
    </w:p>
    <w:p w:rsidR="00E57656" w:rsidRPr="00E06B10" w:rsidRDefault="00E57656" w:rsidP="00E57656">
      <w:pPr>
        <w:jc w:val="both"/>
      </w:pPr>
      <w:r w:rsidRPr="00E06B10">
        <w:t xml:space="preserve">Data on dental service use shows that the dental access rate in Barnet adults (over 18 years) increased slightly in 2013 compared to 2011 and the Barnet rate (42% for March 2013) followed the average trend </w:t>
      </w:r>
      <w:r>
        <w:t xml:space="preserve">for </w:t>
      </w:r>
      <w:r w:rsidRPr="00E06B10">
        <w:t xml:space="preserve">London and England over the reported period (Figure </w:t>
      </w:r>
      <w:r>
        <w:t>5-</w:t>
      </w:r>
      <w:r w:rsidRPr="00E06B10">
        <w:t>1</w:t>
      </w:r>
      <w:r>
        <w:t>0</w:t>
      </w:r>
      <w:r w:rsidRPr="00E06B10">
        <w:t>).</w:t>
      </w:r>
    </w:p>
    <w:p w:rsidR="00E57656" w:rsidRPr="00E06B10" w:rsidRDefault="00E57656" w:rsidP="00E57656">
      <w:pPr>
        <w:pStyle w:val="Caption"/>
      </w:pPr>
      <w:r>
        <w:t xml:space="preserve">Figure </w:t>
      </w:r>
      <w:fldSimple w:instr=" STYLEREF 1 \s ">
        <w:r w:rsidR="001663C2">
          <w:rPr>
            <w:noProof/>
          </w:rPr>
          <w:t>5</w:t>
        </w:r>
      </w:fldSimple>
      <w:r w:rsidR="00943DC2">
        <w:noBreakHyphen/>
      </w:r>
      <w:fldSimple w:instr=" SEQ Figure \* ARABIC \s 1 ">
        <w:r w:rsidR="001663C2">
          <w:rPr>
            <w:noProof/>
          </w:rPr>
          <w:t>10</w:t>
        </w:r>
      </w:fldSimple>
      <w:r>
        <w:t>:</w:t>
      </w:r>
      <w:r w:rsidRPr="00E06B10">
        <w:t xml:space="preserve"> Adult Dental Access Rates 2011-2013</w:t>
      </w:r>
    </w:p>
    <w:p w:rsidR="00E57656" w:rsidRDefault="00E57656" w:rsidP="00E57656">
      <w:pPr>
        <w:jc w:val="center"/>
      </w:pPr>
      <w:r w:rsidRPr="00E06B10">
        <w:rPr>
          <w:noProof/>
          <w:lang w:eastAsia="en-GB"/>
        </w:rPr>
        <w:drawing>
          <wp:inline distT="0" distB="0" distL="0" distR="0" wp14:anchorId="60E70AF6" wp14:editId="1A9C7934">
            <wp:extent cx="3429000" cy="1977603"/>
            <wp:effectExtent l="0" t="0" r="0" b="3810"/>
            <wp:docPr id="4119" name="Picture 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427530" cy="1976755"/>
                    </a:xfrm>
                    <a:prstGeom prst="rect">
                      <a:avLst/>
                    </a:prstGeom>
                    <a:noFill/>
                    <a:ln>
                      <a:noFill/>
                    </a:ln>
                  </pic:spPr>
                </pic:pic>
              </a:graphicData>
            </a:graphic>
          </wp:inline>
        </w:drawing>
      </w:r>
    </w:p>
    <w:p w:rsidR="00E57656" w:rsidRPr="00E06B10" w:rsidRDefault="00E57656" w:rsidP="00E57656">
      <w:pPr>
        <w:jc w:val="both"/>
      </w:pPr>
      <w:r w:rsidRPr="00E06B10">
        <w:t xml:space="preserve">Statistics on oral cancers (also known as mouth cancers or cancers of </w:t>
      </w:r>
      <w:r>
        <w:t xml:space="preserve">the </w:t>
      </w:r>
      <w:r w:rsidRPr="00E06B10">
        <w:t xml:space="preserve">oral cavity) show that these types of cancers </w:t>
      </w:r>
      <w:r w:rsidR="00DB3F90">
        <w:t>are not very common in the UK (one</w:t>
      </w:r>
      <w:r w:rsidRPr="00E06B10">
        <w:t xml:space="preserve"> oral cancer in 50 cases of all types of </w:t>
      </w:r>
      <w:r w:rsidRPr="00E06B10">
        <w:lastRenderedPageBreak/>
        <w:t>cancers)</w:t>
      </w:r>
      <w:r w:rsidRPr="00E06B10">
        <w:rPr>
          <w:rStyle w:val="FootnoteReference"/>
        </w:rPr>
        <w:footnoteReference w:id="71"/>
      </w:r>
      <w:r w:rsidR="00DB3F90">
        <w:t>.</w:t>
      </w:r>
      <w:r w:rsidRPr="00E06B10">
        <w:t xml:space="preserve"> Nevertheless, cancers of </w:t>
      </w:r>
      <w:r>
        <w:t xml:space="preserve">the </w:t>
      </w:r>
      <w:r w:rsidRPr="00E06B10">
        <w:t>oral cavity are the most common cancers of the head and neck region and involve more men than women</w:t>
      </w:r>
      <w:bookmarkStart w:id="621" w:name="_Ref418088114"/>
      <w:r w:rsidRPr="00E06B10">
        <w:rPr>
          <w:rStyle w:val="FootnoteReference"/>
        </w:rPr>
        <w:footnoteReference w:id="72"/>
      </w:r>
      <w:bookmarkEnd w:id="621"/>
      <w:r w:rsidR="00DB3F90">
        <w:t>.</w:t>
      </w:r>
    </w:p>
    <w:p w:rsidR="00E57656" w:rsidRPr="00E06B10" w:rsidRDefault="00E57656" w:rsidP="00E57656">
      <w:pPr>
        <w:jc w:val="both"/>
      </w:pPr>
      <w:r w:rsidRPr="00E06B10">
        <w:t xml:space="preserve">In Barnet, the age standardised rate </w:t>
      </w:r>
      <w:r>
        <w:t>(</w:t>
      </w:r>
      <w:r w:rsidRPr="00E06B10">
        <w:t xml:space="preserve">per 100,000 </w:t>
      </w:r>
      <w:proofErr w:type="gramStart"/>
      <w:r w:rsidRPr="00E06B10">
        <w:t>population</w:t>
      </w:r>
      <w:proofErr w:type="gramEnd"/>
      <w:r>
        <w:t>)</w:t>
      </w:r>
      <w:r w:rsidRPr="00B14781">
        <w:t xml:space="preserve"> </w:t>
      </w:r>
      <w:r w:rsidRPr="00E06B10">
        <w:t xml:space="preserve">of oral cancer registration is 13.2, which is similar to the national (12.8) and London regional (13.2) averages. Risk factors for mouth cancers include smoking, use of products containing tobacco e.g. chewing of tobacco or </w:t>
      </w:r>
      <w:proofErr w:type="spellStart"/>
      <w:r w:rsidRPr="00E06B10">
        <w:rPr>
          <w:i/>
        </w:rPr>
        <w:t>paan</w:t>
      </w:r>
      <w:proofErr w:type="spellEnd"/>
      <w:r w:rsidRPr="00E06B10">
        <w:t xml:space="preserve"> (areca nut/betel leaf), drinking alcohol and infection with the human papilloma virus (HPV).</w:t>
      </w:r>
      <w:r w:rsidRPr="00E06B10">
        <w:fldChar w:fldCharType="begin"/>
      </w:r>
      <w:r w:rsidRPr="00E06B10">
        <w:instrText xml:space="preserve"> NOTEREF _Ref418088075 \f \h </w:instrText>
      </w:r>
      <w:r w:rsidRPr="00E06B10">
        <w:fldChar w:fldCharType="separate"/>
      </w:r>
      <w:r w:rsidR="001663C2" w:rsidRPr="001663C2">
        <w:rPr>
          <w:rStyle w:val="FootnoteReference"/>
        </w:rPr>
        <w:t>70</w:t>
      </w:r>
      <w:r w:rsidRPr="00E06B10">
        <w:fldChar w:fldCharType="end"/>
      </w:r>
      <w:r w:rsidRPr="00E06B10">
        <w:rPr>
          <w:vertAlign w:val="superscript"/>
        </w:rPr>
        <w:t>,</w:t>
      </w:r>
      <w:r w:rsidRPr="00E06B10">
        <w:rPr>
          <w:vertAlign w:val="superscript"/>
        </w:rPr>
        <w:fldChar w:fldCharType="begin"/>
      </w:r>
      <w:r w:rsidRPr="00E06B10">
        <w:rPr>
          <w:vertAlign w:val="superscript"/>
        </w:rPr>
        <w:instrText xml:space="preserve"> NOTEREF _Ref418088114 \f \h </w:instrText>
      </w:r>
      <w:r w:rsidRPr="00E06B10">
        <w:rPr>
          <w:vertAlign w:val="superscript"/>
        </w:rPr>
      </w:r>
      <w:r w:rsidRPr="00E06B10">
        <w:rPr>
          <w:vertAlign w:val="superscript"/>
        </w:rPr>
        <w:fldChar w:fldCharType="separate"/>
      </w:r>
      <w:r w:rsidR="001663C2" w:rsidRPr="001663C2">
        <w:rPr>
          <w:rStyle w:val="FootnoteReference"/>
        </w:rPr>
        <w:t>72</w:t>
      </w:r>
      <w:r w:rsidRPr="00E06B10">
        <w:rPr>
          <w:vertAlign w:val="superscript"/>
        </w:rPr>
        <w:fldChar w:fldCharType="end"/>
      </w:r>
      <w:r w:rsidRPr="00E06B10">
        <w:t xml:space="preserve"> Therefore, oral cancer risk could be minimised by avoiding the above risk factors. In addition, the survival rate for oral cancers is higher </w:t>
      </w:r>
      <w:r>
        <w:t xml:space="preserve">when treated </w:t>
      </w:r>
      <w:r w:rsidRPr="00E06B10">
        <w:t xml:space="preserve">at the early stage compared to the late stage; therefore, creating awareness especially among communities that are more likely to be </w:t>
      </w:r>
      <w:r>
        <w:t xml:space="preserve">at risk </w:t>
      </w:r>
      <w:r w:rsidRPr="00E06B10">
        <w:t>is imperative.</w:t>
      </w:r>
      <w:r w:rsidRPr="00E06B10">
        <w:fldChar w:fldCharType="begin"/>
      </w:r>
      <w:r w:rsidRPr="00E06B10">
        <w:instrText xml:space="preserve"> NOTEREF _Ref418088114 \f \h </w:instrText>
      </w:r>
      <w:r>
        <w:instrText xml:space="preserve"> \* MERGEFORMAT </w:instrText>
      </w:r>
      <w:r w:rsidRPr="00E06B10">
        <w:fldChar w:fldCharType="separate"/>
      </w:r>
      <w:r w:rsidR="001663C2" w:rsidRPr="001663C2">
        <w:rPr>
          <w:rStyle w:val="FootnoteReference"/>
        </w:rPr>
        <w:t>72</w:t>
      </w:r>
      <w:r w:rsidRPr="00E06B10">
        <w:fldChar w:fldCharType="end"/>
      </w:r>
      <w:r w:rsidRPr="00E06B10">
        <w:rPr>
          <w:rStyle w:val="FootnoteReference"/>
        </w:rPr>
        <w:t xml:space="preserve"> </w:t>
      </w:r>
    </w:p>
    <w:p w:rsidR="00E57656" w:rsidRPr="00E06B10" w:rsidRDefault="001C74D0" w:rsidP="00E57656">
      <w:pPr>
        <w:pStyle w:val="Heading3"/>
        <w:numPr>
          <w:ilvl w:val="2"/>
          <w:numId w:val="35"/>
        </w:numPr>
        <w:jc w:val="both"/>
        <w:rPr>
          <w:rFonts w:asciiTheme="minorHAnsi" w:hAnsiTheme="minorHAnsi"/>
        </w:rPr>
      </w:pPr>
      <w:bookmarkStart w:id="622" w:name="_Toc420678806"/>
      <w:r>
        <w:rPr>
          <w:rFonts w:asciiTheme="minorHAnsi" w:hAnsiTheme="minorHAnsi"/>
        </w:rPr>
        <w:t>Child O</w:t>
      </w:r>
      <w:r w:rsidR="00E57656" w:rsidRPr="00E06B10">
        <w:rPr>
          <w:rFonts w:asciiTheme="minorHAnsi" w:hAnsiTheme="minorHAnsi"/>
        </w:rPr>
        <w:t xml:space="preserve">ral </w:t>
      </w:r>
      <w:r>
        <w:rPr>
          <w:rFonts w:asciiTheme="minorHAnsi" w:hAnsiTheme="minorHAnsi"/>
        </w:rPr>
        <w:t>H</w:t>
      </w:r>
      <w:r w:rsidR="00E57656" w:rsidRPr="00E06B10">
        <w:rPr>
          <w:rFonts w:asciiTheme="minorHAnsi" w:hAnsiTheme="minorHAnsi"/>
        </w:rPr>
        <w:t>ealth</w:t>
      </w:r>
      <w:bookmarkEnd w:id="622"/>
    </w:p>
    <w:p w:rsidR="00E57656" w:rsidRPr="00E06B10" w:rsidRDefault="00E57656" w:rsidP="00E57656">
      <w:pPr>
        <w:jc w:val="both"/>
      </w:pPr>
      <w:r w:rsidRPr="00E06B10">
        <w:t>Overall, levels of oral diseases in children in Barnet are low compared to their neighbouring</w:t>
      </w:r>
      <w:r>
        <w:t xml:space="preserve"> Boroughs</w:t>
      </w:r>
      <w:r w:rsidRPr="00E06B10">
        <w:t>. One of the public health</w:t>
      </w:r>
      <w:r w:rsidR="00DB3F90">
        <w:t xml:space="preserve"> outcome framework indicators,</w:t>
      </w:r>
      <w:r w:rsidRPr="00E06B10">
        <w:t xml:space="preserve"> overall success of health and wellbeing</w:t>
      </w:r>
      <w:r w:rsidR="00DB3F90">
        <w:t>,</w:t>
      </w:r>
      <w:r w:rsidRPr="00E06B10">
        <w:t xml:space="preserve"> is the level of tooth decay in children aged 5 years,</w:t>
      </w:r>
      <w:r w:rsidRPr="00E06B10">
        <w:rPr>
          <w:rStyle w:val="FootnoteReference"/>
        </w:rPr>
        <w:footnoteReference w:id="73"/>
      </w:r>
      <w:r w:rsidRPr="00E06B10">
        <w:t xml:space="preserve"> which is lower in Barnet compared to the average levels for London and England and several other local authorities in London (Figure </w:t>
      </w:r>
      <w:r>
        <w:t>5-</w:t>
      </w:r>
      <w:r w:rsidRPr="00E06B10">
        <w:t>1</w:t>
      </w:r>
      <w:r>
        <w:t>1</w:t>
      </w:r>
      <w:r w:rsidRPr="00E06B10">
        <w:t xml:space="preserve">). </w:t>
      </w:r>
    </w:p>
    <w:p w:rsidR="00E57656" w:rsidRPr="00E06B10" w:rsidRDefault="00E57656" w:rsidP="00E57656">
      <w:pPr>
        <w:pStyle w:val="Caption"/>
      </w:pPr>
      <w:r>
        <w:t xml:space="preserve">Figure </w:t>
      </w:r>
      <w:fldSimple w:instr=" STYLEREF 1 \s ">
        <w:r w:rsidR="001663C2">
          <w:rPr>
            <w:noProof/>
          </w:rPr>
          <w:t>5</w:t>
        </w:r>
      </w:fldSimple>
      <w:r w:rsidR="00943DC2">
        <w:noBreakHyphen/>
      </w:r>
      <w:fldSimple w:instr=" SEQ Figure \* ARABIC \s 1 ">
        <w:r w:rsidR="001663C2">
          <w:rPr>
            <w:noProof/>
          </w:rPr>
          <w:t>11</w:t>
        </w:r>
      </w:fldSimple>
      <w:r>
        <w:t>:</w:t>
      </w:r>
      <w:r w:rsidRPr="00E06B10">
        <w:t xml:space="preserve"> The average number of decayed, extracted or filled teeth (d</w:t>
      </w:r>
      <w:r w:rsidRPr="00E06B10">
        <w:rPr>
          <w:vertAlign w:val="subscript"/>
        </w:rPr>
        <w:t>3</w:t>
      </w:r>
      <w:r w:rsidRPr="00E06B10">
        <w:t>mft) and the proportion of children affected by dental decay (%d</w:t>
      </w:r>
      <w:r w:rsidRPr="00E06B10">
        <w:rPr>
          <w:vertAlign w:val="subscript"/>
        </w:rPr>
        <w:t>3</w:t>
      </w:r>
      <w:r w:rsidRPr="00E06B10">
        <w:t>mft&gt;0) among 5 year old children in Barnet compared to England and other local authorities in the London region</w:t>
      </w:r>
    </w:p>
    <w:p w:rsidR="00E57656" w:rsidRPr="00E06B10" w:rsidRDefault="00E57656" w:rsidP="00E57656">
      <w:pPr>
        <w:pBdr>
          <w:top w:val="single" w:sz="4" w:space="1" w:color="auto"/>
          <w:bottom w:val="single" w:sz="4" w:space="1" w:color="auto"/>
        </w:pBdr>
        <w:spacing w:after="0" w:line="240" w:lineRule="auto"/>
        <w:jc w:val="center"/>
      </w:pPr>
      <w:r w:rsidRPr="00E06B10">
        <w:rPr>
          <w:noProof/>
          <w:lang w:eastAsia="en-GB"/>
        </w:rPr>
        <w:drawing>
          <wp:inline distT="0" distB="0" distL="0" distR="0" wp14:anchorId="7FE280B3" wp14:editId="2F7057CD">
            <wp:extent cx="5705475" cy="2775623"/>
            <wp:effectExtent l="0" t="0" r="0" b="571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11587" cy="2778596"/>
                    </a:xfrm>
                    <a:prstGeom prst="rect">
                      <a:avLst/>
                    </a:prstGeom>
                    <a:noFill/>
                    <a:ln>
                      <a:noFill/>
                    </a:ln>
                  </pic:spPr>
                </pic:pic>
              </a:graphicData>
            </a:graphic>
          </wp:inline>
        </w:drawing>
      </w:r>
    </w:p>
    <w:p w:rsidR="00E57656" w:rsidRPr="00DB3F90" w:rsidRDefault="00E57656" w:rsidP="00E57656">
      <w:pPr>
        <w:pStyle w:val="FootnoteText"/>
        <w:rPr>
          <w:rFonts w:asciiTheme="minorHAnsi" w:hAnsiTheme="minorHAnsi"/>
          <w:sz w:val="22"/>
          <w:szCs w:val="22"/>
        </w:rPr>
      </w:pPr>
      <w:r w:rsidRPr="00DB3F90">
        <w:rPr>
          <w:rFonts w:asciiTheme="minorHAnsi" w:hAnsiTheme="minorHAnsi"/>
          <w:sz w:val="22"/>
          <w:szCs w:val="22"/>
        </w:rPr>
        <w:t xml:space="preserve">Source: Public Health England. </w:t>
      </w:r>
      <w:hyperlink r:id="rId98" w:history="1">
        <w:proofErr w:type="gramStart"/>
        <w:r w:rsidRPr="00DB3F90">
          <w:rPr>
            <w:rStyle w:val="Hyperlink"/>
            <w:rFonts w:asciiTheme="minorHAnsi" w:hAnsiTheme="minorHAnsi"/>
            <w:sz w:val="22"/>
            <w:szCs w:val="22"/>
          </w:rPr>
          <w:t>Barnet Dental Health Profile</w:t>
        </w:r>
      </w:hyperlink>
      <w:r w:rsidRPr="00DB3F90">
        <w:rPr>
          <w:rFonts w:asciiTheme="minorHAnsi" w:hAnsiTheme="minorHAnsi"/>
          <w:sz w:val="22"/>
          <w:szCs w:val="22"/>
        </w:rPr>
        <w:t>.</w:t>
      </w:r>
      <w:proofErr w:type="gramEnd"/>
      <w:r w:rsidRPr="00DB3F90">
        <w:rPr>
          <w:rFonts w:asciiTheme="minorHAnsi" w:hAnsiTheme="minorHAnsi"/>
          <w:sz w:val="22"/>
          <w:szCs w:val="22"/>
        </w:rPr>
        <w:t xml:space="preserve"> October 2014</w:t>
      </w:r>
    </w:p>
    <w:p w:rsidR="00E57656" w:rsidRPr="005A6C06" w:rsidRDefault="00E57656" w:rsidP="00DB3F90">
      <w:pPr>
        <w:spacing w:after="0" w:line="240" w:lineRule="auto"/>
        <w:rPr>
          <w:sz w:val="20"/>
          <w:szCs w:val="20"/>
        </w:rPr>
      </w:pPr>
    </w:p>
    <w:p w:rsidR="00E57656" w:rsidRDefault="00E57656" w:rsidP="00DB3F90">
      <w:pPr>
        <w:spacing w:after="0" w:line="240" w:lineRule="auto"/>
        <w:jc w:val="both"/>
      </w:pPr>
      <w:r w:rsidRPr="00E06B10">
        <w:t>In addition, the percentage of children with one or more obviously decayed, missing (due to decay) and filled teeth in Barnet (25.0%) is similar to the national average (27.9%) but</w:t>
      </w:r>
      <w:r>
        <w:t xml:space="preserve"> </w:t>
      </w:r>
      <w:r w:rsidRPr="00E06B10">
        <w:t>lower than the London region (32.9%)</w:t>
      </w:r>
      <w:r w:rsidRPr="00E06B10">
        <w:rPr>
          <w:rStyle w:val="FootnoteReference"/>
        </w:rPr>
        <w:footnoteReference w:id="74"/>
      </w:r>
      <w:r w:rsidR="00DB3F90">
        <w:t>.</w:t>
      </w:r>
      <w:r w:rsidRPr="00E06B10">
        <w:t xml:space="preserve"> </w:t>
      </w:r>
    </w:p>
    <w:p w:rsidR="00DB3F90" w:rsidRPr="00E06B10" w:rsidRDefault="00DB3F90" w:rsidP="00DB3F90">
      <w:pPr>
        <w:spacing w:after="0" w:line="240" w:lineRule="auto"/>
      </w:pPr>
    </w:p>
    <w:p w:rsidR="00E57656" w:rsidRPr="00E06B10" w:rsidRDefault="00E57656" w:rsidP="00DB3F90">
      <w:pPr>
        <w:jc w:val="both"/>
      </w:pPr>
      <w:r w:rsidRPr="00E06B10">
        <w:lastRenderedPageBreak/>
        <w:t xml:space="preserve">Moreover, the prevalence of early childhood </w:t>
      </w:r>
      <w:r>
        <w:t xml:space="preserve">(dental) </w:t>
      </w:r>
      <w:r w:rsidRPr="00E06B10">
        <w:t>caries (ECC) involving three year old children in Barnet (6.1%) is higher than the national average (3.9%), which suggests a need for early and targeted oral health improvement interventions to reduce the ECC levels at an early stage</w:t>
      </w:r>
      <w:r w:rsidRPr="00E06B10">
        <w:rPr>
          <w:rStyle w:val="FootnoteReference"/>
        </w:rPr>
        <w:footnoteReference w:id="75"/>
      </w:r>
      <w:r w:rsidR="00DB3F90">
        <w:t>.</w:t>
      </w:r>
      <w:r w:rsidRPr="00E06B10">
        <w:t xml:space="preserve"> </w:t>
      </w:r>
    </w:p>
    <w:p w:rsidR="00E57656" w:rsidRPr="00E06B10" w:rsidRDefault="00E57656" w:rsidP="00E57656">
      <w:pPr>
        <w:jc w:val="both"/>
      </w:pPr>
      <w:r w:rsidRPr="00E06B10">
        <w:t xml:space="preserve">Hospital admissions for extraction of one or more decayed primary or permanent teeth in children aged less than 15 years is lower in Barnet compared to </w:t>
      </w:r>
      <w:r>
        <w:t xml:space="preserve">the </w:t>
      </w:r>
      <w:r w:rsidRPr="00E06B10">
        <w:t xml:space="preserve">London region but higher than the national average (Figure </w:t>
      </w:r>
      <w:r>
        <w:t>5-</w:t>
      </w:r>
      <w:r w:rsidRPr="00E06B10">
        <w:t>1</w:t>
      </w:r>
      <w:r>
        <w:t>2</w:t>
      </w:r>
      <w:r w:rsidRPr="00E06B10">
        <w:t>). However, child dental decay is the top cause for non-emergency hospital admissions in Barnet, which involved 349 children aged 0-19 years and the majority (67%) involved 5-14 years olds in 2012</w:t>
      </w:r>
      <w:r w:rsidR="002B0793">
        <w:t>/</w:t>
      </w:r>
      <w:r w:rsidRPr="00E06B10">
        <w:t>13</w:t>
      </w:r>
      <w:bookmarkStart w:id="623" w:name="_Ref416949222"/>
      <w:r w:rsidRPr="00E06B10">
        <w:rPr>
          <w:rStyle w:val="FootnoteReference"/>
        </w:rPr>
        <w:footnoteReference w:id="76"/>
      </w:r>
      <w:bookmarkEnd w:id="623"/>
      <w:r w:rsidR="00DB3F90">
        <w:t>.</w:t>
      </w:r>
      <w:r w:rsidRPr="00E06B10">
        <w:t xml:space="preserve"> </w:t>
      </w:r>
    </w:p>
    <w:p w:rsidR="00E57656" w:rsidRDefault="00E57656" w:rsidP="00E57656">
      <w:pPr>
        <w:jc w:val="both"/>
      </w:pPr>
      <w:r w:rsidRPr="00E06B10">
        <w:t xml:space="preserve">Furthermore, statistics about access to </w:t>
      </w:r>
      <w:r>
        <w:t xml:space="preserve">the </w:t>
      </w:r>
      <w:r w:rsidRPr="00E06B10">
        <w:t xml:space="preserve">dental service show that the dental access rate in children (under 18 years) in Barnet is slightly above the London regional rate but is below the national rate (Figure </w:t>
      </w:r>
      <w:r>
        <w:t>5-</w:t>
      </w:r>
      <w:r w:rsidRPr="00E06B10">
        <w:t>1</w:t>
      </w:r>
      <w:r>
        <w:t>3</w:t>
      </w:r>
      <w:r w:rsidRPr="00E06B10">
        <w:t>)</w:t>
      </w:r>
      <w:bookmarkStart w:id="624" w:name="_Ref416949258"/>
      <w:r w:rsidRPr="00E06B10">
        <w:rPr>
          <w:rStyle w:val="FootnoteReference"/>
        </w:rPr>
        <w:footnoteReference w:id="77"/>
      </w:r>
      <w:bookmarkEnd w:id="624"/>
      <w:r w:rsidR="00DB3F90">
        <w:t>.</w:t>
      </w:r>
      <w:r w:rsidRPr="00E06B10">
        <w:t xml:space="preserve"> </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456"/>
      </w:tblGrid>
      <w:tr w:rsidR="00E57656" w:rsidRPr="00E06B10" w:rsidTr="00031B92">
        <w:tc>
          <w:tcPr>
            <w:tcW w:w="4678" w:type="dxa"/>
          </w:tcPr>
          <w:p w:rsidR="00E57656" w:rsidRPr="00E06B10" w:rsidRDefault="00E57656" w:rsidP="00031B92">
            <w:pPr>
              <w:pStyle w:val="Caption"/>
              <w:keepNext/>
            </w:pPr>
            <w:r>
              <w:t xml:space="preserve">Figure </w:t>
            </w:r>
            <w:fldSimple w:instr=" STYLEREF 1 \s ">
              <w:r w:rsidR="001663C2">
                <w:rPr>
                  <w:noProof/>
                </w:rPr>
                <w:t>5</w:t>
              </w:r>
            </w:fldSimple>
            <w:r w:rsidR="00943DC2">
              <w:noBreakHyphen/>
            </w:r>
            <w:fldSimple w:instr=" SEQ Figure \* ARABIC \s 1 ">
              <w:r w:rsidR="001663C2">
                <w:rPr>
                  <w:noProof/>
                </w:rPr>
                <w:t>12</w:t>
              </w:r>
            </w:fldSimple>
            <w:r>
              <w:t xml:space="preserve">: </w:t>
            </w:r>
            <w:r w:rsidRPr="00E06B10">
              <w:t>Child hospital admissions for extraction of one or more decayed primary or permanent teeth(0-19 years)</w:t>
            </w:r>
            <w:r w:rsidRPr="00E06B10">
              <w:rPr>
                <w:vertAlign w:val="superscript"/>
              </w:rPr>
              <w:fldChar w:fldCharType="begin"/>
            </w:r>
            <w:r w:rsidRPr="00E06B10">
              <w:rPr>
                <w:vertAlign w:val="superscript"/>
              </w:rPr>
              <w:instrText xml:space="preserve"> NOTEREF _Ref416949222 \h  \* MERGEFORMAT </w:instrText>
            </w:r>
            <w:r w:rsidRPr="00E06B10">
              <w:rPr>
                <w:vertAlign w:val="superscript"/>
              </w:rPr>
            </w:r>
            <w:r w:rsidRPr="00E06B10">
              <w:rPr>
                <w:vertAlign w:val="superscript"/>
              </w:rPr>
              <w:fldChar w:fldCharType="separate"/>
            </w:r>
            <w:r w:rsidR="001663C2">
              <w:rPr>
                <w:vertAlign w:val="superscript"/>
              </w:rPr>
              <w:t>76</w:t>
            </w:r>
            <w:r w:rsidRPr="00E06B10">
              <w:rPr>
                <w:vertAlign w:val="superscript"/>
              </w:rPr>
              <w:fldChar w:fldCharType="end"/>
            </w:r>
          </w:p>
        </w:tc>
        <w:tc>
          <w:tcPr>
            <w:tcW w:w="4456" w:type="dxa"/>
          </w:tcPr>
          <w:p w:rsidR="00E57656" w:rsidRPr="00E06B10" w:rsidRDefault="00E57656" w:rsidP="00031B92">
            <w:pPr>
              <w:pStyle w:val="Caption"/>
              <w:keepNext/>
            </w:pPr>
            <w:r>
              <w:t xml:space="preserve">Figure </w:t>
            </w:r>
            <w:fldSimple w:instr=" STYLEREF 1 \s ">
              <w:r w:rsidR="001663C2">
                <w:rPr>
                  <w:noProof/>
                </w:rPr>
                <w:t>5</w:t>
              </w:r>
            </w:fldSimple>
            <w:r w:rsidR="00943DC2">
              <w:noBreakHyphen/>
            </w:r>
            <w:fldSimple w:instr=" SEQ Figure \* ARABIC \s 1 ">
              <w:r w:rsidR="001663C2">
                <w:rPr>
                  <w:noProof/>
                </w:rPr>
                <w:t>13</w:t>
              </w:r>
            </w:fldSimple>
            <w:r>
              <w:t xml:space="preserve">: </w:t>
            </w:r>
            <w:r w:rsidRPr="00E06B10">
              <w:t>Child Dental Access Rates 2011-2013 (under 18 years)</w:t>
            </w:r>
            <w:r w:rsidRPr="00E06B10">
              <w:fldChar w:fldCharType="begin"/>
            </w:r>
            <w:r w:rsidRPr="00E06B10">
              <w:instrText xml:space="preserve"> NOTEREF _Ref416949258 \h  \* MERGEFORMAT </w:instrText>
            </w:r>
            <w:r w:rsidRPr="00E06B10">
              <w:fldChar w:fldCharType="separate"/>
            </w:r>
            <w:r w:rsidR="001663C2" w:rsidRPr="001663C2">
              <w:rPr>
                <w:vertAlign w:val="superscript"/>
              </w:rPr>
              <w:t>77</w:t>
            </w:r>
            <w:r w:rsidRPr="00E06B10">
              <w:fldChar w:fldCharType="end"/>
            </w:r>
          </w:p>
        </w:tc>
      </w:tr>
    </w:tbl>
    <w:p w:rsidR="00E57656" w:rsidRPr="00E06B10" w:rsidRDefault="00E57656" w:rsidP="00E57656">
      <w:pPr>
        <w:jc w:val="center"/>
      </w:pPr>
      <w:r w:rsidRPr="00E06B10">
        <w:rPr>
          <w:noProof/>
          <w:lang w:eastAsia="en-GB"/>
        </w:rPr>
        <w:drawing>
          <wp:inline distT="0" distB="0" distL="0" distR="0" wp14:anchorId="03E52838" wp14:editId="0944B088">
            <wp:extent cx="2870985" cy="1788120"/>
            <wp:effectExtent l="0" t="0" r="5715" b="317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2901723" cy="1807264"/>
                    </a:xfrm>
                    <a:prstGeom prst="rect">
                      <a:avLst/>
                    </a:prstGeom>
                  </pic:spPr>
                </pic:pic>
              </a:graphicData>
            </a:graphic>
          </wp:inline>
        </w:drawing>
      </w:r>
      <w:r w:rsidRPr="00E06B10">
        <w:rPr>
          <w:noProof/>
          <w:lang w:eastAsia="en-GB"/>
        </w:rPr>
        <w:drawing>
          <wp:inline distT="0" distB="0" distL="0" distR="0" wp14:anchorId="2B35101F" wp14:editId="2DB85060">
            <wp:extent cx="2766951" cy="1785161"/>
            <wp:effectExtent l="0" t="0" r="0" b="571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66951" cy="1785161"/>
                    </a:xfrm>
                    <a:prstGeom prst="rect">
                      <a:avLst/>
                    </a:prstGeom>
                    <a:noFill/>
                    <a:ln>
                      <a:noFill/>
                    </a:ln>
                  </pic:spPr>
                </pic:pic>
              </a:graphicData>
            </a:graphic>
          </wp:inline>
        </w:drawing>
      </w:r>
    </w:p>
    <w:p w:rsidR="00E57656" w:rsidRPr="00E06B10" w:rsidRDefault="00E57656" w:rsidP="00E57656">
      <w:pPr>
        <w:pStyle w:val="Heading3"/>
        <w:numPr>
          <w:ilvl w:val="2"/>
          <w:numId w:val="35"/>
        </w:numPr>
        <w:jc w:val="both"/>
      </w:pPr>
      <w:bookmarkStart w:id="625" w:name="_Toc420678807"/>
      <w:r w:rsidRPr="00E06B10">
        <w:t xml:space="preserve">Existing </w:t>
      </w:r>
      <w:r w:rsidR="001C74D0">
        <w:t>O</w:t>
      </w:r>
      <w:r w:rsidRPr="00E06B10">
        <w:t xml:space="preserve">ral </w:t>
      </w:r>
      <w:r w:rsidR="001C74D0">
        <w:t>Health I</w:t>
      </w:r>
      <w:r w:rsidRPr="00E06B10">
        <w:t>nterventions in Barnet</w:t>
      </w:r>
      <w:bookmarkEnd w:id="625"/>
    </w:p>
    <w:p w:rsidR="00E57656" w:rsidRPr="00E06B10" w:rsidRDefault="00E57656" w:rsidP="00E57656">
      <w:pPr>
        <w:jc w:val="both"/>
      </w:pPr>
      <w:r w:rsidRPr="00E06B10">
        <w:t>The Barnet Child Oral H</w:t>
      </w:r>
      <w:r w:rsidR="00DB3F90">
        <w:t>ealth Improvement Strategy has three</w:t>
      </w:r>
      <w:r w:rsidRPr="00E06B10">
        <w:t xml:space="preserve"> key domains: making oral health everybody’s business and every contact count, integrating oral health into Children’s Commissioning Plans throughout the life course using the common risk factor approach and increasing the exposure to fluoride e.g. toothpaste and fluoride varnish. The key actions under Barnet’s Child Oral Health Improvement Strategic Plan (2014/16) include: training of Health and Social Care Professionals in key messages about oral health, new Healthy Children’s Centre Standards developed (covering a range of health priority areas) – identifying and supporting oral health champions in Children’s Centres to meet their oral health standards-making sure oral health remains a priority within the centres, distributing toothpaste and brush packs at child development checks (8 months and 21/2 years) alongside brief oral health intervention, and supervised t</w:t>
      </w:r>
      <w:r>
        <w:t>ee</w:t>
      </w:r>
      <w:r w:rsidR="00DB3F90">
        <w:t>th brushing programme in three</w:t>
      </w:r>
      <w:r w:rsidRPr="00E06B10">
        <w:t xml:space="preserve"> schools and </w:t>
      </w:r>
      <w:r w:rsidR="00DB3F90">
        <w:t>three</w:t>
      </w:r>
      <w:r w:rsidRPr="00E06B10">
        <w:t xml:space="preserve"> children’s centres per term.</w:t>
      </w:r>
    </w:p>
    <w:p w:rsidR="00E57656" w:rsidRPr="00E06B10" w:rsidRDefault="001C74D0" w:rsidP="00E57656">
      <w:pPr>
        <w:pStyle w:val="Heading3"/>
        <w:numPr>
          <w:ilvl w:val="2"/>
          <w:numId w:val="35"/>
        </w:numPr>
        <w:jc w:val="both"/>
      </w:pPr>
      <w:bookmarkStart w:id="626" w:name="_Toc420678808"/>
      <w:r>
        <w:t>Oral H</w:t>
      </w:r>
      <w:r w:rsidR="00E57656" w:rsidRPr="00E06B10">
        <w:t xml:space="preserve">ealth </w:t>
      </w:r>
      <w:r>
        <w:t>N</w:t>
      </w:r>
      <w:r w:rsidR="00E57656" w:rsidRPr="00E06B10">
        <w:t>eeds</w:t>
      </w:r>
      <w:bookmarkEnd w:id="626"/>
    </w:p>
    <w:p w:rsidR="00E57656" w:rsidRPr="00E06B10" w:rsidRDefault="00E57656" w:rsidP="00E57656">
      <w:pPr>
        <w:jc w:val="both"/>
      </w:pPr>
      <w:r w:rsidRPr="00E06B10">
        <w:t xml:space="preserve">There is no </w:t>
      </w:r>
      <w:r>
        <w:t>Borough</w:t>
      </w:r>
      <w:r w:rsidRPr="00E06B10">
        <w:t xml:space="preserve"> level data on the oral health of adults or older people in Barnet</w:t>
      </w:r>
      <w:r w:rsidRPr="00E06B10">
        <w:rPr>
          <w:rStyle w:val="FootnoteReference"/>
        </w:rPr>
        <w:footnoteReference w:id="78"/>
      </w:r>
      <w:r w:rsidR="00DB3F90">
        <w:t>.</w:t>
      </w:r>
      <w:r w:rsidRPr="00E06B10">
        <w:t xml:space="preserve"> There could be inequalities in oral health and oral care such as provi</w:t>
      </w:r>
      <w:r w:rsidR="00DB3F90">
        <w:t>sion of oral care in care homes</w:t>
      </w:r>
      <w:r w:rsidRPr="00E06B10">
        <w:rPr>
          <w:rStyle w:val="FootnoteReference"/>
        </w:rPr>
        <w:footnoteReference w:id="79"/>
      </w:r>
      <w:r w:rsidR="00DB3F90">
        <w:t>.</w:t>
      </w:r>
      <w:r w:rsidRPr="00E06B10">
        <w:t xml:space="preserve"> A local oral </w:t>
      </w:r>
      <w:r w:rsidRPr="00E06B10">
        <w:lastRenderedPageBreak/>
        <w:t>health needs assessment could be undertaken in Barnet for identifying oral health inequalities and oral health needs of adults and children.</w:t>
      </w:r>
    </w:p>
    <w:p w:rsidR="00E57656" w:rsidRPr="00E06B10" w:rsidRDefault="00E57656" w:rsidP="00E57656">
      <w:pPr>
        <w:pStyle w:val="Heading2"/>
        <w:numPr>
          <w:ilvl w:val="1"/>
          <w:numId w:val="35"/>
        </w:numPr>
        <w:jc w:val="both"/>
        <w:rPr>
          <w:rFonts w:asciiTheme="minorHAnsi" w:hAnsiTheme="minorHAnsi"/>
        </w:rPr>
      </w:pPr>
      <w:bookmarkStart w:id="627" w:name="_Toc420678809"/>
      <w:bookmarkStart w:id="628" w:name="_Toc426723339"/>
      <w:bookmarkStart w:id="629" w:name="_Toc431225166"/>
      <w:r w:rsidRPr="00E06B10">
        <w:rPr>
          <w:rFonts w:asciiTheme="minorHAnsi" w:hAnsiTheme="minorHAnsi"/>
        </w:rPr>
        <w:t>Maternity and Infant Health</w:t>
      </w:r>
      <w:bookmarkEnd w:id="627"/>
      <w:bookmarkEnd w:id="628"/>
      <w:bookmarkEnd w:id="629"/>
    </w:p>
    <w:p w:rsidR="00E57656" w:rsidRPr="00E06B10" w:rsidRDefault="00E57656" w:rsidP="00E57656">
      <w:pPr>
        <w:pStyle w:val="Heading3"/>
        <w:numPr>
          <w:ilvl w:val="2"/>
          <w:numId w:val="35"/>
        </w:numPr>
        <w:jc w:val="both"/>
      </w:pPr>
      <w:bookmarkStart w:id="630" w:name="_Toc420678810"/>
      <w:r w:rsidRPr="00E06B10">
        <w:t>Live Births and Rates</w:t>
      </w:r>
      <w:bookmarkEnd w:id="630"/>
    </w:p>
    <w:p w:rsidR="00E57656" w:rsidRDefault="00E57656" w:rsidP="00E57656">
      <w:pPr>
        <w:jc w:val="both"/>
      </w:pPr>
      <w:r w:rsidRPr="00E06B10">
        <w:t>There were 5,187 live births (2,699 males and 2,488 females) in Barnet in 2013 (only 1.5% by mothers aged less than 20 years and 37% by mothers aged 30-34 years). The highest birth rate was in women aged 30-34 years (115.6 / 1,000) in Barnet, which was</w:t>
      </w:r>
      <w:r>
        <w:t xml:space="preserve"> </w:t>
      </w:r>
      <w:r w:rsidRPr="00E06B10">
        <w:t xml:space="preserve">higher than the rates for London (14.7) and England (19.8) in women of the same age group. However, Barnet rates of births by mothers under 18 years (1.8 /1,000) and under 20 years (6.8/1,000) were lower than the average rates for </w:t>
      </w:r>
      <w:r>
        <w:t xml:space="preserve">the </w:t>
      </w:r>
      <w:r w:rsidRPr="00E06B10">
        <w:t>London region (5.1 and 12.3 respectively) and nationally (7.8 and 12.3 respectively) in 2013.</w:t>
      </w:r>
    </w:p>
    <w:p w:rsidR="00E57656" w:rsidRPr="00E06B10" w:rsidRDefault="00E57656" w:rsidP="00E57656">
      <w:pPr>
        <w:jc w:val="both"/>
      </w:pPr>
      <w:r w:rsidRPr="00E06B10">
        <w:t>Data for 2013 show that the crude live birth rate (14.1/ 1,000 population), general fertility rate (63.4/1,000 women aged 15-44 years) and maternity</w:t>
      </w:r>
      <w:r w:rsidRPr="00E06B10">
        <w:rPr>
          <w:rStyle w:val="FootnoteReference"/>
        </w:rPr>
        <w:footnoteReference w:id="80"/>
      </w:r>
      <w:r w:rsidRPr="00E06B10">
        <w:t xml:space="preserve"> rate (62.4 /1,000 women aged 15-44 years) in Barnet were slightly lower than these rates for London (15.2, 64.0 and 63.2 respectively) but higher than the national rates (15.2, 62.4 and 61.7 respectively).</w:t>
      </w:r>
    </w:p>
    <w:p w:rsidR="00E57656" w:rsidRPr="00E06B10" w:rsidRDefault="00E57656" w:rsidP="00E57656">
      <w:pPr>
        <w:jc w:val="both"/>
      </w:pPr>
      <w:r w:rsidRPr="00E06B10">
        <w:t xml:space="preserve">Whilst the projected trend of women of childbearing age is expected to increase, the number of live births and the fertility </w:t>
      </w:r>
      <w:r w:rsidRPr="00632D96">
        <w:t>rate is decreasing. Data for 2008-2012 show that the highest fertility rate (per 1,000 women aged 15-44 years) is in Golders Green ward (82.9) followed by Hendon (77.3) and Colindale (77.2) wards while the lowest fertility rate is in the Brunswick Park ward (56.8) followed by Woodhouse (57.1) and Underhill (57.2) wards in Barnet.</w:t>
      </w:r>
    </w:p>
    <w:p w:rsidR="00E57656" w:rsidRPr="00E06B10" w:rsidRDefault="00E57656" w:rsidP="00E57656">
      <w:pPr>
        <w:pStyle w:val="Heading3"/>
        <w:numPr>
          <w:ilvl w:val="2"/>
          <w:numId w:val="35"/>
        </w:numPr>
        <w:jc w:val="both"/>
      </w:pPr>
      <w:bookmarkStart w:id="631" w:name="_Toc420678811"/>
      <w:r w:rsidRPr="00E06B10">
        <w:t>Infant Health and Mortality</w:t>
      </w:r>
      <w:bookmarkEnd w:id="631"/>
    </w:p>
    <w:p w:rsidR="00E57656" w:rsidRPr="00E06B10" w:rsidRDefault="00E57656" w:rsidP="00E57656">
      <w:pPr>
        <w:jc w:val="both"/>
      </w:pPr>
      <w:r w:rsidRPr="00E06B10">
        <w:t xml:space="preserve">The percentage of live </w:t>
      </w:r>
      <w:r w:rsidRPr="00632D96">
        <w:t xml:space="preserve">births under 2.5 kg in Barnet (7.2%) is similar to England (7.0%) but slightly lower than the London region average (7.5%). Data for 2008-2012 show that the proportion of babies born with a low birth weight (i.e. less than 2500 g) was highest amongst women resident in Finchley Church End ward (9.1%) followed by Burnt Oak (8.5%), Colindale (8.3%) and Edgware (8.3%) wards in Barnet. The lowest proportion of underweight births was in the Hendon (5.9%) followed </w:t>
      </w:r>
      <w:bookmarkStart w:id="632" w:name="OLE_LINK2"/>
      <w:r w:rsidRPr="00632D96">
        <w:t>by Coppetts (6.3%) and East Finchley (6.4) wards in Barnet.</w:t>
      </w:r>
    </w:p>
    <w:bookmarkEnd w:id="632"/>
    <w:p w:rsidR="00E57656" w:rsidRPr="00E06B10" w:rsidRDefault="00E57656" w:rsidP="00E57656">
      <w:pPr>
        <w:jc w:val="both"/>
      </w:pPr>
      <w:r w:rsidRPr="00E06B10">
        <w:t>The life expectancy at birth is increasing in Barn</w:t>
      </w:r>
      <w:r>
        <w:t>et and is higher for females (85.0 years) than males (81.9</w:t>
      </w:r>
      <w:r w:rsidRPr="00E06B10">
        <w:t xml:space="preserve"> years) in Barnet, which are both higher than the averages for </w:t>
      </w:r>
      <w:r>
        <w:t xml:space="preserve">the </w:t>
      </w:r>
      <w:r w:rsidRPr="00E06B10">
        <w:t xml:space="preserve">London region (83.8 and 79.7 years for females and males respectively) and England (82.72 and 78.85 years for females and males respectively). However, Barnet life expectancy at birth is lower </w:t>
      </w:r>
      <w:r>
        <w:t xml:space="preserve">than in Harrow </w:t>
      </w:r>
      <w:r w:rsidRPr="00E06B10">
        <w:t>males (82.0 years) and females (85.6 years).</w:t>
      </w:r>
    </w:p>
    <w:p w:rsidR="00E57656" w:rsidRPr="00E06B10" w:rsidRDefault="00E57656" w:rsidP="00E57656">
      <w:pPr>
        <w:jc w:val="both"/>
        <w:rPr>
          <w:highlight w:val="yellow"/>
        </w:rPr>
      </w:pPr>
      <w:r w:rsidRPr="00E06B10">
        <w:t>Barnet rates of infant (under 1 year) mortality (2.3 /1,000 live births), neonatal (under 4 weeks) mortality (1.3/1,000 live births) and perinatal mortality (4.8/ 1,000 stillbirths and deaths under 1 week) are</w:t>
      </w:r>
      <w:r>
        <w:t xml:space="preserve"> </w:t>
      </w:r>
      <w:r w:rsidRPr="00E06B10">
        <w:t>lower than the average rates for London (3.8, 2.6 and 7.3 respectively) and England (3.9, 2.7 and 6.7 respectively).</w:t>
      </w:r>
      <w:r>
        <w:t xml:space="preserve"> </w:t>
      </w:r>
    </w:p>
    <w:p w:rsidR="00E57656" w:rsidRPr="00E06B10" w:rsidRDefault="001C74D0" w:rsidP="00E57656">
      <w:pPr>
        <w:pStyle w:val="Heading3"/>
        <w:numPr>
          <w:ilvl w:val="2"/>
          <w:numId w:val="35"/>
        </w:numPr>
        <w:ind w:left="993" w:hanging="993"/>
        <w:jc w:val="both"/>
      </w:pPr>
      <w:bookmarkStart w:id="633" w:name="_Toc420678812"/>
      <w:r>
        <w:lastRenderedPageBreak/>
        <w:t>Breast F</w:t>
      </w:r>
      <w:r w:rsidR="00E57656" w:rsidRPr="00E06B10">
        <w:t>eeding</w:t>
      </w:r>
      <w:bookmarkEnd w:id="633"/>
      <w:r w:rsidR="00E57656" w:rsidRPr="00E06B10">
        <w:t xml:space="preserve"> </w:t>
      </w:r>
    </w:p>
    <w:p w:rsidR="00E57656" w:rsidRPr="00E06B10" w:rsidRDefault="00270AEE" w:rsidP="00E57656">
      <w:pPr>
        <w:jc w:val="both"/>
      </w:pPr>
      <w:r>
        <w:t>In 2013/</w:t>
      </w:r>
      <w:r w:rsidR="00E57656" w:rsidRPr="00E06B10">
        <w:t>14, breastfeeding initiation in Barnet was the 11</w:t>
      </w:r>
      <w:r w:rsidR="00E57656" w:rsidRPr="00E06B10">
        <w:rPr>
          <w:vertAlign w:val="superscript"/>
        </w:rPr>
        <w:t>th</w:t>
      </w:r>
      <w:r w:rsidR="00E57656" w:rsidRPr="00E06B10">
        <w:t xml:space="preserve"> highest among all 326 English LAs and 9</w:t>
      </w:r>
      <w:r w:rsidR="00E57656" w:rsidRPr="00E06B10">
        <w:rPr>
          <w:vertAlign w:val="superscript"/>
        </w:rPr>
        <w:t>th</w:t>
      </w:r>
      <w:r w:rsidR="00E57656" w:rsidRPr="00E06B10">
        <w:t xml:space="preserve"> highest among 33 London </w:t>
      </w:r>
      <w:r w:rsidR="00E57656">
        <w:t>Borough</w:t>
      </w:r>
      <w:r w:rsidR="00E57656" w:rsidRPr="00E06B10">
        <w:t>s. The proportion of all mothers who breastfeed their babies in the first 48 hours after delivery in Barnet (89.3%) was better than the national average (73.9%) during the same period.</w:t>
      </w:r>
      <w:r w:rsidR="00E57656">
        <w:t xml:space="preserve"> </w:t>
      </w:r>
    </w:p>
    <w:p w:rsidR="00E57656" w:rsidRPr="00E06B10" w:rsidRDefault="00E57656" w:rsidP="00E57656">
      <w:pPr>
        <w:pStyle w:val="Heading3"/>
        <w:numPr>
          <w:ilvl w:val="2"/>
          <w:numId w:val="35"/>
        </w:numPr>
        <w:ind w:left="993" w:hanging="993"/>
        <w:jc w:val="both"/>
      </w:pPr>
      <w:bookmarkStart w:id="634" w:name="_Toc420678813"/>
      <w:r w:rsidRPr="00E06B10">
        <w:t>Maternal Health</w:t>
      </w:r>
      <w:bookmarkEnd w:id="634"/>
    </w:p>
    <w:p w:rsidR="00E57656" w:rsidRPr="00E06B10" w:rsidRDefault="00E57656" w:rsidP="00E57656">
      <w:pPr>
        <w:pStyle w:val="Heading4"/>
        <w:numPr>
          <w:ilvl w:val="3"/>
          <w:numId w:val="35"/>
        </w:numPr>
        <w:ind w:left="864"/>
        <w:jc w:val="both"/>
      </w:pPr>
      <w:r w:rsidRPr="00E06B10">
        <w:t xml:space="preserve">Smoking in Pregnancy </w:t>
      </w:r>
    </w:p>
    <w:p w:rsidR="00E57656" w:rsidRPr="00E06B10" w:rsidRDefault="00E57656" w:rsidP="00E57656">
      <w:pPr>
        <w:jc w:val="both"/>
      </w:pPr>
      <w:r w:rsidRPr="00E06B10">
        <w:t>The percentage of women who smoked at the time of delivery in Barnet (4.4%) is</w:t>
      </w:r>
      <w:r>
        <w:t xml:space="preserve"> </w:t>
      </w:r>
      <w:r w:rsidRPr="00E06B10">
        <w:t>lower than</w:t>
      </w:r>
      <w:r w:rsidR="00DB3F90">
        <w:t xml:space="preserve"> the</w:t>
      </w:r>
      <w:r w:rsidRPr="00E06B10">
        <w:t xml:space="preserve"> London (5.1%) and national (12.0%) averages</w:t>
      </w:r>
      <w:r>
        <w:t xml:space="preserve"> for the year 2013</w:t>
      </w:r>
      <w:r w:rsidR="00270AEE">
        <w:t>/</w:t>
      </w:r>
      <w:r>
        <w:t>14</w:t>
      </w:r>
      <w:r w:rsidRPr="00E06B10">
        <w:t>. However, the percentage of pregnant women who successfully quit is 45% in Barnet, which is lower than the averages for London (53%) and England (47%). The percentage of pregnant women who did not quit and those who were lost to follow up in Barnet (23% and 32% respectively) were</w:t>
      </w:r>
      <w:r>
        <w:t xml:space="preserve"> </w:t>
      </w:r>
      <w:r w:rsidRPr="00E06B10">
        <w:t>higher than the national (29% and 23% respectively) and London regional averages (20% and 28% respectively). Public health funded stop smoking services need to proactively target pregnant women in Barnet.</w:t>
      </w:r>
    </w:p>
    <w:p w:rsidR="00E57656" w:rsidRPr="00E06B10" w:rsidRDefault="00E57656" w:rsidP="00E57656">
      <w:pPr>
        <w:pStyle w:val="Heading4"/>
        <w:numPr>
          <w:ilvl w:val="3"/>
          <w:numId w:val="35"/>
        </w:numPr>
        <w:ind w:left="993" w:hanging="993"/>
        <w:jc w:val="both"/>
      </w:pPr>
      <w:r w:rsidRPr="00E06B10">
        <w:t>Maternal Mortality</w:t>
      </w:r>
    </w:p>
    <w:p w:rsidR="00E57656" w:rsidRPr="00E06B10" w:rsidRDefault="00E57656" w:rsidP="00E57656">
      <w:pPr>
        <w:jc w:val="both"/>
      </w:pPr>
      <w:r w:rsidRPr="00E06B10">
        <w:t>The maternal mortality rate (Directly age-standardised rate (DSR) per100, 000 of women aged 15-44) in Barnet (0.44) is higher than the average rates for London (0.22) an</w:t>
      </w:r>
      <w:r>
        <w:t xml:space="preserve">d England (0.31). </w:t>
      </w:r>
    </w:p>
    <w:p w:rsidR="00E57656" w:rsidRPr="00E06B10" w:rsidRDefault="00E57656" w:rsidP="00E57656">
      <w:pPr>
        <w:pStyle w:val="Heading4"/>
        <w:numPr>
          <w:ilvl w:val="3"/>
          <w:numId w:val="35"/>
        </w:numPr>
        <w:ind w:left="864"/>
        <w:jc w:val="both"/>
      </w:pPr>
      <w:r w:rsidRPr="00E06B10">
        <w:t>Service Use</w:t>
      </w:r>
    </w:p>
    <w:p w:rsidR="00E57656" w:rsidRPr="00E06B10" w:rsidRDefault="00E57656" w:rsidP="00E57656">
      <w:pPr>
        <w:jc w:val="both"/>
      </w:pPr>
      <w:r w:rsidRPr="00E06B10">
        <w:t>82.7% of pregnant women in Barnet had an antenatal assessment by the 12th week of pregnancy, which was</w:t>
      </w:r>
      <w:r>
        <w:t xml:space="preserve"> </w:t>
      </w:r>
      <w:r w:rsidRPr="00E06B10">
        <w:t>lower than England average (93.7%) during 2013</w:t>
      </w:r>
      <w:r w:rsidR="00270AEE">
        <w:t>/</w:t>
      </w:r>
      <w:r w:rsidRPr="00E06B10">
        <w:t xml:space="preserve">14. </w:t>
      </w:r>
    </w:p>
    <w:p w:rsidR="00E57656" w:rsidRPr="00E06B10" w:rsidRDefault="00E57656" w:rsidP="00E57656">
      <w:pPr>
        <w:pStyle w:val="Heading2"/>
        <w:numPr>
          <w:ilvl w:val="1"/>
          <w:numId w:val="35"/>
        </w:numPr>
        <w:jc w:val="both"/>
        <w:rPr>
          <w:rFonts w:asciiTheme="minorHAnsi" w:hAnsiTheme="minorHAnsi"/>
        </w:rPr>
      </w:pPr>
      <w:bookmarkStart w:id="635" w:name="_Toc420678814"/>
      <w:bookmarkStart w:id="636" w:name="_Toc426723340"/>
      <w:bookmarkStart w:id="637" w:name="_Toc431225167"/>
      <w:r w:rsidRPr="00E06B10">
        <w:rPr>
          <w:rFonts w:asciiTheme="minorHAnsi" w:hAnsiTheme="minorHAnsi"/>
        </w:rPr>
        <w:t>Health Protection</w:t>
      </w:r>
      <w:bookmarkEnd w:id="635"/>
      <w:bookmarkEnd w:id="636"/>
      <w:bookmarkEnd w:id="637"/>
      <w:r w:rsidRPr="00E06B10">
        <w:rPr>
          <w:rFonts w:asciiTheme="minorHAnsi" w:hAnsiTheme="minorHAnsi"/>
        </w:rPr>
        <w:t xml:space="preserve"> </w:t>
      </w:r>
    </w:p>
    <w:p w:rsidR="00E57656" w:rsidRPr="00E06B10" w:rsidRDefault="00E57656" w:rsidP="00E57656">
      <w:pPr>
        <w:pStyle w:val="Heading3"/>
        <w:numPr>
          <w:ilvl w:val="2"/>
          <w:numId w:val="35"/>
        </w:numPr>
        <w:jc w:val="both"/>
        <w:rPr>
          <w:rFonts w:asciiTheme="minorHAnsi" w:hAnsiTheme="minorHAnsi"/>
        </w:rPr>
      </w:pPr>
      <w:bookmarkStart w:id="638" w:name="_Toc420678815"/>
      <w:r w:rsidRPr="00E06B10">
        <w:rPr>
          <w:rFonts w:asciiTheme="minorHAnsi" w:hAnsiTheme="minorHAnsi"/>
        </w:rPr>
        <w:t>Immunisation</w:t>
      </w:r>
      <w:bookmarkEnd w:id="638"/>
    </w:p>
    <w:p w:rsidR="00E57656" w:rsidRPr="00E06B10" w:rsidRDefault="00E57656" w:rsidP="00E57656">
      <w:pPr>
        <w:jc w:val="both"/>
      </w:pPr>
      <w:r w:rsidRPr="00E06B10">
        <w:t>Immunisation has been described as a process by which a person is made immune or resistant to an infectious disease usually by the administration of a vaccine</w:t>
      </w:r>
      <w:r w:rsidRPr="00E06B10">
        <w:rPr>
          <w:rStyle w:val="FootnoteReference"/>
        </w:rPr>
        <w:footnoteReference w:id="81"/>
      </w:r>
      <w:r w:rsidR="00DB3F90">
        <w:t>.</w:t>
      </w:r>
      <w:r w:rsidRPr="00E06B10">
        <w:t xml:space="preserve"> Immunisation thus helps in controlling and eliminating life threatening infectious diseases and thereby reducing illness, disability and death from vaccine preventable infectious diseases</w:t>
      </w:r>
      <w:r w:rsidRPr="00E06B10">
        <w:rPr>
          <w:rStyle w:val="FootnoteReference"/>
        </w:rPr>
        <w:footnoteReference w:id="82"/>
      </w:r>
      <w:r w:rsidR="00DB3F90">
        <w:t>.</w:t>
      </w:r>
      <w:r w:rsidRPr="00E06B10">
        <w:t xml:space="preserve"> Vaccination can be provided from the age of two months onwards and there are specific vaccinations for babies, children, adults, elderly, travellers and people i</w:t>
      </w:r>
      <w:r>
        <w:t>n</w:t>
      </w:r>
      <w:r w:rsidRPr="00E06B10">
        <w:t xml:space="preserve"> special groups such as pregnant women, people with long term health conditions as well as healthcare workers</w:t>
      </w:r>
      <w:r w:rsidRPr="00E06B10">
        <w:rPr>
          <w:rStyle w:val="FootnoteReference"/>
        </w:rPr>
        <w:footnoteReference w:id="83"/>
      </w:r>
      <w:r w:rsidR="00DB3F90">
        <w:t>.</w:t>
      </w:r>
      <w:r w:rsidRPr="00E06B10">
        <w:t xml:space="preserve"> The latest </w:t>
      </w:r>
      <w:hyperlink r:id="rId101" w:history="1">
        <w:r w:rsidRPr="00E06B10">
          <w:rPr>
            <w:rStyle w:val="Hyperlink"/>
          </w:rPr>
          <w:t xml:space="preserve">NHS complete routine immunisation schedule from summer 2014 </w:t>
        </w:r>
      </w:hyperlink>
      <w:r w:rsidRPr="00E06B10">
        <w:t>provides a list of vaccines, when to immunise (the age of a person for administering particular vaccines) and the name</w:t>
      </w:r>
      <w:r w:rsidR="00DB3F90">
        <w:t>s of diseases protected against</w:t>
      </w:r>
      <w:r w:rsidRPr="00E06B10">
        <w:rPr>
          <w:rStyle w:val="FootnoteReference"/>
        </w:rPr>
        <w:footnoteReference w:id="84"/>
      </w:r>
      <w:r w:rsidR="00DB3F90">
        <w:t>.</w:t>
      </w:r>
      <w:r w:rsidRPr="00E06B10">
        <w:t xml:space="preserve"> </w:t>
      </w:r>
    </w:p>
    <w:p w:rsidR="00E57656" w:rsidRPr="00E06B10" w:rsidRDefault="00E57656" w:rsidP="00E57656">
      <w:pPr>
        <w:jc w:val="both"/>
      </w:pPr>
      <w:r w:rsidRPr="00E06B10">
        <w:t xml:space="preserve">The latest update of the coverage of specific immunisations in Barnet is provided below. </w:t>
      </w:r>
    </w:p>
    <w:p w:rsidR="00E57656" w:rsidRPr="00E06B10" w:rsidRDefault="00E57656" w:rsidP="00E57656">
      <w:pPr>
        <w:pStyle w:val="Heading4"/>
        <w:numPr>
          <w:ilvl w:val="3"/>
          <w:numId w:val="35"/>
        </w:numPr>
        <w:tabs>
          <w:tab w:val="left" w:pos="993"/>
        </w:tabs>
        <w:ind w:left="709" w:hanging="709"/>
        <w:jc w:val="both"/>
        <w:rPr>
          <w:rFonts w:asciiTheme="minorHAnsi" w:hAnsiTheme="minorHAnsi"/>
        </w:rPr>
      </w:pPr>
      <w:r w:rsidRPr="00E06B10">
        <w:rPr>
          <w:rFonts w:asciiTheme="minorHAnsi" w:hAnsiTheme="minorHAnsi"/>
        </w:rPr>
        <w:t xml:space="preserve">Childhood </w:t>
      </w:r>
      <w:r w:rsidR="001C74D0">
        <w:rPr>
          <w:rFonts w:asciiTheme="minorHAnsi" w:hAnsiTheme="minorHAnsi"/>
        </w:rPr>
        <w:t>P</w:t>
      </w:r>
      <w:r w:rsidRPr="00E06B10">
        <w:rPr>
          <w:rFonts w:asciiTheme="minorHAnsi" w:hAnsiTheme="minorHAnsi"/>
        </w:rPr>
        <w:t xml:space="preserve">rimary </w:t>
      </w:r>
      <w:r w:rsidR="001C74D0">
        <w:rPr>
          <w:rFonts w:asciiTheme="minorHAnsi" w:hAnsiTheme="minorHAnsi"/>
        </w:rPr>
        <w:t>I</w:t>
      </w:r>
      <w:r w:rsidRPr="00E06B10">
        <w:rPr>
          <w:rFonts w:asciiTheme="minorHAnsi" w:hAnsiTheme="minorHAnsi"/>
        </w:rPr>
        <w:t>mmunisations</w:t>
      </w:r>
    </w:p>
    <w:p w:rsidR="00E57656" w:rsidRDefault="00E57656" w:rsidP="00E57656">
      <w:pPr>
        <w:jc w:val="both"/>
      </w:pPr>
      <w:r w:rsidRPr="00E06B10">
        <w:t xml:space="preserve">The </w:t>
      </w:r>
      <w:hyperlink r:id="rId102" w:history="1">
        <w:r w:rsidRPr="00E06B10">
          <w:rPr>
            <w:rStyle w:val="Hyperlink"/>
          </w:rPr>
          <w:t>NHS routine childhood immunisations</w:t>
        </w:r>
      </w:hyperlink>
      <w:r w:rsidRPr="00E06B10">
        <w:t xml:space="preserve"> provide cover against a number of infectious diseases such as diphtheria, Haemophilus influenza type b (</w:t>
      </w:r>
      <w:proofErr w:type="spellStart"/>
      <w:r w:rsidRPr="00E06B10">
        <w:t>Hib</w:t>
      </w:r>
      <w:proofErr w:type="spellEnd"/>
      <w:r w:rsidRPr="00E06B10">
        <w:t>), meningococcal group C disease (</w:t>
      </w:r>
      <w:proofErr w:type="spellStart"/>
      <w:r w:rsidRPr="00E06B10">
        <w:t>MenC</w:t>
      </w:r>
      <w:proofErr w:type="spellEnd"/>
      <w:r w:rsidRPr="00E06B10">
        <w:t xml:space="preserve">) </w:t>
      </w:r>
      <w:r w:rsidRPr="00E06B10">
        <w:lastRenderedPageBreak/>
        <w:t xml:space="preserve">pertussis, pneumococcal disease, polio, rotavirus and tetanus. The childhood immunisation in England is evaluated by the </w:t>
      </w:r>
      <w:hyperlink r:id="rId103" w:history="1">
        <w:r w:rsidRPr="00E06B10">
          <w:rPr>
            <w:rStyle w:val="Hyperlink"/>
          </w:rPr>
          <w:t>cover of vaccination evaluated rapidly (COVER) programme</w:t>
        </w:r>
      </w:hyperlink>
      <w:r w:rsidRPr="00E06B10">
        <w:t xml:space="preserve">. </w:t>
      </w:r>
    </w:p>
    <w:p w:rsidR="00E57656" w:rsidRDefault="00E57656" w:rsidP="00E57656">
      <w:pPr>
        <w:jc w:val="both"/>
      </w:pPr>
      <w:r w:rsidRPr="00E06B10">
        <w:t xml:space="preserve">The </w:t>
      </w:r>
      <w:hyperlink r:id="rId104" w:history="1">
        <w:r w:rsidRPr="00E06B10">
          <w:rPr>
            <w:rStyle w:val="Hyperlink"/>
          </w:rPr>
          <w:t>NHS i</w:t>
        </w:r>
        <w:r w:rsidR="00270AEE">
          <w:rPr>
            <w:rStyle w:val="Hyperlink"/>
          </w:rPr>
          <w:t>mmunisation statistics for 2013/</w:t>
        </w:r>
        <w:r w:rsidRPr="00E06B10">
          <w:rPr>
            <w:rStyle w:val="Hyperlink"/>
          </w:rPr>
          <w:t>14</w:t>
        </w:r>
      </w:hyperlink>
      <w:r w:rsidRPr="00E06B10">
        <w:t xml:space="preserve"> (Table</w:t>
      </w:r>
      <w:r>
        <w:t xml:space="preserve"> 5-</w:t>
      </w:r>
      <w:r w:rsidRPr="00E06B10">
        <w:t xml:space="preserve">2) show that Barnet rates for </w:t>
      </w:r>
      <w:proofErr w:type="spellStart"/>
      <w:r w:rsidRPr="00E06B10">
        <w:t>MenC</w:t>
      </w:r>
      <w:proofErr w:type="spellEnd"/>
      <w:r w:rsidRPr="00E06B10">
        <w:t xml:space="preserve"> (12 months), </w:t>
      </w:r>
      <w:proofErr w:type="spellStart"/>
      <w:r w:rsidRPr="00E06B10">
        <w:t>DTap</w:t>
      </w:r>
      <w:proofErr w:type="spellEnd"/>
      <w:r w:rsidRPr="00E06B10">
        <w:t xml:space="preserve">/ IPV/ </w:t>
      </w:r>
      <w:proofErr w:type="spellStart"/>
      <w:r w:rsidRPr="00E06B10">
        <w:t>Hib</w:t>
      </w:r>
      <w:proofErr w:type="spellEnd"/>
      <w:r w:rsidRPr="00E06B10">
        <w:t xml:space="preserve"> (24 months) and MMR1 (5 years) are better than the corresponding rates for England; however, other childhood immunisation rates in Barnet are worse than the national rates</w:t>
      </w:r>
      <w:r w:rsidRPr="00E06B10">
        <w:rPr>
          <w:rStyle w:val="FootnoteReference"/>
        </w:rPr>
        <w:footnoteReference w:id="85"/>
      </w:r>
      <w:r w:rsidR="00DB3F90">
        <w:t>.</w:t>
      </w:r>
    </w:p>
    <w:p w:rsidR="00E57656" w:rsidRPr="00E06B10" w:rsidRDefault="00E57656" w:rsidP="00E57656">
      <w:pPr>
        <w:pStyle w:val="Caption"/>
      </w:pPr>
      <w:r>
        <w:t xml:space="preserve">Table </w:t>
      </w:r>
      <w:fldSimple w:instr=" STYLEREF 1 \s ">
        <w:r w:rsidR="001663C2">
          <w:rPr>
            <w:noProof/>
          </w:rPr>
          <w:t>5</w:t>
        </w:r>
      </w:fldSimple>
      <w:r>
        <w:noBreakHyphen/>
      </w:r>
      <w:fldSimple w:instr=" SEQ Table \* ARABIC \s 1 ">
        <w:r w:rsidR="001663C2">
          <w:rPr>
            <w:noProof/>
          </w:rPr>
          <w:t>2</w:t>
        </w:r>
      </w:fldSimple>
      <w:r>
        <w:t>:</w:t>
      </w:r>
      <w:r w:rsidRPr="00E06B10">
        <w:t xml:space="preserve"> Coverage of routine childhood immunisations in Barnet compared to England</w:t>
      </w:r>
    </w:p>
    <w:tbl>
      <w:tblPr>
        <w:tblW w:w="9033" w:type="dxa"/>
        <w:tblInd w:w="93" w:type="dxa"/>
        <w:tblBorders>
          <w:top w:val="single" w:sz="4" w:space="0" w:color="auto"/>
          <w:bottom w:val="single" w:sz="4" w:space="0" w:color="auto"/>
        </w:tblBorders>
        <w:tblLook w:val="04A0" w:firstRow="1" w:lastRow="0" w:firstColumn="1" w:lastColumn="0" w:noHBand="0" w:noVBand="1"/>
      </w:tblPr>
      <w:tblGrid>
        <w:gridCol w:w="1281"/>
        <w:gridCol w:w="2488"/>
        <w:gridCol w:w="1525"/>
        <w:gridCol w:w="1516"/>
        <w:gridCol w:w="1199"/>
        <w:gridCol w:w="1024"/>
      </w:tblGrid>
      <w:tr w:rsidR="00E57656" w:rsidRPr="00E06B10" w:rsidTr="00031B92">
        <w:trPr>
          <w:trHeight w:val="300"/>
        </w:trPr>
        <w:tc>
          <w:tcPr>
            <w:tcW w:w="1281" w:type="dxa"/>
            <w:shd w:val="clear" w:color="auto" w:fill="BFBFBF" w:themeFill="background1" w:themeFillShade="BF"/>
            <w:noWrap/>
            <w:vAlign w:val="bottom"/>
          </w:tcPr>
          <w:p w:rsidR="00E57656" w:rsidRPr="00E06B10" w:rsidRDefault="00E57656" w:rsidP="00031B92">
            <w:pPr>
              <w:spacing w:after="0" w:line="240" w:lineRule="auto"/>
              <w:rPr>
                <w:rFonts w:eastAsia="Times New Roman" w:cs="Arial"/>
                <w:b/>
                <w:color w:val="000000"/>
                <w:lang w:eastAsia="en-GB"/>
              </w:rPr>
            </w:pPr>
          </w:p>
        </w:tc>
        <w:tc>
          <w:tcPr>
            <w:tcW w:w="2488" w:type="dxa"/>
            <w:shd w:val="clear" w:color="auto" w:fill="BFBFBF" w:themeFill="background1" w:themeFillShade="BF"/>
            <w:noWrap/>
            <w:vAlign w:val="bottom"/>
          </w:tcPr>
          <w:p w:rsidR="00E57656" w:rsidRPr="00E06B10" w:rsidRDefault="00E57656" w:rsidP="00031B92">
            <w:pPr>
              <w:spacing w:after="0" w:line="240" w:lineRule="auto"/>
              <w:rPr>
                <w:rFonts w:eastAsia="Times New Roman" w:cs="Arial"/>
                <w:b/>
                <w:color w:val="000000"/>
                <w:lang w:eastAsia="en-GB"/>
              </w:rPr>
            </w:pPr>
          </w:p>
        </w:tc>
        <w:tc>
          <w:tcPr>
            <w:tcW w:w="4240" w:type="dxa"/>
            <w:gridSpan w:val="3"/>
            <w:tcBorders>
              <w:top w:val="single" w:sz="4" w:space="0" w:color="auto"/>
              <w:bottom w:val="single" w:sz="4" w:space="0" w:color="auto"/>
            </w:tcBorders>
            <w:shd w:val="clear" w:color="auto" w:fill="BFBFBF" w:themeFill="background1" w:themeFillShade="BF"/>
            <w:noWrap/>
            <w:vAlign w:val="bottom"/>
          </w:tcPr>
          <w:p w:rsidR="00E57656" w:rsidRPr="00E06B10" w:rsidRDefault="00E57656" w:rsidP="00031B92">
            <w:pPr>
              <w:spacing w:after="0" w:line="240" w:lineRule="auto"/>
              <w:jc w:val="center"/>
              <w:rPr>
                <w:rFonts w:eastAsia="Times New Roman" w:cs="Arial"/>
                <w:b/>
                <w:color w:val="000000"/>
                <w:lang w:eastAsia="en-GB"/>
              </w:rPr>
            </w:pPr>
            <w:r w:rsidRPr="00E06B10">
              <w:rPr>
                <w:rFonts w:eastAsia="Times New Roman" w:cs="Arial"/>
                <w:b/>
                <w:color w:val="000000"/>
                <w:lang w:eastAsia="en-GB"/>
              </w:rPr>
              <w:t>Barnet</w:t>
            </w:r>
          </w:p>
        </w:tc>
        <w:tc>
          <w:tcPr>
            <w:tcW w:w="1024" w:type="dxa"/>
            <w:tcBorders>
              <w:top w:val="single" w:sz="4" w:space="0" w:color="auto"/>
              <w:bottom w:val="nil"/>
            </w:tcBorders>
            <w:shd w:val="clear" w:color="auto" w:fill="BFBFBF" w:themeFill="background1" w:themeFillShade="BF"/>
            <w:noWrap/>
            <w:vAlign w:val="bottom"/>
          </w:tcPr>
          <w:p w:rsidR="00E57656" w:rsidRPr="00E06B10" w:rsidRDefault="00E57656" w:rsidP="00031B92">
            <w:pPr>
              <w:spacing w:after="0" w:line="240" w:lineRule="auto"/>
              <w:rPr>
                <w:rFonts w:eastAsia="Times New Roman" w:cs="Arial"/>
                <w:b/>
                <w:color w:val="000000"/>
                <w:lang w:eastAsia="en-GB"/>
              </w:rPr>
            </w:pPr>
            <w:r w:rsidRPr="00E06B10">
              <w:rPr>
                <w:rFonts w:eastAsia="Times New Roman" w:cs="Arial"/>
                <w:b/>
                <w:color w:val="000000"/>
                <w:lang w:eastAsia="en-GB"/>
              </w:rPr>
              <w:t>England</w:t>
            </w:r>
          </w:p>
        </w:tc>
      </w:tr>
      <w:tr w:rsidR="00E57656" w:rsidRPr="00E06B10" w:rsidTr="00031B92">
        <w:trPr>
          <w:trHeight w:val="300"/>
        </w:trPr>
        <w:tc>
          <w:tcPr>
            <w:tcW w:w="1281" w:type="dxa"/>
            <w:tcBorders>
              <w:bottom w:val="nil"/>
            </w:tcBorders>
            <w:shd w:val="clear" w:color="auto" w:fill="BFBFBF" w:themeFill="background1" w:themeFillShade="BF"/>
            <w:noWrap/>
            <w:vAlign w:val="bottom"/>
            <w:hideMark/>
          </w:tcPr>
          <w:p w:rsidR="00E57656" w:rsidRPr="00E06B10" w:rsidRDefault="00E57656" w:rsidP="00031B92">
            <w:pPr>
              <w:spacing w:after="0" w:line="240" w:lineRule="auto"/>
              <w:rPr>
                <w:rFonts w:eastAsia="Times New Roman" w:cs="Arial"/>
                <w:b/>
                <w:color w:val="000000"/>
                <w:lang w:eastAsia="en-GB"/>
              </w:rPr>
            </w:pPr>
          </w:p>
        </w:tc>
        <w:tc>
          <w:tcPr>
            <w:tcW w:w="2488" w:type="dxa"/>
            <w:tcBorders>
              <w:bottom w:val="nil"/>
            </w:tcBorders>
            <w:shd w:val="clear" w:color="auto" w:fill="BFBFBF" w:themeFill="background1" w:themeFillShade="BF"/>
            <w:noWrap/>
            <w:vAlign w:val="bottom"/>
            <w:hideMark/>
          </w:tcPr>
          <w:p w:rsidR="00E57656" w:rsidRPr="00E06B10" w:rsidRDefault="00E57656" w:rsidP="00031B92">
            <w:pPr>
              <w:spacing w:after="0" w:line="240" w:lineRule="auto"/>
              <w:rPr>
                <w:rFonts w:eastAsia="Times New Roman" w:cs="Arial"/>
                <w:b/>
                <w:color w:val="000000"/>
                <w:lang w:eastAsia="en-GB"/>
              </w:rPr>
            </w:pPr>
          </w:p>
        </w:tc>
        <w:tc>
          <w:tcPr>
            <w:tcW w:w="1525" w:type="dxa"/>
            <w:tcBorders>
              <w:top w:val="single" w:sz="4" w:space="0" w:color="auto"/>
              <w:bottom w:val="nil"/>
            </w:tcBorders>
            <w:shd w:val="clear" w:color="auto" w:fill="BFBFBF" w:themeFill="background1" w:themeFillShade="BF"/>
            <w:noWrap/>
            <w:vAlign w:val="bottom"/>
            <w:hideMark/>
          </w:tcPr>
          <w:p w:rsidR="00E57656" w:rsidRPr="00E06B10" w:rsidRDefault="00E57656" w:rsidP="00031B92">
            <w:pPr>
              <w:spacing w:after="0" w:line="240" w:lineRule="auto"/>
              <w:rPr>
                <w:rFonts w:eastAsia="Times New Roman" w:cs="Arial"/>
                <w:b/>
                <w:color w:val="000000"/>
                <w:lang w:eastAsia="en-GB"/>
              </w:rPr>
            </w:pPr>
            <w:r w:rsidRPr="00E06B10">
              <w:rPr>
                <w:rFonts w:eastAsia="Times New Roman" w:cs="Arial"/>
                <w:b/>
                <w:color w:val="000000"/>
                <w:lang w:eastAsia="en-GB"/>
              </w:rPr>
              <w:t>Cohort size</w:t>
            </w:r>
          </w:p>
        </w:tc>
        <w:tc>
          <w:tcPr>
            <w:tcW w:w="1516" w:type="dxa"/>
            <w:tcBorders>
              <w:top w:val="single" w:sz="4" w:space="0" w:color="auto"/>
              <w:bottom w:val="nil"/>
            </w:tcBorders>
            <w:shd w:val="clear" w:color="auto" w:fill="BFBFBF" w:themeFill="background1" w:themeFillShade="BF"/>
            <w:noWrap/>
            <w:vAlign w:val="bottom"/>
            <w:hideMark/>
          </w:tcPr>
          <w:p w:rsidR="00E57656" w:rsidRPr="00E06B10" w:rsidRDefault="00E57656" w:rsidP="00031B92">
            <w:pPr>
              <w:spacing w:after="0" w:line="240" w:lineRule="auto"/>
              <w:rPr>
                <w:rFonts w:eastAsia="Times New Roman" w:cs="Arial"/>
                <w:b/>
                <w:color w:val="000000"/>
                <w:lang w:eastAsia="en-GB"/>
              </w:rPr>
            </w:pPr>
            <w:r w:rsidRPr="00E06B10">
              <w:rPr>
                <w:rFonts w:eastAsia="Times New Roman" w:cs="Arial"/>
                <w:b/>
                <w:color w:val="000000"/>
                <w:lang w:eastAsia="en-GB"/>
              </w:rPr>
              <w:t>Number immunised</w:t>
            </w:r>
          </w:p>
        </w:tc>
        <w:tc>
          <w:tcPr>
            <w:tcW w:w="1199" w:type="dxa"/>
            <w:tcBorders>
              <w:top w:val="single" w:sz="4" w:space="0" w:color="auto"/>
              <w:bottom w:val="nil"/>
            </w:tcBorders>
            <w:shd w:val="clear" w:color="auto" w:fill="BFBFBF" w:themeFill="background1" w:themeFillShade="BF"/>
            <w:noWrap/>
            <w:vAlign w:val="bottom"/>
            <w:hideMark/>
          </w:tcPr>
          <w:p w:rsidR="00E57656" w:rsidRPr="00E06B10" w:rsidRDefault="00E57656" w:rsidP="00031B92">
            <w:pPr>
              <w:spacing w:after="0" w:line="240" w:lineRule="auto"/>
              <w:rPr>
                <w:rFonts w:eastAsia="Times New Roman" w:cs="Arial"/>
                <w:b/>
                <w:color w:val="000000"/>
                <w:lang w:eastAsia="en-GB"/>
              </w:rPr>
            </w:pPr>
            <w:r w:rsidRPr="00E06B10">
              <w:rPr>
                <w:rFonts w:eastAsia="Times New Roman" w:cs="Arial"/>
                <w:b/>
                <w:color w:val="000000"/>
                <w:lang w:eastAsia="en-GB"/>
              </w:rPr>
              <w:t>Rate (%)</w:t>
            </w:r>
          </w:p>
        </w:tc>
        <w:tc>
          <w:tcPr>
            <w:tcW w:w="1024" w:type="dxa"/>
            <w:tcBorders>
              <w:top w:val="nil"/>
              <w:bottom w:val="nil"/>
            </w:tcBorders>
            <w:shd w:val="clear" w:color="auto" w:fill="BFBFBF" w:themeFill="background1" w:themeFillShade="BF"/>
            <w:noWrap/>
            <w:vAlign w:val="bottom"/>
            <w:hideMark/>
          </w:tcPr>
          <w:p w:rsidR="00E57656" w:rsidRPr="00E06B10" w:rsidRDefault="00E57656" w:rsidP="00031B92">
            <w:pPr>
              <w:spacing w:after="0" w:line="240" w:lineRule="auto"/>
              <w:rPr>
                <w:rFonts w:eastAsia="Times New Roman" w:cs="Arial"/>
                <w:b/>
                <w:color w:val="000000"/>
                <w:lang w:eastAsia="en-GB"/>
              </w:rPr>
            </w:pPr>
            <w:r w:rsidRPr="00E06B10">
              <w:rPr>
                <w:rFonts w:eastAsia="Times New Roman" w:cs="Arial"/>
                <w:b/>
                <w:color w:val="000000"/>
                <w:lang w:eastAsia="en-GB"/>
              </w:rPr>
              <w:t>Rate (%)</w:t>
            </w:r>
          </w:p>
        </w:tc>
      </w:tr>
      <w:tr w:rsidR="00E57656" w:rsidRPr="00E06B10" w:rsidTr="00031B92">
        <w:trPr>
          <w:trHeight w:val="300"/>
        </w:trPr>
        <w:tc>
          <w:tcPr>
            <w:tcW w:w="1281" w:type="dxa"/>
            <w:tcBorders>
              <w:top w:val="nil"/>
              <w:bottom w:val="single" w:sz="4" w:space="0" w:color="auto"/>
            </w:tcBorders>
            <w:shd w:val="clear" w:color="auto" w:fill="BFBFBF" w:themeFill="background1" w:themeFillShade="BF"/>
            <w:noWrap/>
            <w:vAlign w:val="bottom"/>
            <w:hideMark/>
          </w:tcPr>
          <w:p w:rsidR="00E57656" w:rsidRPr="00E06B10" w:rsidRDefault="00E57656" w:rsidP="00031B92">
            <w:pPr>
              <w:spacing w:after="0" w:line="240" w:lineRule="auto"/>
              <w:rPr>
                <w:rFonts w:eastAsia="Times New Roman" w:cs="Arial"/>
                <w:b/>
                <w:color w:val="000000"/>
                <w:lang w:eastAsia="en-GB"/>
              </w:rPr>
            </w:pPr>
            <w:r w:rsidRPr="00E06B10">
              <w:rPr>
                <w:rFonts w:eastAsia="Times New Roman" w:cs="Arial"/>
                <w:b/>
                <w:color w:val="000000"/>
                <w:lang w:eastAsia="en-GB"/>
              </w:rPr>
              <w:t>Cohort</w:t>
            </w:r>
          </w:p>
        </w:tc>
        <w:tc>
          <w:tcPr>
            <w:tcW w:w="2488" w:type="dxa"/>
            <w:tcBorders>
              <w:top w:val="nil"/>
              <w:bottom w:val="single" w:sz="4" w:space="0" w:color="auto"/>
            </w:tcBorders>
            <w:shd w:val="clear" w:color="auto" w:fill="BFBFBF" w:themeFill="background1" w:themeFillShade="BF"/>
            <w:noWrap/>
            <w:vAlign w:val="bottom"/>
            <w:hideMark/>
          </w:tcPr>
          <w:p w:rsidR="00E57656" w:rsidRPr="00E06B10" w:rsidRDefault="00E57656" w:rsidP="00031B92">
            <w:pPr>
              <w:spacing w:after="0" w:line="240" w:lineRule="auto"/>
              <w:rPr>
                <w:rFonts w:eastAsia="Times New Roman" w:cs="Arial"/>
                <w:b/>
                <w:color w:val="000000"/>
                <w:lang w:eastAsia="en-GB"/>
              </w:rPr>
            </w:pPr>
            <w:r w:rsidRPr="00E06B10">
              <w:rPr>
                <w:rFonts w:eastAsia="Times New Roman" w:cs="Arial"/>
                <w:b/>
                <w:color w:val="000000"/>
                <w:lang w:eastAsia="en-GB"/>
              </w:rPr>
              <w:t>Short name</w:t>
            </w:r>
          </w:p>
        </w:tc>
        <w:tc>
          <w:tcPr>
            <w:tcW w:w="1525" w:type="dxa"/>
            <w:tcBorders>
              <w:top w:val="nil"/>
              <w:bottom w:val="single" w:sz="4" w:space="0" w:color="auto"/>
            </w:tcBorders>
            <w:shd w:val="clear" w:color="auto" w:fill="BFBFBF" w:themeFill="background1" w:themeFillShade="BF"/>
            <w:noWrap/>
            <w:vAlign w:val="bottom"/>
            <w:hideMark/>
          </w:tcPr>
          <w:p w:rsidR="00E57656" w:rsidRPr="00E06B10" w:rsidRDefault="00E57656" w:rsidP="00031B92">
            <w:pPr>
              <w:spacing w:after="0" w:line="240" w:lineRule="auto"/>
              <w:rPr>
                <w:rFonts w:eastAsia="Times New Roman" w:cs="Arial"/>
                <w:b/>
                <w:color w:val="000000"/>
                <w:lang w:eastAsia="en-GB"/>
              </w:rPr>
            </w:pPr>
            <w:r w:rsidRPr="00E06B10">
              <w:rPr>
                <w:rFonts w:eastAsia="Times New Roman" w:cs="Arial"/>
                <w:b/>
                <w:color w:val="000000"/>
                <w:lang w:eastAsia="en-GB"/>
              </w:rPr>
              <w:t>CS-2013-14</w:t>
            </w:r>
          </w:p>
        </w:tc>
        <w:tc>
          <w:tcPr>
            <w:tcW w:w="1516" w:type="dxa"/>
            <w:tcBorders>
              <w:top w:val="nil"/>
              <w:bottom w:val="single" w:sz="4" w:space="0" w:color="auto"/>
            </w:tcBorders>
            <w:shd w:val="clear" w:color="auto" w:fill="BFBFBF" w:themeFill="background1" w:themeFillShade="BF"/>
            <w:noWrap/>
            <w:vAlign w:val="bottom"/>
            <w:hideMark/>
          </w:tcPr>
          <w:p w:rsidR="00E57656" w:rsidRPr="00E06B10" w:rsidRDefault="00E57656" w:rsidP="00031B92">
            <w:pPr>
              <w:spacing w:after="0" w:line="240" w:lineRule="auto"/>
              <w:rPr>
                <w:rFonts w:eastAsia="Times New Roman" w:cs="Arial"/>
                <w:b/>
                <w:color w:val="000000"/>
                <w:lang w:eastAsia="en-GB"/>
              </w:rPr>
            </w:pPr>
            <w:r w:rsidRPr="00E06B10">
              <w:rPr>
                <w:rFonts w:eastAsia="Times New Roman" w:cs="Arial"/>
                <w:b/>
                <w:color w:val="000000"/>
                <w:lang w:eastAsia="en-GB"/>
              </w:rPr>
              <w:t>IM-2013-14</w:t>
            </w:r>
          </w:p>
        </w:tc>
        <w:tc>
          <w:tcPr>
            <w:tcW w:w="1199" w:type="dxa"/>
            <w:tcBorders>
              <w:top w:val="nil"/>
              <w:bottom w:val="single" w:sz="4" w:space="0" w:color="auto"/>
            </w:tcBorders>
            <w:shd w:val="clear" w:color="auto" w:fill="BFBFBF" w:themeFill="background1" w:themeFillShade="BF"/>
            <w:noWrap/>
            <w:vAlign w:val="bottom"/>
            <w:hideMark/>
          </w:tcPr>
          <w:p w:rsidR="00E57656" w:rsidRPr="00E06B10" w:rsidRDefault="00E57656" w:rsidP="00031B92">
            <w:pPr>
              <w:spacing w:after="0" w:line="240" w:lineRule="auto"/>
              <w:rPr>
                <w:rFonts w:eastAsia="Times New Roman" w:cs="Arial"/>
                <w:b/>
                <w:color w:val="000000"/>
                <w:lang w:eastAsia="en-GB"/>
              </w:rPr>
            </w:pPr>
            <w:r w:rsidRPr="00E06B10">
              <w:rPr>
                <w:rFonts w:eastAsia="Times New Roman" w:cs="Arial"/>
                <w:b/>
                <w:color w:val="000000"/>
                <w:lang w:eastAsia="en-GB"/>
              </w:rPr>
              <w:t>2013-14</w:t>
            </w:r>
          </w:p>
        </w:tc>
        <w:tc>
          <w:tcPr>
            <w:tcW w:w="1024" w:type="dxa"/>
            <w:tcBorders>
              <w:top w:val="nil"/>
              <w:bottom w:val="single" w:sz="4" w:space="0" w:color="auto"/>
            </w:tcBorders>
            <w:shd w:val="clear" w:color="auto" w:fill="BFBFBF" w:themeFill="background1" w:themeFillShade="BF"/>
            <w:noWrap/>
            <w:vAlign w:val="bottom"/>
            <w:hideMark/>
          </w:tcPr>
          <w:p w:rsidR="00E57656" w:rsidRPr="00E06B10" w:rsidRDefault="00E57656" w:rsidP="00031B92">
            <w:pPr>
              <w:spacing w:after="0" w:line="240" w:lineRule="auto"/>
              <w:rPr>
                <w:rFonts w:eastAsia="Times New Roman" w:cs="Arial"/>
                <w:b/>
                <w:color w:val="000000"/>
                <w:lang w:eastAsia="en-GB"/>
              </w:rPr>
            </w:pPr>
            <w:r w:rsidRPr="00E06B10">
              <w:rPr>
                <w:rFonts w:eastAsia="Times New Roman" w:cs="Arial"/>
                <w:b/>
                <w:color w:val="000000"/>
                <w:lang w:eastAsia="en-GB"/>
              </w:rPr>
              <w:t>2013-14</w:t>
            </w:r>
          </w:p>
        </w:tc>
      </w:tr>
      <w:tr w:rsidR="00E57656" w:rsidRPr="00E06B10" w:rsidTr="00031B92">
        <w:trPr>
          <w:trHeight w:val="300"/>
        </w:trPr>
        <w:tc>
          <w:tcPr>
            <w:tcW w:w="1281" w:type="dxa"/>
            <w:tcBorders>
              <w:top w:val="single" w:sz="4" w:space="0" w:color="auto"/>
            </w:tcBorders>
            <w:shd w:val="clear" w:color="auto" w:fill="auto"/>
            <w:noWrap/>
            <w:vAlign w:val="bottom"/>
            <w:hideMark/>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12 months</w:t>
            </w:r>
          </w:p>
        </w:tc>
        <w:tc>
          <w:tcPr>
            <w:tcW w:w="2488" w:type="dxa"/>
            <w:tcBorders>
              <w:top w:val="single" w:sz="4" w:space="0" w:color="auto"/>
            </w:tcBorders>
            <w:shd w:val="clear" w:color="auto" w:fill="auto"/>
            <w:noWrap/>
            <w:vAlign w:val="bottom"/>
            <w:hideMark/>
          </w:tcPr>
          <w:p w:rsidR="00E57656" w:rsidRPr="00E06B10" w:rsidRDefault="00E57656" w:rsidP="00031B92">
            <w:pPr>
              <w:spacing w:after="0" w:line="240" w:lineRule="auto"/>
              <w:rPr>
                <w:rFonts w:eastAsia="Times New Roman" w:cs="Arial"/>
                <w:color w:val="000000"/>
                <w:lang w:eastAsia="en-GB"/>
              </w:rPr>
            </w:pPr>
            <w:proofErr w:type="spellStart"/>
            <w:r w:rsidRPr="00E06B10">
              <w:rPr>
                <w:rFonts w:eastAsia="Times New Roman" w:cs="Arial"/>
                <w:color w:val="000000"/>
                <w:lang w:eastAsia="en-GB"/>
              </w:rPr>
              <w:t>DTaP</w:t>
            </w:r>
            <w:proofErr w:type="spellEnd"/>
            <w:r w:rsidRPr="00E06B10">
              <w:rPr>
                <w:rFonts w:eastAsia="Times New Roman" w:cs="Arial"/>
                <w:color w:val="000000"/>
                <w:lang w:eastAsia="en-GB"/>
              </w:rPr>
              <w:t>/IPV/</w:t>
            </w:r>
            <w:proofErr w:type="spellStart"/>
            <w:r w:rsidRPr="00E06B10">
              <w:rPr>
                <w:rFonts w:eastAsia="Times New Roman" w:cs="Arial"/>
                <w:color w:val="000000"/>
                <w:lang w:eastAsia="en-GB"/>
              </w:rPr>
              <w:t>Hib</w:t>
            </w:r>
            <w:proofErr w:type="spellEnd"/>
            <w:r w:rsidRPr="00E06B10">
              <w:rPr>
                <w:rFonts w:eastAsia="Times New Roman" w:cs="Arial"/>
                <w:color w:val="000000"/>
                <w:lang w:eastAsia="en-GB"/>
              </w:rPr>
              <w:t xml:space="preserve"> </w:t>
            </w:r>
          </w:p>
        </w:tc>
        <w:tc>
          <w:tcPr>
            <w:tcW w:w="1525" w:type="dxa"/>
            <w:tcBorders>
              <w:top w:val="single" w:sz="4" w:space="0" w:color="auto"/>
            </w:tcBorders>
            <w:shd w:val="clear" w:color="auto" w:fill="auto"/>
            <w:noWrap/>
            <w:vAlign w:val="bottom"/>
            <w:hideMark/>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5789</w:t>
            </w:r>
          </w:p>
        </w:tc>
        <w:tc>
          <w:tcPr>
            <w:tcW w:w="1516" w:type="dxa"/>
            <w:tcBorders>
              <w:top w:val="single" w:sz="4" w:space="0" w:color="auto"/>
            </w:tcBorders>
            <w:shd w:val="clear" w:color="auto" w:fill="auto"/>
            <w:noWrap/>
            <w:vAlign w:val="bottom"/>
            <w:hideMark/>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4612</w:t>
            </w:r>
          </w:p>
        </w:tc>
        <w:tc>
          <w:tcPr>
            <w:tcW w:w="1199" w:type="dxa"/>
            <w:tcBorders>
              <w:top w:val="single" w:sz="4" w:space="0" w:color="auto"/>
            </w:tcBorders>
            <w:shd w:val="clear" w:color="auto" w:fill="auto"/>
            <w:noWrap/>
            <w:vAlign w:val="bottom"/>
            <w:hideMark/>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79.7</w:t>
            </w:r>
          </w:p>
        </w:tc>
        <w:tc>
          <w:tcPr>
            <w:tcW w:w="1024" w:type="dxa"/>
            <w:tcBorders>
              <w:top w:val="single" w:sz="4" w:space="0" w:color="auto"/>
            </w:tcBorders>
            <w:shd w:val="clear" w:color="auto" w:fill="auto"/>
            <w:noWrap/>
            <w:vAlign w:val="bottom"/>
            <w:hideMark/>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94.3</w:t>
            </w:r>
          </w:p>
        </w:tc>
      </w:tr>
      <w:tr w:rsidR="00E57656" w:rsidRPr="00E06B10" w:rsidTr="00031B92">
        <w:trPr>
          <w:trHeight w:val="300"/>
        </w:trPr>
        <w:tc>
          <w:tcPr>
            <w:tcW w:w="1281" w:type="dxa"/>
            <w:shd w:val="clear" w:color="auto" w:fill="auto"/>
            <w:noWrap/>
            <w:vAlign w:val="bottom"/>
          </w:tcPr>
          <w:p w:rsidR="00E57656" w:rsidRPr="00E06B10" w:rsidRDefault="00E57656" w:rsidP="00031B92">
            <w:pPr>
              <w:spacing w:after="0" w:line="240" w:lineRule="auto"/>
              <w:rPr>
                <w:rFonts w:eastAsia="Times New Roman" w:cs="Arial"/>
                <w:color w:val="000000"/>
                <w:lang w:eastAsia="en-GB"/>
              </w:rPr>
            </w:pPr>
          </w:p>
        </w:tc>
        <w:tc>
          <w:tcPr>
            <w:tcW w:w="2488" w:type="dxa"/>
            <w:shd w:val="clear" w:color="auto" w:fill="auto"/>
            <w:noWrap/>
            <w:vAlign w:val="bottom"/>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PCV</w:t>
            </w:r>
          </w:p>
        </w:tc>
        <w:tc>
          <w:tcPr>
            <w:tcW w:w="1525" w:type="dxa"/>
            <w:shd w:val="clear" w:color="auto" w:fill="auto"/>
            <w:noWrap/>
            <w:vAlign w:val="bottom"/>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5789</w:t>
            </w:r>
          </w:p>
        </w:tc>
        <w:tc>
          <w:tcPr>
            <w:tcW w:w="1516" w:type="dxa"/>
            <w:shd w:val="clear" w:color="auto" w:fill="auto"/>
            <w:noWrap/>
            <w:vAlign w:val="bottom"/>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4767</w:t>
            </w:r>
          </w:p>
        </w:tc>
        <w:tc>
          <w:tcPr>
            <w:tcW w:w="1199" w:type="dxa"/>
            <w:shd w:val="clear" w:color="auto" w:fill="auto"/>
            <w:noWrap/>
            <w:vAlign w:val="bottom"/>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82.3</w:t>
            </w:r>
          </w:p>
        </w:tc>
        <w:tc>
          <w:tcPr>
            <w:tcW w:w="1024" w:type="dxa"/>
            <w:shd w:val="clear" w:color="auto" w:fill="auto"/>
            <w:noWrap/>
            <w:vAlign w:val="bottom"/>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94.1</w:t>
            </w:r>
          </w:p>
        </w:tc>
      </w:tr>
      <w:tr w:rsidR="00E57656" w:rsidRPr="00E06B10" w:rsidTr="00031B92">
        <w:trPr>
          <w:trHeight w:val="300"/>
        </w:trPr>
        <w:tc>
          <w:tcPr>
            <w:tcW w:w="1281" w:type="dxa"/>
            <w:shd w:val="clear" w:color="auto" w:fill="auto"/>
            <w:noWrap/>
            <w:vAlign w:val="bottom"/>
            <w:hideMark/>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 </w:t>
            </w:r>
          </w:p>
        </w:tc>
        <w:tc>
          <w:tcPr>
            <w:tcW w:w="2488" w:type="dxa"/>
            <w:shd w:val="clear" w:color="auto" w:fill="auto"/>
            <w:noWrap/>
            <w:vAlign w:val="bottom"/>
            <w:hideMark/>
          </w:tcPr>
          <w:p w:rsidR="00E57656" w:rsidRPr="00E06B10" w:rsidRDefault="00E57656" w:rsidP="00031B92">
            <w:pPr>
              <w:spacing w:after="0" w:line="240" w:lineRule="auto"/>
              <w:rPr>
                <w:rFonts w:eastAsia="Times New Roman" w:cs="Arial"/>
                <w:color w:val="000000"/>
                <w:lang w:eastAsia="en-GB"/>
              </w:rPr>
            </w:pPr>
            <w:proofErr w:type="spellStart"/>
            <w:r w:rsidRPr="00E06B10">
              <w:rPr>
                <w:rFonts w:eastAsia="Times New Roman" w:cs="Arial"/>
                <w:color w:val="000000"/>
                <w:lang w:eastAsia="en-GB"/>
              </w:rPr>
              <w:t>MenC</w:t>
            </w:r>
            <w:proofErr w:type="spellEnd"/>
          </w:p>
        </w:tc>
        <w:tc>
          <w:tcPr>
            <w:tcW w:w="1525" w:type="dxa"/>
            <w:shd w:val="clear" w:color="auto" w:fill="auto"/>
            <w:noWrap/>
            <w:vAlign w:val="bottom"/>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5786*</w:t>
            </w:r>
          </w:p>
        </w:tc>
        <w:tc>
          <w:tcPr>
            <w:tcW w:w="1516" w:type="dxa"/>
            <w:shd w:val="clear" w:color="auto" w:fill="auto"/>
            <w:noWrap/>
            <w:vAlign w:val="bottom"/>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5286</w:t>
            </w:r>
          </w:p>
        </w:tc>
        <w:tc>
          <w:tcPr>
            <w:tcW w:w="1199" w:type="dxa"/>
            <w:shd w:val="clear" w:color="auto" w:fill="auto"/>
            <w:noWrap/>
            <w:vAlign w:val="bottom"/>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91.4</w:t>
            </w:r>
          </w:p>
        </w:tc>
        <w:tc>
          <w:tcPr>
            <w:tcW w:w="1024" w:type="dxa"/>
            <w:shd w:val="clear" w:color="auto" w:fill="auto"/>
            <w:noWrap/>
            <w:vAlign w:val="bottom"/>
            <w:hideMark/>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93.9</w:t>
            </w:r>
          </w:p>
        </w:tc>
      </w:tr>
      <w:tr w:rsidR="00E57656" w:rsidRPr="00E06B10" w:rsidTr="00031B92">
        <w:trPr>
          <w:trHeight w:val="300"/>
        </w:trPr>
        <w:tc>
          <w:tcPr>
            <w:tcW w:w="1281" w:type="dxa"/>
            <w:shd w:val="clear" w:color="auto" w:fill="auto"/>
            <w:noWrap/>
            <w:vAlign w:val="bottom"/>
            <w:hideMark/>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 </w:t>
            </w:r>
          </w:p>
        </w:tc>
        <w:tc>
          <w:tcPr>
            <w:tcW w:w="2488" w:type="dxa"/>
            <w:shd w:val="clear" w:color="auto" w:fill="auto"/>
            <w:noWrap/>
            <w:vAlign w:val="bottom"/>
            <w:hideMark/>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Hep B</w:t>
            </w:r>
          </w:p>
        </w:tc>
        <w:tc>
          <w:tcPr>
            <w:tcW w:w="1525" w:type="dxa"/>
            <w:shd w:val="clear" w:color="auto" w:fill="auto"/>
            <w:noWrap/>
            <w:vAlign w:val="bottom"/>
            <w:hideMark/>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39</w:t>
            </w:r>
          </w:p>
        </w:tc>
        <w:tc>
          <w:tcPr>
            <w:tcW w:w="1516" w:type="dxa"/>
            <w:shd w:val="clear" w:color="auto" w:fill="auto"/>
            <w:noWrap/>
            <w:vAlign w:val="bottom"/>
            <w:hideMark/>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19</w:t>
            </w:r>
          </w:p>
        </w:tc>
        <w:tc>
          <w:tcPr>
            <w:tcW w:w="1199" w:type="dxa"/>
            <w:shd w:val="clear" w:color="auto" w:fill="auto"/>
            <w:noWrap/>
            <w:vAlign w:val="bottom"/>
            <w:hideMark/>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48.7</w:t>
            </w:r>
          </w:p>
        </w:tc>
        <w:tc>
          <w:tcPr>
            <w:tcW w:w="1024" w:type="dxa"/>
            <w:shd w:val="clear" w:color="auto" w:fill="auto"/>
            <w:noWrap/>
            <w:vAlign w:val="bottom"/>
            <w:hideMark/>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w:t>
            </w:r>
          </w:p>
        </w:tc>
      </w:tr>
      <w:tr w:rsidR="00E57656" w:rsidRPr="00E06B10" w:rsidTr="00031B92">
        <w:trPr>
          <w:trHeight w:val="300"/>
        </w:trPr>
        <w:tc>
          <w:tcPr>
            <w:tcW w:w="1281" w:type="dxa"/>
            <w:shd w:val="clear" w:color="auto" w:fill="auto"/>
            <w:noWrap/>
            <w:vAlign w:val="bottom"/>
            <w:hideMark/>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24 months</w:t>
            </w:r>
          </w:p>
        </w:tc>
        <w:tc>
          <w:tcPr>
            <w:tcW w:w="2488" w:type="dxa"/>
            <w:shd w:val="clear" w:color="auto" w:fill="auto"/>
            <w:noWrap/>
            <w:vAlign w:val="bottom"/>
            <w:hideMark/>
          </w:tcPr>
          <w:p w:rsidR="00E57656" w:rsidRPr="00E06B10" w:rsidRDefault="00E57656" w:rsidP="00031B92">
            <w:pPr>
              <w:spacing w:after="0" w:line="240" w:lineRule="auto"/>
              <w:rPr>
                <w:rFonts w:eastAsia="Times New Roman" w:cs="Arial"/>
                <w:color w:val="000000"/>
                <w:lang w:eastAsia="en-GB"/>
              </w:rPr>
            </w:pPr>
            <w:proofErr w:type="spellStart"/>
            <w:r w:rsidRPr="00E06B10">
              <w:rPr>
                <w:rFonts w:eastAsia="Times New Roman" w:cs="Arial"/>
                <w:color w:val="000000"/>
                <w:lang w:eastAsia="en-GB"/>
              </w:rPr>
              <w:t>DTaP</w:t>
            </w:r>
            <w:proofErr w:type="spellEnd"/>
            <w:r w:rsidRPr="00E06B10">
              <w:rPr>
                <w:rFonts w:eastAsia="Times New Roman" w:cs="Arial"/>
                <w:color w:val="000000"/>
                <w:lang w:eastAsia="en-GB"/>
              </w:rPr>
              <w:t>/IPV/</w:t>
            </w:r>
            <w:proofErr w:type="spellStart"/>
            <w:r w:rsidRPr="00E06B10">
              <w:rPr>
                <w:rFonts w:eastAsia="Times New Roman" w:cs="Arial"/>
                <w:color w:val="000000"/>
                <w:lang w:eastAsia="en-GB"/>
              </w:rPr>
              <w:t>Hib</w:t>
            </w:r>
            <w:proofErr w:type="spellEnd"/>
            <w:r w:rsidRPr="00E06B10">
              <w:rPr>
                <w:rFonts w:eastAsia="Times New Roman" w:cs="Arial"/>
                <w:color w:val="000000"/>
                <w:lang w:eastAsia="en-GB"/>
              </w:rPr>
              <w:t xml:space="preserve"> primary</w:t>
            </w:r>
          </w:p>
        </w:tc>
        <w:tc>
          <w:tcPr>
            <w:tcW w:w="1525" w:type="dxa"/>
            <w:shd w:val="clear" w:color="auto" w:fill="auto"/>
            <w:noWrap/>
            <w:vAlign w:val="bottom"/>
            <w:hideMark/>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6029</w:t>
            </w:r>
          </w:p>
        </w:tc>
        <w:tc>
          <w:tcPr>
            <w:tcW w:w="1516" w:type="dxa"/>
            <w:shd w:val="clear" w:color="auto" w:fill="auto"/>
            <w:noWrap/>
            <w:vAlign w:val="bottom"/>
            <w:hideMark/>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5633</w:t>
            </w:r>
          </w:p>
        </w:tc>
        <w:tc>
          <w:tcPr>
            <w:tcW w:w="1199" w:type="dxa"/>
            <w:shd w:val="clear" w:color="auto" w:fill="auto"/>
            <w:noWrap/>
            <w:vAlign w:val="bottom"/>
            <w:hideMark/>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93.4</w:t>
            </w:r>
          </w:p>
        </w:tc>
        <w:tc>
          <w:tcPr>
            <w:tcW w:w="1024" w:type="dxa"/>
            <w:shd w:val="clear" w:color="auto" w:fill="auto"/>
            <w:noWrap/>
            <w:vAlign w:val="bottom"/>
            <w:hideMark/>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96.1</w:t>
            </w:r>
          </w:p>
        </w:tc>
      </w:tr>
      <w:tr w:rsidR="00E57656" w:rsidRPr="00E06B10" w:rsidTr="00031B92">
        <w:trPr>
          <w:trHeight w:val="300"/>
        </w:trPr>
        <w:tc>
          <w:tcPr>
            <w:tcW w:w="1281" w:type="dxa"/>
            <w:shd w:val="clear" w:color="auto" w:fill="auto"/>
            <w:noWrap/>
            <w:vAlign w:val="bottom"/>
            <w:hideMark/>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 </w:t>
            </w:r>
          </w:p>
        </w:tc>
        <w:tc>
          <w:tcPr>
            <w:tcW w:w="2488" w:type="dxa"/>
            <w:shd w:val="clear" w:color="auto" w:fill="auto"/>
            <w:noWrap/>
            <w:vAlign w:val="bottom"/>
            <w:hideMark/>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PCV booster</w:t>
            </w:r>
          </w:p>
        </w:tc>
        <w:tc>
          <w:tcPr>
            <w:tcW w:w="1525" w:type="dxa"/>
            <w:shd w:val="clear" w:color="auto" w:fill="auto"/>
            <w:noWrap/>
            <w:vAlign w:val="bottom"/>
            <w:hideMark/>
          </w:tcPr>
          <w:p w:rsidR="00E57656" w:rsidRPr="00E06B10" w:rsidRDefault="00E57656" w:rsidP="00031B92">
            <w:pPr>
              <w:spacing w:after="0" w:line="240" w:lineRule="auto"/>
              <w:rPr>
                <w:rFonts w:eastAsia="Times New Roman" w:cs="Arial"/>
                <w:lang w:eastAsia="en-GB"/>
              </w:rPr>
            </w:pPr>
            <w:r w:rsidRPr="00E06B10">
              <w:rPr>
                <w:rFonts w:eastAsia="Times New Roman" w:cs="Arial"/>
                <w:lang w:eastAsia="en-GB"/>
              </w:rPr>
              <w:t>6029</w:t>
            </w:r>
          </w:p>
        </w:tc>
        <w:tc>
          <w:tcPr>
            <w:tcW w:w="1516" w:type="dxa"/>
            <w:shd w:val="clear" w:color="auto" w:fill="auto"/>
            <w:noWrap/>
            <w:vAlign w:val="bottom"/>
            <w:hideMark/>
          </w:tcPr>
          <w:p w:rsidR="00E57656" w:rsidRPr="00E06B10" w:rsidRDefault="00E57656" w:rsidP="00031B92">
            <w:pPr>
              <w:spacing w:after="0" w:line="240" w:lineRule="auto"/>
              <w:rPr>
                <w:rFonts w:eastAsia="Times New Roman" w:cs="Arial"/>
                <w:lang w:eastAsia="en-GB"/>
              </w:rPr>
            </w:pPr>
            <w:r w:rsidRPr="00E06B10">
              <w:rPr>
                <w:rFonts w:eastAsia="Times New Roman" w:cs="Arial"/>
                <w:lang w:eastAsia="en-GB"/>
              </w:rPr>
              <w:t>4839</w:t>
            </w:r>
          </w:p>
        </w:tc>
        <w:tc>
          <w:tcPr>
            <w:tcW w:w="1199" w:type="dxa"/>
            <w:shd w:val="clear" w:color="auto" w:fill="auto"/>
            <w:noWrap/>
            <w:vAlign w:val="bottom"/>
            <w:hideMark/>
          </w:tcPr>
          <w:p w:rsidR="00E57656" w:rsidRPr="00E06B10" w:rsidRDefault="00E57656" w:rsidP="00031B92">
            <w:pPr>
              <w:spacing w:after="0" w:line="240" w:lineRule="auto"/>
              <w:rPr>
                <w:rFonts w:eastAsia="Times New Roman" w:cs="Arial"/>
                <w:lang w:eastAsia="en-GB"/>
              </w:rPr>
            </w:pPr>
            <w:r w:rsidRPr="00E06B10">
              <w:rPr>
                <w:rFonts w:eastAsia="Times New Roman" w:cs="Arial"/>
                <w:lang w:eastAsia="en-GB"/>
              </w:rPr>
              <w:t>80.3</w:t>
            </w:r>
          </w:p>
        </w:tc>
        <w:tc>
          <w:tcPr>
            <w:tcW w:w="1024" w:type="dxa"/>
            <w:shd w:val="clear" w:color="auto" w:fill="auto"/>
            <w:noWrap/>
            <w:vAlign w:val="bottom"/>
            <w:hideMark/>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92.4</w:t>
            </w:r>
          </w:p>
        </w:tc>
      </w:tr>
      <w:tr w:rsidR="00E57656" w:rsidRPr="00E06B10" w:rsidTr="00031B92">
        <w:trPr>
          <w:trHeight w:val="300"/>
        </w:trPr>
        <w:tc>
          <w:tcPr>
            <w:tcW w:w="1281" w:type="dxa"/>
            <w:shd w:val="clear" w:color="auto" w:fill="auto"/>
            <w:noWrap/>
            <w:vAlign w:val="bottom"/>
            <w:hideMark/>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 </w:t>
            </w:r>
          </w:p>
        </w:tc>
        <w:tc>
          <w:tcPr>
            <w:tcW w:w="2488" w:type="dxa"/>
            <w:shd w:val="clear" w:color="auto" w:fill="auto"/>
            <w:noWrap/>
            <w:vAlign w:val="bottom"/>
            <w:hideMark/>
          </w:tcPr>
          <w:p w:rsidR="00E57656" w:rsidRPr="00E06B10" w:rsidRDefault="00E57656" w:rsidP="00031B92">
            <w:pPr>
              <w:spacing w:after="0" w:line="240" w:lineRule="auto"/>
              <w:rPr>
                <w:rFonts w:eastAsia="Times New Roman" w:cs="Arial"/>
                <w:color w:val="000000"/>
                <w:lang w:eastAsia="en-GB"/>
              </w:rPr>
            </w:pPr>
            <w:proofErr w:type="spellStart"/>
            <w:r w:rsidRPr="00E06B10">
              <w:rPr>
                <w:rFonts w:eastAsia="Times New Roman" w:cs="Arial"/>
                <w:color w:val="000000"/>
                <w:lang w:eastAsia="en-GB"/>
              </w:rPr>
              <w:t>Hib</w:t>
            </w:r>
            <w:proofErr w:type="spellEnd"/>
            <w:r w:rsidRPr="00E06B10">
              <w:rPr>
                <w:rFonts w:eastAsia="Times New Roman" w:cs="Arial"/>
                <w:color w:val="000000"/>
                <w:lang w:eastAsia="en-GB"/>
              </w:rPr>
              <w:t>/</w:t>
            </w:r>
            <w:proofErr w:type="spellStart"/>
            <w:r w:rsidRPr="00E06B10">
              <w:rPr>
                <w:rFonts w:eastAsia="Times New Roman" w:cs="Arial"/>
                <w:color w:val="000000"/>
                <w:lang w:eastAsia="en-GB"/>
              </w:rPr>
              <w:t>MenC</w:t>
            </w:r>
            <w:proofErr w:type="spellEnd"/>
            <w:r w:rsidRPr="00E06B10">
              <w:rPr>
                <w:rFonts w:eastAsia="Times New Roman" w:cs="Arial"/>
                <w:color w:val="000000"/>
                <w:lang w:eastAsia="en-GB"/>
              </w:rPr>
              <w:t xml:space="preserve"> booster</w:t>
            </w:r>
          </w:p>
        </w:tc>
        <w:tc>
          <w:tcPr>
            <w:tcW w:w="1525" w:type="dxa"/>
            <w:shd w:val="clear" w:color="auto" w:fill="auto"/>
            <w:noWrap/>
            <w:vAlign w:val="bottom"/>
            <w:hideMark/>
          </w:tcPr>
          <w:p w:rsidR="00E57656" w:rsidRPr="00E06B10" w:rsidRDefault="00E57656" w:rsidP="00031B92">
            <w:pPr>
              <w:spacing w:after="0" w:line="240" w:lineRule="auto"/>
              <w:rPr>
                <w:rFonts w:eastAsia="Times New Roman" w:cs="Arial"/>
                <w:lang w:eastAsia="en-GB"/>
              </w:rPr>
            </w:pPr>
            <w:r w:rsidRPr="00E06B10">
              <w:rPr>
                <w:rFonts w:eastAsia="Times New Roman" w:cs="Arial"/>
                <w:lang w:eastAsia="en-GB"/>
              </w:rPr>
              <w:t>6029</w:t>
            </w:r>
          </w:p>
        </w:tc>
        <w:tc>
          <w:tcPr>
            <w:tcW w:w="1516" w:type="dxa"/>
            <w:shd w:val="clear" w:color="auto" w:fill="auto"/>
            <w:noWrap/>
            <w:vAlign w:val="bottom"/>
            <w:hideMark/>
          </w:tcPr>
          <w:p w:rsidR="00E57656" w:rsidRPr="00E06B10" w:rsidRDefault="00E57656" w:rsidP="00031B92">
            <w:pPr>
              <w:spacing w:after="0" w:line="240" w:lineRule="auto"/>
              <w:rPr>
                <w:rFonts w:eastAsia="Times New Roman" w:cs="Arial"/>
                <w:lang w:eastAsia="en-GB"/>
              </w:rPr>
            </w:pPr>
            <w:r w:rsidRPr="00E06B10">
              <w:rPr>
                <w:rFonts w:eastAsia="Times New Roman" w:cs="Arial"/>
                <w:lang w:eastAsia="en-GB"/>
              </w:rPr>
              <w:t>4833</w:t>
            </w:r>
          </w:p>
        </w:tc>
        <w:tc>
          <w:tcPr>
            <w:tcW w:w="1199" w:type="dxa"/>
            <w:shd w:val="clear" w:color="auto" w:fill="auto"/>
            <w:noWrap/>
            <w:vAlign w:val="bottom"/>
            <w:hideMark/>
          </w:tcPr>
          <w:p w:rsidR="00E57656" w:rsidRPr="00E06B10" w:rsidRDefault="00E57656" w:rsidP="00031B92">
            <w:pPr>
              <w:spacing w:after="0" w:line="240" w:lineRule="auto"/>
              <w:rPr>
                <w:rFonts w:eastAsia="Times New Roman" w:cs="Arial"/>
                <w:lang w:eastAsia="en-GB"/>
              </w:rPr>
            </w:pPr>
            <w:r w:rsidRPr="00E06B10">
              <w:rPr>
                <w:rFonts w:eastAsia="Times New Roman" w:cs="Arial"/>
                <w:lang w:eastAsia="en-GB"/>
              </w:rPr>
              <w:t>80.2</w:t>
            </w:r>
          </w:p>
        </w:tc>
        <w:tc>
          <w:tcPr>
            <w:tcW w:w="1024" w:type="dxa"/>
            <w:shd w:val="clear" w:color="auto" w:fill="auto"/>
            <w:noWrap/>
            <w:vAlign w:val="bottom"/>
            <w:hideMark/>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92.5</w:t>
            </w:r>
          </w:p>
        </w:tc>
      </w:tr>
      <w:tr w:rsidR="00E57656" w:rsidRPr="00E06B10" w:rsidTr="00031B92">
        <w:trPr>
          <w:trHeight w:val="300"/>
        </w:trPr>
        <w:tc>
          <w:tcPr>
            <w:tcW w:w="1281" w:type="dxa"/>
            <w:shd w:val="clear" w:color="auto" w:fill="auto"/>
            <w:noWrap/>
            <w:vAlign w:val="bottom"/>
            <w:hideMark/>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 </w:t>
            </w:r>
          </w:p>
        </w:tc>
        <w:tc>
          <w:tcPr>
            <w:tcW w:w="2488" w:type="dxa"/>
            <w:shd w:val="clear" w:color="auto" w:fill="auto"/>
            <w:noWrap/>
            <w:vAlign w:val="bottom"/>
            <w:hideMark/>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MMR1 (1</w:t>
            </w:r>
            <w:r w:rsidRPr="00E06B10">
              <w:rPr>
                <w:rFonts w:eastAsia="Times New Roman" w:cs="Arial"/>
                <w:color w:val="000000"/>
                <w:vertAlign w:val="superscript"/>
                <w:lang w:eastAsia="en-GB"/>
              </w:rPr>
              <w:t>st</w:t>
            </w:r>
            <w:r w:rsidRPr="00E06B10">
              <w:rPr>
                <w:rFonts w:eastAsia="Times New Roman" w:cs="Arial"/>
                <w:color w:val="000000"/>
                <w:lang w:eastAsia="en-GB"/>
              </w:rPr>
              <w:t xml:space="preserve"> dose)</w:t>
            </w:r>
          </w:p>
        </w:tc>
        <w:tc>
          <w:tcPr>
            <w:tcW w:w="1525" w:type="dxa"/>
            <w:shd w:val="clear" w:color="auto" w:fill="auto"/>
            <w:noWrap/>
            <w:vAlign w:val="bottom"/>
            <w:hideMark/>
          </w:tcPr>
          <w:p w:rsidR="00E57656" w:rsidRPr="00E06B10" w:rsidRDefault="00E57656" w:rsidP="00031B92">
            <w:pPr>
              <w:spacing w:after="0" w:line="240" w:lineRule="auto"/>
              <w:rPr>
                <w:rFonts w:eastAsia="Times New Roman" w:cs="Arial"/>
                <w:lang w:eastAsia="en-GB"/>
              </w:rPr>
            </w:pPr>
            <w:r w:rsidRPr="00E06B10">
              <w:rPr>
                <w:rFonts w:eastAsia="Times New Roman" w:cs="Arial"/>
                <w:lang w:eastAsia="en-GB"/>
              </w:rPr>
              <w:t>6029</w:t>
            </w:r>
          </w:p>
        </w:tc>
        <w:tc>
          <w:tcPr>
            <w:tcW w:w="1516" w:type="dxa"/>
            <w:shd w:val="clear" w:color="auto" w:fill="auto"/>
            <w:noWrap/>
            <w:vAlign w:val="bottom"/>
            <w:hideMark/>
          </w:tcPr>
          <w:p w:rsidR="00E57656" w:rsidRPr="00E06B10" w:rsidRDefault="00E57656" w:rsidP="00031B92">
            <w:pPr>
              <w:spacing w:after="0" w:line="240" w:lineRule="auto"/>
              <w:rPr>
                <w:rFonts w:eastAsia="Times New Roman" w:cs="Arial"/>
                <w:lang w:eastAsia="en-GB"/>
              </w:rPr>
            </w:pPr>
            <w:r w:rsidRPr="00E06B10">
              <w:rPr>
                <w:rFonts w:eastAsia="Times New Roman" w:cs="Arial"/>
                <w:lang w:eastAsia="en-GB"/>
              </w:rPr>
              <w:t>4863</w:t>
            </w:r>
          </w:p>
        </w:tc>
        <w:tc>
          <w:tcPr>
            <w:tcW w:w="1199" w:type="dxa"/>
            <w:shd w:val="clear" w:color="auto" w:fill="auto"/>
            <w:noWrap/>
            <w:vAlign w:val="bottom"/>
            <w:hideMark/>
          </w:tcPr>
          <w:p w:rsidR="00E57656" w:rsidRPr="00E06B10" w:rsidRDefault="00E57656" w:rsidP="00031B92">
            <w:pPr>
              <w:spacing w:after="0" w:line="240" w:lineRule="auto"/>
              <w:rPr>
                <w:rFonts w:eastAsia="Times New Roman" w:cs="Arial"/>
                <w:lang w:eastAsia="en-GB"/>
              </w:rPr>
            </w:pPr>
            <w:r w:rsidRPr="00E06B10">
              <w:rPr>
                <w:rFonts w:eastAsia="Times New Roman" w:cs="Arial"/>
                <w:lang w:eastAsia="en-GB"/>
              </w:rPr>
              <w:t>80.7</w:t>
            </w:r>
          </w:p>
        </w:tc>
        <w:tc>
          <w:tcPr>
            <w:tcW w:w="1024" w:type="dxa"/>
            <w:shd w:val="clear" w:color="auto" w:fill="auto"/>
            <w:noWrap/>
            <w:vAlign w:val="bottom"/>
            <w:hideMark/>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92.7</w:t>
            </w:r>
          </w:p>
        </w:tc>
      </w:tr>
      <w:tr w:rsidR="00E57656" w:rsidRPr="00E06B10" w:rsidTr="00031B92">
        <w:trPr>
          <w:trHeight w:val="300"/>
        </w:trPr>
        <w:tc>
          <w:tcPr>
            <w:tcW w:w="1281" w:type="dxa"/>
            <w:shd w:val="clear" w:color="auto" w:fill="auto"/>
            <w:noWrap/>
            <w:vAlign w:val="bottom"/>
            <w:hideMark/>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 </w:t>
            </w:r>
          </w:p>
        </w:tc>
        <w:tc>
          <w:tcPr>
            <w:tcW w:w="2488" w:type="dxa"/>
            <w:shd w:val="clear" w:color="auto" w:fill="auto"/>
            <w:noWrap/>
            <w:vAlign w:val="bottom"/>
            <w:hideMark/>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Hep B</w:t>
            </w:r>
          </w:p>
        </w:tc>
        <w:tc>
          <w:tcPr>
            <w:tcW w:w="1525" w:type="dxa"/>
            <w:shd w:val="clear" w:color="auto" w:fill="auto"/>
            <w:noWrap/>
            <w:vAlign w:val="bottom"/>
            <w:hideMark/>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19</w:t>
            </w:r>
          </w:p>
        </w:tc>
        <w:tc>
          <w:tcPr>
            <w:tcW w:w="1516" w:type="dxa"/>
            <w:shd w:val="clear" w:color="auto" w:fill="auto"/>
            <w:noWrap/>
            <w:vAlign w:val="bottom"/>
            <w:hideMark/>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11</w:t>
            </w:r>
          </w:p>
        </w:tc>
        <w:tc>
          <w:tcPr>
            <w:tcW w:w="1199" w:type="dxa"/>
            <w:shd w:val="clear" w:color="auto" w:fill="auto"/>
            <w:noWrap/>
            <w:vAlign w:val="bottom"/>
            <w:hideMark/>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57.9</w:t>
            </w:r>
          </w:p>
        </w:tc>
        <w:tc>
          <w:tcPr>
            <w:tcW w:w="1024" w:type="dxa"/>
            <w:shd w:val="clear" w:color="auto" w:fill="auto"/>
            <w:noWrap/>
            <w:vAlign w:val="bottom"/>
            <w:hideMark/>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w:t>
            </w:r>
          </w:p>
        </w:tc>
      </w:tr>
      <w:tr w:rsidR="00E57656" w:rsidRPr="00E06B10" w:rsidTr="00031B92">
        <w:trPr>
          <w:trHeight w:val="300"/>
        </w:trPr>
        <w:tc>
          <w:tcPr>
            <w:tcW w:w="1281" w:type="dxa"/>
            <w:shd w:val="clear" w:color="auto" w:fill="auto"/>
            <w:noWrap/>
            <w:vAlign w:val="bottom"/>
            <w:hideMark/>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5 years</w:t>
            </w:r>
          </w:p>
        </w:tc>
        <w:tc>
          <w:tcPr>
            <w:tcW w:w="2488" w:type="dxa"/>
            <w:shd w:val="clear" w:color="auto" w:fill="auto"/>
            <w:noWrap/>
            <w:vAlign w:val="bottom"/>
            <w:hideMark/>
          </w:tcPr>
          <w:p w:rsidR="00E57656" w:rsidRPr="00E06B10" w:rsidRDefault="00E57656" w:rsidP="00031B92">
            <w:pPr>
              <w:spacing w:after="0" w:line="240" w:lineRule="auto"/>
              <w:rPr>
                <w:rFonts w:eastAsia="Times New Roman" w:cs="Arial"/>
                <w:color w:val="000000"/>
                <w:lang w:eastAsia="en-GB"/>
              </w:rPr>
            </w:pPr>
            <w:proofErr w:type="spellStart"/>
            <w:r w:rsidRPr="00E06B10">
              <w:rPr>
                <w:rFonts w:eastAsia="Times New Roman" w:cs="Arial"/>
                <w:color w:val="000000"/>
                <w:lang w:eastAsia="en-GB"/>
              </w:rPr>
              <w:t>DTaP</w:t>
            </w:r>
            <w:proofErr w:type="spellEnd"/>
            <w:r w:rsidRPr="00E06B10">
              <w:rPr>
                <w:rFonts w:eastAsia="Times New Roman" w:cs="Arial"/>
                <w:color w:val="000000"/>
                <w:lang w:eastAsia="en-GB"/>
              </w:rPr>
              <w:t>/IPV/</w:t>
            </w:r>
            <w:proofErr w:type="spellStart"/>
            <w:r w:rsidRPr="00E06B10">
              <w:rPr>
                <w:rFonts w:eastAsia="Times New Roman" w:cs="Arial"/>
                <w:color w:val="000000"/>
                <w:lang w:eastAsia="en-GB"/>
              </w:rPr>
              <w:t>Hib</w:t>
            </w:r>
            <w:proofErr w:type="spellEnd"/>
            <w:r w:rsidRPr="00E06B10">
              <w:rPr>
                <w:rFonts w:eastAsia="Times New Roman" w:cs="Arial"/>
                <w:color w:val="000000"/>
                <w:lang w:eastAsia="en-GB"/>
              </w:rPr>
              <w:t xml:space="preserve"> (primary) </w:t>
            </w:r>
          </w:p>
        </w:tc>
        <w:tc>
          <w:tcPr>
            <w:tcW w:w="1525" w:type="dxa"/>
            <w:shd w:val="clear" w:color="auto" w:fill="auto"/>
            <w:noWrap/>
            <w:vAlign w:val="bottom"/>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5956</w:t>
            </w:r>
          </w:p>
        </w:tc>
        <w:tc>
          <w:tcPr>
            <w:tcW w:w="1516" w:type="dxa"/>
            <w:shd w:val="clear" w:color="auto" w:fill="auto"/>
            <w:noWrap/>
            <w:vAlign w:val="bottom"/>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5478</w:t>
            </w:r>
          </w:p>
        </w:tc>
        <w:tc>
          <w:tcPr>
            <w:tcW w:w="1199" w:type="dxa"/>
            <w:shd w:val="clear" w:color="auto" w:fill="auto"/>
            <w:noWrap/>
            <w:vAlign w:val="bottom"/>
            <w:hideMark/>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92.0</w:t>
            </w:r>
          </w:p>
        </w:tc>
        <w:tc>
          <w:tcPr>
            <w:tcW w:w="1024" w:type="dxa"/>
            <w:shd w:val="clear" w:color="auto" w:fill="auto"/>
            <w:noWrap/>
            <w:vAlign w:val="bottom"/>
            <w:hideMark/>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95.6</w:t>
            </w:r>
          </w:p>
        </w:tc>
      </w:tr>
      <w:tr w:rsidR="00E57656" w:rsidRPr="00E06B10" w:rsidTr="00031B92">
        <w:trPr>
          <w:trHeight w:val="300"/>
        </w:trPr>
        <w:tc>
          <w:tcPr>
            <w:tcW w:w="1281" w:type="dxa"/>
            <w:shd w:val="clear" w:color="auto" w:fill="auto"/>
            <w:noWrap/>
            <w:vAlign w:val="bottom"/>
          </w:tcPr>
          <w:p w:rsidR="00E57656" w:rsidRPr="00E06B10" w:rsidRDefault="00E57656" w:rsidP="00031B92">
            <w:pPr>
              <w:spacing w:after="0" w:line="240" w:lineRule="auto"/>
              <w:rPr>
                <w:rFonts w:eastAsia="Times New Roman" w:cs="Arial"/>
                <w:color w:val="000000"/>
                <w:lang w:eastAsia="en-GB"/>
              </w:rPr>
            </w:pPr>
          </w:p>
        </w:tc>
        <w:tc>
          <w:tcPr>
            <w:tcW w:w="2488" w:type="dxa"/>
            <w:shd w:val="clear" w:color="auto" w:fill="auto"/>
            <w:noWrap/>
            <w:vAlign w:val="bottom"/>
          </w:tcPr>
          <w:p w:rsidR="00E57656" w:rsidRPr="00E06B10" w:rsidRDefault="00E57656" w:rsidP="00031B92">
            <w:pPr>
              <w:spacing w:after="0" w:line="240" w:lineRule="auto"/>
              <w:rPr>
                <w:rFonts w:eastAsia="Times New Roman" w:cs="Arial"/>
                <w:color w:val="000000"/>
                <w:lang w:eastAsia="en-GB"/>
              </w:rPr>
            </w:pPr>
            <w:proofErr w:type="spellStart"/>
            <w:r w:rsidRPr="00E06B10">
              <w:rPr>
                <w:rFonts w:eastAsia="Times New Roman" w:cs="Arial"/>
                <w:color w:val="000000"/>
                <w:lang w:eastAsia="en-GB"/>
              </w:rPr>
              <w:t>DTaP</w:t>
            </w:r>
            <w:proofErr w:type="spellEnd"/>
            <w:r w:rsidRPr="00E06B10">
              <w:rPr>
                <w:rFonts w:eastAsia="Times New Roman" w:cs="Arial"/>
                <w:color w:val="000000"/>
                <w:lang w:eastAsia="en-GB"/>
              </w:rPr>
              <w:t>/IPV booster</w:t>
            </w:r>
          </w:p>
        </w:tc>
        <w:tc>
          <w:tcPr>
            <w:tcW w:w="1525" w:type="dxa"/>
            <w:shd w:val="clear" w:color="auto" w:fill="auto"/>
            <w:noWrap/>
            <w:vAlign w:val="bottom"/>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5956</w:t>
            </w:r>
          </w:p>
        </w:tc>
        <w:tc>
          <w:tcPr>
            <w:tcW w:w="1516" w:type="dxa"/>
            <w:shd w:val="clear" w:color="auto" w:fill="auto"/>
            <w:noWrap/>
            <w:vAlign w:val="bottom"/>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4497</w:t>
            </w:r>
          </w:p>
        </w:tc>
        <w:tc>
          <w:tcPr>
            <w:tcW w:w="1199" w:type="dxa"/>
            <w:shd w:val="clear" w:color="auto" w:fill="auto"/>
            <w:noWrap/>
            <w:vAlign w:val="bottom"/>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75.5</w:t>
            </w:r>
          </w:p>
        </w:tc>
        <w:tc>
          <w:tcPr>
            <w:tcW w:w="1024" w:type="dxa"/>
            <w:shd w:val="clear" w:color="auto" w:fill="auto"/>
            <w:noWrap/>
            <w:vAlign w:val="bottom"/>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88.8</w:t>
            </w:r>
          </w:p>
        </w:tc>
      </w:tr>
      <w:tr w:rsidR="00E57656" w:rsidRPr="00E06B10" w:rsidTr="00031B92">
        <w:trPr>
          <w:trHeight w:val="300"/>
        </w:trPr>
        <w:tc>
          <w:tcPr>
            <w:tcW w:w="1281" w:type="dxa"/>
            <w:shd w:val="clear" w:color="auto" w:fill="auto"/>
            <w:noWrap/>
            <w:vAlign w:val="bottom"/>
            <w:hideMark/>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 </w:t>
            </w:r>
          </w:p>
        </w:tc>
        <w:tc>
          <w:tcPr>
            <w:tcW w:w="2488" w:type="dxa"/>
            <w:shd w:val="clear" w:color="auto" w:fill="auto"/>
            <w:noWrap/>
            <w:vAlign w:val="bottom"/>
            <w:hideMark/>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MMR1 (1</w:t>
            </w:r>
            <w:r w:rsidRPr="00E06B10">
              <w:rPr>
                <w:rFonts w:eastAsia="Times New Roman" w:cs="Arial"/>
                <w:color w:val="000000"/>
                <w:vertAlign w:val="superscript"/>
                <w:lang w:eastAsia="en-GB"/>
              </w:rPr>
              <w:t>st</w:t>
            </w:r>
            <w:r w:rsidRPr="00E06B10">
              <w:rPr>
                <w:rFonts w:eastAsia="Times New Roman" w:cs="Arial"/>
                <w:color w:val="000000"/>
                <w:lang w:eastAsia="en-GB"/>
              </w:rPr>
              <w:t xml:space="preserve"> dose)</w:t>
            </w:r>
          </w:p>
        </w:tc>
        <w:tc>
          <w:tcPr>
            <w:tcW w:w="1525" w:type="dxa"/>
            <w:shd w:val="clear" w:color="auto" w:fill="auto"/>
            <w:noWrap/>
            <w:vAlign w:val="bottom"/>
            <w:hideMark/>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5956</w:t>
            </w:r>
          </w:p>
        </w:tc>
        <w:tc>
          <w:tcPr>
            <w:tcW w:w="1516" w:type="dxa"/>
            <w:shd w:val="clear" w:color="auto" w:fill="auto"/>
            <w:noWrap/>
            <w:vAlign w:val="bottom"/>
            <w:hideMark/>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5403</w:t>
            </w:r>
          </w:p>
        </w:tc>
        <w:tc>
          <w:tcPr>
            <w:tcW w:w="1199" w:type="dxa"/>
            <w:shd w:val="clear" w:color="auto" w:fill="auto"/>
            <w:noWrap/>
            <w:vAlign w:val="bottom"/>
            <w:hideMark/>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90.7</w:t>
            </w:r>
          </w:p>
        </w:tc>
        <w:tc>
          <w:tcPr>
            <w:tcW w:w="1024" w:type="dxa"/>
            <w:shd w:val="clear" w:color="auto" w:fill="auto"/>
            <w:noWrap/>
            <w:vAlign w:val="bottom"/>
            <w:hideMark/>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94.1</w:t>
            </w:r>
          </w:p>
        </w:tc>
      </w:tr>
      <w:tr w:rsidR="00E57656" w:rsidRPr="00E06B10" w:rsidTr="00031B92">
        <w:trPr>
          <w:trHeight w:val="300"/>
        </w:trPr>
        <w:tc>
          <w:tcPr>
            <w:tcW w:w="1281" w:type="dxa"/>
            <w:shd w:val="clear" w:color="auto" w:fill="auto"/>
            <w:noWrap/>
            <w:vAlign w:val="bottom"/>
            <w:hideMark/>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 </w:t>
            </w:r>
          </w:p>
        </w:tc>
        <w:tc>
          <w:tcPr>
            <w:tcW w:w="2488" w:type="dxa"/>
            <w:shd w:val="clear" w:color="auto" w:fill="auto"/>
            <w:noWrap/>
            <w:vAlign w:val="bottom"/>
            <w:hideMark/>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MMR2 (1</w:t>
            </w:r>
            <w:r w:rsidRPr="00E06B10">
              <w:rPr>
                <w:rFonts w:eastAsia="Times New Roman" w:cs="Arial"/>
                <w:color w:val="000000"/>
                <w:vertAlign w:val="superscript"/>
                <w:lang w:eastAsia="en-GB"/>
              </w:rPr>
              <w:t>st</w:t>
            </w:r>
            <w:r w:rsidRPr="00E06B10">
              <w:rPr>
                <w:rFonts w:eastAsia="Times New Roman" w:cs="Arial"/>
                <w:color w:val="000000"/>
                <w:lang w:eastAsia="en-GB"/>
              </w:rPr>
              <w:t xml:space="preserve"> and 2</w:t>
            </w:r>
            <w:r w:rsidRPr="00E06B10">
              <w:rPr>
                <w:rFonts w:eastAsia="Times New Roman" w:cs="Arial"/>
                <w:color w:val="000000"/>
                <w:vertAlign w:val="superscript"/>
                <w:lang w:eastAsia="en-GB"/>
              </w:rPr>
              <w:t>nd</w:t>
            </w:r>
            <w:r w:rsidRPr="00E06B10">
              <w:rPr>
                <w:rFonts w:eastAsia="Times New Roman" w:cs="Arial"/>
                <w:color w:val="000000"/>
                <w:lang w:eastAsia="en-GB"/>
              </w:rPr>
              <w:t xml:space="preserve"> dose)</w:t>
            </w:r>
          </w:p>
        </w:tc>
        <w:tc>
          <w:tcPr>
            <w:tcW w:w="1525" w:type="dxa"/>
            <w:shd w:val="clear" w:color="auto" w:fill="auto"/>
            <w:noWrap/>
            <w:vAlign w:val="bottom"/>
            <w:hideMark/>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5956</w:t>
            </w:r>
          </w:p>
        </w:tc>
        <w:tc>
          <w:tcPr>
            <w:tcW w:w="1516" w:type="dxa"/>
            <w:shd w:val="clear" w:color="auto" w:fill="auto"/>
            <w:noWrap/>
            <w:vAlign w:val="bottom"/>
            <w:hideMark/>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4473</w:t>
            </w:r>
          </w:p>
        </w:tc>
        <w:tc>
          <w:tcPr>
            <w:tcW w:w="1199" w:type="dxa"/>
            <w:shd w:val="clear" w:color="auto" w:fill="auto"/>
            <w:noWrap/>
            <w:vAlign w:val="bottom"/>
            <w:hideMark/>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75.1</w:t>
            </w:r>
          </w:p>
        </w:tc>
        <w:tc>
          <w:tcPr>
            <w:tcW w:w="1024" w:type="dxa"/>
            <w:shd w:val="clear" w:color="auto" w:fill="auto"/>
            <w:noWrap/>
            <w:vAlign w:val="bottom"/>
            <w:hideMark/>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88.3</w:t>
            </w:r>
          </w:p>
        </w:tc>
      </w:tr>
      <w:tr w:rsidR="00E57656" w:rsidRPr="00E06B10" w:rsidTr="00031B92">
        <w:trPr>
          <w:trHeight w:val="315"/>
        </w:trPr>
        <w:tc>
          <w:tcPr>
            <w:tcW w:w="1281" w:type="dxa"/>
            <w:tcBorders>
              <w:bottom w:val="single" w:sz="4" w:space="0" w:color="auto"/>
            </w:tcBorders>
            <w:shd w:val="clear" w:color="auto" w:fill="auto"/>
            <w:noWrap/>
            <w:vAlign w:val="bottom"/>
            <w:hideMark/>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 </w:t>
            </w:r>
          </w:p>
        </w:tc>
        <w:tc>
          <w:tcPr>
            <w:tcW w:w="2488" w:type="dxa"/>
            <w:tcBorders>
              <w:bottom w:val="single" w:sz="4" w:space="0" w:color="auto"/>
            </w:tcBorders>
            <w:shd w:val="clear" w:color="auto" w:fill="auto"/>
            <w:noWrap/>
            <w:vAlign w:val="bottom"/>
            <w:hideMark/>
          </w:tcPr>
          <w:p w:rsidR="00E57656" w:rsidRPr="00E06B10" w:rsidRDefault="00E57656" w:rsidP="00031B92">
            <w:pPr>
              <w:spacing w:after="0" w:line="240" w:lineRule="auto"/>
              <w:rPr>
                <w:rFonts w:eastAsia="Times New Roman" w:cs="Arial"/>
                <w:color w:val="000000"/>
                <w:lang w:eastAsia="en-GB"/>
              </w:rPr>
            </w:pPr>
            <w:proofErr w:type="spellStart"/>
            <w:r w:rsidRPr="00E06B10">
              <w:rPr>
                <w:rFonts w:eastAsia="Times New Roman" w:cs="Arial"/>
                <w:color w:val="000000"/>
                <w:lang w:eastAsia="en-GB"/>
              </w:rPr>
              <w:t>HibMenC</w:t>
            </w:r>
            <w:proofErr w:type="spellEnd"/>
            <w:r w:rsidRPr="00E06B10">
              <w:rPr>
                <w:rFonts w:eastAsia="Times New Roman" w:cs="Arial"/>
                <w:color w:val="000000"/>
                <w:lang w:eastAsia="en-GB"/>
              </w:rPr>
              <w:t xml:space="preserve"> booster</w:t>
            </w:r>
          </w:p>
        </w:tc>
        <w:tc>
          <w:tcPr>
            <w:tcW w:w="1525" w:type="dxa"/>
            <w:tcBorders>
              <w:bottom w:val="single" w:sz="4" w:space="0" w:color="auto"/>
            </w:tcBorders>
            <w:shd w:val="clear" w:color="auto" w:fill="auto"/>
            <w:noWrap/>
            <w:vAlign w:val="bottom"/>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5956</w:t>
            </w:r>
          </w:p>
        </w:tc>
        <w:tc>
          <w:tcPr>
            <w:tcW w:w="1516" w:type="dxa"/>
            <w:tcBorders>
              <w:bottom w:val="single" w:sz="4" w:space="0" w:color="auto"/>
            </w:tcBorders>
            <w:shd w:val="clear" w:color="auto" w:fill="auto"/>
            <w:noWrap/>
            <w:vAlign w:val="bottom"/>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5122</w:t>
            </w:r>
          </w:p>
        </w:tc>
        <w:tc>
          <w:tcPr>
            <w:tcW w:w="1199" w:type="dxa"/>
            <w:tcBorders>
              <w:bottom w:val="single" w:sz="4" w:space="0" w:color="auto"/>
            </w:tcBorders>
            <w:shd w:val="clear" w:color="auto" w:fill="auto"/>
            <w:noWrap/>
            <w:vAlign w:val="bottom"/>
            <w:hideMark/>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86.0</w:t>
            </w:r>
          </w:p>
        </w:tc>
        <w:tc>
          <w:tcPr>
            <w:tcW w:w="1024" w:type="dxa"/>
            <w:tcBorders>
              <w:bottom w:val="single" w:sz="4" w:space="0" w:color="auto"/>
            </w:tcBorders>
            <w:shd w:val="clear" w:color="auto" w:fill="auto"/>
            <w:noWrap/>
            <w:vAlign w:val="bottom"/>
            <w:hideMark/>
          </w:tcPr>
          <w:p w:rsidR="00E57656" w:rsidRPr="00E06B10" w:rsidRDefault="00E57656" w:rsidP="00031B92">
            <w:pPr>
              <w:spacing w:after="0" w:line="240" w:lineRule="auto"/>
              <w:rPr>
                <w:rFonts w:eastAsia="Times New Roman" w:cs="Arial"/>
                <w:color w:val="000000"/>
                <w:lang w:eastAsia="en-GB"/>
              </w:rPr>
            </w:pPr>
            <w:r w:rsidRPr="00E06B10">
              <w:rPr>
                <w:rFonts w:eastAsia="Times New Roman" w:cs="Arial"/>
                <w:color w:val="000000"/>
                <w:lang w:eastAsia="en-GB"/>
              </w:rPr>
              <w:t>91.9</w:t>
            </w:r>
          </w:p>
        </w:tc>
      </w:tr>
      <w:tr w:rsidR="00E57656" w:rsidRPr="005A6C06" w:rsidTr="00031B92">
        <w:trPr>
          <w:trHeight w:val="315"/>
        </w:trPr>
        <w:tc>
          <w:tcPr>
            <w:tcW w:w="9033" w:type="dxa"/>
            <w:gridSpan w:val="6"/>
            <w:tcBorders>
              <w:top w:val="single" w:sz="4" w:space="0" w:color="auto"/>
              <w:bottom w:val="nil"/>
            </w:tcBorders>
            <w:shd w:val="clear" w:color="auto" w:fill="auto"/>
            <w:noWrap/>
            <w:vAlign w:val="bottom"/>
          </w:tcPr>
          <w:p w:rsidR="00E57656" w:rsidRPr="005A6C06" w:rsidRDefault="00E57656" w:rsidP="00031B92">
            <w:pPr>
              <w:spacing w:after="0" w:line="240" w:lineRule="auto"/>
              <w:rPr>
                <w:rFonts w:eastAsia="Times New Roman" w:cs="Arial"/>
                <w:color w:val="000000"/>
                <w:sz w:val="20"/>
                <w:szCs w:val="20"/>
                <w:lang w:eastAsia="en-GB"/>
              </w:rPr>
            </w:pPr>
            <w:proofErr w:type="spellStart"/>
            <w:r w:rsidRPr="005A6C06">
              <w:rPr>
                <w:rFonts w:eastAsia="Times New Roman" w:cs="Arial"/>
                <w:color w:val="000000"/>
                <w:sz w:val="20"/>
                <w:szCs w:val="20"/>
                <w:lang w:eastAsia="en-GB"/>
              </w:rPr>
              <w:t>DTaP</w:t>
            </w:r>
            <w:proofErr w:type="spellEnd"/>
            <w:r w:rsidRPr="005A6C06">
              <w:rPr>
                <w:rFonts w:eastAsia="Times New Roman" w:cs="Arial"/>
                <w:color w:val="000000"/>
                <w:sz w:val="20"/>
                <w:szCs w:val="20"/>
                <w:lang w:eastAsia="en-GB"/>
              </w:rPr>
              <w:t xml:space="preserve"> = Diphtheria, Tetanus, and </w:t>
            </w:r>
            <w:proofErr w:type="spellStart"/>
            <w:r w:rsidRPr="005A6C06">
              <w:rPr>
                <w:rFonts w:eastAsia="Times New Roman" w:cs="Arial"/>
                <w:color w:val="000000"/>
                <w:sz w:val="20"/>
                <w:szCs w:val="20"/>
                <w:lang w:eastAsia="en-GB"/>
              </w:rPr>
              <w:t>acellular</w:t>
            </w:r>
            <w:proofErr w:type="spellEnd"/>
            <w:r w:rsidRPr="005A6C06">
              <w:rPr>
                <w:rFonts w:eastAsia="Times New Roman" w:cs="Arial"/>
                <w:color w:val="000000"/>
                <w:sz w:val="20"/>
                <w:szCs w:val="20"/>
                <w:lang w:eastAsia="en-GB"/>
              </w:rPr>
              <w:t xml:space="preserve"> Pertussis (whooping cough); IPV = Inactivated Polio Vaccine; </w:t>
            </w:r>
          </w:p>
          <w:p w:rsidR="00E57656" w:rsidRPr="005A6C06" w:rsidRDefault="00E57656" w:rsidP="00031B92">
            <w:pPr>
              <w:spacing w:after="0" w:line="240" w:lineRule="auto"/>
              <w:rPr>
                <w:rFonts w:eastAsia="Times New Roman" w:cs="Arial"/>
                <w:color w:val="000000"/>
                <w:sz w:val="20"/>
                <w:szCs w:val="20"/>
                <w:lang w:eastAsia="en-GB"/>
              </w:rPr>
            </w:pPr>
            <w:proofErr w:type="spellStart"/>
            <w:r w:rsidRPr="005A6C06">
              <w:rPr>
                <w:rFonts w:eastAsia="Times New Roman" w:cs="Arial"/>
                <w:color w:val="000000"/>
                <w:sz w:val="20"/>
                <w:szCs w:val="20"/>
                <w:lang w:eastAsia="en-GB"/>
              </w:rPr>
              <w:t>HIb</w:t>
            </w:r>
            <w:proofErr w:type="spellEnd"/>
            <w:r w:rsidRPr="005A6C06">
              <w:rPr>
                <w:rFonts w:eastAsia="Times New Roman" w:cs="Arial"/>
                <w:color w:val="000000"/>
                <w:sz w:val="20"/>
                <w:szCs w:val="20"/>
                <w:lang w:eastAsia="en-GB"/>
              </w:rPr>
              <w:t xml:space="preserve"> = Haemophilus </w:t>
            </w:r>
            <w:proofErr w:type="spellStart"/>
            <w:r w:rsidRPr="005A6C06">
              <w:rPr>
                <w:rFonts w:eastAsia="Times New Roman" w:cs="Arial"/>
                <w:color w:val="000000"/>
                <w:sz w:val="20"/>
                <w:szCs w:val="20"/>
                <w:lang w:eastAsia="en-GB"/>
              </w:rPr>
              <w:t>influenzae</w:t>
            </w:r>
            <w:proofErr w:type="spellEnd"/>
            <w:r w:rsidRPr="005A6C06">
              <w:rPr>
                <w:rFonts w:eastAsia="Times New Roman" w:cs="Arial"/>
                <w:color w:val="000000"/>
                <w:sz w:val="20"/>
                <w:szCs w:val="20"/>
                <w:lang w:eastAsia="en-GB"/>
              </w:rPr>
              <w:t xml:space="preserve"> type b; Men C = Meningitis C; MMR = Measles, Mumps, and Rubella; Hep B = Hepatitis B (given to children of positive mothers only; PCV = </w:t>
            </w:r>
            <w:r w:rsidRPr="005A6C06">
              <w:rPr>
                <w:sz w:val="20"/>
                <w:szCs w:val="20"/>
              </w:rPr>
              <w:t xml:space="preserve">Pneumococcal vaccination; </w:t>
            </w:r>
            <w:r w:rsidRPr="005A6C06">
              <w:rPr>
                <w:rFonts w:eastAsia="Times New Roman" w:cs="Arial"/>
                <w:color w:val="000000"/>
                <w:sz w:val="20"/>
                <w:szCs w:val="20"/>
                <w:lang w:eastAsia="en-GB"/>
              </w:rPr>
              <w:t>*2012-13</w:t>
            </w:r>
          </w:p>
        </w:tc>
      </w:tr>
    </w:tbl>
    <w:p w:rsidR="00E57656" w:rsidRPr="00270AEE" w:rsidRDefault="00E57656" w:rsidP="00E57656">
      <w:pPr>
        <w:pStyle w:val="FootnoteText"/>
        <w:rPr>
          <w:rFonts w:asciiTheme="minorHAnsi" w:hAnsiTheme="minorHAnsi"/>
          <w:sz w:val="22"/>
          <w:szCs w:val="22"/>
          <w:lang w:eastAsia="en-GB"/>
        </w:rPr>
      </w:pPr>
      <w:r w:rsidRPr="00270AEE">
        <w:rPr>
          <w:rFonts w:asciiTheme="minorHAnsi" w:hAnsiTheme="minorHAnsi"/>
          <w:sz w:val="22"/>
          <w:szCs w:val="22"/>
          <w:lang w:eastAsia="en-GB"/>
        </w:rPr>
        <w:t xml:space="preserve"> Source: HSCIC (2014) </w:t>
      </w:r>
      <w:hyperlink r:id="rId105" w:history="1">
        <w:r w:rsidRPr="00270AEE">
          <w:rPr>
            <w:rStyle w:val="Hyperlink"/>
            <w:rFonts w:asciiTheme="minorHAnsi" w:hAnsiTheme="minorHAnsi"/>
            <w:sz w:val="22"/>
            <w:szCs w:val="22"/>
            <w:lang w:eastAsia="en-GB"/>
          </w:rPr>
          <w:t>NHS Immunisation Statistics, England - 2013-14</w:t>
        </w:r>
      </w:hyperlink>
      <w:r w:rsidRPr="00270AEE">
        <w:rPr>
          <w:rFonts w:asciiTheme="minorHAnsi" w:hAnsiTheme="minorHAnsi"/>
          <w:sz w:val="22"/>
          <w:szCs w:val="22"/>
          <w:lang w:eastAsia="en-GB"/>
        </w:rPr>
        <w:t xml:space="preserve">. Publication date: September 25, 2014 </w:t>
      </w:r>
    </w:p>
    <w:p w:rsidR="00E57656" w:rsidRPr="00E06B10" w:rsidRDefault="001C74D0" w:rsidP="00E57656">
      <w:pPr>
        <w:pStyle w:val="Heading4"/>
        <w:numPr>
          <w:ilvl w:val="3"/>
          <w:numId w:val="35"/>
        </w:numPr>
        <w:ind w:left="709" w:hanging="709"/>
        <w:jc w:val="both"/>
        <w:rPr>
          <w:rFonts w:asciiTheme="minorHAnsi" w:hAnsiTheme="minorHAnsi"/>
        </w:rPr>
      </w:pPr>
      <w:r>
        <w:rPr>
          <w:rFonts w:asciiTheme="minorHAnsi" w:hAnsiTheme="minorHAnsi"/>
        </w:rPr>
        <w:t>Human P</w:t>
      </w:r>
      <w:r w:rsidR="00E57656" w:rsidRPr="00E06B10">
        <w:rPr>
          <w:rFonts w:asciiTheme="minorHAnsi" w:hAnsiTheme="minorHAnsi"/>
        </w:rPr>
        <w:t xml:space="preserve">apillomavirus (HPV) </w:t>
      </w:r>
      <w:r>
        <w:rPr>
          <w:rFonts w:asciiTheme="minorHAnsi" w:hAnsiTheme="minorHAnsi"/>
        </w:rPr>
        <w:t>I</w:t>
      </w:r>
      <w:r w:rsidR="00E57656" w:rsidRPr="00E06B10">
        <w:rPr>
          <w:rFonts w:asciiTheme="minorHAnsi" w:hAnsiTheme="minorHAnsi"/>
        </w:rPr>
        <w:t xml:space="preserve">mmunisation </w:t>
      </w:r>
    </w:p>
    <w:p w:rsidR="00E57656" w:rsidRPr="00E06B10" w:rsidRDefault="00E57656" w:rsidP="00E57656">
      <w:pPr>
        <w:jc w:val="both"/>
      </w:pPr>
      <w:r w:rsidRPr="00E06B10">
        <w:t>The total eligible population (girls aged 12-13 years) for HPV in Barnet was 1</w:t>
      </w:r>
      <w:r w:rsidR="00A56118">
        <w:t>,</w:t>
      </w:r>
      <w:r w:rsidRPr="00E06B10">
        <w:t>926 of which 1</w:t>
      </w:r>
      <w:r w:rsidR="00A56118">
        <w:t>,</w:t>
      </w:r>
      <w:r w:rsidRPr="00E06B10">
        <w:t>339 wer</w:t>
      </w:r>
      <w:r w:rsidR="00270AEE">
        <w:t>e immunised against HPV in 2013/</w:t>
      </w:r>
      <w:r w:rsidRPr="00E06B10">
        <w:t>14. Thus, the HPV vaccination coverage rate (% of gi</w:t>
      </w:r>
      <w:r w:rsidR="00A56118">
        <w:t xml:space="preserve">rls aged 12-13 who received </w:t>
      </w:r>
      <w:proofErr w:type="spellStart"/>
      <w:r w:rsidR="00A56118">
        <w:t>al</w:t>
      </w:r>
      <w:proofErr w:type="spellEnd"/>
      <w:r w:rsidR="00A56118">
        <w:t xml:space="preserve"> three</w:t>
      </w:r>
      <w:r w:rsidRPr="00E06B10">
        <w:t xml:space="preserve"> doses of the HPV vaccine) in Barnet was 69.5%, which is </w:t>
      </w:r>
      <w:r>
        <w:t>worse</w:t>
      </w:r>
      <w:r w:rsidRPr="00E06B10">
        <w:t xml:space="preserve"> than the average coverage rate of HPV for London (80.0%) and England (86.7%) during 2013</w:t>
      </w:r>
      <w:r w:rsidR="00270AEE">
        <w:t>/</w:t>
      </w:r>
      <w:r w:rsidRPr="00E06B10">
        <w:t>14.</w:t>
      </w:r>
    </w:p>
    <w:p w:rsidR="00E57656" w:rsidRPr="00E06B10" w:rsidRDefault="00E57656" w:rsidP="00E57656">
      <w:pPr>
        <w:pStyle w:val="Heading4"/>
        <w:numPr>
          <w:ilvl w:val="3"/>
          <w:numId w:val="35"/>
        </w:numPr>
        <w:ind w:left="709" w:hanging="709"/>
        <w:jc w:val="both"/>
        <w:rPr>
          <w:rFonts w:asciiTheme="minorHAnsi" w:hAnsiTheme="minorHAnsi"/>
        </w:rPr>
      </w:pPr>
      <w:r w:rsidRPr="00E06B10">
        <w:rPr>
          <w:rFonts w:asciiTheme="minorHAnsi" w:hAnsiTheme="minorHAnsi"/>
        </w:rPr>
        <w:t xml:space="preserve">Flu and </w:t>
      </w:r>
      <w:r w:rsidR="001C74D0">
        <w:rPr>
          <w:rFonts w:asciiTheme="minorHAnsi" w:hAnsiTheme="minorHAnsi"/>
        </w:rPr>
        <w:t>Pneumococcal (PCV) I</w:t>
      </w:r>
      <w:r w:rsidRPr="00E06B10">
        <w:rPr>
          <w:rFonts w:asciiTheme="minorHAnsi" w:hAnsiTheme="minorHAnsi"/>
        </w:rPr>
        <w:t>mmunisation</w:t>
      </w:r>
    </w:p>
    <w:p w:rsidR="00E57656" w:rsidRPr="00E06B10" w:rsidRDefault="00E57656" w:rsidP="00E57656">
      <w:pPr>
        <w:jc w:val="both"/>
      </w:pPr>
      <w:r w:rsidRPr="00E06B10">
        <w:t xml:space="preserve">In Barnet, the rates of immunisation against influenza (seasonal flu) was 71.8% in </w:t>
      </w:r>
      <w:r>
        <w:t xml:space="preserve">the </w:t>
      </w:r>
      <w:r w:rsidRPr="00E06B10">
        <w:t>adult population aged 65 and over and 51.7% in those at risk (individuals aged 6 months to 65 years exclud</w:t>
      </w:r>
      <w:r w:rsidR="00270AEE">
        <w:t>ing pregnant women) during 2013/</w:t>
      </w:r>
      <w:r w:rsidRPr="00E06B10">
        <w:t xml:space="preserve">14. The Barnet rates were lower than the average rates for England (73.2% and 52.3% respectively). </w:t>
      </w:r>
    </w:p>
    <w:p w:rsidR="00E57656" w:rsidRDefault="00E57656" w:rsidP="00E57656">
      <w:pPr>
        <w:jc w:val="both"/>
      </w:pPr>
      <w:r w:rsidRPr="00E06B10">
        <w:lastRenderedPageBreak/>
        <w:t>In Barnet, the total cohort for pneumococcal vaccination (PCV) against pneumococcal disease in children comprised 5</w:t>
      </w:r>
      <w:r w:rsidR="00A56118">
        <w:t>,</w:t>
      </w:r>
      <w:r w:rsidRPr="00E06B10">
        <w:t>789 persons of whom 4</w:t>
      </w:r>
      <w:r w:rsidR="00A56118">
        <w:t>,</w:t>
      </w:r>
      <w:r w:rsidRPr="00E06B10">
        <w:t>767 persons were immunised leading to the</w:t>
      </w:r>
      <w:r w:rsidR="00270AEE">
        <w:t xml:space="preserve"> coverage rate of 82.4% in 2013/</w:t>
      </w:r>
      <w:r w:rsidRPr="00E06B10">
        <w:t>14. The PCV coverage rate in Barnet was worse than the average rates for London (89.7%) and England (94.1%).</w:t>
      </w:r>
      <w:r>
        <w:t xml:space="preserve"> </w:t>
      </w:r>
    </w:p>
    <w:p w:rsidR="00E57656" w:rsidRPr="00E06B10" w:rsidRDefault="00E57656" w:rsidP="00E57656">
      <w:pPr>
        <w:jc w:val="both"/>
      </w:pPr>
      <w:r w:rsidRPr="00E06B10">
        <w:t>In 2013</w:t>
      </w:r>
      <w:r w:rsidR="00270AEE">
        <w:t>/</w:t>
      </w:r>
      <w:r w:rsidRPr="00E06B10">
        <w:t xml:space="preserve">14, </w:t>
      </w:r>
      <w:r>
        <w:t xml:space="preserve">the </w:t>
      </w:r>
      <w:r w:rsidRPr="00E06B10">
        <w:t xml:space="preserve">total eligible population for immunisation against pneumococcal disease in persons aged 65 years and above was 39,966 persons of whom 26,919 persons received PPV vaccination. The PPV vaccination rate in Barnet (67.5%) was better than the regional London rate (64.2%) but worse than the average rate </w:t>
      </w:r>
      <w:r w:rsidR="00270AEE">
        <w:t>for England (69.1%) during 2013/</w:t>
      </w:r>
      <w:r w:rsidRPr="00E06B10">
        <w:t>14.</w:t>
      </w:r>
    </w:p>
    <w:p w:rsidR="00E57656" w:rsidRPr="00E06B10" w:rsidRDefault="00E57656" w:rsidP="00E57656">
      <w:pPr>
        <w:pStyle w:val="Heading3"/>
        <w:numPr>
          <w:ilvl w:val="2"/>
          <w:numId w:val="35"/>
        </w:numPr>
        <w:jc w:val="both"/>
        <w:rPr>
          <w:rFonts w:asciiTheme="minorHAnsi" w:hAnsiTheme="minorHAnsi"/>
        </w:rPr>
      </w:pPr>
      <w:bookmarkStart w:id="639" w:name="_Toc420678816"/>
      <w:r w:rsidRPr="00E06B10">
        <w:rPr>
          <w:rFonts w:asciiTheme="minorHAnsi" w:hAnsiTheme="minorHAnsi"/>
        </w:rPr>
        <w:t>Tuberculosis</w:t>
      </w:r>
      <w:bookmarkEnd w:id="639"/>
    </w:p>
    <w:p w:rsidR="00A56118" w:rsidRDefault="00E57656" w:rsidP="00E57656">
      <w:pPr>
        <w:jc w:val="both"/>
      </w:pPr>
      <w:r w:rsidRPr="00E06B10">
        <w:t xml:space="preserve">Tuberculosis (TB) is a notifiable infectious disease that is caused by </w:t>
      </w:r>
      <w:r>
        <w:t>the</w:t>
      </w:r>
      <w:r w:rsidRPr="00E06B10">
        <w:t xml:space="preserve"> bacterium Mycobacterium Tuberculosis, which can affect any part of the body such as bones, intestine, brain and skin but it mainly affects</w:t>
      </w:r>
      <w:r>
        <w:t xml:space="preserve"> the</w:t>
      </w:r>
      <w:r w:rsidRPr="00E06B10">
        <w:t xml:space="preserve"> lungs. TB can be either dormant (latent or hidden) or active and it is curable; however, if active TB especially of </w:t>
      </w:r>
      <w:r>
        <w:t xml:space="preserve">the </w:t>
      </w:r>
      <w:r w:rsidRPr="00E06B10">
        <w:t>lungs is left untreated or treatment is discontinued then it could be fatal and there is a chance of it spreading to other people. Thus, TB is</w:t>
      </w:r>
      <w:r w:rsidR="00A56118">
        <w:t xml:space="preserve"> a</w:t>
      </w:r>
      <w:r w:rsidRPr="00E06B10">
        <w:t xml:space="preserve"> major cause of concern from</w:t>
      </w:r>
      <w:r w:rsidR="00A56118">
        <w:t xml:space="preserve"> the public health perspective.</w:t>
      </w:r>
    </w:p>
    <w:p w:rsidR="00E57656" w:rsidRPr="00E06B10" w:rsidRDefault="00E57656" w:rsidP="00E57656">
      <w:pPr>
        <w:jc w:val="both"/>
      </w:pPr>
      <w:r w:rsidRPr="00E06B10">
        <w:t>TB rates in the UK have declined</w:t>
      </w:r>
      <w:r w:rsidR="00A56118">
        <w:t xml:space="preserve"> in the last two years; however</w:t>
      </w:r>
      <w:r w:rsidRPr="00E06B10">
        <w:t xml:space="preserve"> the rates are still high in London and </w:t>
      </w:r>
      <w:r>
        <w:t xml:space="preserve">the </w:t>
      </w:r>
      <w:r w:rsidRPr="00E06B10">
        <w:t>Midlands</w:t>
      </w:r>
      <w:bookmarkStart w:id="640" w:name="_Ref418088881"/>
      <w:r w:rsidRPr="00E06B10">
        <w:rPr>
          <w:rStyle w:val="FootnoteReference"/>
          <w:sz w:val="23"/>
          <w:szCs w:val="23"/>
        </w:rPr>
        <w:footnoteReference w:id="86"/>
      </w:r>
      <w:bookmarkEnd w:id="640"/>
      <w:r w:rsidR="00A56118">
        <w:t>. The incidence of TB (three</w:t>
      </w:r>
      <w:r w:rsidRPr="00E06B10">
        <w:t xml:space="preserve"> year average) in Barnet (25.9 per 100,000) is lower than </w:t>
      </w:r>
      <w:r>
        <w:t xml:space="preserve">the </w:t>
      </w:r>
      <w:r w:rsidRPr="00E06B10">
        <w:t>London regional rate (39.6 per 100,000) but</w:t>
      </w:r>
      <w:r>
        <w:t xml:space="preserve"> </w:t>
      </w:r>
      <w:r w:rsidRPr="00E06B10">
        <w:t xml:space="preserve">higher than the </w:t>
      </w:r>
      <w:r>
        <w:t xml:space="preserve">rate in </w:t>
      </w:r>
      <w:r w:rsidRPr="00E06B10">
        <w:t xml:space="preserve">England (14.8 per 100,000) (Figure </w:t>
      </w:r>
      <w:r>
        <w:t>5-</w:t>
      </w:r>
      <w:r w:rsidRPr="00E06B10">
        <w:t>1</w:t>
      </w:r>
      <w:r>
        <w:t>4</w:t>
      </w:r>
      <w:r w:rsidR="00A56118">
        <w:t>)</w:t>
      </w:r>
      <w:r w:rsidRPr="00E06B10">
        <w:rPr>
          <w:rStyle w:val="FootnoteReference"/>
          <w:sz w:val="23"/>
          <w:szCs w:val="23"/>
        </w:rPr>
        <w:footnoteReference w:id="87"/>
      </w:r>
      <w:r w:rsidR="00A56118">
        <w:t>.</w:t>
      </w:r>
      <w:r w:rsidRPr="00E06B10">
        <w:t xml:space="preserve"> The remaining TB indicators for Barnet are similar to England except the proportion of drug sensitive TB cases that completed a full course of treatment by 12 months (91.8%) and </w:t>
      </w:r>
      <w:r>
        <w:t xml:space="preserve">the </w:t>
      </w:r>
      <w:r w:rsidRPr="00E06B10">
        <w:t xml:space="preserve">proportion of TB cases offered an HIV test (98.6%), which are better than the average national rates (Figure </w:t>
      </w:r>
      <w:r>
        <w:t>5-</w:t>
      </w:r>
      <w:r w:rsidRPr="00E06B10">
        <w:t>1</w:t>
      </w:r>
      <w:r>
        <w:t>5</w:t>
      </w:r>
      <w:r w:rsidRPr="00E06B10">
        <w:t>)</w:t>
      </w:r>
      <w:r w:rsidRPr="00E06B10">
        <w:fldChar w:fldCharType="begin"/>
      </w:r>
      <w:r w:rsidRPr="00E06B10">
        <w:instrText xml:space="preserve"> NOTEREF _Ref418088881 \f \h </w:instrText>
      </w:r>
      <w:r>
        <w:instrText xml:space="preserve"> \* MERGEFORMAT </w:instrText>
      </w:r>
      <w:r w:rsidRPr="00E06B10">
        <w:fldChar w:fldCharType="separate"/>
      </w:r>
      <w:r w:rsidR="001663C2" w:rsidRPr="001663C2">
        <w:rPr>
          <w:rStyle w:val="FootnoteReference"/>
        </w:rPr>
        <w:t>86</w:t>
      </w:r>
      <w:r w:rsidRPr="00E06B10">
        <w:fldChar w:fldCharType="end"/>
      </w:r>
      <w:r w:rsidR="00A56118">
        <w:t>.</w:t>
      </w:r>
    </w:p>
    <w:p w:rsidR="00E57656" w:rsidRPr="00E06B10" w:rsidRDefault="00E57656" w:rsidP="00E57656">
      <w:pPr>
        <w:pStyle w:val="Caption"/>
      </w:pPr>
      <w:r>
        <w:t xml:space="preserve">Figure </w:t>
      </w:r>
      <w:fldSimple w:instr=" STYLEREF 1 \s ">
        <w:r w:rsidR="001663C2">
          <w:rPr>
            <w:noProof/>
          </w:rPr>
          <w:t>5</w:t>
        </w:r>
      </w:fldSimple>
      <w:r w:rsidR="00943DC2">
        <w:noBreakHyphen/>
      </w:r>
      <w:fldSimple w:instr=" SEQ Figure \* ARABIC \s 1 ">
        <w:r w:rsidR="001663C2">
          <w:rPr>
            <w:noProof/>
          </w:rPr>
          <w:t>14</w:t>
        </w:r>
      </w:fldSimple>
      <w:r>
        <w:t>:</w:t>
      </w:r>
      <w:r w:rsidRPr="00E06B10">
        <w:t xml:space="preserve"> TB incidence (3 years average) in Barnet compared to England</w:t>
      </w:r>
    </w:p>
    <w:p w:rsidR="00E57656" w:rsidRPr="00E06B10" w:rsidRDefault="00E57656" w:rsidP="00E57656">
      <w:pPr>
        <w:spacing w:after="0" w:line="240" w:lineRule="auto"/>
        <w:jc w:val="center"/>
        <w:rPr>
          <w:b/>
          <w:sz w:val="23"/>
          <w:szCs w:val="23"/>
        </w:rPr>
      </w:pPr>
      <w:r w:rsidRPr="00E06B10">
        <w:rPr>
          <w:noProof/>
          <w:lang w:eastAsia="en-GB"/>
        </w:rPr>
        <w:drawing>
          <wp:inline distT="0" distB="0" distL="0" distR="0" wp14:anchorId="12F047EC" wp14:editId="2703E26E">
            <wp:extent cx="3870251" cy="2317898"/>
            <wp:effectExtent l="0" t="0" r="16510" b="25400"/>
            <wp:docPr id="291" name="Chart 29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E57656" w:rsidRPr="00270AEE" w:rsidRDefault="00E57656" w:rsidP="00A56118">
      <w:pPr>
        <w:pStyle w:val="FootnoteText"/>
        <w:rPr>
          <w:rStyle w:val="Hyperlink"/>
          <w:rFonts w:asciiTheme="minorHAnsi" w:hAnsiTheme="minorHAnsi"/>
          <w:sz w:val="22"/>
          <w:szCs w:val="22"/>
        </w:rPr>
      </w:pPr>
      <w:r w:rsidRPr="00270AEE">
        <w:rPr>
          <w:rFonts w:asciiTheme="minorHAnsi" w:hAnsiTheme="minorHAnsi"/>
          <w:sz w:val="22"/>
          <w:szCs w:val="22"/>
        </w:rPr>
        <w:t xml:space="preserve">Source: Public Health England. </w:t>
      </w:r>
      <w:hyperlink r:id="rId107" w:history="1">
        <w:r w:rsidRPr="00270AEE">
          <w:rPr>
            <w:rStyle w:val="Hyperlink"/>
            <w:rFonts w:asciiTheme="minorHAnsi" w:hAnsiTheme="minorHAnsi"/>
            <w:sz w:val="22"/>
            <w:szCs w:val="22"/>
          </w:rPr>
          <w:t>Barnet - TB Strategy Monitoring Indicators</w:t>
        </w:r>
      </w:hyperlink>
    </w:p>
    <w:p w:rsidR="00E57656" w:rsidRDefault="00E57656" w:rsidP="00A56118">
      <w:pPr>
        <w:spacing w:after="0" w:line="240" w:lineRule="auto"/>
      </w:pPr>
    </w:p>
    <w:p w:rsidR="00E57656" w:rsidRDefault="00E57656" w:rsidP="00A56118">
      <w:pPr>
        <w:spacing w:after="0" w:line="240" w:lineRule="auto"/>
        <w:jc w:val="both"/>
      </w:pPr>
      <w:r w:rsidRPr="00E06B10">
        <w:t xml:space="preserve">TB in Barnet is more common in men in all age groups but it involves more females in </w:t>
      </w:r>
      <w:r>
        <w:t xml:space="preserve">the </w:t>
      </w:r>
      <w:r w:rsidRPr="00E06B10">
        <w:t xml:space="preserve">20-29 years age group. The majority of TB patients were born abroad and about 28 % came to the UK </w:t>
      </w:r>
      <w:r>
        <w:t>within the previous 4 years</w:t>
      </w:r>
      <w:r w:rsidRPr="00E06B10">
        <w:t xml:space="preserve">. In Barnet, the most common ethnic group having TB is people of Indian origin (35%), which is followed by mixed / other ethnic background (26%) and black Africans (20%). </w:t>
      </w:r>
      <w:r w:rsidRPr="00E06B10">
        <w:lastRenderedPageBreak/>
        <w:t xml:space="preserve">In addition, Barnet has </w:t>
      </w:r>
      <w:r>
        <w:t xml:space="preserve">a </w:t>
      </w:r>
      <w:r w:rsidRPr="00E06B10">
        <w:t xml:space="preserve">higher number of drug resistant TB cases than the average </w:t>
      </w:r>
      <w:r w:rsidR="00A56118">
        <w:t>number of these cases in London</w:t>
      </w:r>
      <w:r w:rsidRPr="00E06B10">
        <w:rPr>
          <w:rStyle w:val="FootnoteReference"/>
          <w:sz w:val="23"/>
          <w:szCs w:val="23"/>
        </w:rPr>
        <w:footnoteReference w:id="88"/>
      </w:r>
      <w:r w:rsidR="00A56118">
        <w:t>.</w:t>
      </w:r>
    </w:p>
    <w:p w:rsidR="00A56118" w:rsidRPr="00E06B10" w:rsidRDefault="00A56118" w:rsidP="00A56118">
      <w:pPr>
        <w:spacing w:after="0" w:line="240" w:lineRule="auto"/>
        <w:jc w:val="both"/>
      </w:pPr>
    </w:p>
    <w:p w:rsidR="00E57656" w:rsidRPr="00E06B10" w:rsidRDefault="00E57656" w:rsidP="00E57656">
      <w:pPr>
        <w:pStyle w:val="Caption"/>
        <w:spacing w:after="0"/>
        <w:jc w:val="left"/>
        <w:rPr>
          <w:sz w:val="20"/>
          <w:szCs w:val="20"/>
        </w:rPr>
      </w:pPr>
      <w:r w:rsidRPr="00E06B10">
        <w:rPr>
          <w:noProof/>
          <w:sz w:val="20"/>
          <w:szCs w:val="20"/>
          <w:lang w:eastAsia="en-GB"/>
        </w:rPr>
        <w:drawing>
          <wp:anchor distT="0" distB="0" distL="114300" distR="114300" simplePos="0" relativeHeight="251854848" behindDoc="0" locked="0" layoutInCell="1" allowOverlap="1" wp14:anchorId="5B126A8E" wp14:editId="6C8EA632">
            <wp:simplePos x="0" y="0"/>
            <wp:positionH relativeFrom="column">
              <wp:posOffset>-9525</wp:posOffset>
            </wp:positionH>
            <wp:positionV relativeFrom="paragraph">
              <wp:posOffset>487045</wp:posOffset>
            </wp:positionV>
            <wp:extent cx="5734050" cy="3921125"/>
            <wp:effectExtent l="0" t="0" r="0" b="3175"/>
            <wp:wrapSquare wrapText="bothSides"/>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34050" cy="392112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Figure </w:t>
      </w:r>
      <w:fldSimple w:instr=" STYLEREF 1 \s ">
        <w:r w:rsidR="001663C2">
          <w:rPr>
            <w:noProof/>
          </w:rPr>
          <w:t>5</w:t>
        </w:r>
      </w:fldSimple>
      <w:r w:rsidR="00943DC2">
        <w:noBreakHyphen/>
      </w:r>
      <w:fldSimple w:instr=" SEQ Figure \* ARABIC \s 1 ">
        <w:r w:rsidR="001663C2">
          <w:rPr>
            <w:noProof/>
          </w:rPr>
          <w:t>15</w:t>
        </w:r>
      </w:fldSimple>
      <w:r>
        <w:t>:</w:t>
      </w:r>
      <w:r w:rsidRPr="00E06B10">
        <w:t xml:space="preserve"> Barnet - TB Strategy Monitoring Indicators</w:t>
      </w:r>
      <w:r w:rsidRPr="00E06B10">
        <w:rPr>
          <w:noProof/>
          <w:sz w:val="20"/>
          <w:szCs w:val="20"/>
          <w:lang w:eastAsia="en-GB"/>
        </w:rPr>
        <w:drawing>
          <wp:inline distT="0" distB="0" distL="0" distR="0" wp14:anchorId="378AB97C" wp14:editId="5FFAA47C">
            <wp:extent cx="4248150" cy="208546"/>
            <wp:effectExtent l="0" t="0" r="0" b="127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249116" cy="208593"/>
                    </a:xfrm>
                    <a:prstGeom prst="rect">
                      <a:avLst/>
                    </a:prstGeom>
                    <a:noFill/>
                    <a:ln>
                      <a:noFill/>
                    </a:ln>
                  </pic:spPr>
                </pic:pic>
              </a:graphicData>
            </a:graphic>
          </wp:inline>
        </w:drawing>
      </w:r>
    </w:p>
    <w:p w:rsidR="00E57656" w:rsidRPr="00E06B10" w:rsidRDefault="00E57656" w:rsidP="00E57656">
      <w:pPr>
        <w:spacing w:after="0" w:line="240" w:lineRule="auto"/>
        <w:rPr>
          <w:sz w:val="20"/>
          <w:szCs w:val="20"/>
        </w:rPr>
      </w:pPr>
    </w:p>
    <w:p w:rsidR="00E57656" w:rsidRPr="00E06B10" w:rsidRDefault="00E57656" w:rsidP="00E57656">
      <w:pPr>
        <w:pStyle w:val="Heading4"/>
        <w:numPr>
          <w:ilvl w:val="3"/>
          <w:numId w:val="35"/>
        </w:numPr>
        <w:ind w:left="851" w:hanging="851"/>
        <w:jc w:val="both"/>
      </w:pPr>
      <w:r w:rsidRPr="00E06B10">
        <w:t>TB and Involvement of Local Communities</w:t>
      </w:r>
    </w:p>
    <w:p w:rsidR="00E57656" w:rsidRPr="00E06B10" w:rsidRDefault="00E57656" w:rsidP="00E57656">
      <w:pPr>
        <w:jc w:val="both"/>
      </w:pPr>
      <w:r w:rsidRPr="00E06B10">
        <w:t>Evidence shows that involvement of local communities helps in creating awareness and successful compl</w:t>
      </w:r>
      <w:r w:rsidR="00A56118">
        <w:t>etion of treatment of latent TB</w:t>
      </w:r>
      <w:r w:rsidRPr="00E06B10">
        <w:rPr>
          <w:rStyle w:val="FootnoteReference"/>
          <w:sz w:val="20"/>
          <w:szCs w:val="20"/>
        </w:rPr>
        <w:footnoteReference w:id="89"/>
      </w:r>
      <w:r w:rsidR="00A56118">
        <w:t>.</w:t>
      </w:r>
      <w:r w:rsidRPr="00E06B10">
        <w:t xml:space="preserve"> To raise TB awareness in local communities identified as being most l</w:t>
      </w:r>
      <w:r w:rsidR="00A56118">
        <w:t xml:space="preserve">ikely to be affected by TB, </w:t>
      </w:r>
      <w:r w:rsidRPr="00E06B10">
        <w:t xml:space="preserve">Barnet and Harrow public health commissioned </w:t>
      </w:r>
      <w:r>
        <w:t xml:space="preserve">a number of </w:t>
      </w:r>
      <w:r w:rsidRPr="00E06B10">
        <w:t xml:space="preserve">TB awareness training </w:t>
      </w:r>
      <w:r>
        <w:t xml:space="preserve">sessions </w:t>
      </w:r>
      <w:r w:rsidRPr="00E06B10">
        <w:t xml:space="preserve">during January – March 2015. The training sessions were attended by more than 60 local community groups, service managers and interested individuals. In addition, TB workshops and a seminar on the world TB day (24th March) were organised that brought together local advocacy and community groups, national TB and local clinical and public health expertise to discuss TB related issues and </w:t>
      </w:r>
      <w:r>
        <w:t xml:space="preserve">local </w:t>
      </w:r>
      <w:r w:rsidRPr="00E06B10">
        <w:t xml:space="preserve">needs. A local TB grant scheme has been developed and opportunities for local community groups </w:t>
      </w:r>
      <w:r>
        <w:t>and</w:t>
      </w:r>
      <w:r w:rsidRPr="00E06B10">
        <w:t xml:space="preserve"> organisations to bid for small sums to support local TB advocacy awareness are now being rolled out. </w:t>
      </w:r>
    </w:p>
    <w:p w:rsidR="00E57656" w:rsidRPr="00E06B10" w:rsidRDefault="00E57656" w:rsidP="00E57656">
      <w:pPr>
        <w:pStyle w:val="Heading3"/>
        <w:numPr>
          <w:ilvl w:val="2"/>
          <w:numId w:val="35"/>
        </w:numPr>
        <w:jc w:val="both"/>
        <w:rPr>
          <w:rFonts w:asciiTheme="minorHAnsi" w:hAnsiTheme="minorHAnsi"/>
        </w:rPr>
      </w:pPr>
      <w:bookmarkStart w:id="641" w:name="_Toc420678817"/>
      <w:r w:rsidRPr="00E06B10">
        <w:rPr>
          <w:rFonts w:asciiTheme="minorHAnsi" w:hAnsiTheme="minorHAnsi"/>
        </w:rPr>
        <w:t>Notifiable Infectious Diseases</w:t>
      </w:r>
      <w:bookmarkEnd w:id="641"/>
    </w:p>
    <w:p w:rsidR="00E57656" w:rsidRDefault="00E57656" w:rsidP="00E57656">
      <w:pPr>
        <w:jc w:val="both"/>
      </w:pPr>
      <w:r>
        <w:t>T</w:t>
      </w:r>
      <w:r w:rsidRPr="00E06B10">
        <w:t xml:space="preserve">he latest data on </w:t>
      </w:r>
      <w:hyperlink r:id="rId110" w:history="1">
        <w:r w:rsidRPr="00E06B10">
          <w:rPr>
            <w:rStyle w:val="Hyperlink"/>
          </w:rPr>
          <w:t>notifications of infectious diseases (NOIDs) for the last 52 weeks</w:t>
        </w:r>
      </w:hyperlink>
      <w:r w:rsidRPr="00E06B10">
        <w:t xml:space="preserve"> released </w:t>
      </w:r>
      <w:r>
        <w:t xml:space="preserve">by </w:t>
      </w:r>
      <w:r w:rsidRPr="00E06B10">
        <w:t>Public Health England on 28</w:t>
      </w:r>
      <w:r w:rsidRPr="00E06B10">
        <w:rPr>
          <w:vertAlign w:val="superscript"/>
        </w:rPr>
        <w:t>th</w:t>
      </w:r>
      <w:r w:rsidRPr="00E06B10">
        <w:t xml:space="preserve"> April 2015 show </w:t>
      </w:r>
      <w:r>
        <w:t xml:space="preserve">a total of </w:t>
      </w:r>
      <w:r w:rsidRPr="00E06B10">
        <w:t>166 notifications of infectious diseases in Barnet over the last 52 weeks (Figure 1</w:t>
      </w:r>
      <w:r>
        <w:t>6</w:t>
      </w:r>
      <w:r w:rsidRPr="00E06B10">
        <w:t>a&amp;b).</w:t>
      </w:r>
      <w:r>
        <w:t xml:space="preserve"> </w:t>
      </w:r>
      <w:r w:rsidRPr="00E06B10">
        <w:t xml:space="preserve">The weekly trend of NOIDs in Barnet (Figure </w:t>
      </w:r>
      <w:r>
        <w:t>5-</w:t>
      </w:r>
      <w:r w:rsidRPr="00E06B10">
        <w:t>1</w:t>
      </w:r>
      <w:r>
        <w:t>6</w:t>
      </w:r>
      <w:r w:rsidRPr="00E06B10">
        <w:t xml:space="preserve">a) </w:t>
      </w:r>
      <w:r w:rsidRPr="00E06B10">
        <w:lastRenderedPageBreak/>
        <w:t xml:space="preserve">shows that the largest number of notifications was reported in </w:t>
      </w:r>
      <w:r>
        <w:t>the 43</w:t>
      </w:r>
      <w:r w:rsidRPr="00B408A2">
        <w:rPr>
          <w:vertAlign w:val="superscript"/>
        </w:rPr>
        <w:t>rd</w:t>
      </w:r>
      <w:r>
        <w:t xml:space="preserve"> </w:t>
      </w:r>
      <w:r w:rsidRPr="00E06B10">
        <w:t>week (28</w:t>
      </w:r>
      <w:r w:rsidRPr="00E06B10">
        <w:rPr>
          <w:vertAlign w:val="superscript"/>
        </w:rPr>
        <w:t>th</w:t>
      </w:r>
      <w:r w:rsidRPr="00E06B10">
        <w:t xml:space="preserve"> October) and </w:t>
      </w:r>
      <w:r>
        <w:t>the 46</w:t>
      </w:r>
      <w:r w:rsidRPr="00B408A2">
        <w:rPr>
          <w:vertAlign w:val="superscript"/>
        </w:rPr>
        <w:t>th</w:t>
      </w:r>
      <w:r>
        <w:t xml:space="preserve"> </w:t>
      </w:r>
      <w:r w:rsidRPr="00E06B10">
        <w:t>week (18</w:t>
      </w:r>
      <w:r w:rsidRPr="00E06B10">
        <w:rPr>
          <w:vertAlign w:val="superscript"/>
        </w:rPr>
        <w:t>th</w:t>
      </w:r>
      <w:r w:rsidRPr="00E06B10">
        <w:t xml:space="preserve"> November) in 2014, which might suggest a seasonal trend. </w:t>
      </w:r>
    </w:p>
    <w:p w:rsidR="00E57656" w:rsidRPr="00E06B10" w:rsidRDefault="00E57656" w:rsidP="00E57656">
      <w:pPr>
        <w:jc w:val="both"/>
      </w:pPr>
      <w:r w:rsidRPr="00E06B10">
        <w:t xml:space="preserve">The highest number of notifications were </w:t>
      </w:r>
      <w:r>
        <w:t>for</w:t>
      </w:r>
      <w:r w:rsidRPr="00E06B10">
        <w:t xml:space="preserve"> TB (n=79) followed by mumps (n=30), infectious bloody diarrhoea (n=11), food poisoning (n=8) and scarlet fever (n=8) during the </w:t>
      </w:r>
      <w:r>
        <w:t>previous</w:t>
      </w:r>
      <w:r w:rsidRPr="00E06B10">
        <w:t xml:space="preserve"> 52 weeks (Figure </w:t>
      </w:r>
      <w:r>
        <w:t>5-</w:t>
      </w:r>
      <w:r w:rsidRPr="00E06B10">
        <w:t>1</w:t>
      </w:r>
      <w:r>
        <w:t>6</w:t>
      </w:r>
      <w:r w:rsidRPr="00E06B10">
        <w:t xml:space="preserve">b). There is </w:t>
      </w:r>
      <w:r>
        <w:t xml:space="preserve">a </w:t>
      </w:r>
      <w:r w:rsidRPr="00E06B10">
        <w:t xml:space="preserve">need to tackle TB in Barnet, which could involve raising awareness about TB through active involvement of local communities </w:t>
      </w:r>
      <w:r>
        <w:t xml:space="preserve">such as South Asians </w:t>
      </w:r>
      <w:r w:rsidRPr="00E06B10">
        <w:t>in which TB is more prevalent.</w:t>
      </w:r>
    </w:p>
    <w:p w:rsidR="00E57656" w:rsidRPr="00E06B10" w:rsidRDefault="00E57656" w:rsidP="00E57656">
      <w:pPr>
        <w:pStyle w:val="Caption"/>
      </w:pPr>
      <w:r>
        <w:t xml:space="preserve">Figure </w:t>
      </w:r>
      <w:fldSimple w:instr=" STYLEREF 1 \s ">
        <w:r w:rsidR="001663C2">
          <w:rPr>
            <w:noProof/>
          </w:rPr>
          <w:t>5</w:t>
        </w:r>
      </w:fldSimple>
      <w:r w:rsidR="00943DC2">
        <w:noBreakHyphen/>
      </w:r>
      <w:fldSimple w:instr=" SEQ Figure \* ARABIC \s 1 ">
        <w:r w:rsidR="001663C2">
          <w:rPr>
            <w:noProof/>
          </w:rPr>
          <w:t>16</w:t>
        </w:r>
      </w:fldSimple>
      <w:r>
        <w:t>a&amp;b:</w:t>
      </w:r>
      <w:r w:rsidRPr="00E06B10">
        <w:t xml:space="preserve"> Notifications of infectious diseases (NOIDs) in Barnet (in last 52 weeks on 28/04/2015)</w:t>
      </w:r>
    </w:p>
    <w:p w:rsidR="00E57656" w:rsidRDefault="00E57656" w:rsidP="00E57656">
      <w:pPr>
        <w:spacing w:after="0" w:line="240" w:lineRule="auto"/>
      </w:pPr>
      <w:r w:rsidRPr="00E06B10">
        <w:rPr>
          <w:noProof/>
          <w:lang w:eastAsia="en-GB"/>
        </w:rPr>
        <w:drawing>
          <wp:inline distT="0" distB="0" distL="0" distR="0" wp14:anchorId="2D850C1B" wp14:editId="642E203A">
            <wp:extent cx="5676900" cy="3219585"/>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5700595" cy="3233023"/>
                    </a:xfrm>
                    <a:prstGeom prst="rect">
                      <a:avLst/>
                    </a:prstGeom>
                  </pic:spPr>
                </pic:pic>
              </a:graphicData>
            </a:graphic>
          </wp:inline>
        </w:drawing>
      </w:r>
      <w:r w:rsidRPr="00E06B10">
        <w:t xml:space="preserve"> </w:t>
      </w:r>
    </w:p>
    <w:p w:rsidR="00E57656" w:rsidRPr="00517351" w:rsidRDefault="00E57656" w:rsidP="00E57656">
      <w:pPr>
        <w:spacing w:after="0" w:line="240" w:lineRule="auto"/>
        <w:rPr>
          <w:sz w:val="6"/>
        </w:rPr>
      </w:pPr>
    </w:p>
    <w:p w:rsidR="00E57656" w:rsidRDefault="00E57656" w:rsidP="00E57656">
      <w:pPr>
        <w:spacing w:after="0" w:line="240" w:lineRule="auto"/>
      </w:pPr>
      <w:r w:rsidRPr="00E06B10">
        <w:rPr>
          <w:noProof/>
          <w:lang w:eastAsia="en-GB"/>
        </w:rPr>
        <w:drawing>
          <wp:inline distT="0" distB="0" distL="0" distR="0" wp14:anchorId="589748A8" wp14:editId="3ECB2AF9">
            <wp:extent cx="5676900" cy="3085490"/>
            <wp:effectExtent l="0" t="0" r="0" b="63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5690394" cy="3092824"/>
                    </a:xfrm>
                    <a:prstGeom prst="rect">
                      <a:avLst/>
                    </a:prstGeom>
                  </pic:spPr>
                </pic:pic>
              </a:graphicData>
            </a:graphic>
          </wp:inline>
        </w:drawing>
      </w:r>
    </w:p>
    <w:p w:rsidR="00E57656" w:rsidRPr="00E06B10" w:rsidRDefault="00E57656" w:rsidP="00CF501E">
      <w:pPr>
        <w:pStyle w:val="FootnoteText"/>
      </w:pPr>
      <w:r w:rsidRPr="005A6C06">
        <w:rPr>
          <w:sz w:val="18"/>
          <w:szCs w:val="18"/>
        </w:rPr>
        <w:t xml:space="preserve"> </w:t>
      </w:r>
      <w:r w:rsidRPr="00A56118">
        <w:rPr>
          <w:rFonts w:asciiTheme="minorHAnsi" w:hAnsiTheme="minorHAnsi"/>
          <w:sz w:val="22"/>
          <w:szCs w:val="22"/>
        </w:rPr>
        <w:t xml:space="preserve">Data Source: Public Health England. </w:t>
      </w:r>
      <w:hyperlink r:id="rId113" w:history="1">
        <w:r w:rsidRPr="00A56118">
          <w:rPr>
            <w:rStyle w:val="Hyperlink"/>
            <w:rFonts w:asciiTheme="minorHAnsi" w:hAnsiTheme="minorHAnsi"/>
            <w:sz w:val="22"/>
            <w:szCs w:val="22"/>
          </w:rPr>
          <w:t>Statutory notifiable diseases: cases reported in last 52 weeks</w:t>
        </w:r>
      </w:hyperlink>
      <w:r w:rsidRPr="00A56118">
        <w:rPr>
          <w:rFonts w:asciiTheme="minorHAnsi" w:hAnsiTheme="minorHAnsi"/>
          <w:sz w:val="22"/>
          <w:szCs w:val="22"/>
        </w:rPr>
        <w:t xml:space="preserve"> (Date: 28 April 2015)</w:t>
      </w:r>
    </w:p>
    <w:p w:rsidR="00E57656" w:rsidRDefault="00E57656">
      <w:pPr>
        <w:rPr>
          <w:rFonts w:asciiTheme="majorHAnsi" w:eastAsiaTheme="majorEastAsia" w:hAnsiTheme="majorHAnsi" w:cstheme="majorBidi"/>
          <w:b/>
          <w:bCs/>
          <w:color w:val="365F91" w:themeColor="accent1" w:themeShade="BF"/>
          <w:sz w:val="28"/>
          <w:szCs w:val="28"/>
        </w:rPr>
      </w:pPr>
      <w:r>
        <w:br w:type="page"/>
      </w:r>
    </w:p>
    <w:p w:rsidR="00895BDD" w:rsidRPr="00E06B10" w:rsidRDefault="00667093" w:rsidP="00895BDD">
      <w:pPr>
        <w:pStyle w:val="Heading1"/>
        <w:numPr>
          <w:ilvl w:val="0"/>
          <w:numId w:val="35"/>
        </w:numPr>
        <w:jc w:val="both"/>
      </w:pPr>
      <w:bookmarkStart w:id="642" w:name="_Toc431225168"/>
      <w:r w:rsidRPr="00E06B10">
        <w:lastRenderedPageBreak/>
        <w:t>Lifestyl</w:t>
      </w:r>
      <w:bookmarkEnd w:id="563"/>
      <w:r w:rsidR="00895BDD">
        <w:t>e</w:t>
      </w:r>
      <w:bookmarkEnd w:id="642"/>
    </w:p>
    <w:bookmarkStart w:id="643" w:name="_Toc422840061"/>
    <w:bookmarkStart w:id="644" w:name="_Toc426723342"/>
    <w:bookmarkStart w:id="645" w:name="_Toc431225169"/>
    <w:p w:rsidR="00895BDD" w:rsidRDefault="00895BDD" w:rsidP="00895BDD">
      <w:pPr>
        <w:pStyle w:val="Heading2"/>
        <w:numPr>
          <w:ilvl w:val="1"/>
          <w:numId w:val="35"/>
        </w:numPr>
        <w:jc w:val="both"/>
        <w:rPr>
          <w:rFonts w:asciiTheme="minorHAnsi" w:hAnsiTheme="minorHAnsi"/>
        </w:rPr>
      </w:pPr>
      <w:r>
        <w:rPr>
          <w:noProof/>
          <w:lang w:eastAsia="en-GB"/>
        </w:rPr>
        <mc:AlternateContent>
          <mc:Choice Requires="wps">
            <w:drawing>
              <wp:anchor distT="0" distB="0" distL="114300" distR="114300" simplePos="0" relativeHeight="251863040" behindDoc="1" locked="0" layoutInCell="1" allowOverlap="1" wp14:anchorId="133C7969" wp14:editId="120A7AA7">
                <wp:simplePos x="0" y="0"/>
                <wp:positionH relativeFrom="column">
                  <wp:posOffset>-74428</wp:posOffset>
                </wp:positionH>
                <wp:positionV relativeFrom="paragraph">
                  <wp:posOffset>68313</wp:posOffset>
                </wp:positionV>
                <wp:extent cx="6038850" cy="3147237"/>
                <wp:effectExtent l="0" t="0" r="0" b="0"/>
                <wp:wrapNone/>
                <wp:docPr id="49162" name="Rectangle 49162"/>
                <wp:cNvGraphicFramePr/>
                <a:graphic xmlns:a="http://schemas.openxmlformats.org/drawingml/2006/main">
                  <a:graphicData uri="http://schemas.microsoft.com/office/word/2010/wordprocessingShape">
                    <wps:wsp>
                      <wps:cNvSpPr/>
                      <wps:spPr>
                        <a:xfrm>
                          <a:off x="0" y="0"/>
                          <a:ext cx="6038850" cy="3147237"/>
                        </a:xfrm>
                        <a:prstGeom prst="rect">
                          <a:avLst/>
                        </a:prstGeom>
                        <a:solidFill>
                          <a:srgbClr val="4F81BD">
                            <a:lumMod val="20000"/>
                            <a:lumOff val="80000"/>
                            <a:alpha val="7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9162" o:spid="_x0000_s1026" style="position:absolute;margin-left:-5.85pt;margin-top:5.4pt;width:475.5pt;height:247.8pt;z-index:-25145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" fillcolor="#dce6f2" stroked="f" strokeweight="2pt">
                <v:fill opacity="46003f"/>
              </v:rect>
            </w:pict>
          </mc:Fallback>
        </mc:AlternateContent>
      </w:r>
      <w:r w:rsidRPr="00E06B10">
        <w:rPr>
          <w:rFonts w:asciiTheme="minorHAnsi" w:hAnsiTheme="minorHAnsi"/>
        </w:rPr>
        <w:t>Key Facts</w:t>
      </w:r>
      <w:bookmarkEnd w:id="643"/>
      <w:bookmarkEnd w:id="644"/>
      <w:bookmarkEnd w:id="645"/>
    </w:p>
    <w:p w:rsidR="00895BDD" w:rsidRDefault="00895BDD" w:rsidP="00895BDD">
      <w:pPr>
        <w:pStyle w:val="ListParagraph"/>
        <w:numPr>
          <w:ilvl w:val="0"/>
          <w:numId w:val="40"/>
        </w:numPr>
        <w:jc w:val="both"/>
      </w:pPr>
      <w:r w:rsidRPr="00E06B10">
        <w:t>In Barnet, there were 117 cases (31 male and 86 female) of hospital admissions with a primary diagnosis of obesity in 2013</w:t>
      </w:r>
      <w:r w:rsidR="00270AEE">
        <w:t>/</w:t>
      </w:r>
      <w:r w:rsidRPr="00E06B10">
        <w:t xml:space="preserve">14. This equated to </w:t>
      </w:r>
      <w:r>
        <w:t xml:space="preserve">a </w:t>
      </w:r>
      <w:r w:rsidRPr="00E06B10">
        <w:t>rate of 32 / 100,000 persons (rate: males = 17, females = 4</w:t>
      </w:r>
      <w:r>
        <w:t>6</w:t>
      </w:r>
      <w:r w:rsidRPr="00E06B10">
        <w:t xml:space="preserve">), which </w:t>
      </w:r>
      <w:r>
        <w:t>wa</w:t>
      </w:r>
      <w:r w:rsidRPr="00E06B10">
        <w:t xml:space="preserve">s higher than the average rates for </w:t>
      </w:r>
      <w:r>
        <w:t xml:space="preserve">the </w:t>
      </w:r>
      <w:r w:rsidRPr="00E06B10">
        <w:t xml:space="preserve">London region and </w:t>
      </w:r>
      <w:r>
        <w:t>England.</w:t>
      </w:r>
    </w:p>
    <w:p w:rsidR="00895BDD" w:rsidRDefault="00895BDD" w:rsidP="00895BDD">
      <w:pPr>
        <w:pStyle w:val="ListParagraph"/>
        <w:numPr>
          <w:ilvl w:val="0"/>
          <w:numId w:val="40"/>
        </w:numPr>
        <w:jc w:val="both"/>
      </w:pPr>
      <w:r w:rsidRPr="00E06B10">
        <w:t>Barnet has 55.1% physically active adults</w:t>
      </w:r>
      <w:r>
        <w:t xml:space="preserve">, </w:t>
      </w:r>
      <w:r w:rsidRPr="00E06B10">
        <w:t xml:space="preserve">similar to the average rate in </w:t>
      </w:r>
      <w:r>
        <w:t xml:space="preserve">the </w:t>
      </w:r>
      <w:r w:rsidRPr="00E06B10">
        <w:t xml:space="preserve">London region (56.2%) and nationally (56%). Similarly, the Barnet rate of physically inactive adults (26.1%) is similar to </w:t>
      </w:r>
      <w:r>
        <w:t xml:space="preserve">the </w:t>
      </w:r>
      <w:r w:rsidRPr="00E06B10">
        <w:t xml:space="preserve">London </w:t>
      </w:r>
      <w:r>
        <w:t xml:space="preserve">region </w:t>
      </w:r>
      <w:r w:rsidRPr="00E06B10">
        <w:t>and national average rates</w:t>
      </w:r>
      <w:r>
        <w:t xml:space="preserve">. </w:t>
      </w:r>
    </w:p>
    <w:p w:rsidR="00895BDD" w:rsidRPr="00E06B10" w:rsidRDefault="00895BDD" w:rsidP="00895BDD">
      <w:pPr>
        <w:pStyle w:val="ListParagraph"/>
        <w:numPr>
          <w:ilvl w:val="0"/>
          <w:numId w:val="40"/>
        </w:numPr>
        <w:jc w:val="both"/>
      </w:pPr>
      <w:r>
        <w:t>The p</w:t>
      </w:r>
      <w:r w:rsidRPr="00E06B10">
        <w:t xml:space="preserve">ercentage of residents who abstain from drinking alcohol in Barnet (22.05%) is similar to the average in </w:t>
      </w:r>
      <w:r>
        <w:t xml:space="preserve">the </w:t>
      </w:r>
      <w:r w:rsidRPr="00E06B10">
        <w:t>London region (22.37%) but higher than the national rate (16.53%).</w:t>
      </w:r>
      <w:r>
        <w:t xml:space="preserve"> </w:t>
      </w:r>
      <w:r w:rsidRPr="00E06B10">
        <w:t>In terms of the number of alcohol abstainers, Barnet ranks 22</w:t>
      </w:r>
      <w:r w:rsidRPr="00725A7F">
        <w:rPr>
          <w:vertAlign w:val="superscript"/>
        </w:rPr>
        <w:t>nd</w:t>
      </w:r>
      <w:r w:rsidRPr="00E06B10">
        <w:t xml:space="preserve"> highest among 326 local authorities in England.</w:t>
      </w:r>
    </w:p>
    <w:p w:rsidR="00895BDD" w:rsidRPr="00757E5F" w:rsidRDefault="00895BDD" w:rsidP="00895BDD">
      <w:pPr>
        <w:pStyle w:val="ListParagraph"/>
        <w:numPr>
          <w:ilvl w:val="0"/>
          <w:numId w:val="40"/>
        </w:numPr>
        <w:jc w:val="both"/>
      </w:pPr>
      <w:r w:rsidRPr="00E06B10">
        <w:t xml:space="preserve">According to </w:t>
      </w:r>
      <w:r w:rsidR="00412908">
        <w:t>the most recent estimates (2011/</w:t>
      </w:r>
      <w:r w:rsidRPr="00E06B10">
        <w:t>2012), Barnet has 1,492 opiate and/or crack users (OCU), 1156 opiate users, 857 crack cocaine users and 215 injecting drug users aged 15-64 years.</w:t>
      </w:r>
    </w:p>
    <w:p w:rsidR="00895BDD" w:rsidRPr="00E06B10" w:rsidRDefault="00895BDD" w:rsidP="00895BDD">
      <w:pPr>
        <w:pStyle w:val="Heading2"/>
        <w:numPr>
          <w:ilvl w:val="1"/>
          <w:numId w:val="35"/>
        </w:numPr>
        <w:jc w:val="both"/>
        <w:rPr>
          <w:rFonts w:asciiTheme="minorHAnsi" w:hAnsiTheme="minorHAnsi"/>
        </w:rPr>
      </w:pPr>
      <w:bookmarkStart w:id="646" w:name="_Toc422840062"/>
      <w:bookmarkStart w:id="647" w:name="_Toc426723343"/>
      <w:bookmarkStart w:id="648" w:name="_Toc431225170"/>
      <w:r>
        <w:rPr>
          <w:rFonts w:asciiTheme="minorHAnsi" w:hAnsiTheme="minorHAnsi"/>
        </w:rPr>
        <w:t>Strategic Needs</w:t>
      </w:r>
      <w:bookmarkEnd w:id="646"/>
      <w:bookmarkEnd w:id="647"/>
      <w:bookmarkEnd w:id="648"/>
    </w:p>
    <w:p w:rsidR="00895BDD" w:rsidRDefault="00895BDD" w:rsidP="00895BDD">
      <w:pPr>
        <w:pStyle w:val="ListParagraph"/>
        <w:numPr>
          <w:ilvl w:val="0"/>
          <w:numId w:val="39"/>
        </w:numPr>
        <w:ind w:left="709"/>
        <w:jc w:val="both"/>
      </w:pPr>
      <w:r>
        <w:t xml:space="preserve">Barnet has a relatively low level of smoking prevalence compared with other areas, however </w:t>
      </w:r>
      <w:r w:rsidRPr="009D2B6F">
        <w:rPr>
          <w:b/>
        </w:rPr>
        <w:t>Smoking cessation programmes in Barnet are</w:t>
      </w:r>
      <w:r>
        <w:rPr>
          <w:b/>
        </w:rPr>
        <w:t xml:space="preserve"> significantly</w:t>
      </w:r>
      <w:r w:rsidRPr="009D2B6F">
        <w:rPr>
          <w:b/>
        </w:rPr>
        <w:t xml:space="preserve"> less effective than </w:t>
      </w:r>
      <w:r>
        <w:rPr>
          <w:b/>
        </w:rPr>
        <w:t>in</w:t>
      </w:r>
      <w:r w:rsidRPr="009D2B6F">
        <w:rPr>
          <w:b/>
        </w:rPr>
        <w:t xml:space="preserve"> England </w:t>
      </w:r>
      <w:r>
        <w:rPr>
          <w:b/>
        </w:rPr>
        <w:t xml:space="preserve">on </w:t>
      </w:r>
      <w:r w:rsidRPr="009D2B6F">
        <w:rPr>
          <w:b/>
        </w:rPr>
        <w:t>average</w:t>
      </w:r>
      <w:r>
        <w:t>, indicating that the current £8m cost the NHS of smoking in Barnet could be reduced.</w:t>
      </w:r>
    </w:p>
    <w:p w:rsidR="00895BDD" w:rsidRDefault="00895BDD" w:rsidP="00895BDD">
      <w:pPr>
        <w:pStyle w:val="ListParagraph"/>
        <w:numPr>
          <w:ilvl w:val="0"/>
          <w:numId w:val="39"/>
        </w:numPr>
        <w:ind w:left="709"/>
        <w:jc w:val="both"/>
      </w:pPr>
      <w:r>
        <w:t>The wards with the highest prevalence of smoking in Barnet are Hendon, Mill Hill and Underhill.</w:t>
      </w:r>
    </w:p>
    <w:p w:rsidR="00895BDD" w:rsidRDefault="00895BDD" w:rsidP="00895BDD">
      <w:pPr>
        <w:pStyle w:val="ListParagraph"/>
        <w:numPr>
          <w:ilvl w:val="0"/>
          <w:numId w:val="39"/>
        </w:numPr>
        <w:ind w:left="709"/>
        <w:jc w:val="both"/>
      </w:pPr>
      <w:r w:rsidRPr="009D2B6F">
        <w:rPr>
          <w:b/>
        </w:rPr>
        <w:t>Barnet has a higher rate of underweight adults and children</w:t>
      </w:r>
      <w:r>
        <w:t xml:space="preserve"> than London or England.</w:t>
      </w:r>
    </w:p>
    <w:p w:rsidR="00895BDD" w:rsidRDefault="00895BDD" w:rsidP="00895BDD">
      <w:pPr>
        <w:pStyle w:val="ListParagraph"/>
        <w:numPr>
          <w:ilvl w:val="0"/>
          <w:numId w:val="39"/>
        </w:numPr>
        <w:ind w:left="709"/>
        <w:jc w:val="both"/>
      </w:pPr>
      <w:r w:rsidRPr="009D2B6F">
        <w:rPr>
          <w:b/>
        </w:rPr>
        <w:t xml:space="preserve">The wards with the highest rates of child obesity are Colindale, Burnt Oak and Underhill. </w:t>
      </w:r>
      <w:r>
        <w:t>These are also the wards with amongst the lowest levels of participation in sport, the lowest levels of park use, and the lowest rate of volunteering.</w:t>
      </w:r>
    </w:p>
    <w:p w:rsidR="00895BDD" w:rsidRDefault="00895BDD" w:rsidP="00895BDD">
      <w:pPr>
        <w:pStyle w:val="ListParagraph"/>
        <w:numPr>
          <w:ilvl w:val="0"/>
          <w:numId w:val="39"/>
        </w:numPr>
        <w:ind w:left="709"/>
        <w:jc w:val="both"/>
      </w:pPr>
      <w:r>
        <w:t>The rates for</w:t>
      </w:r>
      <w:r w:rsidRPr="00E06B10">
        <w:t xml:space="preserve"> alcohol related mortality and hospital admission</w:t>
      </w:r>
      <w:r>
        <w:t>s</w:t>
      </w:r>
      <w:r w:rsidRPr="00E06B10">
        <w:t xml:space="preserve"> in males are rising</w:t>
      </w:r>
      <w:r w:rsidRPr="00E30D4B">
        <w:t xml:space="preserve"> </w:t>
      </w:r>
      <w:r>
        <w:t xml:space="preserve">in </w:t>
      </w:r>
      <w:r w:rsidRPr="00E06B10">
        <w:t>Barnet</w:t>
      </w:r>
      <w:r>
        <w:t>.</w:t>
      </w:r>
    </w:p>
    <w:p w:rsidR="00895BDD" w:rsidRPr="00BC0B4F" w:rsidRDefault="00895BDD" w:rsidP="00895BDD">
      <w:pPr>
        <w:pStyle w:val="ListParagraph"/>
        <w:numPr>
          <w:ilvl w:val="0"/>
          <w:numId w:val="39"/>
        </w:numPr>
        <w:ind w:left="709"/>
        <w:jc w:val="both"/>
        <w:rPr>
          <w:b/>
        </w:rPr>
      </w:pPr>
      <w:r w:rsidRPr="00BC0B4F">
        <w:rPr>
          <w:b/>
        </w:rPr>
        <w:t>The wards with the highest rates of admission to hospital w</w:t>
      </w:r>
      <w:r>
        <w:rPr>
          <w:b/>
        </w:rPr>
        <w:t>ith alcohol-related conditions a</w:t>
      </w:r>
      <w:r w:rsidRPr="00BC0B4F">
        <w:rPr>
          <w:b/>
        </w:rPr>
        <w:t>re Burnt Oak, West Hendon and Colindale.</w:t>
      </w:r>
    </w:p>
    <w:p w:rsidR="00895BDD" w:rsidRDefault="00895BDD" w:rsidP="00895BDD">
      <w:pPr>
        <w:pStyle w:val="ListParagraph"/>
        <w:numPr>
          <w:ilvl w:val="0"/>
          <w:numId w:val="39"/>
        </w:numPr>
        <w:ind w:left="709"/>
        <w:jc w:val="both"/>
      </w:pPr>
      <w:r w:rsidRPr="00BC0B4F">
        <w:rPr>
          <w:b/>
        </w:rPr>
        <w:t>Treatment for alcohol dependency in Barnet is less effective than in the rest of the country.</w:t>
      </w:r>
      <w:r>
        <w:t xml:space="preserve"> Specifically, completion rates for treatment for alcohol dependency are below the national average, and the </w:t>
      </w:r>
      <w:proofErr w:type="gramStart"/>
      <w:r>
        <w:t>rate of re-presentations after treatment are</w:t>
      </w:r>
      <w:proofErr w:type="gramEnd"/>
      <w:r>
        <w:t xml:space="preserve"> higher.</w:t>
      </w:r>
    </w:p>
    <w:p w:rsidR="00895BDD" w:rsidRDefault="00895BDD" w:rsidP="00895BDD">
      <w:pPr>
        <w:pStyle w:val="ListParagraph"/>
        <w:numPr>
          <w:ilvl w:val="0"/>
          <w:numId w:val="39"/>
        </w:numPr>
        <w:ind w:left="709"/>
        <w:jc w:val="both"/>
      </w:pPr>
      <w:r>
        <w:t xml:space="preserve">The number of MARAC </w:t>
      </w:r>
      <w:r w:rsidRPr="00757E5F">
        <w:rPr>
          <w:b/>
        </w:rPr>
        <w:t>cases of domestic abuse associated with drug and alcohol use in Barnet nearly doubled between 2011 and 2013</w:t>
      </w:r>
      <w:r>
        <w:t xml:space="preserve">. </w:t>
      </w:r>
    </w:p>
    <w:p w:rsidR="00895BDD" w:rsidRPr="00E06B10" w:rsidRDefault="00895BDD" w:rsidP="00895BDD">
      <w:pPr>
        <w:pStyle w:val="ListParagraph"/>
        <w:numPr>
          <w:ilvl w:val="0"/>
          <w:numId w:val="39"/>
        </w:numPr>
        <w:ind w:left="709"/>
        <w:jc w:val="both"/>
      </w:pPr>
      <w:r w:rsidRPr="00757E5F">
        <w:rPr>
          <w:b/>
        </w:rPr>
        <w:t>For non-opiate drug users successful completion rates are lower than in England</w:t>
      </w:r>
      <w:r w:rsidRPr="008A799C">
        <w:t>,</w:t>
      </w:r>
      <w:r w:rsidRPr="00E06B10">
        <w:t xml:space="preserve"> and </w:t>
      </w:r>
      <w:r>
        <w:t xml:space="preserve">the </w:t>
      </w:r>
      <w:r w:rsidRPr="00E06B10">
        <w:t xml:space="preserve">proportion of those who successfully complete </w:t>
      </w:r>
      <w:r>
        <w:t xml:space="preserve">a programme </w:t>
      </w:r>
      <w:r w:rsidRPr="00E06B10">
        <w:t>and do not re</w:t>
      </w:r>
      <w:r>
        <w:t>-</w:t>
      </w:r>
      <w:r w:rsidRPr="00E06B10">
        <w:t xml:space="preserve">present </w:t>
      </w:r>
      <w:r>
        <w:t xml:space="preserve">for </w:t>
      </w:r>
      <w:r w:rsidRPr="00E06B10">
        <w:t>treatment within 6 months has decreased below the baseline and is also</w:t>
      </w:r>
      <w:r>
        <w:t xml:space="preserve"> </w:t>
      </w:r>
      <w:r w:rsidRPr="00E06B10">
        <w:t xml:space="preserve">lower than the </w:t>
      </w:r>
      <w:r>
        <w:t>a</w:t>
      </w:r>
      <w:r w:rsidRPr="00E06B10">
        <w:t>verage</w:t>
      </w:r>
      <w:r>
        <w:t xml:space="preserve"> for </w:t>
      </w:r>
      <w:r w:rsidRPr="00E06B10">
        <w:t>England</w:t>
      </w:r>
      <w:r>
        <w:t>.</w:t>
      </w:r>
    </w:p>
    <w:p w:rsidR="00895BDD" w:rsidRPr="00757E5F" w:rsidRDefault="00895BDD" w:rsidP="00895BDD">
      <w:pPr>
        <w:pStyle w:val="ListParagraph"/>
        <w:numPr>
          <w:ilvl w:val="0"/>
          <w:numId w:val="39"/>
        </w:numPr>
        <w:ind w:left="709"/>
        <w:jc w:val="both"/>
        <w:rPr>
          <w:b/>
        </w:rPr>
      </w:pPr>
      <w:r w:rsidRPr="00757E5F">
        <w:rPr>
          <w:b/>
        </w:rPr>
        <w:t>The rate of GP prescribed long acting reversible contraceptives in Barnet is lower than the average rates for the London region and England</w:t>
      </w:r>
      <w:r w:rsidRPr="00EF4B54">
        <w:t>.</w:t>
      </w:r>
    </w:p>
    <w:p w:rsidR="00895BDD" w:rsidRPr="00757E5F" w:rsidRDefault="00895BDD" w:rsidP="00895BDD">
      <w:pPr>
        <w:pStyle w:val="ListParagraph"/>
        <w:numPr>
          <w:ilvl w:val="0"/>
          <w:numId w:val="39"/>
        </w:numPr>
        <w:ind w:left="709"/>
        <w:jc w:val="both"/>
        <w:rPr>
          <w:b/>
        </w:rPr>
      </w:pPr>
      <w:r>
        <w:lastRenderedPageBreak/>
        <w:t xml:space="preserve">The evidence-based public health interventions with the highest “return on investment” according to the respected Kings Fund are: </w:t>
      </w:r>
      <w:r w:rsidRPr="00757E5F">
        <w:rPr>
          <w:b/>
        </w:rPr>
        <w:t>housing interventions</w:t>
      </w:r>
      <w:r w:rsidRPr="00757E5F">
        <w:t xml:space="preserve"> (e.g. warm homes), </w:t>
      </w:r>
      <w:r w:rsidRPr="00757E5F">
        <w:rPr>
          <w:b/>
        </w:rPr>
        <w:t>school programmes</w:t>
      </w:r>
      <w:r w:rsidRPr="00757E5F">
        <w:t xml:space="preserve"> (e.g. to reduce child obesity and smoking), </w:t>
      </w:r>
      <w:r w:rsidRPr="00757E5F">
        <w:rPr>
          <w:b/>
        </w:rPr>
        <w:t>education to reduce teenage pregnancy</w:t>
      </w:r>
      <w:r w:rsidRPr="00757E5F">
        <w:t xml:space="preserve"> and </w:t>
      </w:r>
      <w:r w:rsidRPr="00757E5F">
        <w:rPr>
          <w:b/>
        </w:rPr>
        <w:t>good parenting classes</w:t>
      </w:r>
      <w:r w:rsidRPr="00757E5F">
        <w:t>.</w:t>
      </w:r>
    </w:p>
    <w:p w:rsidR="00895BDD" w:rsidRPr="00E06B10" w:rsidRDefault="00895BDD" w:rsidP="00895BDD">
      <w:pPr>
        <w:pStyle w:val="Heading2"/>
        <w:numPr>
          <w:ilvl w:val="1"/>
          <w:numId w:val="35"/>
        </w:numPr>
        <w:jc w:val="both"/>
        <w:rPr>
          <w:rFonts w:asciiTheme="minorHAnsi" w:hAnsiTheme="minorHAnsi"/>
        </w:rPr>
      </w:pPr>
      <w:bookmarkStart w:id="649" w:name="_Toc422840063"/>
      <w:bookmarkStart w:id="650" w:name="_Toc426723344"/>
      <w:bookmarkStart w:id="651" w:name="_Toc431225171"/>
      <w:r w:rsidRPr="00E06B10">
        <w:rPr>
          <w:rFonts w:asciiTheme="minorHAnsi" w:hAnsiTheme="minorHAnsi"/>
        </w:rPr>
        <w:t>Tobacco and Smoking</w:t>
      </w:r>
      <w:bookmarkEnd w:id="649"/>
      <w:bookmarkEnd w:id="650"/>
      <w:bookmarkEnd w:id="651"/>
    </w:p>
    <w:p w:rsidR="00895BDD" w:rsidRPr="00E06B10" w:rsidRDefault="00895BDD" w:rsidP="00895BDD">
      <w:pPr>
        <w:jc w:val="both"/>
      </w:pPr>
      <w:r w:rsidRPr="00E06B10">
        <w:t xml:space="preserve">Tobacco and smoking are risk factors for a number of chronic health conditions such as </w:t>
      </w:r>
      <w:r w:rsidRPr="00767500">
        <w:t xml:space="preserve">cardiovascular disease </w:t>
      </w:r>
      <w:r>
        <w:t>(</w:t>
      </w:r>
      <w:r w:rsidRPr="00E06B10">
        <w:t>CVD</w:t>
      </w:r>
      <w:r>
        <w:t>)</w:t>
      </w:r>
      <w:r w:rsidRPr="00E06B10">
        <w:t xml:space="preserve">, cancer, asthma and </w:t>
      </w:r>
      <w:r w:rsidRPr="00767500">
        <w:t xml:space="preserve">chronic obstructive pulmonary disease </w:t>
      </w:r>
      <w:r>
        <w:t>(</w:t>
      </w:r>
      <w:r w:rsidRPr="00E06B10">
        <w:t>COPD</w:t>
      </w:r>
      <w:r>
        <w:t>)</w:t>
      </w:r>
      <w:r w:rsidRPr="00E06B10">
        <w:t>. Tobacco use kills over 80,000 people per year in England making it the single grea</w:t>
      </w:r>
      <w:r>
        <w:t>test cause of preventable death</w:t>
      </w:r>
      <w:r w:rsidRPr="00E06B10">
        <w:t xml:space="preserve"> in the country.</w:t>
      </w:r>
      <w:bookmarkStart w:id="652" w:name="_Ref417045690"/>
      <w:r w:rsidRPr="00E06B10">
        <w:rPr>
          <w:rStyle w:val="FootnoteReference"/>
        </w:rPr>
        <w:footnoteReference w:id="90"/>
      </w:r>
      <w:bookmarkEnd w:id="652"/>
      <w:r w:rsidRPr="00E06B10">
        <w:t xml:space="preserve"> The tobacco and smoking picture in Barnet is given below. </w:t>
      </w:r>
    </w:p>
    <w:p w:rsidR="00895BDD" w:rsidRPr="00E06B10" w:rsidRDefault="00895BDD" w:rsidP="00895BDD">
      <w:pPr>
        <w:pStyle w:val="Heading3"/>
        <w:numPr>
          <w:ilvl w:val="2"/>
          <w:numId w:val="35"/>
        </w:numPr>
        <w:jc w:val="both"/>
      </w:pPr>
      <w:bookmarkStart w:id="653" w:name="_Toc422840064"/>
      <w:r w:rsidRPr="00E06B10">
        <w:t>Smoking in Adults</w:t>
      </w:r>
      <w:bookmarkEnd w:id="653"/>
    </w:p>
    <w:p w:rsidR="00895BDD" w:rsidRPr="00F77511" w:rsidRDefault="00895BDD" w:rsidP="00895BDD">
      <w:pPr>
        <w:jc w:val="both"/>
      </w:pPr>
      <w:r w:rsidRPr="00E06B10">
        <w:t xml:space="preserve">Smoking indicators for Barnet are shown in Figure </w:t>
      </w:r>
      <w:r>
        <w:t>6-2</w:t>
      </w:r>
      <w:r w:rsidRPr="00E06B10">
        <w:t xml:space="preserve">. Smoking prevalence in adults over 18 years in Barnet is 15% </w:t>
      </w:r>
      <w:r>
        <w:t xml:space="preserve">and </w:t>
      </w:r>
      <w:r w:rsidRPr="00E06B10">
        <w:t>is lower than the national average (18.4%). Modelled estimates of smoking prevalence in pregnant women and young people aged 15 years are 4.4% and 5.5% respectively.</w:t>
      </w:r>
      <w:r w:rsidRPr="00E06B10">
        <w:rPr>
          <w:rStyle w:val="FootnoteReference"/>
        </w:rPr>
        <w:footnoteReference w:id="91"/>
      </w:r>
      <w:r w:rsidRPr="00E06B10">
        <w:t xml:space="preserve"> Barnet has lower death rate due to smoking (205 per 100,000) than the average rate for England (</w:t>
      </w:r>
      <w:r w:rsidRPr="00F77511">
        <w:t xml:space="preserve">289 per 100,000). </w:t>
      </w:r>
    </w:p>
    <w:p w:rsidR="00895BDD" w:rsidRPr="00E06B10" w:rsidRDefault="00895BDD" w:rsidP="00895BDD">
      <w:pPr>
        <w:jc w:val="both"/>
      </w:pPr>
      <w:r w:rsidRPr="00F77511">
        <w:t>Estimated prevalence of synthetic smoking in adults (18 years and above) in Barnet is the highest in Burnt Oak (16.9%), Colindale (16.5%) and West Hendon (16%) wards while the lowest in Garden Suburb (13.5%), Totteridge (14.1%) and Finchley Church End (14.2%) wards.</w:t>
      </w:r>
    </w:p>
    <w:p w:rsidR="00895BDD" w:rsidRPr="00E06B10" w:rsidRDefault="00DD3A76" w:rsidP="00895BDD">
      <w:pPr>
        <w:jc w:val="both"/>
      </w:pPr>
      <w:r w:rsidRPr="00E06B10">
        <w:t xml:space="preserve">Smoking is a leading risk factor for COPD </w:t>
      </w:r>
      <w:r>
        <w:t>while</w:t>
      </w:r>
      <w:r w:rsidRPr="00E06B10">
        <w:t xml:space="preserve"> </w:t>
      </w:r>
      <w:r>
        <w:t>passive smoking triggers asthma</w:t>
      </w:r>
      <w:r w:rsidRPr="00E06B10">
        <w:rPr>
          <w:rStyle w:val="FootnoteReference"/>
        </w:rPr>
        <w:footnoteReference w:id="92"/>
      </w:r>
      <w:proofErr w:type="gramStart"/>
      <w:r>
        <w:rPr>
          <w:vertAlign w:val="superscript"/>
        </w:rPr>
        <w:t xml:space="preserve">, </w:t>
      </w:r>
      <w:proofErr w:type="gramEnd"/>
      <w:r w:rsidRPr="00E06B10">
        <w:rPr>
          <w:rStyle w:val="FootnoteReference"/>
        </w:rPr>
        <w:footnoteReference w:id="93"/>
      </w:r>
      <w:r>
        <w:rPr>
          <w:vertAlign w:val="superscript"/>
        </w:rPr>
        <w:t xml:space="preserve">. </w:t>
      </w:r>
      <w:r>
        <w:t>According to an e</w:t>
      </w:r>
      <w:r w:rsidRPr="00E06B10">
        <w:t xml:space="preserve">stimate smoking related illnesses </w:t>
      </w:r>
      <w:r>
        <w:t xml:space="preserve">in Barnet </w:t>
      </w:r>
      <w:r w:rsidRPr="00E06B10">
        <w:t>costs about £</w:t>
      </w:r>
      <w:r>
        <w:t>8</w:t>
      </w:r>
      <w:r w:rsidRPr="00E06B10">
        <w:t xml:space="preserve">m annually to the local NHS (Figure </w:t>
      </w:r>
      <w:r>
        <w:t>6-1</w:t>
      </w:r>
      <w:r w:rsidRPr="00E06B10">
        <w:t>).</w:t>
      </w:r>
      <w:r w:rsidRPr="00E06B10">
        <w:rPr>
          <w:rStyle w:val="FootnoteReference"/>
        </w:rPr>
        <w:footnoteReference w:id="94"/>
      </w:r>
      <w:r w:rsidRPr="00E06B10">
        <w:t xml:space="preserve"> </w:t>
      </w:r>
      <w:r w:rsidR="00895BDD" w:rsidRPr="00E06B10">
        <w:t xml:space="preserve">Smoking cessation </w:t>
      </w:r>
      <w:r w:rsidR="00895BDD">
        <w:t xml:space="preserve">interventions </w:t>
      </w:r>
      <w:r w:rsidR="00895BDD" w:rsidRPr="00E06B10">
        <w:t>could help in reducing the burden of COPD and other medical conditions associated with smoking.</w:t>
      </w:r>
      <w:r w:rsidR="00895BDD" w:rsidRPr="00E06B10">
        <w:rPr>
          <w:rStyle w:val="FootnoteReference"/>
        </w:rPr>
        <w:footnoteReference w:id="95"/>
      </w:r>
    </w:p>
    <w:p w:rsidR="00895BDD" w:rsidRPr="00E06B10" w:rsidRDefault="00895BDD" w:rsidP="00895BDD">
      <w:pPr>
        <w:pStyle w:val="Caption"/>
      </w:pPr>
      <w:r>
        <w:t xml:space="preserve">Figure </w:t>
      </w:r>
      <w:fldSimple w:instr=" STYLEREF 1 \s ">
        <w:r w:rsidR="001663C2">
          <w:rPr>
            <w:noProof/>
          </w:rPr>
          <w:t>6</w:t>
        </w:r>
      </w:fldSimple>
      <w:r w:rsidR="00943DC2">
        <w:noBreakHyphen/>
      </w:r>
      <w:fldSimple w:instr=" SEQ Figure \* ARABIC \s 1 ">
        <w:r w:rsidR="001663C2">
          <w:rPr>
            <w:noProof/>
          </w:rPr>
          <w:t>1</w:t>
        </w:r>
      </w:fldSimple>
      <w:r>
        <w:t>:</w:t>
      </w:r>
      <w:r w:rsidRPr="00E06B10">
        <w:t xml:space="preserve"> Estimated cost of smoking in Barnet Local Authority </w:t>
      </w:r>
    </w:p>
    <w:p w:rsidR="00895BDD" w:rsidRPr="00E06B10" w:rsidRDefault="00895BDD" w:rsidP="00895BDD">
      <w:pPr>
        <w:spacing w:after="0" w:line="240" w:lineRule="auto"/>
        <w:jc w:val="center"/>
        <w:rPr>
          <w:b/>
        </w:rPr>
      </w:pPr>
      <w:r>
        <w:rPr>
          <w:b/>
          <w:noProof/>
          <w:lang w:eastAsia="en-GB"/>
        </w:rPr>
        <w:drawing>
          <wp:inline distT="0" distB="0" distL="0" distR="0" wp14:anchorId="3710136A" wp14:editId="7EC58C91">
            <wp:extent cx="4827180" cy="2307265"/>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836940" cy="2311930"/>
                    </a:xfrm>
                    <a:prstGeom prst="rect">
                      <a:avLst/>
                    </a:prstGeom>
                    <a:noFill/>
                    <a:ln>
                      <a:noFill/>
                    </a:ln>
                  </pic:spPr>
                </pic:pic>
              </a:graphicData>
            </a:graphic>
          </wp:inline>
        </w:drawing>
      </w:r>
    </w:p>
    <w:p w:rsidR="00895BDD" w:rsidRPr="008A799C" w:rsidRDefault="00895BDD" w:rsidP="00895BDD">
      <w:pPr>
        <w:pStyle w:val="FootnoteText"/>
        <w:rPr>
          <w:rFonts w:asciiTheme="minorHAnsi" w:hAnsiTheme="minorHAnsi"/>
          <w:sz w:val="22"/>
          <w:szCs w:val="22"/>
        </w:rPr>
      </w:pPr>
      <w:r w:rsidRPr="008A799C">
        <w:rPr>
          <w:rFonts w:asciiTheme="minorHAnsi" w:hAnsiTheme="minorHAnsi"/>
          <w:sz w:val="22"/>
          <w:szCs w:val="22"/>
        </w:rPr>
        <w:t xml:space="preserve">Source: Action on Smoking and Health (ASH). </w:t>
      </w:r>
      <w:hyperlink r:id="rId115" w:history="1">
        <w:r w:rsidRPr="008A799C">
          <w:rPr>
            <w:rStyle w:val="Hyperlink"/>
            <w:rFonts w:asciiTheme="minorHAnsi" w:hAnsiTheme="minorHAnsi"/>
            <w:sz w:val="22"/>
            <w:szCs w:val="22"/>
          </w:rPr>
          <w:t>Local cost of smoking</w:t>
        </w:r>
      </w:hyperlink>
      <w:r w:rsidRPr="008A799C">
        <w:rPr>
          <w:rStyle w:val="Hyperlink"/>
          <w:rFonts w:asciiTheme="minorHAnsi" w:hAnsiTheme="minorHAnsi"/>
          <w:sz w:val="22"/>
          <w:szCs w:val="22"/>
        </w:rPr>
        <w:t xml:space="preserve"> (May 2015)</w:t>
      </w:r>
    </w:p>
    <w:p w:rsidR="00895BDD" w:rsidRDefault="00895BDD" w:rsidP="00895BDD">
      <w:pPr>
        <w:jc w:val="both"/>
      </w:pPr>
    </w:p>
    <w:p w:rsidR="00895BDD" w:rsidRPr="00E06B10" w:rsidRDefault="00895BDD" w:rsidP="00895BDD">
      <w:pPr>
        <w:jc w:val="both"/>
      </w:pPr>
      <w:r w:rsidRPr="00E06B10">
        <w:lastRenderedPageBreak/>
        <w:t xml:space="preserve">The </w:t>
      </w:r>
      <w:r>
        <w:t>Barnet</w:t>
      </w:r>
      <w:r w:rsidRPr="00E06B10">
        <w:t xml:space="preserve"> public health </w:t>
      </w:r>
      <w:r>
        <w:t xml:space="preserve">team </w:t>
      </w:r>
      <w:r w:rsidRPr="00E06B10">
        <w:t>commissions smoking cess</w:t>
      </w:r>
      <w:r>
        <w:t>at</w:t>
      </w:r>
      <w:r w:rsidRPr="00E06B10">
        <w:t>ion</w:t>
      </w:r>
      <w:r>
        <w:t xml:space="preserve"> programmes</w:t>
      </w:r>
      <w:r w:rsidRPr="00E06B10">
        <w:t xml:space="preserve"> in the </w:t>
      </w:r>
      <w:r>
        <w:t>Borough</w:t>
      </w:r>
      <w:r w:rsidRPr="00E06B10">
        <w:t xml:space="preserve"> through NHS GPs. The smoking cessation support and treatment offered </w:t>
      </w:r>
      <w:r>
        <w:t xml:space="preserve">rate </w:t>
      </w:r>
      <w:r w:rsidRPr="00E06B10">
        <w:t xml:space="preserve">in Barnet is 96% </w:t>
      </w:r>
      <w:r>
        <w:t>and this</w:t>
      </w:r>
      <w:r w:rsidRPr="00E06B10">
        <w:t xml:space="preserve"> is higher than the average national rate (93.1%).</w:t>
      </w:r>
      <w:r w:rsidRPr="00E06B10">
        <w:rPr>
          <w:rStyle w:val="FootnoteReference"/>
        </w:rPr>
        <w:footnoteReference w:id="96"/>
      </w:r>
      <w:r w:rsidRPr="00E06B10">
        <w:t>However, Barnet smoking cessation statistics (2013</w:t>
      </w:r>
      <w:r w:rsidR="00270AEE">
        <w:t>/</w:t>
      </w:r>
      <w:r w:rsidRPr="00E06B10">
        <w:t>14) regarding successful quitters at 4 weeks (</w:t>
      </w:r>
      <w:r>
        <w:t>t</w:t>
      </w:r>
      <w:r w:rsidRPr="00E06B10">
        <w:t>otal count = 916; rate = 2,269 / 100,000 smokers), successful quitters (CO validated) at 4 weeks (</w:t>
      </w:r>
      <w:r>
        <w:t>t</w:t>
      </w:r>
      <w:r w:rsidRPr="00E06B10">
        <w:t>otal count = 633, rate = 1,568 / 100,000 smokers), and completeness of NS-SEC recording by Stop Smoking Services (</w:t>
      </w:r>
      <w:r>
        <w:t>t</w:t>
      </w:r>
      <w:r w:rsidRPr="00E06B10">
        <w:t xml:space="preserve">otal count = 1,430; rate = i.e. 65.1%) are worse compared to the average </w:t>
      </w:r>
      <w:r>
        <w:t>rate</w:t>
      </w:r>
      <w:r w:rsidRPr="00E06B10">
        <w:t xml:space="preserve">s for England (Figure </w:t>
      </w:r>
      <w:r>
        <w:t>6-2</w:t>
      </w:r>
      <w:r w:rsidRPr="00E06B10">
        <w:t xml:space="preserve">). However, other smoking related indicators for Barnet are better than </w:t>
      </w:r>
      <w:r>
        <w:t xml:space="preserve">in </w:t>
      </w:r>
      <w:r w:rsidRPr="00E06B10">
        <w:t>England (Figure</w:t>
      </w:r>
      <w:r>
        <w:t xml:space="preserve"> 6-2</w:t>
      </w:r>
      <w:r w:rsidRPr="00E06B10">
        <w:t>).</w:t>
      </w:r>
    </w:p>
    <w:p w:rsidR="00895BDD" w:rsidRPr="00E06B10" w:rsidRDefault="00895BDD" w:rsidP="00895BDD">
      <w:pPr>
        <w:pStyle w:val="Caption"/>
      </w:pPr>
      <w:r>
        <w:t xml:space="preserve">Figure </w:t>
      </w:r>
      <w:fldSimple w:instr=" STYLEREF 1 \s ">
        <w:r w:rsidR="001663C2">
          <w:rPr>
            <w:noProof/>
          </w:rPr>
          <w:t>6</w:t>
        </w:r>
      </w:fldSimple>
      <w:r w:rsidR="00943DC2">
        <w:noBreakHyphen/>
      </w:r>
      <w:fldSimple w:instr=" SEQ Figure \* ARABIC \s 1 ">
        <w:r w:rsidR="001663C2">
          <w:rPr>
            <w:noProof/>
          </w:rPr>
          <w:t>2</w:t>
        </w:r>
      </w:fldSimple>
      <w:r>
        <w:t>:</w:t>
      </w:r>
      <w:r w:rsidRPr="00E06B10">
        <w:t xml:space="preserve"> Barnet smoking indicators</w:t>
      </w:r>
    </w:p>
    <w:p w:rsidR="00895BDD" w:rsidRDefault="00895BDD" w:rsidP="00895BDD">
      <w:pPr>
        <w:spacing w:after="0"/>
      </w:pPr>
      <w:r w:rsidRPr="00E06B10">
        <w:rPr>
          <w:noProof/>
          <w:lang w:eastAsia="en-GB"/>
        </w:rPr>
        <w:drawing>
          <wp:inline distT="0" distB="0" distL="0" distR="0" wp14:anchorId="7BAE8651" wp14:editId="7163C3FD">
            <wp:extent cx="5763138" cy="1647825"/>
            <wp:effectExtent l="0" t="0" r="9525"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70669" cy="1649978"/>
                    </a:xfrm>
                    <a:prstGeom prst="rect">
                      <a:avLst/>
                    </a:prstGeom>
                    <a:noFill/>
                    <a:ln>
                      <a:noFill/>
                    </a:ln>
                  </pic:spPr>
                </pic:pic>
              </a:graphicData>
            </a:graphic>
          </wp:inline>
        </w:drawing>
      </w:r>
      <w:r w:rsidRPr="00E06B10">
        <w:rPr>
          <w:noProof/>
          <w:lang w:eastAsia="en-GB"/>
        </w:rPr>
        <w:drawing>
          <wp:inline distT="0" distB="0" distL="0" distR="0" wp14:anchorId="1B62B6C6" wp14:editId="350A9921">
            <wp:extent cx="5800336" cy="1828800"/>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804034" cy="1829966"/>
                    </a:xfrm>
                    <a:prstGeom prst="rect">
                      <a:avLst/>
                    </a:prstGeom>
                    <a:noFill/>
                    <a:ln>
                      <a:noFill/>
                    </a:ln>
                  </pic:spPr>
                </pic:pic>
              </a:graphicData>
            </a:graphic>
          </wp:inline>
        </w:drawing>
      </w:r>
      <w:r w:rsidRPr="00E06B10">
        <w:rPr>
          <w:noProof/>
          <w:lang w:eastAsia="en-GB"/>
        </w:rPr>
        <w:drawing>
          <wp:inline distT="0" distB="0" distL="0" distR="0" wp14:anchorId="72A1609A" wp14:editId="3403D714">
            <wp:extent cx="2663687" cy="179367"/>
            <wp:effectExtent l="0" t="0" r="381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667916" cy="179652"/>
                    </a:xfrm>
                    <a:prstGeom prst="rect">
                      <a:avLst/>
                    </a:prstGeom>
                    <a:noFill/>
                    <a:ln>
                      <a:noFill/>
                    </a:ln>
                  </pic:spPr>
                </pic:pic>
              </a:graphicData>
            </a:graphic>
          </wp:inline>
        </w:drawing>
      </w:r>
    </w:p>
    <w:p w:rsidR="00895BDD" w:rsidRPr="00E06B10" w:rsidRDefault="00895BDD" w:rsidP="00895BDD">
      <w:r>
        <w:t>Source:</w:t>
      </w:r>
      <w:r w:rsidRPr="008A799C">
        <w:rPr>
          <w:rFonts w:eastAsia="Times New Roman" w:cs="Times New Roman"/>
          <w:sz w:val="16"/>
          <w:szCs w:val="16"/>
        </w:rPr>
        <w:t xml:space="preserve"> </w:t>
      </w:r>
      <w:r w:rsidRPr="00E154C0">
        <w:rPr>
          <w:rFonts w:eastAsia="Times New Roman" w:cs="Times New Roman"/>
          <w:sz w:val="16"/>
          <w:szCs w:val="16"/>
        </w:rPr>
        <w:t xml:space="preserve">HSCIC (2014). </w:t>
      </w:r>
      <w:hyperlink r:id="rId119" w:history="1">
        <w:r w:rsidRPr="00E154C0">
          <w:rPr>
            <w:rStyle w:val="Hyperlink"/>
            <w:rFonts w:eastAsia="Times New Roman" w:cs="Times New Roman"/>
            <w:sz w:val="16"/>
            <w:szCs w:val="16"/>
          </w:rPr>
          <w:t>Quality and Outcomes Framework (QOF) - 2013-14</w:t>
        </w:r>
      </w:hyperlink>
      <w:r w:rsidRPr="00E154C0">
        <w:rPr>
          <w:rFonts w:eastAsia="Times New Roman" w:cs="Times New Roman"/>
          <w:sz w:val="16"/>
          <w:szCs w:val="16"/>
        </w:rPr>
        <w:t>.</w:t>
      </w:r>
    </w:p>
    <w:p w:rsidR="00895BDD" w:rsidRPr="00E06B10" w:rsidRDefault="00895BDD" w:rsidP="00895BDD">
      <w:pPr>
        <w:pStyle w:val="Heading3"/>
        <w:numPr>
          <w:ilvl w:val="2"/>
          <w:numId w:val="35"/>
        </w:numPr>
        <w:jc w:val="both"/>
      </w:pPr>
      <w:bookmarkStart w:id="654" w:name="_Toc422840065"/>
      <w:r w:rsidRPr="00E06B10">
        <w:t>Smoking in Children</w:t>
      </w:r>
      <w:bookmarkEnd w:id="654"/>
    </w:p>
    <w:p w:rsidR="00895BDD" w:rsidRPr="00E06B10" w:rsidRDefault="00895BDD" w:rsidP="00895BDD">
      <w:r>
        <w:t xml:space="preserve">An </w:t>
      </w:r>
      <w:r w:rsidRPr="00E06B10">
        <w:t xml:space="preserve">estimated prevalence of smoking (regular and occasional) in children aged up to 17 years in Barnet is similar to England (Figure </w:t>
      </w:r>
      <w:r>
        <w:t>6-3</w:t>
      </w:r>
      <w:r w:rsidRPr="00E06B10">
        <w:t>)</w:t>
      </w:r>
      <w:r>
        <w:t xml:space="preserve">. </w:t>
      </w:r>
    </w:p>
    <w:p w:rsidR="00895BDD" w:rsidRDefault="00895BDD" w:rsidP="00895BDD">
      <w:pPr>
        <w:pStyle w:val="Caption"/>
      </w:pPr>
    </w:p>
    <w:p w:rsidR="00895BDD" w:rsidRDefault="00895BDD" w:rsidP="00895BDD">
      <w:pPr>
        <w:pStyle w:val="Caption"/>
      </w:pPr>
    </w:p>
    <w:p w:rsidR="00895BDD" w:rsidRDefault="00895BDD" w:rsidP="00895BDD">
      <w:pPr>
        <w:pStyle w:val="Caption"/>
      </w:pPr>
    </w:p>
    <w:p w:rsidR="00895BDD" w:rsidRDefault="00895BDD" w:rsidP="00895BDD">
      <w:pPr>
        <w:pStyle w:val="Caption"/>
      </w:pPr>
    </w:p>
    <w:p w:rsidR="00895BDD" w:rsidRDefault="00895BDD" w:rsidP="00895BDD">
      <w:pPr>
        <w:pStyle w:val="Caption"/>
      </w:pPr>
    </w:p>
    <w:p w:rsidR="00895BDD" w:rsidRDefault="00895BDD" w:rsidP="00895BDD">
      <w:pPr>
        <w:pStyle w:val="Caption"/>
      </w:pPr>
    </w:p>
    <w:p w:rsidR="00895BDD" w:rsidRDefault="00895BDD" w:rsidP="00895BDD">
      <w:pPr>
        <w:pStyle w:val="Caption"/>
      </w:pPr>
    </w:p>
    <w:p w:rsidR="00895BDD" w:rsidRDefault="00895BDD" w:rsidP="00895BDD">
      <w:pPr>
        <w:pStyle w:val="Caption"/>
      </w:pPr>
    </w:p>
    <w:p w:rsidR="00895BDD" w:rsidRDefault="00895BDD" w:rsidP="00895BDD">
      <w:pPr>
        <w:pStyle w:val="Caption"/>
      </w:pPr>
    </w:p>
    <w:p w:rsidR="00895BDD" w:rsidRPr="00E06B10" w:rsidRDefault="00895BDD" w:rsidP="00895BDD">
      <w:pPr>
        <w:pStyle w:val="Caption"/>
        <w:rPr>
          <w:highlight w:val="yellow"/>
        </w:rPr>
      </w:pPr>
      <w:r>
        <w:lastRenderedPageBreak/>
        <w:t xml:space="preserve">Figure </w:t>
      </w:r>
      <w:fldSimple w:instr=" STYLEREF 1 \s ">
        <w:r w:rsidR="001663C2">
          <w:rPr>
            <w:noProof/>
          </w:rPr>
          <w:t>6</w:t>
        </w:r>
      </w:fldSimple>
      <w:r w:rsidR="00943DC2">
        <w:noBreakHyphen/>
      </w:r>
      <w:fldSimple w:instr=" SEQ Figure \* ARABIC \s 1 ">
        <w:r w:rsidR="001663C2">
          <w:rPr>
            <w:noProof/>
          </w:rPr>
          <w:t>3</w:t>
        </w:r>
      </w:fldSimple>
      <w:r>
        <w:t>:</w:t>
      </w:r>
      <w:r w:rsidRPr="00E06B10">
        <w:t xml:space="preserve"> Barnet smoking prevalence estimates in children (aged 17 years or less)</w:t>
      </w:r>
    </w:p>
    <w:p w:rsidR="00895BDD" w:rsidRDefault="00895BDD" w:rsidP="00895BDD">
      <w:pPr>
        <w:spacing w:after="0"/>
      </w:pPr>
      <w:r w:rsidRPr="00E06B10">
        <w:rPr>
          <w:noProof/>
          <w:lang w:eastAsia="en-GB"/>
        </w:rPr>
        <w:drawing>
          <wp:inline distT="0" distB="0" distL="0" distR="0" wp14:anchorId="125ED9BC" wp14:editId="5BD3AF00">
            <wp:extent cx="5514975" cy="252627"/>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515587" cy="252655"/>
                    </a:xfrm>
                    <a:prstGeom prst="rect">
                      <a:avLst/>
                    </a:prstGeom>
                    <a:noFill/>
                    <a:ln>
                      <a:noFill/>
                    </a:ln>
                  </pic:spPr>
                </pic:pic>
              </a:graphicData>
            </a:graphic>
          </wp:inline>
        </w:drawing>
      </w:r>
      <w:r w:rsidRPr="00E06B10">
        <w:rPr>
          <w:noProof/>
          <w:lang w:eastAsia="en-GB"/>
        </w:rPr>
        <w:drawing>
          <wp:inline distT="0" distB="0" distL="0" distR="0" wp14:anchorId="62ED8B8F" wp14:editId="4E0FD0C1">
            <wp:extent cx="5848350" cy="1500956"/>
            <wp:effectExtent l="0" t="0" r="0" b="444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886540" cy="1510757"/>
                    </a:xfrm>
                    <a:prstGeom prst="rect">
                      <a:avLst/>
                    </a:prstGeom>
                    <a:noFill/>
                    <a:ln>
                      <a:noFill/>
                    </a:ln>
                  </pic:spPr>
                </pic:pic>
              </a:graphicData>
            </a:graphic>
          </wp:inline>
        </w:drawing>
      </w:r>
      <w:r w:rsidRPr="00E06B10">
        <w:rPr>
          <w:noProof/>
          <w:lang w:eastAsia="en-GB"/>
        </w:rPr>
        <w:drawing>
          <wp:inline distT="0" distB="0" distL="0" distR="0" wp14:anchorId="4FC853DB" wp14:editId="5345C6EF">
            <wp:extent cx="2663687" cy="179367"/>
            <wp:effectExtent l="0" t="0" r="381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663687" cy="179367"/>
                    </a:xfrm>
                    <a:prstGeom prst="rect">
                      <a:avLst/>
                    </a:prstGeom>
                    <a:noFill/>
                    <a:ln>
                      <a:noFill/>
                    </a:ln>
                  </pic:spPr>
                </pic:pic>
              </a:graphicData>
            </a:graphic>
          </wp:inline>
        </w:drawing>
      </w:r>
    </w:p>
    <w:p w:rsidR="00895BDD" w:rsidRPr="00E06B10" w:rsidRDefault="00895BDD" w:rsidP="00895BDD">
      <w:r>
        <w:t>Source:</w:t>
      </w:r>
      <w:r w:rsidRPr="008A799C">
        <w:rPr>
          <w:rFonts w:eastAsia="Times New Roman" w:cs="Times New Roman"/>
          <w:sz w:val="16"/>
          <w:szCs w:val="16"/>
        </w:rPr>
        <w:t xml:space="preserve"> </w:t>
      </w:r>
      <w:r w:rsidRPr="00E154C0">
        <w:rPr>
          <w:rFonts w:eastAsia="Times New Roman" w:cs="Times New Roman"/>
          <w:sz w:val="16"/>
          <w:szCs w:val="16"/>
        </w:rPr>
        <w:t xml:space="preserve">HSCIC (2014). </w:t>
      </w:r>
      <w:hyperlink r:id="rId122" w:history="1">
        <w:r w:rsidRPr="00E154C0">
          <w:rPr>
            <w:rStyle w:val="Hyperlink"/>
            <w:rFonts w:eastAsia="Times New Roman" w:cs="Times New Roman"/>
            <w:sz w:val="16"/>
            <w:szCs w:val="16"/>
          </w:rPr>
          <w:t>Quality and Outcomes Framework (QOF) - 2013-14</w:t>
        </w:r>
      </w:hyperlink>
      <w:r w:rsidRPr="00E154C0">
        <w:rPr>
          <w:rFonts w:eastAsia="Times New Roman" w:cs="Times New Roman"/>
          <w:sz w:val="16"/>
          <w:szCs w:val="16"/>
        </w:rPr>
        <w:t>.</w:t>
      </w:r>
    </w:p>
    <w:p w:rsidR="00895BDD" w:rsidRPr="00F77511" w:rsidRDefault="00895BDD" w:rsidP="00895BDD">
      <w:pPr>
        <w:jc w:val="both"/>
      </w:pPr>
      <w:r w:rsidRPr="00F77511">
        <w:t xml:space="preserve">Modelled estimates of smokers under 18 years of age by wards in Barnet (2009-12) are shown in Table </w:t>
      </w:r>
      <w:r>
        <w:t>6-1</w:t>
      </w:r>
      <w:r w:rsidRPr="00F77511">
        <w:t>. The percentage of smokers’ increases in each ward as the age of smoker increases. Hendon, Under Hill and Mill Hill are the top three wards having the highest percentage of smokers in all three age categories included in Table</w:t>
      </w:r>
      <w:r>
        <w:t xml:space="preserve"> 6-1</w:t>
      </w:r>
      <w:r w:rsidRPr="00F77511">
        <w:t xml:space="preserve"> while the Colindale ward has the lowest percentage of smokers in all categories of smokers aged 11 years to 17 years. Therefore protecting Barnet children and young people from tobacco smoke, especially in Hendon, Under Hill and Mill Hill wards, is imperative.</w:t>
      </w:r>
      <w:r w:rsidRPr="00F77511">
        <w:fldChar w:fldCharType="begin"/>
      </w:r>
      <w:r w:rsidRPr="00F77511">
        <w:rPr>
          <w:rStyle w:val="FootnoteReference"/>
        </w:rPr>
        <w:instrText xml:space="preserve"> NOTEREF _Ref417045690 \h </w:instrText>
      </w:r>
      <w:r w:rsidRPr="00F77511">
        <w:instrText xml:space="preserve"> \* MERGEFORMAT </w:instrText>
      </w:r>
      <w:r w:rsidRPr="00F77511">
        <w:fldChar w:fldCharType="separate"/>
      </w:r>
      <w:r w:rsidR="001663C2">
        <w:rPr>
          <w:rStyle w:val="FootnoteReference"/>
        </w:rPr>
        <w:t>90</w:t>
      </w:r>
      <w:r w:rsidRPr="00F77511">
        <w:fldChar w:fldCharType="end"/>
      </w:r>
    </w:p>
    <w:p w:rsidR="00895BDD" w:rsidRDefault="00895BDD" w:rsidP="00895BDD">
      <w:pPr>
        <w:pStyle w:val="Caption"/>
      </w:pPr>
      <w:r>
        <w:t xml:space="preserve">Table </w:t>
      </w:r>
      <w:fldSimple w:instr=" STYLEREF 1 \s ">
        <w:r w:rsidR="001663C2">
          <w:rPr>
            <w:noProof/>
          </w:rPr>
          <w:t>6</w:t>
        </w:r>
      </w:fldSimple>
      <w:r>
        <w:noBreakHyphen/>
      </w:r>
      <w:fldSimple w:instr=" SEQ Table \* ARABIC \s 1 ">
        <w:r w:rsidR="001663C2">
          <w:rPr>
            <w:noProof/>
          </w:rPr>
          <w:t>1</w:t>
        </w:r>
      </w:fldSimple>
      <w:r>
        <w:t>:</w:t>
      </w:r>
      <w:r w:rsidRPr="00F77511">
        <w:t xml:space="preserve"> Modelled prevalence of regular smoking in children and young people (less than 18 years)</w:t>
      </w:r>
    </w:p>
    <w:tbl>
      <w:tblPr>
        <w:tblStyle w:val="DarkList-Accent4"/>
        <w:tblW w:w="9171" w:type="dxa"/>
        <w:tblLook w:val="04A0" w:firstRow="1" w:lastRow="0" w:firstColumn="1" w:lastColumn="0" w:noHBand="0" w:noVBand="1"/>
      </w:tblPr>
      <w:tblGrid>
        <w:gridCol w:w="1425"/>
        <w:gridCol w:w="3807"/>
        <w:gridCol w:w="3939"/>
      </w:tblGrid>
      <w:tr w:rsidR="00895BDD" w:rsidTr="00031B92">
        <w:trPr>
          <w:cnfStyle w:val="100000000000" w:firstRow="1" w:lastRow="0" w:firstColumn="0" w:lastColumn="0" w:oddVBand="0" w:evenVBand="0" w:oddHBand="0" w:evenHBand="0" w:firstRowFirstColumn="0" w:firstRowLastColumn="0" w:lastRowFirstColumn="0" w:lastRowLastColumn="0"/>
          <w:trHeight w:val="392"/>
        </w:trPr>
        <w:tc>
          <w:tcPr>
            <w:cnfStyle w:val="001000000000" w:firstRow="0" w:lastRow="0" w:firstColumn="1" w:lastColumn="0" w:oddVBand="0" w:evenVBand="0" w:oddHBand="0" w:evenHBand="0" w:firstRowFirstColumn="0" w:firstRowLastColumn="0" w:lastRowFirstColumn="0" w:lastRowLastColumn="0"/>
            <w:tcW w:w="1425" w:type="dxa"/>
            <w:shd w:val="clear" w:color="auto" w:fill="7030A0"/>
            <w:vAlign w:val="center"/>
          </w:tcPr>
          <w:p w:rsidR="00895BDD" w:rsidRDefault="00895BDD" w:rsidP="00031B92"/>
        </w:tc>
        <w:tc>
          <w:tcPr>
            <w:tcW w:w="7746" w:type="dxa"/>
            <w:gridSpan w:val="2"/>
            <w:shd w:val="clear" w:color="auto" w:fill="7030A0"/>
            <w:vAlign w:val="center"/>
          </w:tcPr>
          <w:p w:rsidR="00895BDD" w:rsidRDefault="00895BDD" w:rsidP="00031B92">
            <w:pPr>
              <w:jc w:val="center"/>
              <w:cnfStyle w:val="100000000000" w:firstRow="1" w:lastRow="0" w:firstColumn="0" w:lastColumn="0" w:oddVBand="0" w:evenVBand="0" w:oddHBand="0" w:evenHBand="0" w:firstRowFirstColumn="0" w:firstRowLastColumn="0" w:lastRowFirstColumn="0" w:lastRowLastColumn="0"/>
            </w:pPr>
            <w:r>
              <w:t>Top three Barnet Wards</w:t>
            </w:r>
          </w:p>
        </w:tc>
      </w:tr>
      <w:tr w:rsidR="00895BDD" w:rsidTr="00031B92">
        <w:trPr>
          <w:cnfStyle w:val="000000100000" w:firstRow="0" w:lastRow="0" w:firstColumn="0" w:lastColumn="0" w:oddVBand="0" w:evenVBand="0" w:oddHBand="1"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425" w:type="dxa"/>
            <w:shd w:val="clear" w:color="auto" w:fill="548DD4" w:themeFill="text2" w:themeFillTint="99"/>
            <w:vAlign w:val="center"/>
          </w:tcPr>
          <w:p w:rsidR="00895BDD" w:rsidRDefault="00895BDD" w:rsidP="00031B92">
            <w:r>
              <w:t xml:space="preserve">Smoker’s age </w:t>
            </w:r>
          </w:p>
        </w:tc>
        <w:tc>
          <w:tcPr>
            <w:tcW w:w="3807" w:type="dxa"/>
            <w:shd w:val="clear" w:color="auto" w:fill="548DD4" w:themeFill="text2" w:themeFillTint="99"/>
            <w:vAlign w:val="center"/>
          </w:tcPr>
          <w:p w:rsidR="00895BDD" w:rsidRDefault="00895BDD" w:rsidP="00031B92">
            <w:pPr>
              <w:cnfStyle w:val="000000100000" w:firstRow="0" w:lastRow="0" w:firstColumn="0" w:lastColumn="0" w:oddVBand="0" w:evenVBand="0" w:oddHBand="1" w:evenHBand="0" w:firstRowFirstColumn="0" w:firstRowLastColumn="0" w:lastRowFirstColumn="0" w:lastRowLastColumn="0"/>
            </w:pPr>
            <w:r>
              <w:t>Wards with the highest % of smokers</w:t>
            </w:r>
          </w:p>
        </w:tc>
        <w:tc>
          <w:tcPr>
            <w:tcW w:w="3939" w:type="dxa"/>
            <w:shd w:val="clear" w:color="auto" w:fill="548DD4" w:themeFill="text2" w:themeFillTint="99"/>
            <w:vAlign w:val="center"/>
          </w:tcPr>
          <w:p w:rsidR="00895BDD" w:rsidRDefault="00895BDD" w:rsidP="00031B92">
            <w:pPr>
              <w:cnfStyle w:val="000000100000" w:firstRow="0" w:lastRow="0" w:firstColumn="0" w:lastColumn="0" w:oddVBand="0" w:evenVBand="0" w:oddHBand="1" w:evenHBand="0" w:firstRowFirstColumn="0" w:firstRowLastColumn="0" w:lastRowFirstColumn="0" w:lastRowLastColumn="0"/>
            </w:pPr>
            <w:r>
              <w:t>Wards with the Lowest % of smokers</w:t>
            </w:r>
          </w:p>
        </w:tc>
      </w:tr>
      <w:tr w:rsidR="00895BDD" w:rsidTr="00031B92">
        <w:trPr>
          <w:trHeight w:val="354"/>
        </w:trPr>
        <w:tc>
          <w:tcPr>
            <w:cnfStyle w:val="001000000000" w:firstRow="0" w:lastRow="0" w:firstColumn="1" w:lastColumn="0" w:oddVBand="0" w:evenVBand="0" w:oddHBand="0" w:evenHBand="0" w:firstRowFirstColumn="0" w:firstRowLastColumn="0" w:lastRowFirstColumn="0" w:lastRowLastColumn="0"/>
            <w:tcW w:w="1425" w:type="dxa"/>
            <w:shd w:val="clear" w:color="auto" w:fill="E36C0A" w:themeFill="accent6" w:themeFillShade="BF"/>
            <w:vAlign w:val="center"/>
          </w:tcPr>
          <w:p w:rsidR="00895BDD" w:rsidRDefault="00895BDD" w:rsidP="00031B92">
            <w:r>
              <w:t>11-15 years</w:t>
            </w:r>
          </w:p>
        </w:tc>
        <w:tc>
          <w:tcPr>
            <w:tcW w:w="3807" w:type="dxa"/>
            <w:shd w:val="clear" w:color="auto" w:fill="E36C0A" w:themeFill="accent6" w:themeFillShade="BF"/>
            <w:vAlign w:val="center"/>
          </w:tcPr>
          <w:p w:rsidR="00895BDD" w:rsidRDefault="00895BDD" w:rsidP="00031B92">
            <w:pPr>
              <w:cnfStyle w:val="000000000000" w:firstRow="0" w:lastRow="0" w:firstColumn="0" w:lastColumn="0" w:oddVBand="0" w:evenVBand="0" w:oddHBand="0" w:evenHBand="0" w:firstRowFirstColumn="0" w:firstRowLastColumn="0" w:lastRowFirstColumn="0" w:lastRowLastColumn="0"/>
            </w:pPr>
            <w:r>
              <w:t>Underhill (5.6%), Hendon (5.5%) and Mill Hill (5.4%)</w:t>
            </w:r>
          </w:p>
        </w:tc>
        <w:tc>
          <w:tcPr>
            <w:tcW w:w="3939" w:type="dxa"/>
            <w:shd w:val="clear" w:color="auto" w:fill="E36C0A" w:themeFill="accent6" w:themeFillShade="BF"/>
            <w:vAlign w:val="center"/>
          </w:tcPr>
          <w:p w:rsidR="00895BDD" w:rsidRDefault="00895BDD" w:rsidP="00031B92">
            <w:pPr>
              <w:cnfStyle w:val="000000000000" w:firstRow="0" w:lastRow="0" w:firstColumn="0" w:lastColumn="0" w:oddVBand="0" w:evenVBand="0" w:oddHBand="0" w:evenHBand="0" w:firstRowFirstColumn="0" w:firstRowLastColumn="0" w:lastRowFirstColumn="0" w:lastRowLastColumn="0"/>
            </w:pPr>
            <w:r>
              <w:t>Colindale (1.1%), Childs Hill (1.2%) and Finchley Church End (1.4%)</w:t>
            </w:r>
          </w:p>
        </w:tc>
      </w:tr>
      <w:tr w:rsidR="00895BDD" w:rsidTr="00031B92">
        <w:trPr>
          <w:cnfStyle w:val="000000100000" w:firstRow="0" w:lastRow="0" w:firstColumn="0" w:lastColumn="0" w:oddVBand="0" w:evenVBand="0" w:oddHBand="1"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1425" w:type="dxa"/>
            <w:shd w:val="clear" w:color="auto" w:fill="632423" w:themeFill="accent2" w:themeFillShade="80"/>
            <w:vAlign w:val="center"/>
          </w:tcPr>
          <w:p w:rsidR="00895BDD" w:rsidRDefault="00895BDD" w:rsidP="00031B92">
            <w:r>
              <w:t>15 years</w:t>
            </w:r>
          </w:p>
        </w:tc>
        <w:tc>
          <w:tcPr>
            <w:tcW w:w="3807" w:type="dxa"/>
            <w:shd w:val="clear" w:color="auto" w:fill="632423" w:themeFill="accent2" w:themeFillShade="80"/>
            <w:vAlign w:val="center"/>
          </w:tcPr>
          <w:p w:rsidR="00895BDD" w:rsidRDefault="00895BDD" w:rsidP="00031B92">
            <w:pPr>
              <w:cnfStyle w:val="000000100000" w:firstRow="0" w:lastRow="0" w:firstColumn="0" w:lastColumn="0" w:oddVBand="0" w:evenVBand="0" w:oddHBand="1" w:evenHBand="0" w:firstRowFirstColumn="0" w:firstRowLastColumn="0" w:lastRowFirstColumn="0" w:lastRowLastColumn="0"/>
            </w:pPr>
            <w:r>
              <w:t>Hendon (14.2%), Underhill (12.4%), and Mill Hill (11.3%)</w:t>
            </w:r>
          </w:p>
        </w:tc>
        <w:tc>
          <w:tcPr>
            <w:tcW w:w="3939" w:type="dxa"/>
            <w:shd w:val="clear" w:color="auto" w:fill="632423" w:themeFill="accent2" w:themeFillShade="80"/>
            <w:vAlign w:val="center"/>
          </w:tcPr>
          <w:p w:rsidR="00895BDD" w:rsidRDefault="00895BDD" w:rsidP="00031B92">
            <w:pPr>
              <w:cnfStyle w:val="000000100000" w:firstRow="0" w:lastRow="0" w:firstColumn="0" w:lastColumn="0" w:oddVBand="0" w:evenVBand="0" w:oddHBand="1" w:evenHBand="0" w:firstRowFirstColumn="0" w:firstRowLastColumn="0" w:lastRowFirstColumn="0" w:lastRowLastColumn="0"/>
            </w:pPr>
            <w:r>
              <w:t>Colindale (4.2%), West Hendon (4.3%) and Brunswick Park (4.4%)</w:t>
            </w:r>
          </w:p>
        </w:tc>
      </w:tr>
      <w:tr w:rsidR="00895BDD" w:rsidTr="00031B92">
        <w:trPr>
          <w:trHeight w:val="354"/>
        </w:trPr>
        <w:tc>
          <w:tcPr>
            <w:cnfStyle w:val="001000000000" w:firstRow="0" w:lastRow="0" w:firstColumn="1" w:lastColumn="0" w:oddVBand="0" w:evenVBand="0" w:oddHBand="0" w:evenHBand="0" w:firstRowFirstColumn="0" w:firstRowLastColumn="0" w:lastRowFirstColumn="0" w:lastRowLastColumn="0"/>
            <w:tcW w:w="1425" w:type="dxa"/>
            <w:shd w:val="clear" w:color="auto" w:fill="FF0000"/>
            <w:vAlign w:val="center"/>
          </w:tcPr>
          <w:p w:rsidR="00895BDD" w:rsidRDefault="00895BDD" w:rsidP="00031B92">
            <w:r>
              <w:t>16-17 years</w:t>
            </w:r>
          </w:p>
        </w:tc>
        <w:tc>
          <w:tcPr>
            <w:tcW w:w="3807" w:type="dxa"/>
            <w:shd w:val="clear" w:color="auto" w:fill="FF0000"/>
            <w:vAlign w:val="center"/>
          </w:tcPr>
          <w:p w:rsidR="00895BDD" w:rsidRDefault="00895BDD" w:rsidP="00031B92">
            <w:pPr>
              <w:cnfStyle w:val="000000000000" w:firstRow="0" w:lastRow="0" w:firstColumn="0" w:lastColumn="0" w:oddVBand="0" w:evenVBand="0" w:oddHBand="0" w:evenHBand="0" w:firstRowFirstColumn="0" w:firstRowLastColumn="0" w:lastRowFirstColumn="0" w:lastRowLastColumn="0"/>
            </w:pPr>
            <w:r>
              <w:t>Hendon (22.6%), Underhill (20.1%), and Mill Hill (18.7%)</w:t>
            </w:r>
          </w:p>
        </w:tc>
        <w:tc>
          <w:tcPr>
            <w:tcW w:w="3939" w:type="dxa"/>
            <w:shd w:val="clear" w:color="auto" w:fill="FF0000"/>
            <w:vAlign w:val="center"/>
          </w:tcPr>
          <w:p w:rsidR="00895BDD" w:rsidRDefault="00895BDD" w:rsidP="00031B92">
            <w:pPr>
              <w:cnfStyle w:val="000000000000" w:firstRow="0" w:lastRow="0" w:firstColumn="0" w:lastColumn="0" w:oddVBand="0" w:evenVBand="0" w:oddHBand="0" w:evenHBand="0" w:firstRowFirstColumn="0" w:firstRowLastColumn="0" w:lastRowFirstColumn="0" w:lastRowLastColumn="0"/>
            </w:pPr>
            <w:r>
              <w:t>Colindale (7.8%), West Hendon (7.9%) and Brunswick Park (8.1%)</w:t>
            </w:r>
          </w:p>
        </w:tc>
      </w:tr>
    </w:tbl>
    <w:p w:rsidR="00895BDD" w:rsidRPr="008A799C" w:rsidRDefault="00895BDD" w:rsidP="00895BDD">
      <w:r>
        <w:t>S</w:t>
      </w:r>
      <w:r w:rsidRPr="008A799C">
        <w:t xml:space="preserve">ource: Public Health England. </w:t>
      </w:r>
      <w:hyperlink r:id="rId123" w:history="1">
        <w:r w:rsidRPr="008A799C">
          <w:rPr>
            <w:rStyle w:val="Hyperlink"/>
          </w:rPr>
          <w:t>Local Health</w:t>
        </w:r>
      </w:hyperlink>
    </w:p>
    <w:p w:rsidR="00895BDD" w:rsidRPr="00E06B10" w:rsidRDefault="00895BDD" w:rsidP="00895BDD">
      <w:pPr>
        <w:pStyle w:val="Heading3"/>
        <w:numPr>
          <w:ilvl w:val="2"/>
          <w:numId w:val="35"/>
        </w:numPr>
        <w:jc w:val="both"/>
      </w:pPr>
      <w:bookmarkStart w:id="655" w:name="_Toc422840066"/>
      <w:r w:rsidRPr="00E06B10">
        <w:t xml:space="preserve">Local </w:t>
      </w:r>
      <w:r w:rsidR="00CF501E">
        <w:t>T</w:t>
      </w:r>
      <w:r w:rsidRPr="00E06B10">
        <w:t xml:space="preserve">obacco and </w:t>
      </w:r>
      <w:r w:rsidR="00CF501E">
        <w:t>S</w:t>
      </w:r>
      <w:r w:rsidRPr="00E06B10">
        <w:t xml:space="preserve">moking </w:t>
      </w:r>
      <w:r w:rsidR="00CF501E">
        <w:t>N</w:t>
      </w:r>
      <w:r w:rsidRPr="00E06B10">
        <w:t>eeds</w:t>
      </w:r>
      <w:bookmarkEnd w:id="655"/>
      <w:r w:rsidRPr="00E06B10">
        <w:t xml:space="preserve"> </w:t>
      </w:r>
    </w:p>
    <w:p w:rsidR="00895BDD" w:rsidRPr="00E06B10" w:rsidRDefault="00895BDD" w:rsidP="00895BDD">
      <w:pPr>
        <w:jc w:val="both"/>
      </w:pPr>
      <w:r w:rsidRPr="00E06B10">
        <w:t xml:space="preserve">Local needs for tackling tobacco use and smoking include protecting children from tobacco use and smoking and stop smoking services targeting of poorer smokers and women smokers, especially those who use smokeless tobacco and chew </w:t>
      </w:r>
      <w:proofErr w:type="spellStart"/>
      <w:r w:rsidRPr="00E06B10">
        <w:rPr>
          <w:i/>
        </w:rPr>
        <w:t>paan</w:t>
      </w:r>
      <w:proofErr w:type="spellEnd"/>
      <w:r w:rsidRPr="00E06B10">
        <w:t>.</w:t>
      </w:r>
    </w:p>
    <w:p w:rsidR="00895BDD" w:rsidRPr="00E06B10" w:rsidRDefault="00895BDD" w:rsidP="00895BDD">
      <w:pPr>
        <w:pStyle w:val="Heading2"/>
        <w:numPr>
          <w:ilvl w:val="1"/>
          <w:numId w:val="35"/>
        </w:numPr>
        <w:jc w:val="both"/>
        <w:rPr>
          <w:rFonts w:asciiTheme="minorHAnsi" w:hAnsiTheme="minorHAnsi"/>
        </w:rPr>
      </w:pPr>
      <w:bookmarkStart w:id="656" w:name="_Toc422840067"/>
      <w:bookmarkStart w:id="657" w:name="_Toc426723345"/>
      <w:bookmarkStart w:id="658" w:name="_Toc431225172"/>
      <w:r w:rsidRPr="00E06B10">
        <w:rPr>
          <w:rFonts w:asciiTheme="minorHAnsi" w:hAnsiTheme="minorHAnsi"/>
        </w:rPr>
        <w:t>Obesity</w:t>
      </w:r>
      <w:bookmarkEnd w:id="656"/>
      <w:bookmarkEnd w:id="657"/>
      <w:bookmarkEnd w:id="658"/>
    </w:p>
    <w:p w:rsidR="00895BDD" w:rsidRPr="00E06B10" w:rsidRDefault="00895BDD" w:rsidP="00895BDD">
      <w:pPr>
        <w:jc w:val="both"/>
      </w:pPr>
      <w:r w:rsidRPr="00E06B10">
        <w:t xml:space="preserve">Obesity is a nationwide issue in the UK and the rates of obesity are rising in the country. </w:t>
      </w:r>
      <w:r>
        <w:t>The p</w:t>
      </w:r>
      <w:r w:rsidRPr="00E06B10">
        <w:t xml:space="preserve">revalence of obesity in some London </w:t>
      </w:r>
      <w:r>
        <w:t>Borough</w:t>
      </w:r>
      <w:r w:rsidRPr="00E06B10">
        <w:t xml:space="preserve">s is already high and the rates are rising in </w:t>
      </w:r>
      <w:r>
        <w:t>the London region</w:t>
      </w:r>
      <w:r w:rsidRPr="00E06B10">
        <w:t xml:space="preserve">. </w:t>
      </w:r>
    </w:p>
    <w:p w:rsidR="00895BDD" w:rsidRPr="00E06B10" w:rsidRDefault="00895BDD" w:rsidP="00895BDD">
      <w:pPr>
        <w:pStyle w:val="Heading3"/>
        <w:numPr>
          <w:ilvl w:val="2"/>
          <w:numId w:val="35"/>
        </w:numPr>
        <w:jc w:val="both"/>
      </w:pPr>
      <w:bookmarkStart w:id="659" w:name="_Toc422840068"/>
      <w:r w:rsidRPr="00E06B10">
        <w:t>Obesity in Adults</w:t>
      </w:r>
      <w:bookmarkEnd w:id="659"/>
    </w:p>
    <w:p w:rsidR="00895BDD" w:rsidRDefault="00895BDD" w:rsidP="00895BDD">
      <w:pPr>
        <w:jc w:val="both"/>
      </w:pPr>
      <w:r w:rsidRPr="00E06B10">
        <w:t xml:space="preserve">Barnet has a high percentage of </w:t>
      </w:r>
      <w:r>
        <w:t xml:space="preserve">the </w:t>
      </w:r>
      <w:r w:rsidRPr="00E06B10">
        <w:t xml:space="preserve">adult population with </w:t>
      </w:r>
      <w:r>
        <w:t xml:space="preserve">a </w:t>
      </w:r>
      <w:r w:rsidRPr="00E06B10">
        <w:t>healthy weight (42.1%) and a low percentage with excess weight (55.</w:t>
      </w:r>
      <w:r>
        <w:t>7</w:t>
      </w:r>
      <w:r w:rsidRPr="00E06B10">
        <w:t>%) (</w:t>
      </w:r>
      <w:proofErr w:type="gramStart"/>
      <w:r w:rsidRPr="00E06B10">
        <w:t>combined</w:t>
      </w:r>
      <w:proofErr w:type="gramEnd"/>
      <w:r w:rsidRPr="00E06B10">
        <w:t xml:space="preserve"> overweight (35.2%) plus obese (20.5%)) </w:t>
      </w:r>
      <w:r w:rsidRPr="00E06B10">
        <w:lastRenderedPageBreak/>
        <w:t xml:space="preserve">compared to the average adult weights </w:t>
      </w:r>
      <w:r>
        <w:t>nationally</w:t>
      </w:r>
      <w:r w:rsidRPr="00E06B10">
        <w:t xml:space="preserve"> (Figure </w:t>
      </w:r>
      <w:r>
        <w:t>6-4</w:t>
      </w:r>
      <w:r w:rsidRPr="00E06B10">
        <w:t xml:space="preserve">); however, Barnet has a high percentage of underweight adults (2.3%) compared to the national level (1.2%). </w:t>
      </w:r>
    </w:p>
    <w:p w:rsidR="00895BDD" w:rsidRPr="00F77511" w:rsidRDefault="00895BDD" w:rsidP="00895BDD">
      <w:pPr>
        <w:jc w:val="both"/>
      </w:pPr>
      <w:r w:rsidRPr="00F77511">
        <w:t xml:space="preserve">Public Health England’s modelled estimate of adult obesity in Barnet shows that the three wards with the highest percentage of adult obesity include Burnt Oak (23.7%), Colindale (22.1%) and Underhill (21.6%) wards while the three wards having the lowest percentage of adult obesity include Garden Suburb (12.8%), Finchley </w:t>
      </w:r>
      <w:r>
        <w:t>C</w:t>
      </w:r>
      <w:r w:rsidRPr="00F77511">
        <w:t xml:space="preserve">hurch End (14.7%) and West Finchley (14.8%) wards in Barnet.  </w:t>
      </w:r>
    </w:p>
    <w:p w:rsidR="00895BDD" w:rsidRPr="00E06B10" w:rsidRDefault="00895BDD" w:rsidP="00895BDD">
      <w:pPr>
        <w:jc w:val="both"/>
      </w:pPr>
      <w:r w:rsidRPr="00F77511">
        <w:t>In Barnet, there were 117 cases (31 male and 86 female) of hospital admissions with a prima</w:t>
      </w:r>
      <w:r w:rsidR="00270AEE">
        <w:t>ry diagnosis of obesity in 2013/</w:t>
      </w:r>
      <w:r w:rsidRPr="00F77511">
        <w:t>14. This equated to the rate of hospital admissions with primary obesity in Barnet at 32 / 100,000 persons (rate: males = 17, females = 46), which was higher than the average rates for the London region (rates: all persons =25, males = 13, females = 37) and England (rates: all persons = 17, males = 10 and females = 25).</w:t>
      </w:r>
      <w:bookmarkStart w:id="660" w:name="_Ref420075676"/>
      <w:r w:rsidRPr="00F77511">
        <w:rPr>
          <w:rStyle w:val="FootnoteReference"/>
        </w:rPr>
        <w:footnoteReference w:id="97"/>
      </w:r>
      <w:bookmarkEnd w:id="660"/>
      <w:r w:rsidRPr="00F77511">
        <w:t xml:space="preserve"> In addition, the rates (per 100,000 population) of finished consultant episodes in an inpatient setting with a primary diagnosis of obesity and a main or secondary procedure of ‘Bariatric surgery’ in Barnet (all persons =25, males = 12 and females =37) were higher than the average rates for the London region (rates: all persons =19, males = 9 and females =28) and nationally (rates: all persons =12, males = 6 and females =18).</w:t>
      </w:r>
      <w:r w:rsidRPr="00F77511">
        <w:fldChar w:fldCharType="begin"/>
      </w:r>
      <w:r w:rsidRPr="00F77511">
        <w:instrText xml:space="preserve"> NOTEREF _Ref420075676 \f \h </w:instrText>
      </w:r>
      <w:r>
        <w:instrText xml:space="preserve"> \* MERGEFORMAT </w:instrText>
      </w:r>
      <w:r w:rsidRPr="00F77511">
        <w:fldChar w:fldCharType="separate"/>
      </w:r>
      <w:r w:rsidR="001663C2" w:rsidRPr="001663C2">
        <w:rPr>
          <w:rStyle w:val="FootnoteReference"/>
        </w:rPr>
        <w:t>97</w:t>
      </w:r>
      <w:r w:rsidRPr="00F77511">
        <w:fldChar w:fldCharType="end"/>
      </w:r>
      <w:r w:rsidRPr="00E06B10">
        <w:t xml:space="preserve"> </w:t>
      </w:r>
    </w:p>
    <w:p w:rsidR="00895BDD" w:rsidRPr="00E06B10" w:rsidRDefault="00895BDD" w:rsidP="00895BDD">
      <w:pPr>
        <w:pStyle w:val="Caption"/>
      </w:pPr>
      <w:r>
        <w:t xml:space="preserve">Figure </w:t>
      </w:r>
      <w:fldSimple w:instr=" STYLEREF 1 \s ">
        <w:r w:rsidR="001663C2">
          <w:rPr>
            <w:noProof/>
          </w:rPr>
          <w:t>6</w:t>
        </w:r>
      </w:fldSimple>
      <w:r w:rsidR="00943DC2">
        <w:noBreakHyphen/>
      </w:r>
      <w:fldSimple w:instr=" SEQ Figure \* ARABIC \s 1 ">
        <w:r w:rsidR="001663C2">
          <w:rPr>
            <w:noProof/>
          </w:rPr>
          <w:t>4</w:t>
        </w:r>
      </w:fldSimple>
      <w:r>
        <w:t>:</w:t>
      </w:r>
      <w:r w:rsidRPr="00E06B10">
        <w:t xml:space="preserve"> Prevalence of underweight, healthy weight, overweight, obesity, and excess weight among adults in Barnet (2012)</w:t>
      </w:r>
    </w:p>
    <w:p w:rsidR="00895BDD" w:rsidRPr="00E06B10" w:rsidRDefault="00895BDD" w:rsidP="00895BDD">
      <w:pPr>
        <w:spacing w:after="0" w:line="240" w:lineRule="auto"/>
        <w:jc w:val="center"/>
      </w:pPr>
      <w:r w:rsidRPr="00E06B10">
        <w:rPr>
          <w:noProof/>
          <w:lang w:eastAsia="en-GB"/>
        </w:rPr>
        <w:drawing>
          <wp:inline distT="0" distB="0" distL="0" distR="0" wp14:anchorId="36ED9884" wp14:editId="5400C3B0">
            <wp:extent cx="4593265" cy="2732568"/>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4593265" cy="2732568"/>
                    </a:xfrm>
                    <a:prstGeom prst="rect">
                      <a:avLst/>
                    </a:prstGeom>
                  </pic:spPr>
                </pic:pic>
              </a:graphicData>
            </a:graphic>
          </wp:inline>
        </w:drawing>
      </w:r>
    </w:p>
    <w:p w:rsidR="00895BDD" w:rsidRPr="008A799C" w:rsidRDefault="00895BDD" w:rsidP="00895BDD">
      <w:pPr>
        <w:pStyle w:val="FootnoteText"/>
        <w:rPr>
          <w:rFonts w:asciiTheme="minorHAnsi" w:hAnsiTheme="minorHAnsi"/>
          <w:sz w:val="22"/>
          <w:szCs w:val="22"/>
        </w:rPr>
      </w:pPr>
      <w:r w:rsidRPr="008A799C">
        <w:rPr>
          <w:rFonts w:asciiTheme="minorHAnsi" w:hAnsiTheme="minorHAnsi"/>
          <w:sz w:val="22"/>
          <w:szCs w:val="22"/>
        </w:rPr>
        <w:t xml:space="preserve">Source: Public Health England </w:t>
      </w:r>
      <w:hyperlink r:id="rId125" w:history="1">
        <w:r w:rsidRPr="008A799C">
          <w:rPr>
            <w:rStyle w:val="Hyperlink"/>
            <w:rFonts w:asciiTheme="minorHAnsi" w:hAnsiTheme="minorHAnsi"/>
            <w:sz w:val="22"/>
            <w:szCs w:val="22"/>
          </w:rPr>
          <w:t>Adults: identifying and accessing local area obesity data</w:t>
        </w:r>
      </w:hyperlink>
    </w:p>
    <w:p w:rsidR="00895BDD" w:rsidRPr="00E06B10" w:rsidRDefault="00895BDD" w:rsidP="00895BDD">
      <w:pPr>
        <w:pStyle w:val="Heading4"/>
        <w:numPr>
          <w:ilvl w:val="3"/>
          <w:numId w:val="35"/>
        </w:numPr>
        <w:ind w:left="851" w:hanging="851"/>
        <w:jc w:val="both"/>
      </w:pPr>
      <w:r w:rsidRPr="00E06B10">
        <w:t xml:space="preserve">Adult </w:t>
      </w:r>
      <w:r w:rsidR="00CF501E">
        <w:t>O</w:t>
      </w:r>
      <w:r w:rsidRPr="00E06B10">
        <w:t>besity</w:t>
      </w:r>
      <w:r w:rsidR="00CF501E">
        <w:t xml:space="preserve"> N</w:t>
      </w:r>
      <w:r w:rsidRPr="00E06B10">
        <w:t>eeds</w:t>
      </w:r>
    </w:p>
    <w:p w:rsidR="00895BDD" w:rsidRPr="00E06B10" w:rsidRDefault="00895BDD" w:rsidP="00895BDD">
      <w:r w:rsidRPr="00E06B10">
        <w:t xml:space="preserve">Although overall obesity in </w:t>
      </w:r>
      <w:r>
        <w:t xml:space="preserve">the </w:t>
      </w:r>
      <w:r w:rsidRPr="00E06B10">
        <w:t xml:space="preserve">adult population in Barnet is lower than the national level, the high rates of hospital admissions due to obesity in Barnet suggest </w:t>
      </w:r>
      <w:r>
        <w:t xml:space="preserve">a need for </w:t>
      </w:r>
      <w:r w:rsidRPr="00E06B10">
        <w:t>reducing adult obesity through targeted interventions</w:t>
      </w:r>
      <w:r>
        <w:t xml:space="preserve">. These include </w:t>
      </w:r>
      <w:r w:rsidRPr="00E06B10">
        <w:t>promotion of healthy lifestyle</w:t>
      </w:r>
      <w:r>
        <w:t>s</w:t>
      </w:r>
      <w:r w:rsidRPr="00E06B10">
        <w:t>, physical activity and eating healthy diets as well as meeting the health and care needs of obese adults to avoid hospital emergency admission</w:t>
      </w:r>
      <w:r>
        <w:t>s</w:t>
      </w:r>
      <w:r w:rsidRPr="00E06B10">
        <w:t xml:space="preserve">. </w:t>
      </w:r>
    </w:p>
    <w:p w:rsidR="00895BDD" w:rsidRPr="00E06B10" w:rsidRDefault="00895BDD" w:rsidP="00895BDD">
      <w:pPr>
        <w:pStyle w:val="Heading3"/>
        <w:numPr>
          <w:ilvl w:val="2"/>
          <w:numId w:val="35"/>
        </w:numPr>
        <w:jc w:val="both"/>
      </w:pPr>
      <w:bookmarkStart w:id="661" w:name="_Toc422840069"/>
      <w:r w:rsidRPr="00E06B10">
        <w:lastRenderedPageBreak/>
        <w:t>Obesity in Children</w:t>
      </w:r>
      <w:bookmarkEnd w:id="661"/>
    </w:p>
    <w:p w:rsidR="00895BDD" w:rsidRPr="00E06B10" w:rsidRDefault="00895BDD" w:rsidP="00895BDD">
      <w:r w:rsidRPr="00E06B10">
        <w:t xml:space="preserve">In Barnet, obesity in children is low compared to the average rates in </w:t>
      </w:r>
      <w:r>
        <w:t xml:space="preserve">the </w:t>
      </w:r>
      <w:r w:rsidRPr="00E06B10">
        <w:t xml:space="preserve">London region and </w:t>
      </w:r>
      <w:r>
        <w:t>nationally</w:t>
      </w:r>
      <w:r w:rsidRPr="00E06B10">
        <w:t>. Barnet children’s weight profile</w:t>
      </w:r>
      <w:r>
        <w:t>s</w:t>
      </w:r>
      <w:r w:rsidRPr="00E06B10">
        <w:t xml:space="preserve"> based on the latest NCMP data </w:t>
      </w:r>
      <w:r>
        <w:t>are</w:t>
      </w:r>
      <w:r w:rsidRPr="00E06B10">
        <w:t xml:space="preserve"> given below.</w:t>
      </w:r>
    </w:p>
    <w:p w:rsidR="00895BDD" w:rsidRPr="00E06B10" w:rsidRDefault="00895BDD" w:rsidP="00895BDD">
      <w:pPr>
        <w:pStyle w:val="Heading4"/>
        <w:numPr>
          <w:ilvl w:val="3"/>
          <w:numId w:val="35"/>
        </w:numPr>
        <w:ind w:left="851" w:hanging="851"/>
        <w:jc w:val="both"/>
      </w:pPr>
      <w:r w:rsidRPr="00E06B10">
        <w:t xml:space="preserve">Reception-Year </w:t>
      </w:r>
      <w:r w:rsidR="00CF501E">
        <w:t>C</w:t>
      </w:r>
      <w:r w:rsidRPr="00E06B10">
        <w:t>hildren (aged 4-5 years)</w:t>
      </w:r>
    </w:p>
    <w:p w:rsidR="00895BDD" w:rsidRPr="00F77511" w:rsidRDefault="00895BDD" w:rsidP="00895BDD">
      <w:pPr>
        <w:jc w:val="both"/>
      </w:pPr>
      <w:r w:rsidRPr="00E06B10">
        <w:t>In reception year children (aged 4-5 years)</w:t>
      </w:r>
      <w:r>
        <w:t xml:space="preserve"> the</w:t>
      </w:r>
      <w:r w:rsidRPr="00E06B10">
        <w:t xml:space="preserve"> percentage of excess weight (overweight and obese) was 21% in 2013/14 in Barnet,</w:t>
      </w:r>
      <w:r>
        <w:t xml:space="preserve"> which wa</w:t>
      </w:r>
      <w:r w:rsidRPr="00E06B10">
        <w:t>s</w:t>
      </w:r>
      <w:r>
        <w:t xml:space="preserve"> </w:t>
      </w:r>
      <w:r w:rsidRPr="00E06B10">
        <w:t>lower tha</w:t>
      </w:r>
      <w:r>
        <w:t>n</w:t>
      </w:r>
      <w:r w:rsidRPr="00E06B10">
        <w:t xml:space="preserve"> the average rates for </w:t>
      </w:r>
      <w:r>
        <w:t xml:space="preserve">the </w:t>
      </w:r>
      <w:r w:rsidRPr="00E06B10">
        <w:t xml:space="preserve">London region </w:t>
      </w:r>
      <w:r w:rsidRPr="00F77511">
        <w:t xml:space="preserve">(23.1%) and England (22.5%) </w:t>
      </w:r>
      <w:proofErr w:type="gramStart"/>
      <w:r w:rsidRPr="00F77511">
        <w:t xml:space="preserve">(Figure </w:t>
      </w:r>
      <w:r>
        <w:t>6-5</w:t>
      </w:r>
      <w:r w:rsidRPr="00F77511">
        <w:t>a).</w:t>
      </w:r>
      <w:proofErr w:type="gramEnd"/>
      <w:r w:rsidRPr="00F77511">
        <w:t xml:space="preserve"> In Barnet, the proportion of excess weight children in this age group declined in 2013</w:t>
      </w:r>
      <w:r w:rsidR="00270AEE">
        <w:t>/</w:t>
      </w:r>
      <w:r w:rsidRPr="00F77511">
        <w:t xml:space="preserve">14 compared to the previous five years. In addition, the proportion of obese children in 4-5 year olds in Barnet also declined below the average rates in the London region and nationally (Figure </w:t>
      </w:r>
      <w:r>
        <w:t>6-5</w:t>
      </w:r>
      <w:r w:rsidRPr="00F77511">
        <w:t xml:space="preserve">b). However, the proportion of underweight reception children (aged 4-5 years) in Barnet (1.37%) is higher than the average national rate (0.95%). </w:t>
      </w:r>
    </w:p>
    <w:p w:rsidR="00895BDD" w:rsidRPr="00E06B10" w:rsidRDefault="00895BDD" w:rsidP="00895BDD">
      <w:pPr>
        <w:jc w:val="both"/>
      </w:pPr>
      <w:r w:rsidRPr="00F77511">
        <w:t>The prevalence of obesity in reception year children was the highest in Colindale (13.1%), Edgware (13.1%) and Burnt Oak (12.1%) wards while the lowest in Garden Suburb (5.6%), High Barnet (5.8%) and Finchley Church End (6.2%) wards in Barnet.</w:t>
      </w:r>
      <w:r>
        <w:t xml:space="preserve">  </w:t>
      </w:r>
    </w:p>
    <w:p w:rsidR="00895BDD" w:rsidRPr="00E06B10" w:rsidRDefault="00895BDD" w:rsidP="00895BDD">
      <w:pPr>
        <w:pStyle w:val="Heading4"/>
        <w:numPr>
          <w:ilvl w:val="3"/>
          <w:numId w:val="35"/>
        </w:numPr>
        <w:ind w:left="851" w:hanging="851"/>
        <w:jc w:val="both"/>
      </w:pPr>
      <w:r w:rsidRPr="00E06B10">
        <w:t xml:space="preserve">Reception </w:t>
      </w:r>
      <w:r w:rsidR="00CF501E">
        <w:t>Year C</w:t>
      </w:r>
      <w:r w:rsidRPr="00E06B10">
        <w:t xml:space="preserve">hildren’s </w:t>
      </w:r>
      <w:r w:rsidR="00CF501E">
        <w:t>N</w:t>
      </w:r>
      <w:r w:rsidRPr="00E06B10">
        <w:t>eeds</w:t>
      </w:r>
    </w:p>
    <w:p w:rsidR="00895BDD" w:rsidRPr="00E06B10" w:rsidRDefault="00895BDD" w:rsidP="00895BDD">
      <w:r w:rsidRPr="00E06B10">
        <w:t xml:space="preserve">The data suggests improving diet intake in underweight reception year pupils in Barnet. </w:t>
      </w:r>
    </w:p>
    <w:p w:rsidR="00895BDD" w:rsidRPr="00E06B10" w:rsidRDefault="00895BDD" w:rsidP="00895BDD">
      <w:pPr>
        <w:pStyle w:val="Caption"/>
      </w:pPr>
      <w:r>
        <w:t xml:space="preserve">Figure </w:t>
      </w:r>
      <w:fldSimple w:instr=" STYLEREF 1 \s ">
        <w:r w:rsidR="001663C2">
          <w:rPr>
            <w:noProof/>
          </w:rPr>
          <w:t>6</w:t>
        </w:r>
      </w:fldSimple>
      <w:r w:rsidR="00943DC2">
        <w:noBreakHyphen/>
      </w:r>
      <w:fldSimple w:instr=" SEQ Figure \* ARABIC \s 1 ">
        <w:r w:rsidR="001663C2">
          <w:rPr>
            <w:noProof/>
          </w:rPr>
          <w:t>5</w:t>
        </w:r>
      </w:fldSimple>
      <w:r>
        <w:t>a&amp;b:</w:t>
      </w:r>
      <w:r w:rsidRPr="00E06B10">
        <w:t xml:space="preserve"> Excess weight and obesity in 4-5 year old children</w:t>
      </w:r>
    </w:p>
    <w:p w:rsidR="00895BDD" w:rsidRPr="00E06B10" w:rsidRDefault="00895BDD" w:rsidP="00895BDD">
      <w:pPr>
        <w:spacing w:after="0" w:line="240" w:lineRule="auto"/>
      </w:pPr>
      <w:r w:rsidRPr="00E06B10">
        <w:rPr>
          <w:noProof/>
          <w:lang w:eastAsia="en-GB"/>
        </w:rPr>
        <w:drawing>
          <wp:inline distT="0" distB="0" distL="0" distR="0" wp14:anchorId="3C601892" wp14:editId="4D9B6684">
            <wp:extent cx="2693534" cy="2038350"/>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2702539" cy="2045165"/>
                    </a:xfrm>
                    <a:prstGeom prst="rect">
                      <a:avLst/>
                    </a:prstGeom>
                  </pic:spPr>
                </pic:pic>
              </a:graphicData>
            </a:graphic>
          </wp:inline>
        </w:drawing>
      </w:r>
      <w:r w:rsidRPr="00E06B10">
        <w:rPr>
          <w:noProof/>
          <w:lang w:eastAsia="en-GB"/>
        </w:rPr>
        <w:t xml:space="preserve"> </w:t>
      </w:r>
      <w:r w:rsidRPr="00E06B10">
        <w:rPr>
          <w:noProof/>
          <w:lang w:eastAsia="en-GB"/>
        </w:rPr>
        <w:drawing>
          <wp:inline distT="0" distB="0" distL="0" distR="0" wp14:anchorId="5DB8A8BF" wp14:editId="102E9C94">
            <wp:extent cx="2703021" cy="2042784"/>
            <wp:effectExtent l="0" t="0" r="254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2708187" cy="2046688"/>
                    </a:xfrm>
                    <a:prstGeom prst="rect">
                      <a:avLst/>
                    </a:prstGeom>
                  </pic:spPr>
                </pic:pic>
              </a:graphicData>
            </a:graphic>
          </wp:inline>
        </w:drawing>
      </w:r>
    </w:p>
    <w:p w:rsidR="00895BDD" w:rsidRPr="008A799C" w:rsidRDefault="00895BDD" w:rsidP="00895BDD">
      <w:pPr>
        <w:pStyle w:val="FootnoteText"/>
        <w:rPr>
          <w:rFonts w:asciiTheme="minorHAnsi" w:hAnsiTheme="minorHAnsi"/>
          <w:sz w:val="22"/>
          <w:szCs w:val="22"/>
        </w:rPr>
      </w:pPr>
      <w:r w:rsidRPr="008A799C">
        <w:rPr>
          <w:rFonts w:asciiTheme="minorHAnsi" w:hAnsiTheme="minorHAnsi"/>
          <w:sz w:val="22"/>
          <w:szCs w:val="22"/>
        </w:rPr>
        <w:t>Source: Health and Social Care Information Centre, National Child Measurement Programme (NCMP)</w:t>
      </w:r>
    </w:p>
    <w:p w:rsidR="00895BDD" w:rsidRPr="00E06B10" w:rsidRDefault="00895BDD" w:rsidP="00895BDD">
      <w:pPr>
        <w:pStyle w:val="Heading4"/>
        <w:numPr>
          <w:ilvl w:val="3"/>
          <w:numId w:val="35"/>
        </w:numPr>
        <w:ind w:left="851" w:hanging="851"/>
        <w:jc w:val="both"/>
      </w:pPr>
      <w:r w:rsidRPr="00E06B10">
        <w:t xml:space="preserve">Year 6 </w:t>
      </w:r>
      <w:r w:rsidR="00CF501E">
        <w:t>C</w:t>
      </w:r>
      <w:r w:rsidRPr="00E06B10">
        <w:t>hildren (aged 10-11 years)</w:t>
      </w:r>
    </w:p>
    <w:p w:rsidR="00895BDD" w:rsidRDefault="00895BDD" w:rsidP="00895BDD">
      <w:pPr>
        <w:jc w:val="both"/>
      </w:pPr>
      <w:r w:rsidRPr="00E06B10">
        <w:t xml:space="preserve">In Barnet, </w:t>
      </w:r>
      <w:r>
        <w:t xml:space="preserve">the </w:t>
      </w:r>
      <w:r w:rsidRPr="00E06B10">
        <w:t>obesity rate for Year 6 children (10-11 year olds) slightly increased to 19.41</w:t>
      </w:r>
      <w:r>
        <w:t>%</w:t>
      </w:r>
      <w:r w:rsidRPr="00E06B10">
        <w:t xml:space="preserve"> in 2013</w:t>
      </w:r>
      <w:r w:rsidR="00270AEE">
        <w:t>/</w:t>
      </w:r>
      <w:r w:rsidRPr="00E06B10">
        <w:t xml:space="preserve">14 compared to 19.07% in 2012/13, which </w:t>
      </w:r>
      <w:r>
        <w:t>wa</w:t>
      </w:r>
      <w:r w:rsidRPr="00E06B10">
        <w:t>s similar to the national rate (19.09</w:t>
      </w:r>
      <w:r>
        <w:t>%</w:t>
      </w:r>
      <w:r w:rsidRPr="00E06B10">
        <w:t>) but</w:t>
      </w:r>
      <w:r>
        <w:t xml:space="preserve"> </w:t>
      </w:r>
      <w:r w:rsidRPr="00E06B10">
        <w:t>lower than the London regional rate (22.39%) for 2013</w:t>
      </w:r>
      <w:r w:rsidR="00270AEE">
        <w:t>/</w:t>
      </w:r>
      <w:r w:rsidRPr="00E06B10">
        <w:t>14 (Figure</w:t>
      </w:r>
      <w:r>
        <w:t xml:space="preserve"> 6-6a</w:t>
      </w:r>
      <w:r w:rsidRPr="00E06B10">
        <w:t xml:space="preserve">). </w:t>
      </w:r>
    </w:p>
    <w:p w:rsidR="00895BDD" w:rsidRPr="00E06B10" w:rsidRDefault="00895BDD" w:rsidP="00895BDD">
      <w:pPr>
        <w:jc w:val="both"/>
      </w:pPr>
      <w:r w:rsidRPr="00E06B10">
        <w:t xml:space="preserve">The proportion of excess weight in 10-11 </w:t>
      </w:r>
      <w:r>
        <w:t xml:space="preserve">years </w:t>
      </w:r>
      <w:r w:rsidRPr="00E06B10">
        <w:t>old children in Barnet has also increased to 34.</w:t>
      </w:r>
      <w:r>
        <w:t>4</w:t>
      </w:r>
      <w:r w:rsidR="00270AEE">
        <w:t>% in 2013/</w:t>
      </w:r>
      <w:r w:rsidRPr="00E06B10">
        <w:t>14 compare</w:t>
      </w:r>
      <w:r w:rsidR="00270AEE">
        <w:t>d to 33.6% in 2012/</w:t>
      </w:r>
      <w:r w:rsidRPr="00E06B10">
        <w:t>13. The rate of excess weight in 10-11 year olds in Barnet is similar to the national rate but</w:t>
      </w:r>
      <w:r>
        <w:t xml:space="preserve"> </w:t>
      </w:r>
      <w:r w:rsidRPr="00E06B10">
        <w:t xml:space="preserve">lower than the rate </w:t>
      </w:r>
      <w:r>
        <w:t xml:space="preserve">in the </w:t>
      </w:r>
      <w:r w:rsidR="00270AEE">
        <w:t>London region (37.59) for 2013/</w:t>
      </w:r>
      <w:r w:rsidRPr="00E06B10">
        <w:t xml:space="preserve">14 (Figure </w:t>
      </w:r>
      <w:r>
        <w:t>6-6b</w:t>
      </w:r>
      <w:r w:rsidRPr="00E06B10">
        <w:t>).</w:t>
      </w:r>
    </w:p>
    <w:p w:rsidR="00895BDD" w:rsidRPr="00F77511" w:rsidRDefault="00895BDD" w:rsidP="00895BDD">
      <w:pPr>
        <w:jc w:val="both"/>
      </w:pPr>
      <w:r w:rsidRPr="00F77511">
        <w:t xml:space="preserve">The prevalence of obesity in </w:t>
      </w:r>
      <w:r>
        <w:t>Y</w:t>
      </w:r>
      <w:r w:rsidRPr="00F77511">
        <w:t xml:space="preserve">ear </w:t>
      </w:r>
      <w:r>
        <w:t>6</w:t>
      </w:r>
      <w:r w:rsidRPr="00F77511">
        <w:t xml:space="preserve"> children was the highest in Colindale (25.1%), Burnt Oak (24.4%) and Hale (22.1%) wards while the lowest in Finchley Church End (13.2%), Garden Suburb (13.4%) and High Barnet (14.5%) wards in Barnet. </w:t>
      </w:r>
    </w:p>
    <w:p w:rsidR="00895BDD" w:rsidRPr="00E06B10" w:rsidRDefault="00895BDD" w:rsidP="00895BDD">
      <w:pPr>
        <w:jc w:val="both"/>
      </w:pPr>
      <w:r w:rsidRPr="00F77511">
        <w:lastRenderedPageBreak/>
        <w:t xml:space="preserve">Overall, Colindale ward has the highest percentage of obese children in both the reception year and </w:t>
      </w:r>
      <w:r>
        <w:t>Y</w:t>
      </w:r>
      <w:r w:rsidRPr="00F77511">
        <w:t>ear 6.</w:t>
      </w:r>
      <w:r>
        <w:t xml:space="preserve">   </w:t>
      </w:r>
    </w:p>
    <w:p w:rsidR="00895BDD" w:rsidRPr="00E06B10" w:rsidRDefault="00895BDD" w:rsidP="00895BDD">
      <w:pPr>
        <w:pStyle w:val="Caption"/>
      </w:pPr>
      <w:r>
        <w:t xml:space="preserve">Figure </w:t>
      </w:r>
      <w:fldSimple w:instr=" STYLEREF 1 \s ">
        <w:r w:rsidR="001663C2">
          <w:rPr>
            <w:noProof/>
          </w:rPr>
          <w:t>6</w:t>
        </w:r>
      </w:fldSimple>
      <w:r w:rsidR="00943DC2">
        <w:noBreakHyphen/>
      </w:r>
      <w:fldSimple w:instr=" SEQ Figure \* ARABIC \s 1 ">
        <w:r w:rsidR="001663C2">
          <w:rPr>
            <w:noProof/>
          </w:rPr>
          <w:t>6</w:t>
        </w:r>
      </w:fldSimple>
      <w:r>
        <w:t xml:space="preserve"> </w:t>
      </w:r>
      <w:proofErr w:type="spellStart"/>
      <w:r>
        <w:t>a&amp;b</w:t>
      </w:r>
      <w:proofErr w:type="spellEnd"/>
      <w:r>
        <w:t>:</w:t>
      </w:r>
      <w:r w:rsidRPr="00E06B10">
        <w:t xml:space="preserve"> Prevalence of obesity and excess weight in children aged 10-11 years</w:t>
      </w:r>
    </w:p>
    <w:p w:rsidR="00895BDD" w:rsidRPr="00E06B10" w:rsidRDefault="00895BDD" w:rsidP="00895BDD">
      <w:pPr>
        <w:spacing w:after="0" w:line="240" w:lineRule="auto"/>
      </w:pPr>
      <w:r w:rsidRPr="00E06B10">
        <w:rPr>
          <w:noProof/>
          <w:lang w:eastAsia="en-GB"/>
        </w:rPr>
        <w:drawing>
          <wp:inline distT="0" distB="0" distL="0" distR="0" wp14:anchorId="67399089" wp14:editId="266ACF82">
            <wp:extent cx="2734215" cy="2133600"/>
            <wp:effectExtent l="0" t="0" r="9525"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2738841" cy="2137210"/>
                    </a:xfrm>
                    <a:prstGeom prst="rect">
                      <a:avLst/>
                    </a:prstGeom>
                  </pic:spPr>
                </pic:pic>
              </a:graphicData>
            </a:graphic>
          </wp:inline>
        </w:drawing>
      </w:r>
      <w:r w:rsidRPr="00E06B10">
        <w:t xml:space="preserve"> </w:t>
      </w:r>
      <w:r w:rsidRPr="00E06B10">
        <w:rPr>
          <w:noProof/>
          <w:lang w:eastAsia="en-GB"/>
        </w:rPr>
        <w:drawing>
          <wp:inline distT="0" distB="0" distL="0" distR="0" wp14:anchorId="6AA76BBE" wp14:editId="33DD36BC">
            <wp:extent cx="2736699" cy="2133600"/>
            <wp:effectExtent l="0" t="0" r="6985"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2731448" cy="2129507"/>
                    </a:xfrm>
                    <a:prstGeom prst="rect">
                      <a:avLst/>
                    </a:prstGeom>
                  </pic:spPr>
                </pic:pic>
              </a:graphicData>
            </a:graphic>
          </wp:inline>
        </w:drawing>
      </w:r>
    </w:p>
    <w:p w:rsidR="00895BDD" w:rsidRPr="008A799C" w:rsidRDefault="00895BDD" w:rsidP="00895BDD">
      <w:pPr>
        <w:pStyle w:val="FootnoteText"/>
        <w:rPr>
          <w:rStyle w:val="Hyperlink"/>
          <w:rFonts w:asciiTheme="minorHAnsi" w:hAnsiTheme="minorHAnsi"/>
          <w:sz w:val="22"/>
          <w:szCs w:val="22"/>
        </w:rPr>
      </w:pPr>
      <w:r w:rsidRPr="008A799C">
        <w:rPr>
          <w:rFonts w:asciiTheme="minorHAnsi" w:hAnsiTheme="minorHAnsi"/>
          <w:sz w:val="22"/>
          <w:szCs w:val="22"/>
        </w:rPr>
        <w:t xml:space="preserve">Source: Health and Social Care Information Centre. </w:t>
      </w:r>
      <w:hyperlink r:id="rId130" w:history="1">
        <w:r w:rsidRPr="008A799C">
          <w:rPr>
            <w:rStyle w:val="Hyperlink"/>
            <w:rFonts w:asciiTheme="minorHAnsi" w:hAnsiTheme="minorHAnsi"/>
            <w:sz w:val="22"/>
            <w:szCs w:val="22"/>
          </w:rPr>
          <w:t>National Child Measurement Programme</w:t>
        </w:r>
      </w:hyperlink>
    </w:p>
    <w:p w:rsidR="00895BDD" w:rsidRDefault="00895BDD" w:rsidP="00895BDD"/>
    <w:p w:rsidR="00895BDD" w:rsidRPr="00E06B10" w:rsidRDefault="00895BDD" w:rsidP="00895BDD">
      <w:pPr>
        <w:pStyle w:val="Heading2"/>
        <w:numPr>
          <w:ilvl w:val="1"/>
          <w:numId w:val="35"/>
        </w:numPr>
        <w:jc w:val="both"/>
        <w:rPr>
          <w:rFonts w:asciiTheme="minorHAnsi" w:hAnsiTheme="minorHAnsi"/>
        </w:rPr>
      </w:pPr>
      <w:bookmarkStart w:id="662" w:name="_Toc422840070"/>
      <w:bookmarkStart w:id="663" w:name="_Toc426723346"/>
      <w:bookmarkStart w:id="664" w:name="_Toc431225173"/>
      <w:r w:rsidRPr="00E06B10">
        <w:rPr>
          <w:rFonts w:asciiTheme="minorHAnsi" w:hAnsiTheme="minorHAnsi"/>
        </w:rPr>
        <w:t>Physical Activity</w:t>
      </w:r>
      <w:bookmarkEnd w:id="662"/>
      <w:bookmarkEnd w:id="663"/>
      <w:bookmarkEnd w:id="664"/>
    </w:p>
    <w:p w:rsidR="00895BDD" w:rsidRPr="00E06B10" w:rsidRDefault="00895BDD" w:rsidP="00895BDD">
      <w:pPr>
        <w:jc w:val="both"/>
      </w:pPr>
      <w:r w:rsidRPr="00E06B10">
        <w:t xml:space="preserve">The </w:t>
      </w:r>
      <w:hyperlink r:id="rId131" w:history="1">
        <w:r w:rsidRPr="00E06B10">
          <w:rPr>
            <w:rStyle w:val="Hyperlink"/>
          </w:rPr>
          <w:t>UK Chief Medical Officer has recommended physical activity</w:t>
        </w:r>
      </w:hyperlink>
      <w:r w:rsidRPr="00E06B10">
        <w:t xml:space="preserve"> at all ages and for adults </w:t>
      </w:r>
      <w:r>
        <w:t>has</w:t>
      </w:r>
      <w:r w:rsidRPr="00E06B10">
        <w:t xml:space="preserve"> recommended at least 150 minutes </w:t>
      </w:r>
      <w:r>
        <w:t xml:space="preserve">of </w:t>
      </w:r>
      <w:r w:rsidRPr="00E06B10">
        <w:t>physical activity per week.</w:t>
      </w:r>
      <w:r w:rsidRPr="00E06B10">
        <w:rPr>
          <w:rStyle w:val="FootnoteReference"/>
        </w:rPr>
        <w:footnoteReference w:id="98"/>
      </w:r>
      <w:r w:rsidRPr="00E06B10">
        <w:t xml:space="preserve"> Based on this criterion, Barnet has 55.1% physically active adults</w:t>
      </w:r>
      <w:r>
        <w:t xml:space="preserve">, </w:t>
      </w:r>
      <w:r w:rsidRPr="00E06B10">
        <w:t xml:space="preserve">similar to the average rate in </w:t>
      </w:r>
      <w:r>
        <w:t xml:space="preserve">the </w:t>
      </w:r>
      <w:r w:rsidRPr="00E06B10">
        <w:t>London region (56.2%) and nationally (56%)</w:t>
      </w:r>
      <w:bookmarkStart w:id="665" w:name="_Ref418160132"/>
      <w:r w:rsidRPr="00E06B10">
        <w:rPr>
          <w:rStyle w:val="FootnoteReference"/>
        </w:rPr>
        <w:footnoteReference w:id="99"/>
      </w:r>
      <w:bookmarkEnd w:id="665"/>
      <w:r w:rsidRPr="00E06B10">
        <w:t xml:space="preserve">. Similarly, the Barnet rate of physically inactive adults (26.1%) is similar to </w:t>
      </w:r>
      <w:r>
        <w:t xml:space="preserve">the </w:t>
      </w:r>
      <w:r w:rsidRPr="00E06B10">
        <w:t xml:space="preserve">London </w:t>
      </w:r>
      <w:r>
        <w:t xml:space="preserve">region </w:t>
      </w:r>
      <w:r w:rsidRPr="00E06B10">
        <w:t>and national average rates.</w:t>
      </w:r>
      <w:r w:rsidRPr="00E06B10">
        <w:fldChar w:fldCharType="begin"/>
      </w:r>
      <w:r w:rsidRPr="00E06B10">
        <w:instrText xml:space="preserve"> NOTEREF _Ref418160132 \f \h </w:instrText>
      </w:r>
      <w:r>
        <w:instrText xml:space="preserve"> \* MERGEFORMAT </w:instrText>
      </w:r>
      <w:r w:rsidRPr="00E06B10">
        <w:fldChar w:fldCharType="separate"/>
      </w:r>
      <w:r w:rsidR="001663C2" w:rsidRPr="001663C2">
        <w:rPr>
          <w:rStyle w:val="FootnoteReference"/>
        </w:rPr>
        <w:t>99</w:t>
      </w:r>
      <w:r w:rsidRPr="00E06B10">
        <w:fldChar w:fldCharType="end"/>
      </w:r>
      <w:r w:rsidRPr="00E06B10">
        <w:t xml:space="preserve"> </w:t>
      </w:r>
    </w:p>
    <w:p w:rsidR="00895BDD" w:rsidRDefault="00895BDD" w:rsidP="00895BDD">
      <w:pPr>
        <w:jc w:val="both"/>
      </w:pPr>
      <w:r w:rsidRPr="00E06B10">
        <w:t xml:space="preserve">Barnet residents’ participation in sports once a week (Table </w:t>
      </w:r>
      <w:r>
        <w:t>6-2</w:t>
      </w:r>
      <w:r w:rsidRPr="00E06B10">
        <w:t xml:space="preserve">) shows that about four in every ten persons aged 14 and above are involved once a week in sports. Participation in sports by males is </w:t>
      </w:r>
      <w:r>
        <w:t>greater</w:t>
      </w:r>
      <w:r w:rsidRPr="00E06B10">
        <w:t xml:space="preserve"> than </w:t>
      </w:r>
      <w:r>
        <w:t xml:space="preserve">for </w:t>
      </w:r>
      <w:r w:rsidRPr="00E06B10">
        <w:t xml:space="preserve">females; however, both male and female participation </w:t>
      </w:r>
      <w:r w:rsidR="00270AEE">
        <w:t>in sports has increased in 2013/</w:t>
      </w:r>
      <w:r w:rsidRPr="00E06B10">
        <w:t xml:space="preserve">14 compared to the previous year. Young persons aged 14-25 years have increased participation in sports as shown in the latest annual physical survey (APA8) compared to the previous survey (APS7). However, children’s participation in sports has slightly declined in </w:t>
      </w:r>
      <w:r>
        <w:t xml:space="preserve">the </w:t>
      </w:r>
      <w:r w:rsidRPr="00E06B10">
        <w:t>2013</w:t>
      </w:r>
      <w:r w:rsidR="00270AEE">
        <w:t>/</w:t>
      </w:r>
      <w:r w:rsidRPr="00E06B10">
        <w:t>14 survey (APS8) in contrast to the APS7 conducted in 2012</w:t>
      </w:r>
      <w:r w:rsidR="002B0793">
        <w:t>/</w:t>
      </w:r>
      <w:r w:rsidRPr="00E06B10">
        <w:t xml:space="preserve">13. Overall, the involvement in sports by people in social grades 1-4 is similar in both surveys. Overall, participation in sports is higher in white British residents than those of black and minority ethnic (BME) origin </w:t>
      </w:r>
      <w:r>
        <w:t xml:space="preserve">residents </w:t>
      </w:r>
      <w:r w:rsidRPr="00E06B10">
        <w:t xml:space="preserve">in Barnet. However, </w:t>
      </w:r>
      <w:r>
        <w:t xml:space="preserve">the percentage of </w:t>
      </w:r>
      <w:r w:rsidRPr="00E06B10">
        <w:t xml:space="preserve">participation in sports has recently decreased in white British </w:t>
      </w:r>
      <w:r>
        <w:t xml:space="preserve">residents </w:t>
      </w:r>
      <w:r w:rsidRPr="00E06B10">
        <w:t xml:space="preserve">but increased in </w:t>
      </w:r>
      <w:r>
        <w:t xml:space="preserve">the </w:t>
      </w:r>
      <w:r w:rsidRPr="00E06B10">
        <w:t xml:space="preserve">BME residents of Barnet (Table </w:t>
      </w:r>
      <w:r>
        <w:t>6-2</w:t>
      </w:r>
      <w:r w:rsidRPr="00E06B10">
        <w:t xml:space="preserve">). </w:t>
      </w:r>
    </w:p>
    <w:p w:rsidR="00CF501E" w:rsidRDefault="00CF501E" w:rsidP="00895BDD">
      <w:pPr>
        <w:pStyle w:val="Caption"/>
      </w:pPr>
    </w:p>
    <w:p w:rsidR="00CF501E" w:rsidRDefault="00CF501E" w:rsidP="00895BDD">
      <w:pPr>
        <w:pStyle w:val="Caption"/>
      </w:pPr>
    </w:p>
    <w:p w:rsidR="00CF501E" w:rsidRDefault="00CF501E" w:rsidP="00895BDD">
      <w:pPr>
        <w:pStyle w:val="Caption"/>
      </w:pPr>
    </w:p>
    <w:p w:rsidR="00CF501E" w:rsidRDefault="00CF501E" w:rsidP="00895BDD">
      <w:pPr>
        <w:pStyle w:val="Caption"/>
      </w:pPr>
    </w:p>
    <w:p w:rsidR="00CF501E" w:rsidRDefault="00CF501E" w:rsidP="00895BDD">
      <w:pPr>
        <w:pStyle w:val="Caption"/>
      </w:pPr>
    </w:p>
    <w:p w:rsidR="00CF501E" w:rsidRDefault="00CF501E" w:rsidP="00895BDD">
      <w:pPr>
        <w:pStyle w:val="Caption"/>
      </w:pPr>
    </w:p>
    <w:p w:rsidR="00895BDD" w:rsidRPr="00E06B10" w:rsidRDefault="00895BDD" w:rsidP="00895BDD">
      <w:pPr>
        <w:pStyle w:val="Caption"/>
      </w:pPr>
      <w:r>
        <w:lastRenderedPageBreak/>
        <w:t xml:space="preserve">Table </w:t>
      </w:r>
      <w:fldSimple w:instr=" STYLEREF 1 \s ">
        <w:r w:rsidR="001663C2">
          <w:rPr>
            <w:noProof/>
          </w:rPr>
          <w:t>6</w:t>
        </w:r>
      </w:fldSimple>
      <w:r>
        <w:noBreakHyphen/>
      </w:r>
      <w:fldSimple w:instr=" SEQ Table \* ARABIC \s 1 ">
        <w:r w:rsidR="001663C2">
          <w:rPr>
            <w:noProof/>
          </w:rPr>
          <w:t>2</w:t>
        </w:r>
      </w:fldSimple>
      <w:r>
        <w:t xml:space="preserve">: </w:t>
      </w:r>
      <w:r w:rsidRPr="00E06B10">
        <w:t>Sports participation - At least once a week in Barnet population (aged 14+)</w:t>
      </w:r>
    </w:p>
    <w:tbl>
      <w:tblPr>
        <w:tblW w:w="9293" w:type="dxa"/>
        <w:tblInd w:w="93" w:type="dxa"/>
        <w:tblLook w:val="04A0" w:firstRow="1" w:lastRow="0" w:firstColumn="1" w:lastColumn="0" w:noHBand="0" w:noVBand="1"/>
      </w:tblPr>
      <w:tblGrid>
        <w:gridCol w:w="1941"/>
        <w:gridCol w:w="3544"/>
        <w:gridCol w:w="1904"/>
        <w:gridCol w:w="1904"/>
      </w:tblGrid>
      <w:tr w:rsidR="00895BDD" w:rsidRPr="00E06B10" w:rsidTr="00031B92">
        <w:trPr>
          <w:trHeight w:val="285"/>
        </w:trPr>
        <w:tc>
          <w:tcPr>
            <w:tcW w:w="1941" w:type="dxa"/>
            <w:tcBorders>
              <w:top w:val="single" w:sz="18" w:space="0" w:color="D99594" w:themeColor="accent2" w:themeTint="99"/>
              <w:left w:val="nil"/>
              <w:bottom w:val="single" w:sz="18" w:space="0" w:color="D99594" w:themeColor="accent2" w:themeTint="99"/>
            </w:tcBorders>
            <w:shd w:val="clear" w:color="F2DCDB" w:fill="F2DCDB"/>
            <w:noWrap/>
            <w:vAlign w:val="bottom"/>
            <w:hideMark/>
          </w:tcPr>
          <w:p w:rsidR="00895BDD" w:rsidRPr="00E06B10" w:rsidRDefault="00895BDD" w:rsidP="00031B92">
            <w:pPr>
              <w:spacing w:after="0" w:line="240" w:lineRule="auto"/>
              <w:rPr>
                <w:rFonts w:eastAsia="Times New Roman" w:cs="Arial"/>
                <w:color w:val="000000"/>
                <w:lang w:eastAsia="en-GB"/>
              </w:rPr>
            </w:pPr>
          </w:p>
        </w:tc>
        <w:tc>
          <w:tcPr>
            <w:tcW w:w="3544" w:type="dxa"/>
            <w:tcBorders>
              <w:top w:val="single" w:sz="18" w:space="0" w:color="D99594" w:themeColor="accent2" w:themeTint="99"/>
              <w:bottom w:val="single" w:sz="18" w:space="0" w:color="D99594" w:themeColor="accent2" w:themeTint="99"/>
              <w:right w:val="single" w:sz="18" w:space="0" w:color="D99594" w:themeColor="accent2" w:themeTint="99"/>
            </w:tcBorders>
            <w:shd w:val="clear" w:color="F2DCDB" w:fill="F2DCDB"/>
            <w:noWrap/>
            <w:vAlign w:val="bottom"/>
            <w:hideMark/>
          </w:tcPr>
          <w:p w:rsidR="00895BDD" w:rsidRPr="00E06B10" w:rsidRDefault="00895BDD" w:rsidP="00031B92">
            <w:pPr>
              <w:spacing w:after="0" w:line="240" w:lineRule="auto"/>
              <w:rPr>
                <w:rFonts w:eastAsia="Times New Roman" w:cs="Arial"/>
                <w:color w:val="000000"/>
                <w:lang w:eastAsia="en-GB"/>
              </w:rPr>
            </w:pPr>
          </w:p>
        </w:tc>
        <w:tc>
          <w:tcPr>
            <w:tcW w:w="1904" w:type="dxa"/>
            <w:tcBorders>
              <w:top w:val="single" w:sz="18" w:space="0" w:color="D99594" w:themeColor="accent2" w:themeTint="99"/>
              <w:left w:val="single" w:sz="18" w:space="0" w:color="D99594" w:themeColor="accent2" w:themeTint="99"/>
              <w:bottom w:val="single" w:sz="18" w:space="0" w:color="D99594" w:themeColor="accent2" w:themeTint="99"/>
            </w:tcBorders>
            <w:shd w:val="clear" w:color="F2DCDB" w:fill="F2DCDB"/>
            <w:noWrap/>
            <w:vAlign w:val="bottom"/>
            <w:hideMark/>
          </w:tcPr>
          <w:p w:rsidR="00895BDD" w:rsidRPr="00E06B10" w:rsidRDefault="00895BDD" w:rsidP="00031B92">
            <w:pPr>
              <w:spacing w:after="0" w:line="240" w:lineRule="auto"/>
              <w:rPr>
                <w:rFonts w:eastAsia="Times New Roman" w:cs="Arial"/>
                <w:color w:val="000000"/>
                <w:lang w:eastAsia="en-GB"/>
              </w:rPr>
            </w:pPr>
            <w:r w:rsidRPr="00E06B10">
              <w:rPr>
                <w:rFonts w:eastAsia="Times New Roman" w:cs="Arial"/>
                <w:color w:val="000000"/>
                <w:lang w:eastAsia="en-GB"/>
              </w:rPr>
              <w:t>2012/13 (APS7)</w:t>
            </w:r>
          </w:p>
        </w:tc>
        <w:tc>
          <w:tcPr>
            <w:tcW w:w="1904" w:type="dxa"/>
            <w:tcBorders>
              <w:top w:val="single" w:sz="18" w:space="0" w:color="D99594" w:themeColor="accent2" w:themeTint="99"/>
              <w:bottom w:val="single" w:sz="18" w:space="0" w:color="D99594" w:themeColor="accent2" w:themeTint="99"/>
            </w:tcBorders>
            <w:shd w:val="clear" w:color="F2DCDB" w:fill="F2DCDB"/>
            <w:noWrap/>
            <w:vAlign w:val="bottom"/>
            <w:hideMark/>
          </w:tcPr>
          <w:p w:rsidR="00895BDD" w:rsidRPr="00E06B10" w:rsidRDefault="00895BDD" w:rsidP="00031B92">
            <w:pPr>
              <w:spacing w:after="0" w:line="240" w:lineRule="auto"/>
              <w:rPr>
                <w:rFonts w:eastAsia="Times New Roman" w:cs="Arial"/>
                <w:color w:val="000000"/>
                <w:lang w:eastAsia="en-GB"/>
              </w:rPr>
            </w:pPr>
            <w:r w:rsidRPr="00E06B10">
              <w:rPr>
                <w:rFonts w:eastAsia="Times New Roman" w:cs="Arial"/>
                <w:color w:val="000000"/>
                <w:lang w:eastAsia="en-GB"/>
              </w:rPr>
              <w:t>2013/14 (APS8)</w:t>
            </w:r>
          </w:p>
        </w:tc>
      </w:tr>
      <w:tr w:rsidR="00895BDD" w:rsidRPr="00E06B10" w:rsidTr="00031B92">
        <w:trPr>
          <w:trHeight w:val="285"/>
        </w:trPr>
        <w:tc>
          <w:tcPr>
            <w:tcW w:w="1941" w:type="dxa"/>
            <w:tcBorders>
              <w:top w:val="single" w:sz="18" w:space="0" w:color="D99594" w:themeColor="accent2" w:themeTint="99"/>
              <w:bottom w:val="single" w:sz="4" w:space="0" w:color="DA9694"/>
            </w:tcBorders>
            <w:shd w:val="clear" w:color="auto" w:fill="auto"/>
            <w:noWrap/>
            <w:vAlign w:val="bottom"/>
            <w:hideMark/>
          </w:tcPr>
          <w:p w:rsidR="00895BDD" w:rsidRPr="00E06B10" w:rsidRDefault="00895BDD" w:rsidP="00031B92">
            <w:pPr>
              <w:spacing w:after="0" w:line="240" w:lineRule="auto"/>
              <w:rPr>
                <w:rFonts w:eastAsia="Times New Roman" w:cs="Arial"/>
                <w:color w:val="000000"/>
                <w:lang w:eastAsia="en-GB"/>
              </w:rPr>
            </w:pPr>
            <w:r w:rsidRPr="00E06B10">
              <w:rPr>
                <w:rFonts w:eastAsia="Times New Roman" w:cs="Arial"/>
                <w:color w:val="000000"/>
                <w:lang w:eastAsia="en-GB"/>
              </w:rPr>
              <w:t>Adult Population</w:t>
            </w:r>
          </w:p>
        </w:tc>
        <w:tc>
          <w:tcPr>
            <w:tcW w:w="3544" w:type="dxa"/>
            <w:tcBorders>
              <w:top w:val="single" w:sz="18" w:space="0" w:color="D99594" w:themeColor="accent2" w:themeTint="99"/>
              <w:bottom w:val="single" w:sz="4" w:space="0" w:color="DA9694"/>
              <w:right w:val="single" w:sz="18" w:space="0" w:color="D99594" w:themeColor="accent2" w:themeTint="99"/>
            </w:tcBorders>
            <w:shd w:val="clear" w:color="E6B8B7" w:fill="E6B8B7"/>
            <w:noWrap/>
            <w:vAlign w:val="bottom"/>
            <w:hideMark/>
          </w:tcPr>
          <w:p w:rsidR="00895BDD" w:rsidRPr="00E06B10" w:rsidRDefault="00895BDD" w:rsidP="00031B92">
            <w:pPr>
              <w:spacing w:after="0" w:line="240" w:lineRule="auto"/>
              <w:rPr>
                <w:rFonts w:eastAsia="Times New Roman" w:cs="Arial"/>
                <w:color w:val="000000"/>
                <w:lang w:eastAsia="en-GB"/>
              </w:rPr>
            </w:pPr>
            <w:r w:rsidRPr="00E06B10">
              <w:rPr>
                <w:rFonts w:eastAsia="Times New Roman" w:cs="Arial"/>
                <w:color w:val="000000"/>
                <w:lang w:eastAsia="en-GB"/>
              </w:rPr>
              <w:t>Whole population (14+)</w:t>
            </w:r>
          </w:p>
        </w:tc>
        <w:tc>
          <w:tcPr>
            <w:tcW w:w="1904" w:type="dxa"/>
            <w:tcBorders>
              <w:top w:val="single" w:sz="18" w:space="0" w:color="D99594" w:themeColor="accent2" w:themeTint="99"/>
              <w:left w:val="single" w:sz="18" w:space="0" w:color="D99594" w:themeColor="accent2" w:themeTint="99"/>
              <w:bottom w:val="single" w:sz="4" w:space="0" w:color="DA9694"/>
            </w:tcBorders>
            <w:shd w:val="clear" w:color="E6B8B7" w:fill="E6B8B7"/>
            <w:noWrap/>
            <w:vAlign w:val="bottom"/>
            <w:hideMark/>
          </w:tcPr>
          <w:p w:rsidR="00895BDD" w:rsidRPr="00E06B10" w:rsidRDefault="00895BDD" w:rsidP="00031B92">
            <w:pPr>
              <w:spacing w:after="0" w:line="240" w:lineRule="auto"/>
              <w:rPr>
                <w:rFonts w:eastAsia="Times New Roman" w:cs="Arial"/>
                <w:color w:val="000000"/>
                <w:lang w:eastAsia="en-GB"/>
              </w:rPr>
            </w:pPr>
            <w:r w:rsidRPr="00E06B10">
              <w:rPr>
                <w:rFonts w:eastAsia="Times New Roman" w:cs="Arial"/>
                <w:color w:val="000000"/>
                <w:lang w:eastAsia="en-GB"/>
              </w:rPr>
              <w:t>40.2%</w:t>
            </w:r>
          </w:p>
        </w:tc>
        <w:tc>
          <w:tcPr>
            <w:tcW w:w="1904" w:type="dxa"/>
            <w:tcBorders>
              <w:top w:val="single" w:sz="18" w:space="0" w:color="D99594" w:themeColor="accent2" w:themeTint="99"/>
              <w:bottom w:val="single" w:sz="4" w:space="0" w:color="DA9694"/>
            </w:tcBorders>
            <w:shd w:val="clear" w:color="E6B8B7" w:fill="E6B8B7"/>
            <w:noWrap/>
            <w:vAlign w:val="bottom"/>
            <w:hideMark/>
          </w:tcPr>
          <w:p w:rsidR="00895BDD" w:rsidRPr="00E06B10" w:rsidRDefault="00895BDD" w:rsidP="00031B92">
            <w:pPr>
              <w:spacing w:after="0" w:line="240" w:lineRule="auto"/>
              <w:rPr>
                <w:rFonts w:eastAsia="Times New Roman" w:cs="Arial"/>
                <w:color w:val="000000"/>
                <w:lang w:eastAsia="en-GB"/>
              </w:rPr>
            </w:pPr>
            <w:r w:rsidRPr="00E06B10">
              <w:rPr>
                <w:rFonts w:eastAsia="Times New Roman" w:cs="Arial"/>
                <w:color w:val="000000"/>
                <w:lang w:eastAsia="en-GB"/>
              </w:rPr>
              <w:t>41.5%</w:t>
            </w:r>
          </w:p>
        </w:tc>
      </w:tr>
      <w:tr w:rsidR="00895BDD" w:rsidRPr="00E06B10" w:rsidTr="00031B92">
        <w:trPr>
          <w:trHeight w:val="285"/>
        </w:trPr>
        <w:tc>
          <w:tcPr>
            <w:tcW w:w="1941" w:type="dxa"/>
            <w:vMerge w:val="restart"/>
            <w:tcBorders>
              <w:top w:val="single" w:sz="4" w:space="0" w:color="DA9694"/>
            </w:tcBorders>
            <w:shd w:val="clear" w:color="auto" w:fill="auto"/>
            <w:noWrap/>
            <w:vAlign w:val="center"/>
            <w:hideMark/>
          </w:tcPr>
          <w:p w:rsidR="00895BDD" w:rsidRPr="00E06B10" w:rsidRDefault="00895BDD" w:rsidP="00031B92">
            <w:pPr>
              <w:spacing w:after="0" w:line="240" w:lineRule="auto"/>
              <w:rPr>
                <w:rFonts w:eastAsia="Times New Roman" w:cs="Arial"/>
                <w:color w:val="000000"/>
                <w:lang w:eastAsia="en-GB"/>
              </w:rPr>
            </w:pPr>
            <w:r w:rsidRPr="00E06B10">
              <w:rPr>
                <w:rFonts w:eastAsia="Times New Roman" w:cs="Arial"/>
                <w:color w:val="000000"/>
                <w:lang w:eastAsia="en-GB"/>
              </w:rPr>
              <w:t>Gender</w:t>
            </w:r>
          </w:p>
        </w:tc>
        <w:tc>
          <w:tcPr>
            <w:tcW w:w="3544" w:type="dxa"/>
            <w:tcBorders>
              <w:top w:val="single" w:sz="4" w:space="0" w:color="DA9694"/>
              <w:bottom w:val="single" w:sz="4" w:space="0" w:color="DA9694"/>
              <w:right w:val="single" w:sz="18" w:space="0" w:color="D99594" w:themeColor="accent2" w:themeTint="99"/>
            </w:tcBorders>
            <w:shd w:val="clear" w:color="auto" w:fill="auto"/>
            <w:noWrap/>
            <w:vAlign w:val="bottom"/>
            <w:hideMark/>
          </w:tcPr>
          <w:p w:rsidR="00895BDD" w:rsidRPr="00E06B10" w:rsidRDefault="00895BDD" w:rsidP="00031B92">
            <w:pPr>
              <w:spacing w:after="0" w:line="240" w:lineRule="auto"/>
              <w:rPr>
                <w:rFonts w:eastAsia="Times New Roman" w:cs="Arial"/>
                <w:color w:val="000000"/>
                <w:lang w:eastAsia="en-GB"/>
              </w:rPr>
            </w:pPr>
            <w:r w:rsidRPr="00E06B10">
              <w:rPr>
                <w:rFonts w:eastAsia="Times New Roman" w:cs="Arial"/>
                <w:color w:val="000000"/>
                <w:lang w:eastAsia="en-GB"/>
              </w:rPr>
              <w:t>Male</w:t>
            </w:r>
          </w:p>
        </w:tc>
        <w:tc>
          <w:tcPr>
            <w:tcW w:w="1904" w:type="dxa"/>
            <w:tcBorders>
              <w:top w:val="single" w:sz="4" w:space="0" w:color="DA9694"/>
              <w:left w:val="single" w:sz="18" w:space="0" w:color="D99594" w:themeColor="accent2" w:themeTint="99"/>
              <w:bottom w:val="single" w:sz="4" w:space="0" w:color="DA9694"/>
            </w:tcBorders>
            <w:shd w:val="clear" w:color="auto" w:fill="auto"/>
            <w:noWrap/>
            <w:vAlign w:val="bottom"/>
            <w:hideMark/>
          </w:tcPr>
          <w:p w:rsidR="00895BDD" w:rsidRPr="00E06B10" w:rsidRDefault="00895BDD" w:rsidP="00031B92">
            <w:pPr>
              <w:spacing w:after="0" w:line="240" w:lineRule="auto"/>
              <w:rPr>
                <w:rFonts w:eastAsia="Times New Roman" w:cs="Arial"/>
                <w:color w:val="000000"/>
                <w:lang w:eastAsia="en-GB"/>
              </w:rPr>
            </w:pPr>
            <w:r w:rsidRPr="00E06B10">
              <w:rPr>
                <w:rFonts w:eastAsia="Times New Roman" w:cs="Arial"/>
                <w:color w:val="000000"/>
                <w:lang w:eastAsia="en-GB"/>
              </w:rPr>
              <w:t>44.9%</w:t>
            </w:r>
          </w:p>
        </w:tc>
        <w:tc>
          <w:tcPr>
            <w:tcW w:w="1904" w:type="dxa"/>
            <w:tcBorders>
              <w:top w:val="single" w:sz="4" w:space="0" w:color="DA9694"/>
              <w:bottom w:val="single" w:sz="4" w:space="0" w:color="DA9694"/>
            </w:tcBorders>
            <w:shd w:val="clear" w:color="auto" w:fill="auto"/>
            <w:noWrap/>
            <w:vAlign w:val="bottom"/>
            <w:hideMark/>
          </w:tcPr>
          <w:p w:rsidR="00895BDD" w:rsidRPr="00E06B10" w:rsidRDefault="00895BDD" w:rsidP="00031B92">
            <w:pPr>
              <w:spacing w:after="0" w:line="240" w:lineRule="auto"/>
              <w:rPr>
                <w:rFonts w:eastAsia="Times New Roman" w:cs="Arial"/>
                <w:color w:val="000000"/>
                <w:lang w:eastAsia="en-GB"/>
              </w:rPr>
            </w:pPr>
            <w:r w:rsidRPr="00E06B10">
              <w:rPr>
                <w:rFonts w:eastAsia="Times New Roman" w:cs="Arial"/>
                <w:color w:val="000000"/>
                <w:lang w:eastAsia="en-GB"/>
              </w:rPr>
              <w:t>48.3%</w:t>
            </w:r>
          </w:p>
        </w:tc>
      </w:tr>
      <w:tr w:rsidR="00895BDD" w:rsidRPr="00E06B10" w:rsidTr="00031B92">
        <w:trPr>
          <w:trHeight w:val="285"/>
        </w:trPr>
        <w:tc>
          <w:tcPr>
            <w:tcW w:w="1941" w:type="dxa"/>
            <w:vMerge/>
            <w:tcBorders>
              <w:bottom w:val="single" w:sz="4" w:space="0" w:color="DA9694"/>
            </w:tcBorders>
            <w:shd w:val="clear" w:color="auto" w:fill="auto"/>
            <w:noWrap/>
            <w:vAlign w:val="bottom"/>
            <w:hideMark/>
          </w:tcPr>
          <w:p w:rsidR="00895BDD" w:rsidRPr="00E06B10" w:rsidRDefault="00895BDD" w:rsidP="00031B92">
            <w:pPr>
              <w:spacing w:after="0" w:line="240" w:lineRule="auto"/>
              <w:rPr>
                <w:rFonts w:eastAsia="Times New Roman" w:cs="Arial"/>
                <w:color w:val="000000"/>
                <w:lang w:eastAsia="en-GB"/>
              </w:rPr>
            </w:pPr>
          </w:p>
        </w:tc>
        <w:tc>
          <w:tcPr>
            <w:tcW w:w="3544" w:type="dxa"/>
            <w:tcBorders>
              <w:top w:val="single" w:sz="4" w:space="0" w:color="DA9694"/>
              <w:bottom w:val="single" w:sz="4" w:space="0" w:color="DA9694"/>
              <w:right w:val="single" w:sz="18" w:space="0" w:color="D99594" w:themeColor="accent2" w:themeTint="99"/>
            </w:tcBorders>
            <w:shd w:val="clear" w:color="auto" w:fill="E5B8B7" w:themeFill="accent2" w:themeFillTint="66"/>
            <w:noWrap/>
            <w:vAlign w:val="bottom"/>
            <w:hideMark/>
          </w:tcPr>
          <w:p w:rsidR="00895BDD" w:rsidRPr="00E06B10" w:rsidRDefault="00895BDD" w:rsidP="00031B92">
            <w:pPr>
              <w:spacing w:after="0" w:line="240" w:lineRule="auto"/>
              <w:rPr>
                <w:rFonts w:eastAsia="Times New Roman" w:cs="Arial"/>
                <w:color w:val="000000"/>
                <w:lang w:eastAsia="en-GB"/>
              </w:rPr>
            </w:pPr>
            <w:r w:rsidRPr="00E06B10">
              <w:rPr>
                <w:rFonts w:eastAsia="Times New Roman" w:cs="Arial"/>
                <w:color w:val="000000"/>
                <w:lang w:eastAsia="en-GB"/>
              </w:rPr>
              <w:t>Female</w:t>
            </w:r>
          </w:p>
        </w:tc>
        <w:tc>
          <w:tcPr>
            <w:tcW w:w="1904" w:type="dxa"/>
            <w:tcBorders>
              <w:top w:val="single" w:sz="4" w:space="0" w:color="DA9694"/>
              <w:left w:val="single" w:sz="18" w:space="0" w:color="D99594" w:themeColor="accent2" w:themeTint="99"/>
              <w:bottom w:val="single" w:sz="4" w:space="0" w:color="DA9694"/>
            </w:tcBorders>
            <w:shd w:val="clear" w:color="auto" w:fill="E5B8B7" w:themeFill="accent2" w:themeFillTint="66"/>
            <w:noWrap/>
            <w:vAlign w:val="bottom"/>
            <w:hideMark/>
          </w:tcPr>
          <w:p w:rsidR="00895BDD" w:rsidRPr="00E06B10" w:rsidRDefault="00895BDD" w:rsidP="00031B92">
            <w:pPr>
              <w:spacing w:after="0" w:line="240" w:lineRule="auto"/>
              <w:rPr>
                <w:rFonts w:eastAsia="Times New Roman" w:cs="Arial"/>
                <w:color w:val="000000"/>
                <w:lang w:eastAsia="en-GB"/>
              </w:rPr>
            </w:pPr>
            <w:r w:rsidRPr="00E06B10">
              <w:rPr>
                <w:rFonts w:eastAsia="Times New Roman" w:cs="Arial"/>
                <w:color w:val="000000"/>
                <w:lang w:eastAsia="en-GB"/>
              </w:rPr>
              <w:t>35.9%</w:t>
            </w:r>
          </w:p>
        </w:tc>
        <w:tc>
          <w:tcPr>
            <w:tcW w:w="1904" w:type="dxa"/>
            <w:tcBorders>
              <w:top w:val="single" w:sz="4" w:space="0" w:color="DA9694"/>
              <w:bottom w:val="single" w:sz="4" w:space="0" w:color="DA9694"/>
            </w:tcBorders>
            <w:shd w:val="clear" w:color="auto" w:fill="E5B8B7" w:themeFill="accent2" w:themeFillTint="66"/>
            <w:noWrap/>
            <w:vAlign w:val="bottom"/>
            <w:hideMark/>
          </w:tcPr>
          <w:p w:rsidR="00895BDD" w:rsidRPr="00E06B10" w:rsidRDefault="00895BDD" w:rsidP="00031B92">
            <w:pPr>
              <w:spacing w:after="0" w:line="240" w:lineRule="auto"/>
              <w:rPr>
                <w:rFonts w:eastAsia="Times New Roman" w:cs="Arial"/>
                <w:color w:val="000000"/>
                <w:lang w:eastAsia="en-GB"/>
              </w:rPr>
            </w:pPr>
            <w:r w:rsidRPr="00E06B10">
              <w:rPr>
                <w:rFonts w:eastAsia="Times New Roman" w:cs="Arial"/>
                <w:color w:val="000000"/>
                <w:lang w:eastAsia="en-GB"/>
              </w:rPr>
              <w:t>35.1%</w:t>
            </w:r>
          </w:p>
        </w:tc>
      </w:tr>
      <w:tr w:rsidR="00895BDD" w:rsidRPr="00E06B10" w:rsidTr="00031B92">
        <w:trPr>
          <w:trHeight w:val="285"/>
        </w:trPr>
        <w:tc>
          <w:tcPr>
            <w:tcW w:w="1941" w:type="dxa"/>
            <w:vMerge w:val="restart"/>
            <w:tcBorders>
              <w:top w:val="single" w:sz="4" w:space="0" w:color="DA9694"/>
            </w:tcBorders>
            <w:shd w:val="clear" w:color="auto" w:fill="auto"/>
            <w:noWrap/>
            <w:vAlign w:val="center"/>
          </w:tcPr>
          <w:p w:rsidR="00895BDD" w:rsidRPr="00E06B10" w:rsidRDefault="00895BDD" w:rsidP="00031B92">
            <w:pPr>
              <w:spacing w:after="0" w:line="240" w:lineRule="auto"/>
              <w:rPr>
                <w:rFonts w:eastAsia="Times New Roman" w:cs="Arial"/>
                <w:color w:val="000000"/>
                <w:lang w:eastAsia="en-GB"/>
              </w:rPr>
            </w:pPr>
            <w:r>
              <w:rPr>
                <w:rFonts w:eastAsia="Times New Roman" w:cs="Arial"/>
                <w:color w:val="000000"/>
                <w:lang w:eastAsia="en-GB"/>
              </w:rPr>
              <w:t>Age Range</w:t>
            </w:r>
          </w:p>
        </w:tc>
        <w:tc>
          <w:tcPr>
            <w:tcW w:w="3544" w:type="dxa"/>
            <w:tcBorders>
              <w:top w:val="single" w:sz="4" w:space="0" w:color="DA9694"/>
              <w:bottom w:val="single" w:sz="4" w:space="0" w:color="DA9694"/>
              <w:right w:val="single" w:sz="18" w:space="0" w:color="D99594" w:themeColor="accent2" w:themeTint="99"/>
            </w:tcBorders>
            <w:shd w:val="clear" w:color="auto" w:fill="auto"/>
            <w:noWrap/>
            <w:vAlign w:val="bottom"/>
          </w:tcPr>
          <w:p w:rsidR="00895BDD" w:rsidRPr="00E06B10" w:rsidRDefault="00895BDD" w:rsidP="00031B92">
            <w:pPr>
              <w:spacing w:after="0" w:line="240" w:lineRule="auto"/>
              <w:rPr>
                <w:rFonts w:eastAsia="Times New Roman" w:cs="Arial"/>
                <w:color w:val="000000"/>
                <w:lang w:eastAsia="en-GB"/>
              </w:rPr>
            </w:pPr>
            <w:r w:rsidRPr="00E06B10">
              <w:rPr>
                <w:rFonts w:eastAsia="Times New Roman" w:cs="Arial"/>
                <w:color w:val="000000"/>
                <w:lang w:eastAsia="en-GB"/>
              </w:rPr>
              <w:t>14 - 25</w:t>
            </w:r>
          </w:p>
        </w:tc>
        <w:tc>
          <w:tcPr>
            <w:tcW w:w="1904" w:type="dxa"/>
            <w:tcBorders>
              <w:top w:val="single" w:sz="4" w:space="0" w:color="DA9694"/>
              <w:left w:val="single" w:sz="18" w:space="0" w:color="D99594" w:themeColor="accent2" w:themeTint="99"/>
              <w:bottom w:val="single" w:sz="4" w:space="0" w:color="DA9694"/>
            </w:tcBorders>
            <w:shd w:val="clear" w:color="auto" w:fill="auto"/>
            <w:noWrap/>
            <w:vAlign w:val="bottom"/>
          </w:tcPr>
          <w:p w:rsidR="00895BDD" w:rsidRPr="00E06B10" w:rsidRDefault="00895BDD" w:rsidP="00031B92">
            <w:pPr>
              <w:spacing w:after="0" w:line="240" w:lineRule="auto"/>
              <w:rPr>
                <w:rFonts w:eastAsia="Times New Roman" w:cs="Arial"/>
                <w:color w:val="000000"/>
                <w:lang w:eastAsia="en-GB"/>
              </w:rPr>
            </w:pPr>
            <w:r w:rsidRPr="00E06B10">
              <w:rPr>
                <w:rFonts w:eastAsia="Times New Roman" w:cs="Arial"/>
                <w:color w:val="000000"/>
                <w:lang w:eastAsia="en-GB"/>
              </w:rPr>
              <w:t>52.2%</w:t>
            </w:r>
          </w:p>
        </w:tc>
        <w:tc>
          <w:tcPr>
            <w:tcW w:w="1904" w:type="dxa"/>
            <w:tcBorders>
              <w:top w:val="single" w:sz="4" w:space="0" w:color="DA9694"/>
              <w:bottom w:val="single" w:sz="4" w:space="0" w:color="DA9694"/>
            </w:tcBorders>
            <w:shd w:val="clear" w:color="auto" w:fill="auto"/>
            <w:noWrap/>
            <w:vAlign w:val="bottom"/>
          </w:tcPr>
          <w:p w:rsidR="00895BDD" w:rsidRPr="00E06B10" w:rsidRDefault="00895BDD" w:rsidP="00031B92">
            <w:pPr>
              <w:spacing w:after="0" w:line="240" w:lineRule="auto"/>
              <w:rPr>
                <w:rFonts w:eastAsia="Times New Roman" w:cs="Arial"/>
                <w:color w:val="000000"/>
                <w:lang w:eastAsia="en-GB"/>
              </w:rPr>
            </w:pPr>
            <w:r w:rsidRPr="00E06B10">
              <w:rPr>
                <w:rFonts w:eastAsia="Times New Roman" w:cs="Arial"/>
                <w:color w:val="000000"/>
                <w:lang w:eastAsia="en-GB"/>
              </w:rPr>
              <w:t>61.1%</w:t>
            </w:r>
          </w:p>
        </w:tc>
      </w:tr>
      <w:tr w:rsidR="00895BDD" w:rsidRPr="00E06B10" w:rsidTr="00031B92">
        <w:trPr>
          <w:trHeight w:val="285"/>
        </w:trPr>
        <w:tc>
          <w:tcPr>
            <w:tcW w:w="1941" w:type="dxa"/>
            <w:vMerge/>
            <w:shd w:val="clear" w:color="auto" w:fill="auto"/>
            <w:noWrap/>
            <w:vAlign w:val="bottom"/>
            <w:hideMark/>
          </w:tcPr>
          <w:p w:rsidR="00895BDD" w:rsidRPr="00E06B10" w:rsidRDefault="00895BDD" w:rsidP="00031B92">
            <w:pPr>
              <w:spacing w:after="0" w:line="240" w:lineRule="auto"/>
              <w:rPr>
                <w:rFonts w:eastAsia="Times New Roman" w:cs="Arial"/>
                <w:color w:val="000000"/>
                <w:lang w:eastAsia="en-GB"/>
              </w:rPr>
            </w:pPr>
          </w:p>
        </w:tc>
        <w:tc>
          <w:tcPr>
            <w:tcW w:w="3544" w:type="dxa"/>
            <w:tcBorders>
              <w:top w:val="single" w:sz="4" w:space="0" w:color="DA9694"/>
              <w:bottom w:val="single" w:sz="4" w:space="0" w:color="DA9694"/>
              <w:right w:val="single" w:sz="18" w:space="0" w:color="D99594" w:themeColor="accent2" w:themeTint="99"/>
            </w:tcBorders>
            <w:shd w:val="clear" w:color="E6B8B7" w:fill="E6B8B7"/>
            <w:noWrap/>
            <w:vAlign w:val="bottom"/>
            <w:hideMark/>
          </w:tcPr>
          <w:p w:rsidR="00895BDD" w:rsidRPr="00E06B10" w:rsidRDefault="00895BDD" w:rsidP="00031B92">
            <w:pPr>
              <w:spacing w:after="0" w:line="240" w:lineRule="auto"/>
              <w:rPr>
                <w:rFonts w:eastAsia="Times New Roman" w:cs="Arial"/>
                <w:color w:val="000000"/>
                <w:lang w:eastAsia="en-GB"/>
              </w:rPr>
            </w:pPr>
            <w:r w:rsidRPr="00E06B10">
              <w:rPr>
                <w:rFonts w:eastAsia="Times New Roman" w:cs="Arial"/>
                <w:color w:val="000000"/>
                <w:lang w:eastAsia="en-GB"/>
              </w:rPr>
              <w:t>26 - 34</w:t>
            </w:r>
          </w:p>
        </w:tc>
        <w:tc>
          <w:tcPr>
            <w:tcW w:w="1904" w:type="dxa"/>
            <w:tcBorders>
              <w:top w:val="single" w:sz="4" w:space="0" w:color="DA9694"/>
              <w:left w:val="single" w:sz="18" w:space="0" w:color="D99594" w:themeColor="accent2" w:themeTint="99"/>
              <w:bottom w:val="single" w:sz="4" w:space="0" w:color="DA9694"/>
            </w:tcBorders>
            <w:shd w:val="clear" w:color="E6B8B7" w:fill="E6B8B7"/>
            <w:noWrap/>
            <w:vAlign w:val="bottom"/>
            <w:hideMark/>
          </w:tcPr>
          <w:p w:rsidR="00895BDD" w:rsidRPr="00E06B10" w:rsidRDefault="00895BDD" w:rsidP="00031B92">
            <w:pPr>
              <w:spacing w:after="0" w:line="240" w:lineRule="auto"/>
              <w:rPr>
                <w:rFonts w:eastAsia="Times New Roman" w:cs="Arial"/>
                <w:color w:val="000000"/>
                <w:lang w:eastAsia="en-GB"/>
              </w:rPr>
            </w:pPr>
            <w:r w:rsidRPr="00E06B10">
              <w:rPr>
                <w:rFonts w:eastAsia="Times New Roman" w:cs="Arial"/>
                <w:color w:val="000000"/>
                <w:lang w:eastAsia="en-GB"/>
              </w:rPr>
              <w:t>*</w:t>
            </w:r>
          </w:p>
        </w:tc>
        <w:tc>
          <w:tcPr>
            <w:tcW w:w="1904" w:type="dxa"/>
            <w:tcBorders>
              <w:top w:val="single" w:sz="4" w:space="0" w:color="DA9694"/>
              <w:bottom w:val="single" w:sz="4" w:space="0" w:color="DA9694"/>
            </w:tcBorders>
            <w:shd w:val="clear" w:color="E6B8B7" w:fill="E6B8B7"/>
            <w:noWrap/>
            <w:vAlign w:val="bottom"/>
            <w:hideMark/>
          </w:tcPr>
          <w:p w:rsidR="00895BDD" w:rsidRPr="00E06B10" w:rsidRDefault="00895BDD" w:rsidP="00031B92">
            <w:pPr>
              <w:spacing w:after="0" w:line="240" w:lineRule="auto"/>
              <w:rPr>
                <w:rFonts w:eastAsia="Times New Roman" w:cs="Arial"/>
                <w:color w:val="000000"/>
                <w:lang w:eastAsia="en-GB"/>
              </w:rPr>
            </w:pPr>
            <w:r w:rsidRPr="00E06B10">
              <w:rPr>
                <w:rFonts w:eastAsia="Times New Roman" w:cs="Arial"/>
                <w:color w:val="000000"/>
                <w:lang w:eastAsia="en-GB"/>
              </w:rPr>
              <w:t>*</w:t>
            </w:r>
          </w:p>
        </w:tc>
      </w:tr>
      <w:tr w:rsidR="00895BDD" w:rsidRPr="00E06B10" w:rsidTr="00031B92">
        <w:trPr>
          <w:trHeight w:val="285"/>
        </w:trPr>
        <w:tc>
          <w:tcPr>
            <w:tcW w:w="1941" w:type="dxa"/>
            <w:vMerge/>
            <w:shd w:val="clear" w:color="auto" w:fill="auto"/>
            <w:noWrap/>
            <w:vAlign w:val="bottom"/>
            <w:hideMark/>
          </w:tcPr>
          <w:p w:rsidR="00895BDD" w:rsidRPr="00E06B10" w:rsidRDefault="00895BDD" w:rsidP="00031B92">
            <w:pPr>
              <w:spacing w:after="0" w:line="240" w:lineRule="auto"/>
              <w:rPr>
                <w:rFonts w:eastAsia="Times New Roman" w:cs="Arial"/>
                <w:color w:val="000000"/>
                <w:lang w:eastAsia="en-GB"/>
              </w:rPr>
            </w:pPr>
          </w:p>
        </w:tc>
        <w:tc>
          <w:tcPr>
            <w:tcW w:w="3544" w:type="dxa"/>
            <w:tcBorders>
              <w:top w:val="single" w:sz="4" w:space="0" w:color="DA9694"/>
              <w:bottom w:val="single" w:sz="4" w:space="0" w:color="DA9694"/>
              <w:right w:val="single" w:sz="18" w:space="0" w:color="D99594" w:themeColor="accent2" w:themeTint="99"/>
            </w:tcBorders>
            <w:shd w:val="clear" w:color="F2DCDB" w:fill="F2DCDB"/>
            <w:noWrap/>
            <w:vAlign w:val="bottom"/>
            <w:hideMark/>
          </w:tcPr>
          <w:p w:rsidR="00895BDD" w:rsidRPr="00E06B10" w:rsidRDefault="00895BDD" w:rsidP="00031B92">
            <w:pPr>
              <w:spacing w:after="0" w:line="240" w:lineRule="auto"/>
              <w:rPr>
                <w:rFonts w:eastAsia="Times New Roman" w:cs="Arial"/>
                <w:color w:val="000000"/>
                <w:lang w:eastAsia="en-GB"/>
              </w:rPr>
            </w:pPr>
            <w:r w:rsidRPr="00E06B10">
              <w:rPr>
                <w:rFonts w:eastAsia="Times New Roman" w:cs="Arial"/>
                <w:color w:val="000000"/>
                <w:lang w:eastAsia="en-GB"/>
              </w:rPr>
              <w:t>35 - 44</w:t>
            </w:r>
          </w:p>
        </w:tc>
        <w:tc>
          <w:tcPr>
            <w:tcW w:w="1904" w:type="dxa"/>
            <w:tcBorders>
              <w:top w:val="single" w:sz="4" w:space="0" w:color="DA9694"/>
              <w:left w:val="single" w:sz="18" w:space="0" w:color="D99594" w:themeColor="accent2" w:themeTint="99"/>
              <w:bottom w:val="single" w:sz="4" w:space="0" w:color="DA9694"/>
            </w:tcBorders>
            <w:shd w:val="clear" w:color="F2DCDB" w:fill="F2DCDB"/>
            <w:noWrap/>
            <w:vAlign w:val="bottom"/>
            <w:hideMark/>
          </w:tcPr>
          <w:p w:rsidR="00895BDD" w:rsidRPr="00E06B10" w:rsidRDefault="00895BDD" w:rsidP="00031B92">
            <w:pPr>
              <w:spacing w:after="0" w:line="240" w:lineRule="auto"/>
              <w:rPr>
                <w:rFonts w:eastAsia="Times New Roman" w:cs="Arial"/>
                <w:color w:val="000000"/>
                <w:lang w:eastAsia="en-GB"/>
              </w:rPr>
            </w:pPr>
            <w:r w:rsidRPr="00E06B10">
              <w:rPr>
                <w:rFonts w:eastAsia="Times New Roman" w:cs="Arial"/>
                <w:color w:val="000000"/>
                <w:lang w:eastAsia="en-GB"/>
              </w:rPr>
              <w:t>41.9%</w:t>
            </w:r>
          </w:p>
        </w:tc>
        <w:tc>
          <w:tcPr>
            <w:tcW w:w="1904" w:type="dxa"/>
            <w:tcBorders>
              <w:top w:val="single" w:sz="4" w:space="0" w:color="DA9694"/>
              <w:bottom w:val="single" w:sz="4" w:space="0" w:color="DA9694"/>
            </w:tcBorders>
            <w:shd w:val="clear" w:color="F2DCDB" w:fill="F2DCDB"/>
            <w:noWrap/>
            <w:vAlign w:val="bottom"/>
            <w:hideMark/>
          </w:tcPr>
          <w:p w:rsidR="00895BDD" w:rsidRPr="00E06B10" w:rsidRDefault="00895BDD" w:rsidP="00031B92">
            <w:pPr>
              <w:spacing w:after="0" w:line="240" w:lineRule="auto"/>
              <w:rPr>
                <w:rFonts w:eastAsia="Times New Roman" w:cs="Arial"/>
                <w:color w:val="000000"/>
                <w:lang w:eastAsia="en-GB"/>
              </w:rPr>
            </w:pPr>
            <w:r w:rsidRPr="00E06B10">
              <w:rPr>
                <w:rFonts w:eastAsia="Times New Roman" w:cs="Arial"/>
                <w:color w:val="000000"/>
                <w:lang w:eastAsia="en-GB"/>
              </w:rPr>
              <w:t>*</w:t>
            </w:r>
          </w:p>
        </w:tc>
      </w:tr>
      <w:tr w:rsidR="00895BDD" w:rsidRPr="00E06B10" w:rsidTr="00031B92">
        <w:trPr>
          <w:trHeight w:val="285"/>
        </w:trPr>
        <w:tc>
          <w:tcPr>
            <w:tcW w:w="1941" w:type="dxa"/>
            <w:vMerge/>
            <w:shd w:val="clear" w:color="auto" w:fill="auto"/>
            <w:noWrap/>
            <w:vAlign w:val="bottom"/>
            <w:hideMark/>
          </w:tcPr>
          <w:p w:rsidR="00895BDD" w:rsidRPr="00E06B10" w:rsidRDefault="00895BDD" w:rsidP="00031B92">
            <w:pPr>
              <w:spacing w:after="0" w:line="240" w:lineRule="auto"/>
              <w:rPr>
                <w:rFonts w:eastAsia="Times New Roman" w:cs="Arial"/>
                <w:color w:val="000000"/>
                <w:lang w:eastAsia="en-GB"/>
              </w:rPr>
            </w:pPr>
          </w:p>
        </w:tc>
        <w:tc>
          <w:tcPr>
            <w:tcW w:w="3544" w:type="dxa"/>
            <w:tcBorders>
              <w:top w:val="single" w:sz="4" w:space="0" w:color="DA9694"/>
              <w:bottom w:val="single" w:sz="4" w:space="0" w:color="DA9694"/>
              <w:right w:val="single" w:sz="18" w:space="0" w:color="D99594" w:themeColor="accent2" w:themeTint="99"/>
            </w:tcBorders>
            <w:shd w:val="clear" w:color="E6B8B7" w:fill="E6B8B7"/>
            <w:noWrap/>
            <w:vAlign w:val="bottom"/>
            <w:hideMark/>
          </w:tcPr>
          <w:p w:rsidR="00895BDD" w:rsidRPr="00E06B10" w:rsidRDefault="00895BDD" w:rsidP="00031B92">
            <w:pPr>
              <w:spacing w:after="0" w:line="240" w:lineRule="auto"/>
              <w:rPr>
                <w:rFonts w:eastAsia="Times New Roman" w:cs="Arial"/>
                <w:color w:val="000000"/>
                <w:lang w:eastAsia="en-GB"/>
              </w:rPr>
            </w:pPr>
            <w:r w:rsidRPr="00E06B10">
              <w:rPr>
                <w:rFonts w:eastAsia="Times New Roman" w:cs="Arial"/>
                <w:color w:val="000000"/>
                <w:lang w:eastAsia="en-GB"/>
              </w:rPr>
              <w:t>45 - 54</w:t>
            </w:r>
          </w:p>
        </w:tc>
        <w:tc>
          <w:tcPr>
            <w:tcW w:w="1904" w:type="dxa"/>
            <w:tcBorders>
              <w:top w:val="single" w:sz="4" w:space="0" w:color="DA9694"/>
              <w:left w:val="single" w:sz="18" w:space="0" w:color="D99594" w:themeColor="accent2" w:themeTint="99"/>
              <w:bottom w:val="single" w:sz="4" w:space="0" w:color="DA9694"/>
            </w:tcBorders>
            <w:shd w:val="clear" w:color="E6B8B7" w:fill="E6B8B7"/>
            <w:noWrap/>
            <w:vAlign w:val="bottom"/>
            <w:hideMark/>
          </w:tcPr>
          <w:p w:rsidR="00895BDD" w:rsidRPr="00E06B10" w:rsidRDefault="00895BDD" w:rsidP="00031B92">
            <w:pPr>
              <w:spacing w:after="0" w:line="240" w:lineRule="auto"/>
              <w:rPr>
                <w:rFonts w:eastAsia="Times New Roman" w:cs="Arial"/>
                <w:color w:val="000000"/>
                <w:lang w:eastAsia="en-GB"/>
              </w:rPr>
            </w:pPr>
            <w:r w:rsidRPr="00E06B10">
              <w:rPr>
                <w:rFonts w:eastAsia="Times New Roman" w:cs="Arial"/>
                <w:color w:val="000000"/>
                <w:lang w:eastAsia="en-GB"/>
              </w:rPr>
              <w:t>38.1%</w:t>
            </w:r>
          </w:p>
        </w:tc>
        <w:tc>
          <w:tcPr>
            <w:tcW w:w="1904" w:type="dxa"/>
            <w:tcBorders>
              <w:top w:val="single" w:sz="4" w:space="0" w:color="DA9694"/>
              <w:bottom w:val="single" w:sz="4" w:space="0" w:color="DA9694"/>
            </w:tcBorders>
            <w:shd w:val="clear" w:color="E6B8B7" w:fill="E6B8B7"/>
            <w:noWrap/>
            <w:vAlign w:val="bottom"/>
            <w:hideMark/>
          </w:tcPr>
          <w:p w:rsidR="00895BDD" w:rsidRPr="00E06B10" w:rsidRDefault="00895BDD" w:rsidP="00031B92">
            <w:pPr>
              <w:spacing w:after="0" w:line="240" w:lineRule="auto"/>
              <w:rPr>
                <w:rFonts w:eastAsia="Times New Roman" w:cs="Arial"/>
                <w:color w:val="000000"/>
                <w:lang w:eastAsia="en-GB"/>
              </w:rPr>
            </w:pPr>
            <w:r w:rsidRPr="00E06B10">
              <w:rPr>
                <w:rFonts w:eastAsia="Times New Roman" w:cs="Arial"/>
                <w:color w:val="000000"/>
                <w:lang w:eastAsia="en-GB"/>
              </w:rPr>
              <w:t>39.2%</w:t>
            </w:r>
          </w:p>
        </w:tc>
      </w:tr>
      <w:tr w:rsidR="00895BDD" w:rsidRPr="00E06B10" w:rsidTr="00031B92">
        <w:trPr>
          <w:trHeight w:val="285"/>
        </w:trPr>
        <w:tc>
          <w:tcPr>
            <w:tcW w:w="1941" w:type="dxa"/>
            <w:vMerge/>
            <w:shd w:val="clear" w:color="auto" w:fill="auto"/>
            <w:noWrap/>
            <w:vAlign w:val="bottom"/>
            <w:hideMark/>
          </w:tcPr>
          <w:p w:rsidR="00895BDD" w:rsidRPr="00E06B10" w:rsidRDefault="00895BDD" w:rsidP="00031B92">
            <w:pPr>
              <w:spacing w:after="0" w:line="240" w:lineRule="auto"/>
              <w:rPr>
                <w:rFonts w:eastAsia="Times New Roman" w:cs="Arial"/>
                <w:color w:val="000000"/>
                <w:lang w:eastAsia="en-GB"/>
              </w:rPr>
            </w:pPr>
          </w:p>
        </w:tc>
        <w:tc>
          <w:tcPr>
            <w:tcW w:w="3544" w:type="dxa"/>
            <w:tcBorders>
              <w:top w:val="single" w:sz="4" w:space="0" w:color="DA9694"/>
              <w:bottom w:val="single" w:sz="4" w:space="0" w:color="DA9694"/>
              <w:right w:val="single" w:sz="18" w:space="0" w:color="D99594" w:themeColor="accent2" w:themeTint="99"/>
            </w:tcBorders>
            <w:shd w:val="clear" w:color="F2DCDB" w:fill="F2DCDB"/>
            <w:noWrap/>
            <w:vAlign w:val="bottom"/>
            <w:hideMark/>
          </w:tcPr>
          <w:p w:rsidR="00895BDD" w:rsidRPr="00E06B10" w:rsidRDefault="00895BDD" w:rsidP="00031B92">
            <w:pPr>
              <w:spacing w:after="0" w:line="240" w:lineRule="auto"/>
              <w:rPr>
                <w:rFonts w:eastAsia="Times New Roman" w:cs="Arial"/>
                <w:color w:val="000000"/>
                <w:lang w:eastAsia="en-GB"/>
              </w:rPr>
            </w:pPr>
            <w:r w:rsidRPr="00E06B10">
              <w:rPr>
                <w:rFonts w:eastAsia="Times New Roman" w:cs="Arial"/>
                <w:color w:val="000000"/>
                <w:lang w:eastAsia="en-GB"/>
              </w:rPr>
              <w:t>55 - 64</w:t>
            </w:r>
          </w:p>
        </w:tc>
        <w:tc>
          <w:tcPr>
            <w:tcW w:w="1904" w:type="dxa"/>
            <w:tcBorders>
              <w:top w:val="single" w:sz="4" w:space="0" w:color="DA9694"/>
              <w:left w:val="single" w:sz="18" w:space="0" w:color="D99594" w:themeColor="accent2" w:themeTint="99"/>
              <w:bottom w:val="single" w:sz="4" w:space="0" w:color="DA9694"/>
            </w:tcBorders>
            <w:shd w:val="clear" w:color="F2DCDB" w:fill="F2DCDB"/>
            <w:noWrap/>
            <w:vAlign w:val="bottom"/>
            <w:hideMark/>
          </w:tcPr>
          <w:p w:rsidR="00895BDD" w:rsidRPr="00E06B10" w:rsidRDefault="00895BDD" w:rsidP="00031B92">
            <w:pPr>
              <w:spacing w:after="0" w:line="240" w:lineRule="auto"/>
              <w:rPr>
                <w:rFonts w:eastAsia="Times New Roman" w:cs="Arial"/>
                <w:color w:val="000000"/>
                <w:lang w:eastAsia="en-GB"/>
              </w:rPr>
            </w:pPr>
            <w:r w:rsidRPr="00E06B10">
              <w:rPr>
                <w:rFonts w:eastAsia="Times New Roman" w:cs="Arial"/>
                <w:color w:val="000000"/>
                <w:lang w:eastAsia="en-GB"/>
              </w:rPr>
              <w:t>*</w:t>
            </w:r>
          </w:p>
        </w:tc>
        <w:tc>
          <w:tcPr>
            <w:tcW w:w="1904" w:type="dxa"/>
            <w:tcBorders>
              <w:top w:val="single" w:sz="4" w:space="0" w:color="DA9694"/>
              <w:bottom w:val="single" w:sz="4" w:space="0" w:color="DA9694"/>
            </w:tcBorders>
            <w:shd w:val="clear" w:color="F2DCDB" w:fill="F2DCDB"/>
            <w:noWrap/>
            <w:vAlign w:val="bottom"/>
            <w:hideMark/>
          </w:tcPr>
          <w:p w:rsidR="00895BDD" w:rsidRPr="00E06B10" w:rsidRDefault="00895BDD" w:rsidP="00031B92">
            <w:pPr>
              <w:spacing w:after="0" w:line="240" w:lineRule="auto"/>
              <w:rPr>
                <w:rFonts w:eastAsia="Times New Roman" w:cs="Arial"/>
                <w:color w:val="000000"/>
                <w:lang w:eastAsia="en-GB"/>
              </w:rPr>
            </w:pPr>
            <w:r w:rsidRPr="00E06B10">
              <w:rPr>
                <w:rFonts w:eastAsia="Times New Roman" w:cs="Arial"/>
                <w:color w:val="000000"/>
                <w:lang w:eastAsia="en-GB"/>
              </w:rPr>
              <w:t>*</w:t>
            </w:r>
          </w:p>
        </w:tc>
      </w:tr>
      <w:tr w:rsidR="00895BDD" w:rsidRPr="00E06B10" w:rsidTr="00031B92">
        <w:trPr>
          <w:trHeight w:val="285"/>
        </w:trPr>
        <w:tc>
          <w:tcPr>
            <w:tcW w:w="1941" w:type="dxa"/>
            <w:vMerge/>
            <w:tcBorders>
              <w:bottom w:val="single" w:sz="4" w:space="0" w:color="DA9694"/>
            </w:tcBorders>
            <w:shd w:val="clear" w:color="auto" w:fill="auto"/>
            <w:noWrap/>
            <w:vAlign w:val="bottom"/>
            <w:hideMark/>
          </w:tcPr>
          <w:p w:rsidR="00895BDD" w:rsidRPr="00E06B10" w:rsidRDefault="00895BDD" w:rsidP="00031B92">
            <w:pPr>
              <w:spacing w:after="0" w:line="240" w:lineRule="auto"/>
              <w:rPr>
                <w:rFonts w:eastAsia="Times New Roman" w:cs="Arial"/>
                <w:color w:val="000000"/>
                <w:lang w:eastAsia="en-GB"/>
              </w:rPr>
            </w:pPr>
          </w:p>
        </w:tc>
        <w:tc>
          <w:tcPr>
            <w:tcW w:w="3544" w:type="dxa"/>
            <w:tcBorders>
              <w:top w:val="single" w:sz="4" w:space="0" w:color="DA9694"/>
              <w:bottom w:val="single" w:sz="4" w:space="0" w:color="DA9694"/>
              <w:right w:val="single" w:sz="18" w:space="0" w:color="D99594" w:themeColor="accent2" w:themeTint="99"/>
            </w:tcBorders>
            <w:shd w:val="clear" w:color="E6B8B7" w:fill="E6B8B7"/>
            <w:noWrap/>
            <w:vAlign w:val="bottom"/>
            <w:hideMark/>
          </w:tcPr>
          <w:p w:rsidR="00895BDD" w:rsidRPr="00E06B10" w:rsidRDefault="00895BDD" w:rsidP="00031B92">
            <w:pPr>
              <w:spacing w:after="0" w:line="240" w:lineRule="auto"/>
              <w:rPr>
                <w:rFonts w:eastAsia="Times New Roman" w:cs="Arial"/>
                <w:color w:val="000000"/>
                <w:lang w:eastAsia="en-GB"/>
              </w:rPr>
            </w:pPr>
            <w:r w:rsidRPr="00E06B10">
              <w:rPr>
                <w:rFonts w:eastAsia="Times New Roman" w:cs="Arial"/>
                <w:color w:val="000000"/>
                <w:lang w:eastAsia="en-GB"/>
              </w:rPr>
              <w:t>65 and over</w:t>
            </w:r>
          </w:p>
        </w:tc>
        <w:tc>
          <w:tcPr>
            <w:tcW w:w="1904" w:type="dxa"/>
            <w:tcBorders>
              <w:top w:val="single" w:sz="4" w:space="0" w:color="DA9694"/>
              <w:left w:val="single" w:sz="18" w:space="0" w:color="D99594" w:themeColor="accent2" w:themeTint="99"/>
              <w:bottom w:val="single" w:sz="4" w:space="0" w:color="DA9694"/>
            </w:tcBorders>
            <w:shd w:val="clear" w:color="E6B8B7" w:fill="E6B8B7"/>
            <w:noWrap/>
            <w:vAlign w:val="bottom"/>
            <w:hideMark/>
          </w:tcPr>
          <w:p w:rsidR="00895BDD" w:rsidRPr="00E06B10" w:rsidRDefault="00895BDD" w:rsidP="00031B92">
            <w:pPr>
              <w:spacing w:after="0" w:line="240" w:lineRule="auto"/>
              <w:rPr>
                <w:rFonts w:eastAsia="Times New Roman" w:cs="Arial"/>
                <w:color w:val="000000"/>
                <w:lang w:eastAsia="en-GB"/>
              </w:rPr>
            </w:pPr>
            <w:r w:rsidRPr="00E06B10">
              <w:rPr>
                <w:rFonts w:eastAsia="Times New Roman" w:cs="Arial"/>
                <w:color w:val="000000"/>
                <w:lang w:eastAsia="en-GB"/>
              </w:rPr>
              <w:t>*</w:t>
            </w:r>
          </w:p>
        </w:tc>
        <w:tc>
          <w:tcPr>
            <w:tcW w:w="1904" w:type="dxa"/>
            <w:tcBorders>
              <w:top w:val="single" w:sz="4" w:space="0" w:color="DA9694"/>
              <w:bottom w:val="single" w:sz="4" w:space="0" w:color="DA9694"/>
            </w:tcBorders>
            <w:shd w:val="clear" w:color="E6B8B7" w:fill="E6B8B7"/>
            <w:noWrap/>
            <w:vAlign w:val="bottom"/>
            <w:hideMark/>
          </w:tcPr>
          <w:p w:rsidR="00895BDD" w:rsidRPr="00E06B10" w:rsidRDefault="00895BDD" w:rsidP="00031B92">
            <w:pPr>
              <w:spacing w:after="0" w:line="240" w:lineRule="auto"/>
              <w:rPr>
                <w:rFonts w:eastAsia="Times New Roman" w:cs="Arial"/>
                <w:color w:val="000000"/>
                <w:lang w:eastAsia="en-GB"/>
              </w:rPr>
            </w:pPr>
            <w:r w:rsidRPr="00E06B10">
              <w:rPr>
                <w:rFonts w:eastAsia="Times New Roman" w:cs="Arial"/>
                <w:color w:val="000000"/>
                <w:lang w:eastAsia="en-GB"/>
              </w:rPr>
              <w:t>*</w:t>
            </w:r>
          </w:p>
        </w:tc>
      </w:tr>
      <w:tr w:rsidR="00895BDD" w:rsidRPr="00E06B10" w:rsidTr="00031B92">
        <w:trPr>
          <w:trHeight w:val="285"/>
        </w:trPr>
        <w:tc>
          <w:tcPr>
            <w:tcW w:w="1941" w:type="dxa"/>
            <w:tcBorders>
              <w:bottom w:val="single" w:sz="4" w:space="0" w:color="DA9694"/>
            </w:tcBorders>
            <w:shd w:val="clear" w:color="auto" w:fill="auto"/>
            <w:noWrap/>
            <w:vAlign w:val="bottom"/>
          </w:tcPr>
          <w:p w:rsidR="00895BDD" w:rsidRPr="00E06B10" w:rsidRDefault="00895BDD" w:rsidP="00031B92">
            <w:pPr>
              <w:spacing w:after="0" w:line="240" w:lineRule="auto"/>
              <w:rPr>
                <w:rFonts w:eastAsia="Times New Roman" w:cs="Arial"/>
                <w:color w:val="000000"/>
                <w:lang w:eastAsia="en-GB"/>
              </w:rPr>
            </w:pPr>
            <w:r w:rsidRPr="00E06B10">
              <w:rPr>
                <w:rFonts w:eastAsia="Times New Roman" w:cs="Arial"/>
                <w:color w:val="000000"/>
                <w:lang w:eastAsia="en-GB"/>
              </w:rPr>
              <w:t>Children</w:t>
            </w:r>
          </w:p>
        </w:tc>
        <w:tc>
          <w:tcPr>
            <w:tcW w:w="3544" w:type="dxa"/>
            <w:tcBorders>
              <w:top w:val="single" w:sz="4" w:space="0" w:color="DA9694"/>
              <w:bottom w:val="single" w:sz="4" w:space="0" w:color="DA9694"/>
              <w:right w:val="single" w:sz="18" w:space="0" w:color="D99594" w:themeColor="accent2" w:themeTint="99"/>
            </w:tcBorders>
            <w:shd w:val="clear" w:color="E6B8B7" w:fill="E6B8B7"/>
            <w:noWrap/>
            <w:vAlign w:val="bottom"/>
          </w:tcPr>
          <w:p w:rsidR="00895BDD" w:rsidRPr="00E06B10" w:rsidRDefault="00895BDD" w:rsidP="00031B92">
            <w:pPr>
              <w:spacing w:after="0" w:line="240" w:lineRule="auto"/>
              <w:rPr>
                <w:rFonts w:eastAsia="Times New Roman" w:cs="Arial"/>
                <w:color w:val="000000"/>
                <w:lang w:eastAsia="en-GB"/>
              </w:rPr>
            </w:pPr>
          </w:p>
        </w:tc>
        <w:tc>
          <w:tcPr>
            <w:tcW w:w="1904" w:type="dxa"/>
            <w:tcBorders>
              <w:top w:val="single" w:sz="4" w:space="0" w:color="DA9694"/>
              <w:left w:val="single" w:sz="18" w:space="0" w:color="D99594" w:themeColor="accent2" w:themeTint="99"/>
              <w:bottom w:val="single" w:sz="4" w:space="0" w:color="DA9694"/>
            </w:tcBorders>
            <w:shd w:val="clear" w:color="E6B8B7" w:fill="E6B8B7"/>
            <w:noWrap/>
            <w:vAlign w:val="bottom"/>
          </w:tcPr>
          <w:p w:rsidR="00895BDD" w:rsidRPr="00E06B10" w:rsidRDefault="00895BDD" w:rsidP="00031B92">
            <w:pPr>
              <w:spacing w:after="0" w:line="240" w:lineRule="auto"/>
              <w:rPr>
                <w:rFonts w:eastAsia="Times New Roman" w:cs="Arial"/>
                <w:color w:val="000000"/>
                <w:lang w:eastAsia="en-GB"/>
              </w:rPr>
            </w:pPr>
            <w:r w:rsidRPr="00E06B10">
              <w:rPr>
                <w:rFonts w:eastAsia="Times New Roman" w:cs="Arial"/>
                <w:color w:val="000000"/>
                <w:lang w:eastAsia="en-GB"/>
              </w:rPr>
              <w:t>47.8%</w:t>
            </w:r>
          </w:p>
        </w:tc>
        <w:tc>
          <w:tcPr>
            <w:tcW w:w="1904" w:type="dxa"/>
            <w:tcBorders>
              <w:top w:val="single" w:sz="4" w:space="0" w:color="DA9694"/>
              <w:bottom w:val="single" w:sz="4" w:space="0" w:color="DA9694"/>
            </w:tcBorders>
            <w:shd w:val="clear" w:color="E6B8B7" w:fill="E6B8B7"/>
            <w:noWrap/>
            <w:vAlign w:val="bottom"/>
          </w:tcPr>
          <w:p w:rsidR="00895BDD" w:rsidRPr="00E06B10" w:rsidRDefault="00895BDD" w:rsidP="00031B92">
            <w:pPr>
              <w:spacing w:after="0" w:line="240" w:lineRule="auto"/>
              <w:rPr>
                <w:rFonts w:eastAsia="Times New Roman" w:cs="Arial"/>
                <w:color w:val="000000"/>
                <w:lang w:eastAsia="en-GB"/>
              </w:rPr>
            </w:pPr>
            <w:r w:rsidRPr="00E06B10">
              <w:rPr>
                <w:rFonts w:eastAsia="Times New Roman" w:cs="Arial"/>
                <w:color w:val="000000"/>
                <w:lang w:eastAsia="en-GB"/>
              </w:rPr>
              <w:t>44.4%</w:t>
            </w:r>
          </w:p>
        </w:tc>
      </w:tr>
      <w:tr w:rsidR="00895BDD" w:rsidRPr="00E06B10" w:rsidTr="00031B92">
        <w:trPr>
          <w:trHeight w:val="285"/>
        </w:trPr>
        <w:tc>
          <w:tcPr>
            <w:tcW w:w="1941" w:type="dxa"/>
            <w:vMerge w:val="restart"/>
            <w:shd w:val="clear" w:color="auto" w:fill="auto"/>
            <w:noWrap/>
            <w:vAlign w:val="center"/>
          </w:tcPr>
          <w:p w:rsidR="00895BDD" w:rsidRPr="00E06B10" w:rsidRDefault="00895BDD" w:rsidP="00031B92">
            <w:pPr>
              <w:spacing w:after="0" w:line="240" w:lineRule="auto"/>
              <w:rPr>
                <w:rFonts w:eastAsia="Times New Roman" w:cs="Arial"/>
                <w:color w:val="000000"/>
                <w:lang w:eastAsia="en-GB"/>
              </w:rPr>
            </w:pPr>
            <w:r w:rsidRPr="00E06B10">
              <w:rPr>
                <w:rFonts w:eastAsia="Times New Roman" w:cs="Arial"/>
                <w:color w:val="000000"/>
                <w:lang w:eastAsia="en-GB"/>
              </w:rPr>
              <w:t>Social grade</w:t>
            </w:r>
          </w:p>
        </w:tc>
        <w:tc>
          <w:tcPr>
            <w:tcW w:w="3544" w:type="dxa"/>
            <w:tcBorders>
              <w:top w:val="single" w:sz="4" w:space="0" w:color="DA9694"/>
              <w:bottom w:val="single" w:sz="4" w:space="0" w:color="DA9694"/>
              <w:right w:val="single" w:sz="18" w:space="0" w:color="D99594" w:themeColor="accent2" w:themeTint="99"/>
            </w:tcBorders>
            <w:shd w:val="clear" w:color="E6B8B7" w:fill="E6B8B7"/>
            <w:noWrap/>
            <w:vAlign w:val="bottom"/>
          </w:tcPr>
          <w:p w:rsidR="00895BDD" w:rsidRPr="00E06B10" w:rsidRDefault="00895BDD" w:rsidP="00031B92">
            <w:pPr>
              <w:spacing w:after="0" w:line="240" w:lineRule="auto"/>
              <w:rPr>
                <w:rFonts w:eastAsia="Times New Roman" w:cs="Arial"/>
                <w:color w:val="000000"/>
                <w:lang w:eastAsia="en-GB"/>
              </w:rPr>
            </w:pPr>
            <w:r w:rsidRPr="00E06B10">
              <w:rPr>
                <w:rFonts w:eastAsia="Times New Roman" w:cs="Arial"/>
                <w:color w:val="000000"/>
                <w:lang w:eastAsia="en-GB"/>
              </w:rPr>
              <w:t>NS SEC 1-4</w:t>
            </w:r>
          </w:p>
        </w:tc>
        <w:tc>
          <w:tcPr>
            <w:tcW w:w="1904" w:type="dxa"/>
            <w:tcBorders>
              <w:top w:val="single" w:sz="4" w:space="0" w:color="DA9694"/>
              <w:left w:val="single" w:sz="18" w:space="0" w:color="D99594" w:themeColor="accent2" w:themeTint="99"/>
              <w:bottom w:val="single" w:sz="4" w:space="0" w:color="DA9694"/>
            </w:tcBorders>
            <w:shd w:val="clear" w:color="E6B8B7" w:fill="E6B8B7"/>
            <w:noWrap/>
            <w:vAlign w:val="bottom"/>
          </w:tcPr>
          <w:p w:rsidR="00895BDD" w:rsidRPr="00E06B10" w:rsidRDefault="00895BDD" w:rsidP="00031B92">
            <w:pPr>
              <w:spacing w:after="0" w:line="240" w:lineRule="auto"/>
              <w:rPr>
                <w:rFonts w:eastAsia="Times New Roman" w:cs="Arial"/>
                <w:color w:val="000000"/>
                <w:lang w:eastAsia="en-GB"/>
              </w:rPr>
            </w:pPr>
            <w:r w:rsidRPr="00E06B10">
              <w:rPr>
                <w:rFonts w:eastAsia="Times New Roman" w:cs="Arial"/>
                <w:color w:val="000000"/>
                <w:lang w:eastAsia="en-GB"/>
              </w:rPr>
              <w:t>42.5%</w:t>
            </w:r>
          </w:p>
        </w:tc>
        <w:tc>
          <w:tcPr>
            <w:tcW w:w="1904" w:type="dxa"/>
            <w:tcBorders>
              <w:top w:val="single" w:sz="4" w:space="0" w:color="DA9694"/>
              <w:bottom w:val="single" w:sz="4" w:space="0" w:color="DA9694"/>
            </w:tcBorders>
            <w:shd w:val="clear" w:color="E6B8B7" w:fill="E6B8B7"/>
            <w:noWrap/>
            <w:vAlign w:val="bottom"/>
          </w:tcPr>
          <w:p w:rsidR="00895BDD" w:rsidRPr="00E06B10" w:rsidRDefault="00895BDD" w:rsidP="00031B92">
            <w:pPr>
              <w:spacing w:after="0" w:line="240" w:lineRule="auto"/>
              <w:rPr>
                <w:rFonts w:eastAsia="Times New Roman" w:cs="Arial"/>
                <w:color w:val="000000"/>
                <w:lang w:eastAsia="en-GB"/>
              </w:rPr>
            </w:pPr>
            <w:r w:rsidRPr="00E06B10">
              <w:rPr>
                <w:rFonts w:eastAsia="Times New Roman" w:cs="Arial"/>
                <w:color w:val="000000"/>
                <w:lang w:eastAsia="en-GB"/>
              </w:rPr>
              <w:t>42.6%</w:t>
            </w:r>
          </w:p>
        </w:tc>
      </w:tr>
      <w:tr w:rsidR="00895BDD" w:rsidRPr="00E06B10" w:rsidTr="00031B92">
        <w:trPr>
          <w:trHeight w:val="285"/>
        </w:trPr>
        <w:tc>
          <w:tcPr>
            <w:tcW w:w="1941" w:type="dxa"/>
            <w:vMerge/>
            <w:tcBorders>
              <w:bottom w:val="single" w:sz="4" w:space="0" w:color="DA9694"/>
            </w:tcBorders>
            <w:shd w:val="clear" w:color="auto" w:fill="auto"/>
            <w:noWrap/>
            <w:vAlign w:val="bottom"/>
          </w:tcPr>
          <w:p w:rsidR="00895BDD" w:rsidRPr="00E06B10" w:rsidRDefault="00895BDD" w:rsidP="00031B92">
            <w:pPr>
              <w:spacing w:after="0" w:line="240" w:lineRule="auto"/>
              <w:rPr>
                <w:rFonts w:eastAsia="Times New Roman" w:cs="Arial"/>
                <w:color w:val="000000"/>
                <w:lang w:eastAsia="en-GB"/>
              </w:rPr>
            </w:pPr>
          </w:p>
        </w:tc>
        <w:tc>
          <w:tcPr>
            <w:tcW w:w="3544" w:type="dxa"/>
            <w:tcBorders>
              <w:top w:val="single" w:sz="4" w:space="0" w:color="DA9694"/>
              <w:bottom w:val="single" w:sz="4" w:space="0" w:color="DA9694"/>
              <w:right w:val="single" w:sz="18" w:space="0" w:color="D99594" w:themeColor="accent2" w:themeTint="99"/>
            </w:tcBorders>
            <w:shd w:val="clear" w:color="E6B8B7" w:fill="E6B8B7"/>
            <w:noWrap/>
            <w:vAlign w:val="bottom"/>
          </w:tcPr>
          <w:p w:rsidR="00895BDD" w:rsidRPr="00E06B10" w:rsidRDefault="00895BDD" w:rsidP="00031B92">
            <w:pPr>
              <w:spacing w:after="0" w:line="240" w:lineRule="auto"/>
              <w:rPr>
                <w:rFonts w:eastAsia="Times New Roman" w:cs="Arial"/>
                <w:color w:val="000000"/>
                <w:lang w:eastAsia="en-GB"/>
              </w:rPr>
            </w:pPr>
            <w:r w:rsidRPr="00E06B10">
              <w:rPr>
                <w:rFonts w:eastAsia="Times New Roman" w:cs="Arial"/>
                <w:color w:val="000000"/>
                <w:lang w:eastAsia="en-GB"/>
              </w:rPr>
              <w:t>NS SEC 5-8</w:t>
            </w:r>
          </w:p>
        </w:tc>
        <w:tc>
          <w:tcPr>
            <w:tcW w:w="1904" w:type="dxa"/>
            <w:tcBorders>
              <w:top w:val="single" w:sz="4" w:space="0" w:color="DA9694"/>
              <w:left w:val="single" w:sz="18" w:space="0" w:color="D99594" w:themeColor="accent2" w:themeTint="99"/>
              <w:bottom w:val="single" w:sz="4" w:space="0" w:color="DA9694"/>
            </w:tcBorders>
            <w:shd w:val="clear" w:color="E6B8B7" w:fill="E6B8B7"/>
            <w:noWrap/>
            <w:vAlign w:val="bottom"/>
          </w:tcPr>
          <w:p w:rsidR="00895BDD" w:rsidRPr="00E06B10" w:rsidRDefault="00895BDD" w:rsidP="00031B92">
            <w:pPr>
              <w:spacing w:after="0" w:line="240" w:lineRule="auto"/>
              <w:rPr>
                <w:rFonts w:eastAsia="Times New Roman" w:cs="Arial"/>
                <w:color w:val="000000"/>
                <w:lang w:eastAsia="en-GB"/>
              </w:rPr>
            </w:pPr>
            <w:r w:rsidRPr="00E06B10">
              <w:rPr>
                <w:rFonts w:eastAsia="Times New Roman" w:cs="Arial"/>
                <w:color w:val="000000"/>
                <w:lang w:eastAsia="en-GB"/>
              </w:rPr>
              <w:t>*</w:t>
            </w:r>
          </w:p>
        </w:tc>
        <w:tc>
          <w:tcPr>
            <w:tcW w:w="1904" w:type="dxa"/>
            <w:tcBorders>
              <w:top w:val="single" w:sz="4" w:space="0" w:color="DA9694"/>
              <w:bottom w:val="single" w:sz="4" w:space="0" w:color="DA9694"/>
            </w:tcBorders>
            <w:shd w:val="clear" w:color="E6B8B7" w:fill="E6B8B7"/>
            <w:noWrap/>
            <w:vAlign w:val="bottom"/>
          </w:tcPr>
          <w:p w:rsidR="00895BDD" w:rsidRPr="00E06B10" w:rsidRDefault="00895BDD" w:rsidP="00031B92">
            <w:pPr>
              <w:spacing w:after="0" w:line="240" w:lineRule="auto"/>
              <w:rPr>
                <w:rFonts w:eastAsia="Times New Roman" w:cs="Arial"/>
                <w:color w:val="000000"/>
                <w:lang w:eastAsia="en-GB"/>
              </w:rPr>
            </w:pPr>
            <w:r w:rsidRPr="00E06B10">
              <w:rPr>
                <w:rFonts w:eastAsia="Times New Roman" w:cs="Arial"/>
                <w:color w:val="000000"/>
                <w:lang w:eastAsia="en-GB"/>
              </w:rPr>
              <w:t>*</w:t>
            </w:r>
          </w:p>
        </w:tc>
      </w:tr>
      <w:tr w:rsidR="00895BDD" w:rsidRPr="00E06B10" w:rsidTr="00031B92">
        <w:trPr>
          <w:trHeight w:val="285"/>
        </w:trPr>
        <w:tc>
          <w:tcPr>
            <w:tcW w:w="1941" w:type="dxa"/>
            <w:vMerge w:val="restart"/>
            <w:tcBorders>
              <w:top w:val="single" w:sz="4" w:space="0" w:color="DA9694"/>
            </w:tcBorders>
            <w:shd w:val="clear" w:color="auto" w:fill="auto"/>
            <w:noWrap/>
            <w:vAlign w:val="center"/>
            <w:hideMark/>
          </w:tcPr>
          <w:p w:rsidR="00895BDD" w:rsidRPr="00E06B10" w:rsidRDefault="00895BDD" w:rsidP="00031B92">
            <w:pPr>
              <w:spacing w:after="0" w:line="240" w:lineRule="auto"/>
              <w:rPr>
                <w:rFonts w:eastAsia="Times New Roman" w:cs="Arial"/>
                <w:color w:val="000000"/>
                <w:lang w:eastAsia="en-GB"/>
              </w:rPr>
            </w:pPr>
            <w:r w:rsidRPr="00E06B10">
              <w:rPr>
                <w:rFonts w:eastAsia="Times New Roman" w:cs="Arial"/>
                <w:color w:val="000000"/>
                <w:lang w:eastAsia="en-GB"/>
              </w:rPr>
              <w:t>Ethnicity</w:t>
            </w:r>
          </w:p>
        </w:tc>
        <w:tc>
          <w:tcPr>
            <w:tcW w:w="3544" w:type="dxa"/>
            <w:tcBorders>
              <w:top w:val="single" w:sz="4" w:space="0" w:color="DA9694"/>
              <w:bottom w:val="single" w:sz="4" w:space="0" w:color="DA9694"/>
              <w:right w:val="single" w:sz="18" w:space="0" w:color="D99594" w:themeColor="accent2" w:themeTint="99"/>
            </w:tcBorders>
            <w:shd w:val="clear" w:color="F2DCDB" w:fill="F2DCDB"/>
            <w:noWrap/>
            <w:vAlign w:val="bottom"/>
            <w:hideMark/>
          </w:tcPr>
          <w:p w:rsidR="00895BDD" w:rsidRPr="00E06B10" w:rsidRDefault="00895BDD" w:rsidP="00031B92">
            <w:pPr>
              <w:spacing w:after="0" w:line="240" w:lineRule="auto"/>
              <w:rPr>
                <w:rFonts w:eastAsia="Times New Roman" w:cs="Arial"/>
                <w:color w:val="000000"/>
                <w:lang w:eastAsia="en-GB"/>
              </w:rPr>
            </w:pPr>
            <w:r w:rsidRPr="00E06B10">
              <w:rPr>
                <w:rFonts w:eastAsia="Times New Roman" w:cs="Arial"/>
                <w:color w:val="000000"/>
                <w:lang w:eastAsia="en-GB"/>
              </w:rPr>
              <w:t>White British</w:t>
            </w:r>
          </w:p>
        </w:tc>
        <w:tc>
          <w:tcPr>
            <w:tcW w:w="1904" w:type="dxa"/>
            <w:tcBorders>
              <w:top w:val="single" w:sz="4" w:space="0" w:color="DA9694"/>
              <w:left w:val="single" w:sz="18" w:space="0" w:color="D99594" w:themeColor="accent2" w:themeTint="99"/>
              <w:bottom w:val="single" w:sz="4" w:space="0" w:color="DA9694"/>
            </w:tcBorders>
            <w:shd w:val="clear" w:color="F2DCDB" w:fill="F2DCDB"/>
            <w:noWrap/>
            <w:vAlign w:val="bottom"/>
            <w:hideMark/>
          </w:tcPr>
          <w:p w:rsidR="00895BDD" w:rsidRPr="00E06B10" w:rsidRDefault="00895BDD" w:rsidP="00031B92">
            <w:pPr>
              <w:spacing w:after="0" w:line="240" w:lineRule="auto"/>
              <w:rPr>
                <w:rFonts w:eastAsia="Times New Roman" w:cs="Arial"/>
                <w:color w:val="000000"/>
                <w:lang w:eastAsia="en-GB"/>
              </w:rPr>
            </w:pPr>
            <w:r w:rsidRPr="00E06B10">
              <w:rPr>
                <w:rFonts w:eastAsia="Times New Roman" w:cs="Arial"/>
                <w:color w:val="000000"/>
                <w:lang w:eastAsia="en-GB"/>
              </w:rPr>
              <w:t>47.8%</w:t>
            </w:r>
          </w:p>
        </w:tc>
        <w:tc>
          <w:tcPr>
            <w:tcW w:w="1904" w:type="dxa"/>
            <w:tcBorders>
              <w:top w:val="single" w:sz="4" w:space="0" w:color="DA9694"/>
              <w:bottom w:val="single" w:sz="4" w:space="0" w:color="DA9694"/>
            </w:tcBorders>
            <w:shd w:val="clear" w:color="F2DCDB" w:fill="F2DCDB"/>
            <w:noWrap/>
            <w:vAlign w:val="bottom"/>
            <w:hideMark/>
          </w:tcPr>
          <w:p w:rsidR="00895BDD" w:rsidRPr="00E06B10" w:rsidRDefault="00895BDD" w:rsidP="00031B92">
            <w:pPr>
              <w:spacing w:after="0" w:line="240" w:lineRule="auto"/>
              <w:rPr>
                <w:rFonts w:eastAsia="Times New Roman" w:cs="Arial"/>
                <w:color w:val="000000"/>
                <w:lang w:eastAsia="en-GB"/>
              </w:rPr>
            </w:pPr>
            <w:r w:rsidRPr="00E06B10">
              <w:rPr>
                <w:rFonts w:eastAsia="Times New Roman" w:cs="Arial"/>
                <w:color w:val="000000"/>
                <w:lang w:eastAsia="en-GB"/>
              </w:rPr>
              <w:t>45.0%</w:t>
            </w:r>
          </w:p>
        </w:tc>
      </w:tr>
      <w:tr w:rsidR="00895BDD" w:rsidRPr="00E06B10" w:rsidTr="00031B92">
        <w:trPr>
          <w:trHeight w:val="285"/>
        </w:trPr>
        <w:tc>
          <w:tcPr>
            <w:tcW w:w="1941" w:type="dxa"/>
            <w:vMerge/>
            <w:tcBorders>
              <w:bottom w:val="single" w:sz="4" w:space="0" w:color="DA9694"/>
            </w:tcBorders>
            <w:shd w:val="clear" w:color="auto" w:fill="auto"/>
            <w:noWrap/>
            <w:vAlign w:val="bottom"/>
            <w:hideMark/>
          </w:tcPr>
          <w:p w:rsidR="00895BDD" w:rsidRPr="00E06B10" w:rsidRDefault="00895BDD" w:rsidP="00031B92">
            <w:pPr>
              <w:spacing w:after="0" w:line="240" w:lineRule="auto"/>
              <w:rPr>
                <w:rFonts w:eastAsia="Times New Roman" w:cs="Arial"/>
                <w:color w:val="000000"/>
                <w:lang w:eastAsia="en-GB"/>
              </w:rPr>
            </w:pPr>
          </w:p>
        </w:tc>
        <w:tc>
          <w:tcPr>
            <w:tcW w:w="3544" w:type="dxa"/>
            <w:tcBorders>
              <w:top w:val="single" w:sz="4" w:space="0" w:color="DA9694"/>
              <w:bottom w:val="single" w:sz="4" w:space="0" w:color="DA9694"/>
              <w:right w:val="single" w:sz="18" w:space="0" w:color="D99594" w:themeColor="accent2" w:themeTint="99"/>
            </w:tcBorders>
            <w:shd w:val="clear" w:color="E6B8B7" w:fill="E6B8B7"/>
            <w:noWrap/>
            <w:vAlign w:val="bottom"/>
            <w:hideMark/>
          </w:tcPr>
          <w:p w:rsidR="00895BDD" w:rsidRPr="00E06B10" w:rsidRDefault="00895BDD" w:rsidP="00031B92">
            <w:pPr>
              <w:spacing w:after="0" w:line="240" w:lineRule="auto"/>
              <w:rPr>
                <w:rFonts w:eastAsia="Times New Roman" w:cs="Arial"/>
                <w:color w:val="000000"/>
                <w:lang w:eastAsia="en-GB"/>
              </w:rPr>
            </w:pPr>
            <w:r w:rsidRPr="00E06B10">
              <w:rPr>
                <w:rFonts w:eastAsia="Times New Roman" w:cs="Arial"/>
                <w:color w:val="000000"/>
                <w:lang w:eastAsia="en-GB"/>
              </w:rPr>
              <w:t>Black and Minority Ethnic Groups</w:t>
            </w:r>
          </w:p>
        </w:tc>
        <w:tc>
          <w:tcPr>
            <w:tcW w:w="1904" w:type="dxa"/>
            <w:tcBorders>
              <w:top w:val="single" w:sz="4" w:space="0" w:color="DA9694"/>
              <w:left w:val="single" w:sz="18" w:space="0" w:color="D99594" w:themeColor="accent2" w:themeTint="99"/>
              <w:bottom w:val="single" w:sz="4" w:space="0" w:color="DA9694"/>
            </w:tcBorders>
            <w:shd w:val="clear" w:color="E6B8B7" w:fill="E6B8B7"/>
            <w:noWrap/>
            <w:vAlign w:val="bottom"/>
            <w:hideMark/>
          </w:tcPr>
          <w:p w:rsidR="00895BDD" w:rsidRPr="00E06B10" w:rsidRDefault="00895BDD" w:rsidP="00031B92">
            <w:pPr>
              <w:spacing w:after="0" w:line="240" w:lineRule="auto"/>
              <w:rPr>
                <w:rFonts w:eastAsia="Times New Roman" w:cs="Arial"/>
                <w:color w:val="000000"/>
                <w:lang w:eastAsia="en-GB"/>
              </w:rPr>
            </w:pPr>
            <w:r w:rsidRPr="00E06B10">
              <w:rPr>
                <w:rFonts w:eastAsia="Times New Roman" w:cs="Arial"/>
                <w:color w:val="000000"/>
                <w:lang w:eastAsia="en-GB"/>
              </w:rPr>
              <w:t>42.2%</w:t>
            </w:r>
          </w:p>
        </w:tc>
        <w:tc>
          <w:tcPr>
            <w:tcW w:w="1904" w:type="dxa"/>
            <w:tcBorders>
              <w:top w:val="single" w:sz="4" w:space="0" w:color="DA9694"/>
              <w:bottom w:val="single" w:sz="4" w:space="0" w:color="DA9694"/>
            </w:tcBorders>
            <w:shd w:val="clear" w:color="E6B8B7" w:fill="E6B8B7"/>
            <w:noWrap/>
            <w:vAlign w:val="bottom"/>
            <w:hideMark/>
          </w:tcPr>
          <w:p w:rsidR="00895BDD" w:rsidRPr="00E06B10" w:rsidRDefault="00895BDD" w:rsidP="00031B92">
            <w:pPr>
              <w:spacing w:after="0" w:line="240" w:lineRule="auto"/>
              <w:rPr>
                <w:rFonts w:eastAsia="Times New Roman" w:cs="Arial"/>
                <w:color w:val="000000"/>
                <w:lang w:eastAsia="en-GB"/>
              </w:rPr>
            </w:pPr>
            <w:r w:rsidRPr="00E06B10">
              <w:rPr>
                <w:rFonts w:eastAsia="Times New Roman" w:cs="Arial"/>
                <w:color w:val="000000"/>
                <w:lang w:eastAsia="en-GB"/>
              </w:rPr>
              <w:t>44.4%</w:t>
            </w:r>
          </w:p>
        </w:tc>
      </w:tr>
    </w:tbl>
    <w:p w:rsidR="00895BDD" w:rsidRPr="00935DF1" w:rsidRDefault="00895BDD" w:rsidP="00895BDD">
      <w:pPr>
        <w:spacing w:after="0" w:line="240" w:lineRule="auto"/>
        <w:rPr>
          <w:sz w:val="18"/>
          <w:szCs w:val="18"/>
        </w:rPr>
      </w:pPr>
      <w:r w:rsidRPr="00935DF1">
        <w:rPr>
          <w:sz w:val="18"/>
          <w:szCs w:val="18"/>
        </w:rPr>
        <w:t>* Data unavailable, question not asked or insufficient sample size</w:t>
      </w:r>
    </w:p>
    <w:p w:rsidR="00895BDD" w:rsidRPr="008A799C" w:rsidRDefault="00895BDD" w:rsidP="00895BDD">
      <w:pPr>
        <w:spacing w:after="0" w:line="240" w:lineRule="auto"/>
      </w:pPr>
      <w:r>
        <w:t>Source</w:t>
      </w:r>
      <w:r w:rsidRPr="008A799C">
        <w:t xml:space="preserve">: Sport England. </w:t>
      </w:r>
      <w:hyperlink r:id="rId132" w:history="1">
        <w:r w:rsidRPr="008A799C">
          <w:rPr>
            <w:rStyle w:val="Hyperlink"/>
          </w:rPr>
          <w:t>Active People Interactive</w:t>
        </w:r>
      </w:hyperlink>
      <w:r w:rsidRPr="008A799C">
        <w:t xml:space="preserve"> (Active People Survey analysis tool)</w:t>
      </w:r>
    </w:p>
    <w:p w:rsidR="00895BDD" w:rsidRPr="00E06B10" w:rsidRDefault="00895BDD" w:rsidP="00895BDD">
      <w:pPr>
        <w:spacing w:after="0" w:line="240" w:lineRule="auto"/>
        <w:rPr>
          <w:sz w:val="16"/>
        </w:rPr>
      </w:pPr>
    </w:p>
    <w:p w:rsidR="00895BDD" w:rsidRPr="00E06B10" w:rsidRDefault="00895BDD" w:rsidP="00895BDD">
      <w:pPr>
        <w:jc w:val="both"/>
      </w:pPr>
      <w:r w:rsidRPr="00F77511">
        <w:t>In addition, the latest physical activity survey (APS8) has revealed that 68% of Barnet 16+ population would like to do more sports (also known as overall latent sport demand), which includes 42.3% of those currently active and 25.7% of currently inactive. Moreover, the same level of sport activity has declined in females compared to males during 2013</w:t>
      </w:r>
      <w:r w:rsidR="00270AEE">
        <w:t>/</w:t>
      </w:r>
      <w:r w:rsidRPr="00F77511">
        <w:t xml:space="preserve">14 in comparison to the previous year. This might suggest a need for increasing participation of females in sports in Barnet. In addition, there are inequalities in participation in sports between different localities in the London </w:t>
      </w:r>
      <w:r>
        <w:t>Borough</w:t>
      </w:r>
      <w:r w:rsidRPr="00F77511">
        <w:t xml:space="preserve"> of Barnet.  Data from Sport England’s Active People Survey 6 (October 2011</w:t>
      </w:r>
      <w:r>
        <w:t xml:space="preserve"> </w:t>
      </w:r>
      <w:r w:rsidRPr="00F77511">
        <w:t>-</w:t>
      </w:r>
      <w:r>
        <w:t xml:space="preserve"> </w:t>
      </w:r>
      <w:r w:rsidRPr="00F77511">
        <w:t xml:space="preserve">October 2012) shows that once a week sports participation at the MOSA level in Barnet was the highest in MOSA E02000043 (53.8%), MOSA E02000039 (54.3%) and MOSA E02000046 (54.4%) while the lowest in MSOA E02000049 (36.5%), MSOA E02000047 (38.7%) - both in Burnt Oak ward, and MSOA E02000027 (40.9%) in Under Hill ward (Figure </w:t>
      </w:r>
      <w:r>
        <w:t>6-7</w:t>
      </w:r>
      <w:r w:rsidRPr="00F77511">
        <w:t>)</w:t>
      </w:r>
      <w:bookmarkStart w:id="666" w:name="_Ref420578827"/>
      <w:r w:rsidRPr="00F77511">
        <w:rPr>
          <w:rStyle w:val="FootnoteReference"/>
        </w:rPr>
        <w:footnoteReference w:id="100"/>
      </w:r>
      <w:bookmarkEnd w:id="666"/>
      <w:r>
        <w:t>.</w:t>
      </w:r>
    </w:p>
    <w:p w:rsidR="00895BDD" w:rsidRPr="00E06B10" w:rsidRDefault="00895BDD" w:rsidP="00895BDD">
      <w:pPr>
        <w:pStyle w:val="Caption"/>
      </w:pPr>
      <w:r>
        <w:t xml:space="preserve">Figure </w:t>
      </w:r>
      <w:fldSimple w:instr=" STYLEREF 1 \s ">
        <w:r w:rsidR="001663C2">
          <w:rPr>
            <w:noProof/>
          </w:rPr>
          <w:t>6</w:t>
        </w:r>
      </w:fldSimple>
      <w:r w:rsidR="00943DC2">
        <w:noBreakHyphen/>
      </w:r>
      <w:fldSimple w:instr=" SEQ Figure \* ARABIC \s 1 ">
        <w:r w:rsidR="001663C2">
          <w:rPr>
            <w:noProof/>
          </w:rPr>
          <w:t>7</w:t>
        </w:r>
      </w:fldSimple>
      <w:r>
        <w:t>:</w:t>
      </w:r>
      <w:r w:rsidRPr="00E06B10">
        <w:t xml:space="preserve"> Modelled </w:t>
      </w:r>
      <w:r>
        <w:t>once a week sports p</w:t>
      </w:r>
      <w:r w:rsidRPr="00E06B10">
        <w:t xml:space="preserve">articipation </w:t>
      </w:r>
      <w:r>
        <w:t>e</w:t>
      </w:r>
      <w:r w:rsidRPr="00E06B10">
        <w:t>stimates</w:t>
      </w:r>
      <w:r>
        <w:t xml:space="preserve"> for Barnet - MSOA level</w:t>
      </w:r>
      <w:r w:rsidR="00412908">
        <w:t xml:space="preserve"> (Data from APS6 – 2011/</w:t>
      </w:r>
      <w:r w:rsidRPr="00E06B10">
        <w:t>2012)</w:t>
      </w:r>
      <w:r>
        <w:fldChar w:fldCharType="begin"/>
      </w:r>
      <w:r>
        <w:instrText xml:space="preserve"> NOTEREF _Ref420578827 \f \h </w:instrText>
      </w:r>
      <w:r>
        <w:fldChar w:fldCharType="separate"/>
      </w:r>
      <w:r w:rsidR="001663C2" w:rsidRPr="001663C2">
        <w:rPr>
          <w:rStyle w:val="FootnoteReference"/>
        </w:rPr>
        <w:t>100</w:t>
      </w:r>
      <w:r>
        <w:fldChar w:fldCharType="end"/>
      </w:r>
    </w:p>
    <w:p w:rsidR="00895BDD" w:rsidRPr="00E06B10" w:rsidRDefault="00895BDD" w:rsidP="00895BDD">
      <w:pPr>
        <w:jc w:val="both"/>
      </w:pPr>
      <w:r w:rsidRPr="00E06B10">
        <w:rPr>
          <w:noProof/>
          <w:lang w:eastAsia="en-GB"/>
        </w:rPr>
        <w:drawing>
          <wp:anchor distT="0" distB="0" distL="114300" distR="114300" simplePos="0" relativeHeight="251862016" behindDoc="0" locked="0" layoutInCell="1" allowOverlap="1" wp14:anchorId="4889948D" wp14:editId="6114BF49">
            <wp:simplePos x="0" y="0"/>
            <wp:positionH relativeFrom="column">
              <wp:posOffset>10160</wp:posOffset>
            </wp:positionH>
            <wp:positionV relativeFrom="paragraph">
              <wp:posOffset>74295</wp:posOffset>
            </wp:positionV>
            <wp:extent cx="2860040" cy="2378710"/>
            <wp:effectExtent l="0" t="0" r="0" b="2540"/>
            <wp:wrapSquare wrapText="bothSides"/>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860040" cy="23787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06B10">
        <w:t xml:space="preserve">The </w:t>
      </w:r>
      <w:hyperlink r:id="rId134" w:history="1">
        <w:r w:rsidRPr="00E06B10">
          <w:rPr>
            <w:rStyle w:val="Hyperlink"/>
          </w:rPr>
          <w:t>CMO recommendation for physical activity</w:t>
        </w:r>
      </w:hyperlink>
      <w:r w:rsidRPr="00E06B10">
        <w:t xml:space="preserve"> in children stress</w:t>
      </w:r>
      <w:r>
        <w:t>es</w:t>
      </w:r>
      <w:r w:rsidRPr="00E06B10">
        <w:t xml:space="preserve"> upon promoti</w:t>
      </w:r>
      <w:r>
        <w:t>o</w:t>
      </w:r>
      <w:r w:rsidRPr="00E06B10">
        <w:t>n</w:t>
      </w:r>
      <w:r>
        <w:t xml:space="preserve"> of</w:t>
      </w:r>
      <w:r w:rsidRPr="00E06B10">
        <w:t xml:space="preserve"> physical activity at an early age and creati</w:t>
      </w:r>
      <w:r>
        <w:t>o</w:t>
      </w:r>
      <w:r w:rsidRPr="00E06B10">
        <w:t>n</w:t>
      </w:r>
      <w:r>
        <w:t xml:space="preserve"> of</w:t>
      </w:r>
      <w:r w:rsidRPr="00E06B10">
        <w:t xml:space="preserve"> more opportunities for children and young people to be physically active. The local children centres offer a range of services for babies, children and young people. The London </w:t>
      </w:r>
      <w:r>
        <w:t>Borough</w:t>
      </w:r>
      <w:r w:rsidRPr="00E06B10">
        <w:t xml:space="preserve"> of Barnet supports several interventions and programmes aimed at promoti</w:t>
      </w:r>
      <w:r>
        <w:t>o</w:t>
      </w:r>
      <w:r w:rsidRPr="00E06B10">
        <w:t>n</w:t>
      </w:r>
      <w:r>
        <w:t xml:space="preserve"> of</w:t>
      </w:r>
      <w:r w:rsidRPr="00E06B10">
        <w:t xml:space="preserve"> physical activity not only </w:t>
      </w:r>
      <w:r>
        <w:t>for</w:t>
      </w:r>
      <w:r w:rsidRPr="00E06B10">
        <w:t xml:space="preserve"> young children and adolescents but also for adults and older people as reported in the </w:t>
      </w:r>
      <w:hyperlink r:id="rId135" w:history="1">
        <w:r w:rsidRPr="00E06B10">
          <w:rPr>
            <w:rStyle w:val="Hyperlink"/>
          </w:rPr>
          <w:t xml:space="preserve">Harrow &amp; Barnet </w:t>
        </w:r>
        <w:r>
          <w:rPr>
            <w:rStyle w:val="Hyperlink"/>
          </w:rPr>
          <w:t>o</w:t>
        </w:r>
        <w:r w:rsidRPr="00E06B10">
          <w:rPr>
            <w:rStyle w:val="Hyperlink"/>
          </w:rPr>
          <w:t xml:space="preserve">n </w:t>
        </w:r>
        <w:r>
          <w:rPr>
            <w:rStyle w:val="Hyperlink"/>
          </w:rPr>
          <w:t>t</w:t>
        </w:r>
        <w:r w:rsidRPr="00E06B10">
          <w:rPr>
            <w:rStyle w:val="Hyperlink"/>
          </w:rPr>
          <w:t>he Move</w:t>
        </w:r>
      </w:hyperlink>
      <w:r w:rsidRPr="00E06B10">
        <w:t xml:space="preserve"> annual report by </w:t>
      </w:r>
      <w:r w:rsidRPr="00E06B10">
        <w:lastRenderedPageBreak/>
        <w:t xml:space="preserve">the Joint Director of Public Health (DPH) at Barnet and Harrow </w:t>
      </w:r>
      <w:r>
        <w:t>Borough</w:t>
      </w:r>
      <w:r w:rsidRPr="00E06B10">
        <w:t xml:space="preserve"> Councils.</w:t>
      </w:r>
      <w:bookmarkStart w:id="667" w:name="_Ref417998717"/>
      <w:r w:rsidRPr="00E06B10">
        <w:rPr>
          <w:rStyle w:val="FootnoteReference"/>
        </w:rPr>
        <w:footnoteReference w:id="101"/>
      </w:r>
      <w:bookmarkEnd w:id="667"/>
    </w:p>
    <w:p w:rsidR="00895BDD" w:rsidRPr="00E06B10" w:rsidRDefault="00895BDD" w:rsidP="00895BDD">
      <w:pPr>
        <w:jc w:val="both"/>
      </w:pPr>
      <w:r w:rsidRPr="00E06B10">
        <w:t>In addition, ‘</w:t>
      </w:r>
      <w:hyperlink r:id="rId136" w:history="1">
        <w:r w:rsidRPr="00E06B10">
          <w:rPr>
            <w:rStyle w:val="Hyperlink"/>
          </w:rPr>
          <w:t>Keeping Well, Keeping Independent</w:t>
        </w:r>
      </w:hyperlink>
      <w:r w:rsidRPr="00E06B10">
        <w:t xml:space="preserve">’ </w:t>
      </w:r>
      <w:r>
        <w:t>–</w:t>
      </w:r>
      <w:r w:rsidRPr="00E06B10">
        <w:t xml:space="preserve"> the Barnet Health and Wellbeing Strategy 2012-2015 recognises the need for creating a supportive environment to increas</w:t>
      </w:r>
      <w:r>
        <w:t>e</w:t>
      </w:r>
      <w:r w:rsidRPr="00E06B10">
        <w:t xml:space="preserve"> physical activity aimed at the prevention agenda</w:t>
      </w:r>
      <w:r>
        <w:t xml:space="preserve">; </w:t>
      </w:r>
      <w:r w:rsidRPr="00E06B10">
        <w:t xml:space="preserve">partnership working is key to identifying and addressing the factors underpinning health inequalities across Barnet communities. </w:t>
      </w:r>
    </w:p>
    <w:p w:rsidR="00895BDD" w:rsidRPr="00E06B10" w:rsidRDefault="00895BDD" w:rsidP="00895BDD">
      <w:pPr>
        <w:pStyle w:val="Heading3"/>
        <w:numPr>
          <w:ilvl w:val="2"/>
          <w:numId w:val="35"/>
        </w:numPr>
        <w:jc w:val="both"/>
      </w:pPr>
      <w:bookmarkStart w:id="668" w:name="_Toc422840071"/>
      <w:r w:rsidRPr="00E06B10">
        <w:t xml:space="preserve">Physical </w:t>
      </w:r>
      <w:r w:rsidR="00CF501E">
        <w:t>A</w:t>
      </w:r>
      <w:r w:rsidRPr="00E06B10">
        <w:t xml:space="preserve">ctivity </w:t>
      </w:r>
      <w:r w:rsidR="00CF501E">
        <w:t>N</w:t>
      </w:r>
      <w:r w:rsidRPr="00E06B10">
        <w:t>eeds</w:t>
      </w:r>
      <w:bookmarkEnd w:id="668"/>
    </w:p>
    <w:p w:rsidR="00895BDD" w:rsidRPr="00E06B10" w:rsidRDefault="00895BDD" w:rsidP="00895BDD">
      <w:pPr>
        <w:jc w:val="both"/>
      </w:pPr>
      <w:r w:rsidRPr="00E06B10">
        <w:t xml:space="preserve">The DPH’s annual report </w:t>
      </w:r>
      <w:hyperlink r:id="rId137" w:history="1">
        <w:r w:rsidRPr="00E06B10">
          <w:rPr>
            <w:rStyle w:val="Hyperlink"/>
          </w:rPr>
          <w:t>Harrow &amp; Barnet on the Move</w:t>
        </w:r>
      </w:hyperlink>
      <w:r w:rsidRPr="00E06B10">
        <w:t xml:space="preserve"> suggests a range of interventions for fulfilling the physical activity needs of local residents.</w:t>
      </w:r>
      <w:r>
        <w:t xml:space="preserve"> For </w:t>
      </w:r>
      <w:r w:rsidRPr="00E06B10">
        <w:t xml:space="preserve">example the following activities </w:t>
      </w:r>
      <w:r>
        <w:t xml:space="preserve">are suggested </w:t>
      </w:r>
      <w:r w:rsidRPr="00E06B10">
        <w:t>by the council and healthcare providers</w:t>
      </w:r>
      <w:r>
        <w:t>:</w:t>
      </w:r>
    </w:p>
    <w:p w:rsidR="00895BDD" w:rsidRPr="00E06B10" w:rsidRDefault="00895BDD" w:rsidP="00895BDD">
      <w:pPr>
        <w:pStyle w:val="ListParagraph"/>
        <w:numPr>
          <w:ilvl w:val="0"/>
          <w:numId w:val="36"/>
        </w:numPr>
        <w:jc w:val="both"/>
      </w:pPr>
      <w:r w:rsidRPr="00E06B10">
        <w:t>Creating safe, age-friendly neighbourhoods and communities</w:t>
      </w:r>
    </w:p>
    <w:p w:rsidR="00895BDD" w:rsidRPr="00E06B10" w:rsidRDefault="00895BDD" w:rsidP="00895BDD">
      <w:pPr>
        <w:pStyle w:val="ListParagraph"/>
        <w:numPr>
          <w:ilvl w:val="0"/>
          <w:numId w:val="36"/>
        </w:numPr>
        <w:jc w:val="both"/>
      </w:pPr>
      <w:r w:rsidRPr="00E06B10">
        <w:t xml:space="preserve">Ensuring there are convenient and attractive walking and cycling opportunities and access to </w:t>
      </w:r>
      <w:r>
        <w:t xml:space="preserve">the </w:t>
      </w:r>
      <w:r w:rsidRPr="00E06B10">
        <w:t>natural environment</w:t>
      </w:r>
    </w:p>
    <w:p w:rsidR="00895BDD" w:rsidRPr="00E06B10" w:rsidRDefault="00895BDD" w:rsidP="00895BDD">
      <w:pPr>
        <w:pStyle w:val="ListParagraph"/>
        <w:numPr>
          <w:ilvl w:val="0"/>
          <w:numId w:val="36"/>
        </w:numPr>
        <w:jc w:val="both"/>
      </w:pPr>
      <w:r w:rsidRPr="00E06B10">
        <w:t>Identifying physically ina</w:t>
      </w:r>
      <w:r>
        <w:t xml:space="preserve">ctive older people and encouraging </w:t>
      </w:r>
      <w:r w:rsidRPr="00E06B10">
        <w:t>them to take exercise – offering referrals to free programmes if appropriate</w:t>
      </w:r>
    </w:p>
    <w:p w:rsidR="00895BDD" w:rsidRPr="00E06B10" w:rsidRDefault="00895BDD" w:rsidP="00895BDD">
      <w:pPr>
        <w:pStyle w:val="ListParagraph"/>
        <w:numPr>
          <w:ilvl w:val="0"/>
          <w:numId w:val="36"/>
        </w:numPr>
        <w:jc w:val="both"/>
      </w:pPr>
      <w:r w:rsidRPr="00E06B10">
        <w:t>Focusing on ability rather than limitations</w:t>
      </w:r>
    </w:p>
    <w:p w:rsidR="00895BDD" w:rsidRPr="00E06B10" w:rsidRDefault="00895BDD" w:rsidP="00895BDD">
      <w:pPr>
        <w:pStyle w:val="Heading2"/>
        <w:numPr>
          <w:ilvl w:val="1"/>
          <w:numId w:val="35"/>
        </w:numPr>
        <w:jc w:val="both"/>
        <w:rPr>
          <w:rFonts w:asciiTheme="minorHAnsi" w:hAnsiTheme="minorHAnsi"/>
        </w:rPr>
      </w:pPr>
      <w:bookmarkStart w:id="669" w:name="_Toc422840072"/>
      <w:bookmarkStart w:id="670" w:name="_Toc426723347"/>
      <w:bookmarkStart w:id="671" w:name="_Toc431225174"/>
      <w:r w:rsidRPr="00E06B10">
        <w:rPr>
          <w:rFonts w:asciiTheme="minorHAnsi" w:hAnsiTheme="minorHAnsi"/>
        </w:rPr>
        <w:t>Alcohol</w:t>
      </w:r>
      <w:bookmarkEnd w:id="669"/>
      <w:bookmarkEnd w:id="670"/>
      <w:bookmarkEnd w:id="671"/>
      <w:r w:rsidRPr="00E06B10">
        <w:rPr>
          <w:rFonts w:asciiTheme="minorHAnsi" w:hAnsiTheme="minorHAnsi"/>
        </w:rPr>
        <w:t xml:space="preserve"> </w:t>
      </w:r>
    </w:p>
    <w:p w:rsidR="00895BDD" w:rsidRPr="00E06B10" w:rsidRDefault="00895BDD" w:rsidP="00895BDD">
      <w:pPr>
        <w:jc w:val="both"/>
      </w:pPr>
      <w:r>
        <w:t>The p</w:t>
      </w:r>
      <w:r w:rsidRPr="00E06B10">
        <w:t xml:space="preserve">ercentage of residents who abstain from drinking alcohol in Barnet (22.05%) is similar to the average in </w:t>
      </w:r>
      <w:r>
        <w:t xml:space="preserve">the </w:t>
      </w:r>
      <w:r w:rsidRPr="00E06B10">
        <w:t>London region (22.37%) but higher than the national rate (16.53%).</w:t>
      </w:r>
      <w:r>
        <w:t xml:space="preserve"> </w:t>
      </w:r>
      <w:r w:rsidRPr="00E06B10">
        <w:t>In terms of the number of alcohol abstainers, Barnet ranks 22</w:t>
      </w:r>
      <w:r w:rsidRPr="00E06B10">
        <w:rPr>
          <w:vertAlign w:val="superscript"/>
        </w:rPr>
        <w:t>nd</w:t>
      </w:r>
      <w:r w:rsidRPr="00E06B10">
        <w:t xml:space="preserve"> highest among 326 local authorities in England.</w:t>
      </w:r>
    </w:p>
    <w:p w:rsidR="00895BDD" w:rsidRDefault="00895BDD" w:rsidP="00895BDD">
      <w:pPr>
        <w:jc w:val="both"/>
      </w:pPr>
      <w:r w:rsidRPr="00E06B10">
        <w:t>Among drink</w:t>
      </w:r>
      <w:r>
        <w:t>ing</w:t>
      </w:r>
      <w:r w:rsidRPr="00E06B10">
        <w:t xml:space="preserve"> Barnet residents, 6.8% </w:t>
      </w:r>
      <w:r>
        <w:t>are</w:t>
      </w:r>
      <w:r w:rsidRPr="00E06B10">
        <w:t xml:space="preserve"> classified as ‘higher risk’ drinkers (over 50 units of alcohol per week for men and over 35 units per week for women), which is similar to the averages for </w:t>
      </w:r>
      <w:r>
        <w:t xml:space="preserve">the </w:t>
      </w:r>
      <w:r w:rsidRPr="00E06B10">
        <w:t xml:space="preserve">London region (6.9%) and England (6.75%). Thus, for </w:t>
      </w:r>
      <w:r>
        <w:t xml:space="preserve">the </w:t>
      </w:r>
      <w:r w:rsidRPr="00E06B10">
        <w:t>higher risk drinker population, Barnet ranks 20</w:t>
      </w:r>
      <w:r w:rsidRPr="00E06B10">
        <w:rPr>
          <w:vertAlign w:val="superscript"/>
        </w:rPr>
        <w:t>th</w:t>
      </w:r>
      <w:r w:rsidRPr="00E06B10">
        <w:t xml:space="preserve"> lowest among all English local authorities (n=326). Estimates show that 18.87% of Barnet adult residents are ‘increasing risk’ drinkers (22-50 units per week for men, and 15-35 units per week for women). These are lower than the average estimates for </w:t>
      </w:r>
      <w:r>
        <w:t xml:space="preserve">the </w:t>
      </w:r>
      <w:r w:rsidRPr="00E06B10">
        <w:t xml:space="preserve">London region (19.7%) and England (20%). </w:t>
      </w:r>
    </w:p>
    <w:p w:rsidR="00895BDD" w:rsidRDefault="00895BDD" w:rsidP="00895BDD">
      <w:pPr>
        <w:pStyle w:val="Heading3"/>
        <w:numPr>
          <w:ilvl w:val="2"/>
          <w:numId w:val="35"/>
        </w:numPr>
        <w:jc w:val="both"/>
      </w:pPr>
      <w:bookmarkStart w:id="672" w:name="_Toc422840073"/>
      <w:r>
        <w:t>B</w:t>
      </w:r>
      <w:r w:rsidR="00CF501E">
        <w:t>inge D</w:t>
      </w:r>
      <w:r w:rsidRPr="00E06B10">
        <w:t>rinking</w:t>
      </w:r>
      <w:bookmarkEnd w:id="672"/>
      <w:r>
        <w:t xml:space="preserve"> </w:t>
      </w:r>
    </w:p>
    <w:p w:rsidR="00895BDD" w:rsidRDefault="00895BDD" w:rsidP="00895BDD">
      <w:pPr>
        <w:jc w:val="both"/>
      </w:pPr>
      <w:r>
        <w:t>I</w:t>
      </w:r>
      <w:r w:rsidRPr="00E06B10">
        <w:t>n terms of binge drinking</w:t>
      </w:r>
      <w:r>
        <w:t>,</w:t>
      </w:r>
      <w:r w:rsidRPr="00E06B10">
        <w:t xml:space="preserve"> Barnet ranks 9</w:t>
      </w:r>
      <w:r w:rsidRPr="00E06B10">
        <w:rPr>
          <w:vertAlign w:val="superscript"/>
        </w:rPr>
        <w:t>th</w:t>
      </w:r>
      <w:r w:rsidRPr="00E06B10">
        <w:t xml:space="preserve"> lowest among 326 total English local authorities. Estimated percentage of ‘binge drinkers’ (eight or more units of alcohol for men or six or more units of alcohol for women, on at least one day in the previous week) in Barnet (12%) is less than both the London region (14.3%) and national (20.1%) averages. </w:t>
      </w:r>
    </w:p>
    <w:p w:rsidR="00895BDD" w:rsidRPr="004E4C7B" w:rsidRDefault="00895BDD" w:rsidP="00895BDD">
      <w:pPr>
        <w:jc w:val="both"/>
      </w:pPr>
      <w:r w:rsidRPr="004E4C7B">
        <w:t xml:space="preserve">Public Health England’s modelled estimates of binge drinking adults show that the percentage of binge drinkers by wards in Barnet is the highest in Garden Suburb (14.7%), High Barnet (14.4%) and East Barnet (14%) wards while the lowest in Colindale (8.4%), Burnt Oak (9.7%) and West Hendon (10.1%) wards.   </w:t>
      </w:r>
    </w:p>
    <w:p w:rsidR="00895BDD" w:rsidRPr="004E4C7B" w:rsidRDefault="00895BDD" w:rsidP="00895BDD">
      <w:pPr>
        <w:pStyle w:val="Heading3"/>
        <w:numPr>
          <w:ilvl w:val="2"/>
          <w:numId w:val="35"/>
        </w:numPr>
        <w:jc w:val="both"/>
      </w:pPr>
      <w:bookmarkStart w:id="673" w:name="_Toc422840074"/>
      <w:r w:rsidRPr="004E4C7B">
        <w:lastRenderedPageBreak/>
        <w:t xml:space="preserve">Alcohol </w:t>
      </w:r>
      <w:r w:rsidR="00CF501E">
        <w:t>Related PHOF I</w:t>
      </w:r>
      <w:r w:rsidRPr="004E4C7B">
        <w:t>ndicators</w:t>
      </w:r>
      <w:bookmarkEnd w:id="673"/>
      <w:r w:rsidRPr="004E4C7B">
        <w:t xml:space="preserve"> </w:t>
      </w:r>
    </w:p>
    <w:p w:rsidR="00895BDD" w:rsidRPr="004E4C7B" w:rsidRDefault="00895BDD" w:rsidP="00895BDD">
      <w:pPr>
        <w:jc w:val="both"/>
      </w:pPr>
      <w:r w:rsidRPr="004E4C7B">
        <w:t xml:space="preserve">Barnet rates of alcohol related mortality, hospital admissions, crimes, and sexual offences as well as mortality from chronic liver disease are shown in Figure </w:t>
      </w:r>
      <w:r>
        <w:t>6-8</w:t>
      </w:r>
      <w:r w:rsidRPr="004E4C7B">
        <w:t xml:space="preserve"> below. Most of these rates in Barnet are coming down except the alcohol related mortality and hospital admissions in males, which are increasing and the rate of alcohol related sexual offences has not changed in the last three years. </w:t>
      </w:r>
    </w:p>
    <w:p w:rsidR="00895BDD" w:rsidRDefault="00895BDD" w:rsidP="00895BDD">
      <w:pPr>
        <w:jc w:val="both"/>
      </w:pPr>
      <w:r w:rsidRPr="004E4C7B">
        <w:t>The ward level standardised admission ratios (SAR) of hospital admissions for alcohol attributable conditions are the highest in Burnt Oak (122.9), Colindale (105.9) and Underhill (102.8) wards while the lowest in Garden Suburb (50.9), Finchley Church End (66.1) and Childs Hill (74.7) wards in Barnet.</w:t>
      </w:r>
    </w:p>
    <w:p w:rsidR="00895BDD" w:rsidRDefault="00895BDD" w:rsidP="00895BDD">
      <w:pPr>
        <w:pStyle w:val="Heading3"/>
        <w:numPr>
          <w:ilvl w:val="2"/>
          <w:numId w:val="35"/>
        </w:numPr>
        <w:jc w:val="both"/>
      </w:pPr>
      <w:bookmarkStart w:id="674" w:name="_Toc422840075"/>
      <w:r>
        <w:t>A</w:t>
      </w:r>
      <w:r w:rsidR="00CF501E">
        <w:t>lcohol D</w:t>
      </w:r>
      <w:r w:rsidRPr="00E06B10">
        <w:t>ependence</w:t>
      </w:r>
      <w:bookmarkEnd w:id="674"/>
      <w:r w:rsidRPr="00E06B10">
        <w:t xml:space="preserve"> </w:t>
      </w:r>
    </w:p>
    <w:p w:rsidR="00895BDD" w:rsidRDefault="00895BDD" w:rsidP="00895BDD">
      <w:pPr>
        <w:jc w:val="both"/>
      </w:pPr>
      <w:r w:rsidRPr="00E06B10">
        <w:t>The Adult Psychiatric Morbidity Survey (APMS) 2007</w:t>
      </w:r>
      <w:r w:rsidRPr="00E06B10">
        <w:rPr>
          <w:rStyle w:val="FootnoteReference"/>
        </w:rPr>
        <w:footnoteReference w:id="102"/>
      </w:r>
      <w:r w:rsidRPr="00E06B10">
        <w:t xml:space="preserve"> revealed that 5.9% of Barnet adults may have some form of alcohol dependence, which is higher in men (8.7%) compared to women (3.3%) and white men and women (9.6% and 3.7% respectively</w:t>
      </w:r>
      <w:r>
        <w:t>)</w:t>
      </w:r>
      <w:r w:rsidRPr="00FA0F92">
        <w:t xml:space="preserve"> </w:t>
      </w:r>
      <w:r w:rsidRPr="00E06B10">
        <w:t>are more likely to be dependent. The number of people in treatment for alcohol dependence has risen by 53% in the last five years. The level of successful completions for alcohol treatment (28.1%) is below the national average (37.5%) for 2013/14. The level of re</w:t>
      </w:r>
      <w:r>
        <w:t>-</w:t>
      </w:r>
      <w:r w:rsidRPr="00E06B10">
        <w:t>presentation</w:t>
      </w:r>
      <w:r>
        <w:t>s</w:t>
      </w:r>
      <w:r w:rsidRPr="00E06B10">
        <w:t xml:space="preserve"> </w:t>
      </w:r>
      <w:r>
        <w:t>for</w:t>
      </w:r>
      <w:r w:rsidRPr="00E06B10">
        <w:t xml:space="preserve"> treatment within 6 months is higher.</w:t>
      </w:r>
    </w:p>
    <w:p w:rsidR="00895BDD" w:rsidRPr="00E06B10" w:rsidRDefault="00895BDD" w:rsidP="00895BDD">
      <w:pPr>
        <w:pStyle w:val="Caption"/>
      </w:pPr>
      <w:r>
        <w:t xml:space="preserve">Figure </w:t>
      </w:r>
      <w:fldSimple w:instr=" STYLEREF 1 \s ">
        <w:r w:rsidR="001663C2">
          <w:rPr>
            <w:noProof/>
          </w:rPr>
          <w:t>6</w:t>
        </w:r>
      </w:fldSimple>
      <w:r w:rsidR="00943DC2">
        <w:noBreakHyphen/>
      </w:r>
      <w:fldSimple w:instr=" SEQ Figure \* ARABIC \s 1 ">
        <w:r w:rsidR="001663C2">
          <w:rPr>
            <w:noProof/>
          </w:rPr>
          <w:t>8</w:t>
        </w:r>
      </w:fldSimple>
      <w:r>
        <w:t>:</w:t>
      </w:r>
      <w:r w:rsidRPr="00E06B10">
        <w:t xml:space="preserve"> Barnet alcohol related rates</w:t>
      </w:r>
      <w:r>
        <w:t xml:space="preserve"> by gender (2008-2012)</w:t>
      </w:r>
      <w:r w:rsidRPr="00E06B10">
        <w:t xml:space="preserve"> </w:t>
      </w:r>
    </w:p>
    <w:p w:rsidR="00895BDD" w:rsidRDefault="00895BDD" w:rsidP="00895BDD">
      <w:pPr>
        <w:pStyle w:val="FootnoteText"/>
        <w:jc w:val="center"/>
        <w:rPr>
          <w:noProof/>
          <w:sz w:val="18"/>
          <w:szCs w:val="18"/>
          <w:lang w:eastAsia="en-GB"/>
        </w:rPr>
      </w:pPr>
      <w:r w:rsidRPr="00E06B10">
        <w:rPr>
          <w:noProof/>
          <w:lang w:eastAsia="en-GB"/>
        </w:rPr>
        <w:drawing>
          <wp:inline distT="0" distB="0" distL="0" distR="0" wp14:anchorId="73FB3A18" wp14:editId="07F09E1D">
            <wp:extent cx="4040372" cy="4828736"/>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054833" cy="4846018"/>
                    </a:xfrm>
                    <a:prstGeom prst="rect">
                      <a:avLst/>
                    </a:prstGeom>
                    <a:noFill/>
                    <a:ln>
                      <a:noFill/>
                    </a:ln>
                  </pic:spPr>
                </pic:pic>
              </a:graphicData>
            </a:graphic>
          </wp:inline>
        </w:drawing>
      </w:r>
    </w:p>
    <w:p w:rsidR="00895BDD" w:rsidRPr="008A799C" w:rsidRDefault="00895BDD" w:rsidP="00895BDD">
      <w:pPr>
        <w:pStyle w:val="FootnoteText"/>
        <w:rPr>
          <w:rFonts w:asciiTheme="minorHAnsi" w:hAnsiTheme="minorHAnsi"/>
          <w:sz w:val="22"/>
          <w:szCs w:val="22"/>
        </w:rPr>
      </w:pPr>
      <w:r w:rsidRPr="008A799C">
        <w:rPr>
          <w:rFonts w:asciiTheme="minorHAnsi" w:hAnsiTheme="minorHAnsi"/>
          <w:noProof/>
          <w:sz w:val="22"/>
          <w:szCs w:val="22"/>
          <w:lang w:eastAsia="en-GB"/>
        </w:rPr>
        <w:t xml:space="preserve">Source: Public Health England. </w:t>
      </w:r>
      <w:hyperlink r:id="rId139" w:history="1">
        <w:r w:rsidRPr="008A799C">
          <w:rPr>
            <w:rStyle w:val="Hyperlink"/>
            <w:rFonts w:asciiTheme="minorHAnsi" w:hAnsiTheme="minorHAnsi"/>
            <w:noProof/>
            <w:sz w:val="22"/>
            <w:szCs w:val="22"/>
            <w:lang w:eastAsia="en-GB"/>
          </w:rPr>
          <w:t>Barnet local alcohol profile</w:t>
        </w:r>
      </w:hyperlink>
      <w:r w:rsidRPr="008A799C">
        <w:rPr>
          <w:rFonts w:asciiTheme="minorHAnsi" w:hAnsiTheme="minorHAnsi"/>
          <w:noProof/>
          <w:sz w:val="22"/>
          <w:szCs w:val="22"/>
          <w:lang w:eastAsia="en-GB"/>
        </w:rPr>
        <w:t xml:space="preserve">. </w:t>
      </w:r>
      <w:hyperlink r:id="rId140" w:history="1">
        <w:r w:rsidRPr="008A799C">
          <w:rPr>
            <w:rStyle w:val="Hyperlink"/>
            <w:rFonts w:asciiTheme="minorHAnsi" w:hAnsiTheme="minorHAnsi"/>
            <w:noProof/>
            <w:sz w:val="22"/>
            <w:szCs w:val="22"/>
            <w:lang w:eastAsia="en-GB"/>
          </w:rPr>
          <w:t>LAPE - Local Alcohol Profiles for England</w:t>
        </w:r>
      </w:hyperlink>
    </w:p>
    <w:p w:rsidR="00895BDD" w:rsidRPr="00E06B10" w:rsidRDefault="00CF501E" w:rsidP="00895BDD">
      <w:pPr>
        <w:pStyle w:val="Heading2"/>
        <w:numPr>
          <w:ilvl w:val="1"/>
          <w:numId w:val="35"/>
        </w:numPr>
        <w:jc w:val="both"/>
        <w:rPr>
          <w:rFonts w:asciiTheme="minorHAnsi" w:hAnsiTheme="minorHAnsi"/>
        </w:rPr>
      </w:pPr>
      <w:bookmarkStart w:id="675" w:name="_Toc422840076"/>
      <w:bookmarkStart w:id="676" w:name="_Toc426723348"/>
      <w:bookmarkStart w:id="677" w:name="_Toc431225175"/>
      <w:r>
        <w:rPr>
          <w:rFonts w:asciiTheme="minorHAnsi" w:hAnsiTheme="minorHAnsi"/>
        </w:rPr>
        <w:lastRenderedPageBreak/>
        <w:t>Drugs and Substance M</w:t>
      </w:r>
      <w:r w:rsidR="00895BDD" w:rsidRPr="00E06B10">
        <w:rPr>
          <w:rFonts w:asciiTheme="minorHAnsi" w:hAnsiTheme="minorHAnsi"/>
        </w:rPr>
        <w:t>isuse</w:t>
      </w:r>
      <w:bookmarkEnd w:id="675"/>
      <w:bookmarkEnd w:id="676"/>
      <w:bookmarkEnd w:id="677"/>
    </w:p>
    <w:p w:rsidR="00895BDD" w:rsidRPr="00E06B10" w:rsidRDefault="00CF501E" w:rsidP="00895BDD">
      <w:pPr>
        <w:pStyle w:val="Heading3"/>
        <w:numPr>
          <w:ilvl w:val="2"/>
          <w:numId w:val="35"/>
        </w:numPr>
        <w:jc w:val="both"/>
      </w:pPr>
      <w:bookmarkStart w:id="678" w:name="_Toc394917960"/>
      <w:bookmarkStart w:id="679" w:name="_Toc422840077"/>
      <w:r>
        <w:t>Prevalence of Drug M</w:t>
      </w:r>
      <w:r w:rsidR="00895BDD" w:rsidRPr="00E06B10">
        <w:t>isuse</w:t>
      </w:r>
      <w:bookmarkEnd w:id="678"/>
      <w:bookmarkEnd w:id="679"/>
    </w:p>
    <w:p w:rsidR="00895BDD" w:rsidRPr="00E06B10" w:rsidRDefault="00895BDD" w:rsidP="00895BDD">
      <w:pPr>
        <w:jc w:val="both"/>
      </w:pPr>
      <w:r w:rsidRPr="00E06B10">
        <w:t xml:space="preserve">According to </w:t>
      </w:r>
      <w:r w:rsidR="00412908">
        <w:t>the most recent estimates (2011/</w:t>
      </w:r>
      <w:r w:rsidRPr="00E06B10">
        <w:t xml:space="preserve">2012), Barnet has 1,492 opiate and/or crack users (OCU), 1156 opiate users, 857 crack cocaine users and 215 injecting drug users aged 15-64 years. Barnet rates of OCU and opiates prevalence by age (per 1,000 population) are highest in persons aged 35-64 years (OCU = 6.88, opiates = 5.47) followed by those aged 15-24 years (OCU = 5.73, opiates = 4.04) and persons aged 24-34 years (OCU = 5.16, opiates = 3.99). </w:t>
      </w:r>
    </w:p>
    <w:p w:rsidR="00895BDD" w:rsidRPr="00E06B10" w:rsidRDefault="00895BDD" w:rsidP="00895BDD">
      <w:pPr>
        <w:jc w:val="both"/>
      </w:pPr>
      <w:r w:rsidRPr="00E06B10">
        <w:t xml:space="preserve">In Barnet, total number of users of OCU, opiates, and </w:t>
      </w:r>
      <w:r>
        <w:t xml:space="preserve">drug </w:t>
      </w:r>
      <w:r w:rsidRPr="00E06B10">
        <w:t xml:space="preserve">injecting has increased but crack cocaine users number has decreased recently (Figure </w:t>
      </w:r>
      <w:r>
        <w:t>6-9a</w:t>
      </w:r>
      <w:r w:rsidRPr="00E06B10">
        <w:t xml:space="preserve">). However, the estimated rates (per 1,000 population) of OCU, opiates, crack cocaine and injecting drug users in Barnet are lower than London regional and national rates (Figure </w:t>
      </w:r>
      <w:r>
        <w:t>6-9a</w:t>
      </w:r>
      <w:r w:rsidRPr="00E06B10">
        <w:t>). Nevertheless, the total number of OCU, opiates, crack cocaine and injecting drug users are higher in Barnet compared to Harrow, which is a similar and neighbouring local authority</w:t>
      </w:r>
      <w:r>
        <w:t xml:space="preserve"> </w:t>
      </w:r>
      <w:r w:rsidRPr="00E06B10">
        <w:t xml:space="preserve">(Figure </w:t>
      </w:r>
      <w:r>
        <w:t>6-9b).</w:t>
      </w:r>
      <w:r w:rsidRPr="00E06B10">
        <w:t xml:space="preserve"> The rates of substance misusers in the two </w:t>
      </w:r>
      <w:r>
        <w:t>Borough</w:t>
      </w:r>
      <w:r w:rsidRPr="00E06B10">
        <w:t>s are however not very different.</w:t>
      </w:r>
    </w:p>
    <w:p w:rsidR="00895BDD" w:rsidRPr="00E06B10" w:rsidRDefault="00895BDD" w:rsidP="00895BDD">
      <w:pPr>
        <w:pStyle w:val="Caption"/>
      </w:pPr>
      <w:r>
        <w:t xml:space="preserve">Figure </w:t>
      </w:r>
      <w:fldSimple w:instr=" STYLEREF 1 \s ">
        <w:r w:rsidR="001663C2">
          <w:rPr>
            <w:noProof/>
          </w:rPr>
          <w:t>6</w:t>
        </w:r>
      </w:fldSimple>
      <w:r w:rsidR="00943DC2">
        <w:noBreakHyphen/>
      </w:r>
      <w:fldSimple w:instr=" SEQ Figure \* ARABIC \s 1 ">
        <w:r w:rsidR="001663C2">
          <w:rPr>
            <w:noProof/>
          </w:rPr>
          <w:t>9</w:t>
        </w:r>
      </w:fldSimple>
      <w:r>
        <w:t>a&amp;b:</w:t>
      </w:r>
      <w:r w:rsidRPr="00E06B10">
        <w:t xml:space="preserve"> Estimated rates of OCU, opiates, crack cocaine and injecting drug users</w:t>
      </w:r>
    </w:p>
    <w:p w:rsidR="00895BDD" w:rsidRPr="00E06B10" w:rsidRDefault="00895BDD" w:rsidP="00895BDD">
      <w:pPr>
        <w:spacing w:after="0" w:line="240" w:lineRule="auto"/>
        <w:rPr>
          <w:noProof/>
          <w:lang w:eastAsia="en-GB"/>
        </w:rPr>
      </w:pPr>
      <w:r w:rsidRPr="00E06B10">
        <w:rPr>
          <w:noProof/>
          <w:lang w:eastAsia="en-GB"/>
        </w:rPr>
        <w:drawing>
          <wp:inline distT="0" distB="0" distL="0" distR="0" wp14:anchorId="34EE6786" wp14:editId="390640DE">
            <wp:extent cx="2778379" cy="1597152"/>
            <wp:effectExtent l="0" t="0" r="3175" b="3175"/>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2778032" cy="1596952"/>
                    </a:xfrm>
                    <a:prstGeom prst="rect">
                      <a:avLst/>
                    </a:prstGeom>
                  </pic:spPr>
                </pic:pic>
              </a:graphicData>
            </a:graphic>
          </wp:inline>
        </w:drawing>
      </w:r>
      <w:r w:rsidRPr="00E06B10">
        <w:rPr>
          <w:noProof/>
          <w:lang w:eastAsia="en-GB"/>
        </w:rPr>
        <w:t xml:space="preserve"> </w:t>
      </w:r>
      <w:r w:rsidRPr="00E06B10">
        <w:rPr>
          <w:noProof/>
          <w:lang w:eastAsia="en-GB"/>
        </w:rPr>
        <w:drawing>
          <wp:inline distT="0" distB="0" distL="0" distR="0" wp14:anchorId="3FF35F89" wp14:editId="76A4F145">
            <wp:extent cx="2768281" cy="1609725"/>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2767935" cy="1609524"/>
                    </a:xfrm>
                    <a:prstGeom prst="rect">
                      <a:avLst/>
                    </a:prstGeom>
                  </pic:spPr>
                </pic:pic>
              </a:graphicData>
            </a:graphic>
          </wp:inline>
        </w:drawing>
      </w:r>
    </w:p>
    <w:p w:rsidR="00895BDD" w:rsidRPr="008A799C" w:rsidRDefault="00895BDD" w:rsidP="00895BDD">
      <w:pPr>
        <w:pStyle w:val="FootnoteText"/>
        <w:rPr>
          <w:rFonts w:asciiTheme="minorHAnsi" w:hAnsiTheme="minorHAnsi"/>
          <w:sz w:val="22"/>
          <w:szCs w:val="22"/>
        </w:rPr>
      </w:pPr>
      <w:r>
        <w:rPr>
          <w:rFonts w:asciiTheme="minorHAnsi" w:hAnsiTheme="minorHAnsi"/>
          <w:noProof/>
          <w:sz w:val="22"/>
          <w:szCs w:val="22"/>
          <w:lang w:eastAsia="en-GB"/>
        </w:rPr>
        <w:t>S</w:t>
      </w:r>
      <w:r w:rsidRPr="008A799C">
        <w:rPr>
          <w:rFonts w:asciiTheme="minorHAnsi" w:hAnsiTheme="minorHAnsi"/>
          <w:noProof/>
          <w:sz w:val="22"/>
          <w:szCs w:val="22"/>
          <w:lang w:eastAsia="en-GB"/>
        </w:rPr>
        <w:t xml:space="preserve">ource: Public Health England. Drugs and Alcohol. </w:t>
      </w:r>
      <w:hyperlink r:id="rId143" w:history="1">
        <w:r w:rsidRPr="008A799C">
          <w:rPr>
            <w:rStyle w:val="Hyperlink"/>
            <w:rFonts w:asciiTheme="minorHAnsi" w:hAnsiTheme="minorHAnsi"/>
            <w:noProof/>
            <w:sz w:val="22"/>
            <w:szCs w:val="22"/>
            <w:lang w:eastAsia="en-GB"/>
          </w:rPr>
          <w:t>Prevalence estimates by Local authority</w:t>
        </w:r>
      </w:hyperlink>
    </w:p>
    <w:p w:rsidR="00895BDD" w:rsidRPr="00E06B10" w:rsidRDefault="00895BDD" w:rsidP="00895BDD">
      <w:pPr>
        <w:pStyle w:val="Heading3"/>
        <w:numPr>
          <w:ilvl w:val="2"/>
          <w:numId w:val="35"/>
        </w:numPr>
        <w:jc w:val="both"/>
      </w:pPr>
      <w:bookmarkStart w:id="680" w:name="_Toc394917961"/>
      <w:bookmarkStart w:id="681" w:name="_Toc422840078"/>
      <w:r w:rsidRPr="00E06B10">
        <w:t xml:space="preserve">Drug </w:t>
      </w:r>
      <w:r w:rsidR="00CF501E">
        <w:t>R</w:t>
      </w:r>
      <w:r w:rsidRPr="00E06B10">
        <w:t xml:space="preserve">elated </w:t>
      </w:r>
      <w:r w:rsidR="00CF501E">
        <w:t>D</w:t>
      </w:r>
      <w:r w:rsidRPr="00E06B10">
        <w:t>eaths in Barnet</w:t>
      </w:r>
      <w:bookmarkEnd w:id="680"/>
      <w:bookmarkEnd w:id="681"/>
    </w:p>
    <w:p w:rsidR="00895BDD" w:rsidRPr="00E06B10" w:rsidRDefault="00895BDD" w:rsidP="00895BDD">
      <w:pPr>
        <w:jc w:val="both"/>
      </w:pPr>
      <w:r w:rsidRPr="00E06B10">
        <w:t xml:space="preserve">The number of drug-related deaths per year in </w:t>
      </w:r>
      <w:r>
        <w:t xml:space="preserve">those </w:t>
      </w:r>
      <w:r w:rsidRPr="00E06B10">
        <w:t xml:space="preserve">aged 16 and over whose usual residence was Barnet is very low i.e. one case in 2012 and two cases in 2011. Deaths in treatment </w:t>
      </w:r>
      <w:hyperlink r:id="rId144" w:history="1">
        <w:r w:rsidRPr="00D9312E">
          <w:rPr>
            <w:rStyle w:val="Hyperlink"/>
          </w:rPr>
          <w:t>National Drug Treatment Monitoring System</w:t>
        </w:r>
      </w:hyperlink>
      <w:r w:rsidRPr="00E06B10">
        <w:t xml:space="preserve"> (NDTMS), whilst not necessarily drug-related, are reported as an unsuccessful treatment exit reason. The numbers for each year in Barnet treatment providers are shown in Table </w:t>
      </w:r>
      <w:r>
        <w:t>6-3</w:t>
      </w:r>
      <w:r w:rsidRPr="00E06B10">
        <w:t xml:space="preserve"> below.</w:t>
      </w:r>
    </w:p>
    <w:p w:rsidR="00895BDD" w:rsidRDefault="00895BDD" w:rsidP="00895BDD">
      <w:pPr>
        <w:jc w:val="both"/>
      </w:pPr>
      <w:r w:rsidRPr="00E06B10">
        <w:t xml:space="preserve">In 2013 details of </w:t>
      </w:r>
      <w:r>
        <w:t>five</w:t>
      </w:r>
      <w:r w:rsidRPr="00E06B10">
        <w:t xml:space="preserve"> deaths in treatment were received by commissioners from treatment providers; however, </w:t>
      </w:r>
      <w:r>
        <w:t>three</w:t>
      </w:r>
      <w:r w:rsidRPr="00E06B10">
        <w:t xml:space="preserve"> of these were alcohol related. There is a disparity between NDTMS and local reporting</w:t>
      </w:r>
      <w:r>
        <w:t xml:space="preserve"> that </w:t>
      </w:r>
      <w:r w:rsidRPr="00E06B10">
        <w:t xml:space="preserve">needs further </w:t>
      </w:r>
      <w:r>
        <w:t>investigation and explanation. There is therefore a need for improving the l</w:t>
      </w:r>
      <w:r w:rsidRPr="00E06B10">
        <w:t>ocal serious incident and drug/alcohol-related death reporting processes.</w:t>
      </w:r>
    </w:p>
    <w:p w:rsidR="00895BDD" w:rsidRPr="00E06B10" w:rsidRDefault="00895BDD" w:rsidP="00895BDD">
      <w:pPr>
        <w:pStyle w:val="Caption"/>
      </w:pPr>
      <w:r>
        <w:t xml:space="preserve">Table </w:t>
      </w:r>
      <w:fldSimple w:instr=" STYLEREF 1 \s ">
        <w:r w:rsidR="001663C2">
          <w:rPr>
            <w:noProof/>
          </w:rPr>
          <w:t>6</w:t>
        </w:r>
      </w:fldSimple>
      <w:r>
        <w:noBreakHyphen/>
      </w:r>
      <w:fldSimple w:instr=" SEQ Table \* ARABIC \s 1 ">
        <w:r w:rsidR="001663C2">
          <w:rPr>
            <w:noProof/>
          </w:rPr>
          <w:t>3</w:t>
        </w:r>
      </w:fldSimple>
      <w:r>
        <w:t>:</w:t>
      </w:r>
      <w:r w:rsidRPr="00E06B10">
        <w:t xml:space="preserve"> Deaths in drug treatment – Barnet 2011/12-2013/14 (NDTMS)</w:t>
      </w:r>
    </w:p>
    <w:tbl>
      <w:tblPr>
        <w:tblStyle w:val="MediumGrid1-Accent5"/>
        <w:tblW w:w="0" w:type="auto"/>
        <w:tblInd w:w="108" w:type="dxa"/>
        <w:tblLook w:val="04A0" w:firstRow="1" w:lastRow="0" w:firstColumn="1" w:lastColumn="0" w:noHBand="0" w:noVBand="1"/>
      </w:tblPr>
      <w:tblGrid>
        <w:gridCol w:w="2013"/>
        <w:gridCol w:w="2373"/>
        <w:gridCol w:w="2374"/>
        <w:gridCol w:w="2312"/>
      </w:tblGrid>
      <w:tr w:rsidR="00895BDD" w:rsidRPr="00E06B10" w:rsidTr="00031B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3" w:type="dxa"/>
          </w:tcPr>
          <w:p w:rsidR="00895BDD" w:rsidRPr="00E06B10" w:rsidRDefault="00895BDD" w:rsidP="00031B92">
            <w:pPr>
              <w:rPr>
                <w:b w:val="0"/>
              </w:rPr>
            </w:pPr>
          </w:p>
        </w:tc>
        <w:tc>
          <w:tcPr>
            <w:tcW w:w="2373" w:type="dxa"/>
          </w:tcPr>
          <w:p w:rsidR="00895BDD" w:rsidRPr="00E06B10" w:rsidRDefault="00895BDD" w:rsidP="00031B92">
            <w:pPr>
              <w:cnfStyle w:val="100000000000" w:firstRow="1" w:lastRow="0" w:firstColumn="0" w:lastColumn="0" w:oddVBand="0" w:evenVBand="0" w:oddHBand="0" w:evenHBand="0" w:firstRowFirstColumn="0" w:firstRowLastColumn="0" w:lastRowFirstColumn="0" w:lastRowLastColumn="0"/>
            </w:pPr>
            <w:r w:rsidRPr="00E06B10">
              <w:t>2011/12</w:t>
            </w:r>
          </w:p>
        </w:tc>
        <w:tc>
          <w:tcPr>
            <w:tcW w:w="2374" w:type="dxa"/>
          </w:tcPr>
          <w:p w:rsidR="00895BDD" w:rsidRPr="00E06B10" w:rsidRDefault="00895BDD" w:rsidP="00031B92">
            <w:pPr>
              <w:cnfStyle w:val="100000000000" w:firstRow="1" w:lastRow="0" w:firstColumn="0" w:lastColumn="0" w:oddVBand="0" w:evenVBand="0" w:oddHBand="0" w:evenHBand="0" w:firstRowFirstColumn="0" w:firstRowLastColumn="0" w:lastRowFirstColumn="0" w:lastRowLastColumn="0"/>
            </w:pPr>
            <w:r w:rsidRPr="00E06B10">
              <w:t>2012/13</w:t>
            </w:r>
          </w:p>
        </w:tc>
        <w:tc>
          <w:tcPr>
            <w:tcW w:w="2312" w:type="dxa"/>
          </w:tcPr>
          <w:p w:rsidR="00895BDD" w:rsidRPr="00E06B10" w:rsidRDefault="00895BDD" w:rsidP="00031B92">
            <w:pPr>
              <w:cnfStyle w:val="100000000000" w:firstRow="1" w:lastRow="0" w:firstColumn="0" w:lastColumn="0" w:oddVBand="0" w:evenVBand="0" w:oddHBand="0" w:evenHBand="0" w:firstRowFirstColumn="0" w:firstRowLastColumn="0" w:lastRowFirstColumn="0" w:lastRowLastColumn="0"/>
            </w:pPr>
            <w:r w:rsidRPr="00E06B10">
              <w:t>2013/14</w:t>
            </w:r>
          </w:p>
        </w:tc>
      </w:tr>
      <w:tr w:rsidR="00895BDD" w:rsidRPr="00E06B10" w:rsidTr="00031B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3" w:type="dxa"/>
          </w:tcPr>
          <w:p w:rsidR="00895BDD" w:rsidRPr="00E06B10" w:rsidRDefault="00895BDD" w:rsidP="00031B92">
            <w:pPr>
              <w:rPr>
                <w:b w:val="0"/>
              </w:rPr>
            </w:pPr>
            <w:r w:rsidRPr="00E06B10">
              <w:rPr>
                <w:b w:val="0"/>
              </w:rPr>
              <w:t>Number</w:t>
            </w:r>
          </w:p>
        </w:tc>
        <w:tc>
          <w:tcPr>
            <w:tcW w:w="2373" w:type="dxa"/>
          </w:tcPr>
          <w:p w:rsidR="00895BDD" w:rsidRPr="00E06B10" w:rsidRDefault="00895BDD" w:rsidP="00031B92">
            <w:pPr>
              <w:cnfStyle w:val="000000100000" w:firstRow="0" w:lastRow="0" w:firstColumn="0" w:lastColumn="0" w:oddVBand="0" w:evenVBand="0" w:oddHBand="1" w:evenHBand="0" w:firstRowFirstColumn="0" w:firstRowLastColumn="0" w:lastRowFirstColumn="0" w:lastRowLastColumn="0"/>
            </w:pPr>
            <w:r w:rsidRPr="00E06B10">
              <w:t>2</w:t>
            </w:r>
          </w:p>
        </w:tc>
        <w:tc>
          <w:tcPr>
            <w:tcW w:w="2374" w:type="dxa"/>
          </w:tcPr>
          <w:p w:rsidR="00895BDD" w:rsidRPr="00E06B10" w:rsidRDefault="00895BDD" w:rsidP="00031B92">
            <w:pPr>
              <w:cnfStyle w:val="000000100000" w:firstRow="0" w:lastRow="0" w:firstColumn="0" w:lastColumn="0" w:oddVBand="0" w:evenVBand="0" w:oddHBand="1" w:evenHBand="0" w:firstRowFirstColumn="0" w:firstRowLastColumn="0" w:lastRowFirstColumn="0" w:lastRowLastColumn="0"/>
            </w:pPr>
            <w:r w:rsidRPr="00E06B10">
              <w:t>8</w:t>
            </w:r>
          </w:p>
        </w:tc>
        <w:tc>
          <w:tcPr>
            <w:tcW w:w="2312" w:type="dxa"/>
          </w:tcPr>
          <w:p w:rsidR="00895BDD" w:rsidRPr="00E06B10" w:rsidRDefault="00895BDD" w:rsidP="00031B92">
            <w:pPr>
              <w:cnfStyle w:val="000000100000" w:firstRow="0" w:lastRow="0" w:firstColumn="0" w:lastColumn="0" w:oddVBand="0" w:evenVBand="0" w:oddHBand="1" w:evenHBand="0" w:firstRowFirstColumn="0" w:firstRowLastColumn="0" w:lastRowFirstColumn="0" w:lastRowLastColumn="0"/>
            </w:pPr>
            <w:r w:rsidRPr="00E06B10">
              <w:t>7</w:t>
            </w:r>
          </w:p>
        </w:tc>
      </w:tr>
      <w:tr w:rsidR="00895BDD" w:rsidRPr="00E06B10" w:rsidTr="00031B92">
        <w:tc>
          <w:tcPr>
            <w:cnfStyle w:val="001000000000" w:firstRow="0" w:lastRow="0" w:firstColumn="1" w:lastColumn="0" w:oddVBand="0" w:evenVBand="0" w:oddHBand="0" w:evenHBand="0" w:firstRowFirstColumn="0" w:firstRowLastColumn="0" w:lastRowFirstColumn="0" w:lastRowLastColumn="0"/>
            <w:tcW w:w="2013" w:type="dxa"/>
          </w:tcPr>
          <w:p w:rsidR="00895BDD" w:rsidRPr="00E06B10" w:rsidRDefault="00895BDD" w:rsidP="00031B92">
            <w:pPr>
              <w:rPr>
                <w:b w:val="0"/>
              </w:rPr>
            </w:pPr>
            <w:r w:rsidRPr="00E06B10">
              <w:rPr>
                <w:b w:val="0"/>
              </w:rPr>
              <w:t>Treatment provider</w:t>
            </w:r>
          </w:p>
        </w:tc>
        <w:tc>
          <w:tcPr>
            <w:tcW w:w="2373" w:type="dxa"/>
          </w:tcPr>
          <w:p w:rsidR="00895BDD" w:rsidRPr="00E06B10" w:rsidRDefault="00895BDD" w:rsidP="00031B92">
            <w:pPr>
              <w:cnfStyle w:val="000000000000" w:firstRow="0" w:lastRow="0" w:firstColumn="0" w:lastColumn="0" w:oddVBand="0" w:evenVBand="0" w:oddHBand="0" w:evenHBand="0" w:firstRowFirstColumn="0" w:firstRowLastColumn="0" w:lastRowFirstColumn="0" w:lastRowLastColumn="0"/>
            </w:pPr>
            <w:r w:rsidRPr="00E06B10">
              <w:t>(2 BDAS)</w:t>
            </w:r>
          </w:p>
        </w:tc>
        <w:tc>
          <w:tcPr>
            <w:tcW w:w="2374" w:type="dxa"/>
          </w:tcPr>
          <w:p w:rsidR="00895BDD" w:rsidRPr="00E06B10" w:rsidRDefault="00895BDD" w:rsidP="00031B92">
            <w:pPr>
              <w:cnfStyle w:val="000000000000" w:firstRow="0" w:lastRow="0" w:firstColumn="0" w:lastColumn="0" w:oddVBand="0" w:evenVBand="0" w:oddHBand="0" w:evenHBand="0" w:firstRowFirstColumn="0" w:firstRowLastColumn="0" w:lastRowFirstColumn="0" w:lastRowLastColumn="0"/>
            </w:pPr>
            <w:r w:rsidRPr="00E06B10">
              <w:t>(6 BDAS, 2 WDP)</w:t>
            </w:r>
          </w:p>
        </w:tc>
        <w:tc>
          <w:tcPr>
            <w:tcW w:w="2312" w:type="dxa"/>
          </w:tcPr>
          <w:p w:rsidR="00895BDD" w:rsidRPr="00E06B10" w:rsidRDefault="00895BDD" w:rsidP="00031B92">
            <w:pPr>
              <w:cnfStyle w:val="000000000000" w:firstRow="0" w:lastRow="0" w:firstColumn="0" w:lastColumn="0" w:oddVBand="0" w:evenVBand="0" w:oddHBand="0" w:evenHBand="0" w:firstRowFirstColumn="0" w:firstRowLastColumn="0" w:lastRowFirstColumn="0" w:lastRowLastColumn="0"/>
            </w:pPr>
            <w:r w:rsidRPr="00E06B10">
              <w:t>(6 BDAS, 1 WDP)</w:t>
            </w:r>
          </w:p>
        </w:tc>
      </w:tr>
    </w:tbl>
    <w:p w:rsidR="00895BDD" w:rsidRPr="00CF501E" w:rsidRDefault="00895BDD" w:rsidP="00895BDD">
      <w:pPr>
        <w:pStyle w:val="FootnoteText"/>
        <w:rPr>
          <w:rFonts w:asciiTheme="minorHAnsi" w:hAnsiTheme="minorHAnsi"/>
          <w:sz w:val="22"/>
          <w:szCs w:val="22"/>
        </w:rPr>
      </w:pPr>
      <w:r w:rsidRPr="00CF501E">
        <w:rPr>
          <w:rFonts w:asciiTheme="minorHAnsi" w:hAnsiTheme="minorHAnsi"/>
          <w:sz w:val="22"/>
          <w:szCs w:val="22"/>
        </w:rPr>
        <w:t>BDAS= Barnet Drug and Alcohol Service; WDP = Westminster Drug Project</w:t>
      </w:r>
    </w:p>
    <w:p w:rsidR="00895BDD" w:rsidRPr="00E06B10" w:rsidRDefault="00895BDD" w:rsidP="00895BDD">
      <w:pPr>
        <w:pStyle w:val="Heading3"/>
        <w:numPr>
          <w:ilvl w:val="2"/>
          <w:numId w:val="35"/>
        </w:numPr>
        <w:jc w:val="both"/>
      </w:pPr>
      <w:bookmarkStart w:id="682" w:name="_Toc394917962"/>
      <w:bookmarkStart w:id="683" w:name="_Toc422840079"/>
      <w:r w:rsidRPr="00E06B10">
        <w:lastRenderedPageBreak/>
        <w:t xml:space="preserve">Drug </w:t>
      </w:r>
      <w:r w:rsidR="0050457E">
        <w:t>R</w:t>
      </w:r>
      <w:r w:rsidRPr="00E06B10">
        <w:t xml:space="preserve">elated </w:t>
      </w:r>
      <w:r w:rsidR="0050457E">
        <w:t>A</w:t>
      </w:r>
      <w:r w:rsidRPr="00E06B10">
        <w:t xml:space="preserve">mbulance </w:t>
      </w:r>
      <w:r w:rsidR="0050457E">
        <w:t>D</w:t>
      </w:r>
      <w:r w:rsidRPr="00E06B10">
        <w:t>ata</w:t>
      </w:r>
      <w:bookmarkEnd w:id="682"/>
      <w:bookmarkEnd w:id="683"/>
    </w:p>
    <w:p w:rsidR="00895BDD" w:rsidRPr="00E06B10" w:rsidRDefault="00895BDD" w:rsidP="00895BDD">
      <w:r w:rsidRPr="00E06B10">
        <w:t>Drug-related callouts for Ba</w:t>
      </w:r>
      <w:r w:rsidR="00270AEE">
        <w:t>rnet adults undertaken in 2013/</w:t>
      </w:r>
      <w:r w:rsidRPr="00E06B10">
        <w:t>14 were 573 compared to 463 callouts in the previous year. The number of callouts was highest in 26-45 year olds, followed by 18-25 year olds most years (</w:t>
      </w:r>
      <w:r w:rsidRPr="004E4C7B">
        <w:t xml:space="preserve">Figure </w:t>
      </w:r>
      <w:r>
        <w:t>6-10</w:t>
      </w:r>
      <w:r w:rsidRPr="004E4C7B">
        <w:t xml:space="preserve">a). In adults, drug-related callouts by females was higher than males (Figure </w:t>
      </w:r>
      <w:r>
        <w:t>6-10</w:t>
      </w:r>
      <w:r w:rsidRPr="004E4C7B">
        <w:t>b). Drug-related ambulance callouts were the highest in Colindale ward followed by Burnt Oak ward while the lowest was in Brunswick Park ward.</w:t>
      </w:r>
    </w:p>
    <w:p w:rsidR="00895BDD" w:rsidRPr="00E06B10" w:rsidRDefault="00895BDD" w:rsidP="00895BDD">
      <w:pPr>
        <w:pStyle w:val="Caption"/>
      </w:pPr>
      <w:r>
        <w:t xml:space="preserve">Figure </w:t>
      </w:r>
      <w:fldSimple w:instr=" STYLEREF 1 \s ">
        <w:r w:rsidR="001663C2">
          <w:rPr>
            <w:noProof/>
          </w:rPr>
          <w:t>6</w:t>
        </w:r>
      </w:fldSimple>
      <w:r w:rsidR="00943DC2">
        <w:noBreakHyphen/>
      </w:r>
      <w:fldSimple w:instr=" SEQ Figure \* ARABIC \s 1 ">
        <w:r w:rsidR="001663C2">
          <w:rPr>
            <w:noProof/>
          </w:rPr>
          <w:t>10</w:t>
        </w:r>
      </w:fldSimple>
      <w:r>
        <w:t>a&amp;b:</w:t>
      </w:r>
      <w:r w:rsidRPr="00E06B10">
        <w:t xml:space="preserve"> London Ambulance Service drug-related callouts</w:t>
      </w:r>
      <w:r>
        <w:t xml:space="preserve"> by </w:t>
      </w:r>
      <w:r w:rsidRPr="00E06B10">
        <w:t xml:space="preserve">Barnet </w:t>
      </w:r>
      <w:r>
        <w:t>a</w:t>
      </w:r>
      <w:r w:rsidRPr="00E06B10">
        <w:t>dults</w:t>
      </w:r>
      <w:r>
        <w:t xml:space="preserve"> by age and gender</w:t>
      </w:r>
    </w:p>
    <w:p w:rsidR="00895BDD" w:rsidRPr="00E06B10" w:rsidRDefault="00895BDD" w:rsidP="00895BDD">
      <w:pPr>
        <w:spacing w:after="0" w:line="240" w:lineRule="auto"/>
      </w:pPr>
      <w:r w:rsidRPr="00E06B10">
        <w:rPr>
          <w:noProof/>
          <w:lang w:eastAsia="en-GB"/>
        </w:rPr>
        <w:drawing>
          <wp:inline distT="0" distB="0" distL="0" distR="0" wp14:anchorId="30C8D07D" wp14:editId="22F31EF5">
            <wp:extent cx="2846832" cy="1499616"/>
            <wp:effectExtent l="0" t="0" r="10795" b="24765"/>
            <wp:docPr id="68" name="Chart 14">
              <a:extLst xmlns:a="http://schemas.openxmlformats.org/drawingml/2006/main">
                <a:ext uri="{FF2B5EF4-FFF2-40B4-BE49-F238E27FC236}">
                  <a16:creationId xmlns:w15="http://schemas.microsoft.com/office/word/2012/wordml"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ve="http://schemas.openxmlformats.org/markup-compatibility/2006" id="{00000000-0008-0000-03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r w:rsidRPr="00E06B10">
        <w:rPr>
          <w:noProof/>
          <w:lang w:eastAsia="en-GB"/>
        </w:rPr>
        <w:drawing>
          <wp:inline distT="0" distB="0" distL="0" distR="0" wp14:anchorId="63F764C9" wp14:editId="24E24D4F">
            <wp:extent cx="2846832" cy="1499616"/>
            <wp:effectExtent l="0" t="0" r="10795" b="24765"/>
            <wp:docPr id="69" name="Chart 15">
              <a:extLst xmlns:a="http://schemas.openxmlformats.org/drawingml/2006/main">
                <a:ext uri="{FF2B5EF4-FFF2-40B4-BE49-F238E27FC236}">
                  <a16:creationId xmlns:w15="http://schemas.microsoft.com/office/word/2012/wordml"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ve="http://schemas.openxmlformats.org/markup-compatibility/2006" id="{00000000-0008-0000-03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rsidR="00895BDD" w:rsidRPr="00E06B10" w:rsidRDefault="00895BDD" w:rsidP="00895BDD">
      <w:pPr>
        <w:pStyle w:val="Heading3"/>
        <w:numPr>
          <w:ilvl w:val="2"/>
          <w:numId w:val="35"/>
        </w:numPr>
        <w:jc w:val="both"/>
      </w:pPr>
      <w:bookmarkStart w:id="684" w:name="_Toc394917963"/>
      <w:bookmarkStart w:id="685" w:name="_Toc422840080"/>
      <w:r w:rsidRPr="00E06B10">
        <w:t>Drug</w:t>
      </w:r>
      <w:r w:rsidR="0050457E">
        <w:t xml:space="preserve"> R</w:t>
      </w:r>
      <w:r w:rsidRPr="00E06B10">
        <w:t xml:space="preserve">elated </w:t>
      </w:r>
      <w:r w:rsidR="0050457E">
        <w:t>C</w:t>
      </w:r>
      <w:r w:rsidRPr="00E06B10">
        <w:t xml:space="preserve">rime </w:t>
      </w:r>
      <w:r w:rsidR="0050457E">
        <w:t>D</w:t>
      </w:r>
      <w:r w:rsidRPr="00E06B10">
        <w:t>ata</w:t>
      </w:r>
      <w:bookmarkEnd w:id="684"/>
      <w:bookmarkEnd w:id="685"/>
    </w:p>
    <w:p w:rsidR="00895BDD" w:rsidRPr="00E06B10" w:rsidRDefault="00895BDD" w:rsidP="00895BDD">
      <w:r w:rsidRPr="00E06B10">
        <w:t xml:space="preserve">Drug related crime in the </w:t>
      </w:r>
      <w:r>
        <w:t>Borough</w:t>
      </w:r>
      <w:r w:rsidRPr="00E06B10">
        <w:t xml:space="preserve"> is shown in the panel below that provides a snapshot of drug related crime initially for possession and supply offences for a </w:t>
      </w:r>
      <w:r>
        <w:t>six</w:t>
      </w:r>
      <w:r w:rsidRPr="00E06B10">
        <w:t xml:space="preserve"> month period in 2013 (Figure </w:t>
      </w:r>
      <w:r>
        <w:t>6-11</w:t>
      </w:r>
      <w:r w:rsidRPr="00E06B10">
        <w:t xml:space="preserve">). </w:t>
      </w:r>
    </w:p>
    <w:p w:rsidR="00895BDD" w:rsidRPr="00E06B10" w:rsidRDefault="00895BDD" w:rsidP="00895BDD">
      <w:pPr>
        <w:pStyle w:val="Caption"/>
        <w:jc w:val="left"/>
      </w:pPr>
      <w:r>
        <w:t xml:space="preserve">Figure </w:t>
      </w:r>
      <w:fldSimple w:instr=" STYLEREF 1 \s ">
        <w:r w:rsidR="001663C2">
          <w:rPr>
            <w:noProof/>
          </w:rPr>
          <w:t>6</w:t>
        </w:r>
      </w:fldSimple>
      <w:r w:rsidR="00943DC2">
        <w:noBreakHyphen/>
      </w:r>
      <w:fldSimple w:instr=" SEQ Figure \* ARABIC \s 1 ">
        <w:r w:rsidR="001663C2">
          <w:rPr>
            <w:noProof/>
          </w:rPr>
          <w:t>11</w:t>
        </w:r>
      </w:fldSimple>
      <w:r>
        <w:t xml:space="preserve">: </w:t>
      </w:r>
      <w:r w:rsidRPr="00E06B10">
        <w:t xml:space="preserve">Drug related crime in Barnet </w:t>
      </w:r>
      <w:r w:rsidRPr="00E06B10">
        <w:object w:dxaOrig="7185" w:dyaOrig="5391">
          <v:shape id="_x0000_i1025" type="#_x0000_t75" style="width:445.95pt;height:332.05pt" o:ole="">
            <v:imagedata r:id="rId147" o:title=""/>
          </v:shape>
          <o:OLEObject Type="Embed" ProgID="PowerPoint.Slide.12" ShapeID="_x0000_i1025" DrawAspect="Content" ObjectID="_1504969008" r:id="rId148"/>
        </w:object>
      </w:r>
    </w:p>
    <w:p w:rsidR="00895BDD" w:rsidRDefault="00895BDD" w:rsidP="00895BDD"/>
    <w:p w:rsidR="00895BDD" w:rsidRPr="00E06B10" w:rsidRDefault="00895BDD" w:rsidP="00895BDD">
      <w:pPr>
        <w:jc w:val="both"/>
      </w:pPr>
      <w:r>
        <w:lastRenderedPageBreak/>
        <w:t xml:space="preserve">Also shown </w:t>
      </w:r>
      <w:r w:rsidRPr="00E06B10">
        <w:t xml:space="preserve">for all crime flagged as drug related during the whole year 2013. The postcodes HA8 (Edgware), NW9 (Colindale/West Hendon) and NW4 (Hendon) have the highest </w:t>
      </w:r>
      <w:r>
        <w:t xml:space="preserve">drug </w:t>
      </w:r>
      <w:r w:rsidRPr="00E06B10">
        <w:t xml:space="preserve">possession offences and N11 (New Southgate/Bounds Green) has the highest level of </w:t>
      </w:r>
      <w:r>
        <w:t xml:space="preserve">drug </w:t>
      </w:r>
      <w:r w:rsidRPr="00E06B10">
        <w:t>supply offences for the year.</w:t>
      </w:r>
    </w:p>
    <w:p w:rsidR="00895BDD" w:rsidRPr="00E06B10" w:rsidRDefault="00895BDD" w:rsidP="00895BDD">
      <w:pPr>
        <w:jc w:val="both"/>
      </w:pPr>
      <w:r w:rsidRPr="00E06B10">
        <w:t>Saturday is the peak day for crimes flagged where perpetrator or victim is thought to have taken drugs prior to the incident. The level of drug related crime increases from midday to a peak at midnight then drops again.</w:t>
      </w:r>
    </w:p>
    <w:p w:rsidR="00895BDD" w:rsidRPr="00E06B10" w:rsidRDefault="00895BDD" w:rsidP="00895BDD">
      <w:pPr>
        <w:pStyle w:val="Heading3"/>
        <w:numPr>
          <w:ilvl w:val="2"/>
          <w:numId w:val="35"/>
        </w:numPr>
        <w:jc w:val="both"/>
      </w:pPr>
      <w:bookmarkStart w:id="686" w:name="_Toc394917964"/>
      <w:bookmarkStart w:id="687" w:name="_Toc422840081"/>
      <w:r w:rsidRPr="00E06B10">
        <w:t xml:space="preserve">Drug or </w:t>
      </w:r>
      <w:r w:rsidR="0050457E">
        <w:t>A</w:t>
      </w:r>
      <w:r w:rsidRPr="00E06B10">
        <w:t xml:space="preserve">lcohol </w:t>
      </w:r>
      <w:r w:rsidR="0050457E">
        <w:t>Related D</w:t>
      </w:r>
      <w:r w:rsidRPr="00E06B10">
        <w:t xml:space="preserve">omestic </w:t>
      </w:r>
      <w:r w:rsidR="0050457E">
        <w:t>V</w:t>
      </w:r>
      <w:r w:rsidRPr="00E06B10">
        <w:t>iolence</w:t>
      </w:r>
      <w:bookmarkEnd w:id="686"/>
      <w:bookmarkEnd w:id="687"/>
    </w:p>
    <w:p w:rsidR="00895BDD" w:rsidRDefault="00895BDD" w:rsidP="00895BDD">
      <w:pPr>
        <w:jc w:val="both"/>
      </w:pPr>
      <w:r w:rsidRPr="00E06B10">
        <w:rPr>
          <w:bCs/>
          <w:lang w:eastAsia="en-GB"/>
        </w:rPr>
        <w:t>The Multi-Agency Risk Assessment Conference (MARAC)</w:t>
      </w:r>
      <w:r w:rsidRPr="00E06B10">
        <w:rPr>
          <w:lang w:eastAsia="en-GB"/>
        </w:rPr>
        <w:t xml:space="preserve"> data for Barnet </w:t>
      </w:r>
      <w:r w:rsidRPr="00E06B10">
        <w:t xml:space="preserve">shows that the total number of MARAC </w:t>
      </w:r>
      <w:r w:rsidRPr="00E06B10">
        <w:rPr>
          <w:lang w:eastAsia="en-GB"/>
        </w:rPr>
        <w:t xml:space="preserve">high risk domestic violence </w:t>
      </w:r>
      <w:r w:rsidRPr="00E06B10">
        <w:t>cases where drug or alcohol issues are present is also increasing year on year</w:t>
      </w:r>
      <w:r>
        <w:t xml:space="preserve"> (Figure 6-12</w:t>
      </w:r>
      <w:r w:rsidRPr="00E06B10">
        <w:t>). The number of referrals to the MARAC from drug and alcohol treatment services remains very low (</w:t>
      </w:r>
      <w:r>
        <w:t>two</w:t>
      </w:r>
      <w:r w:rsidRPr="00E06B10">
        <w:t xml:space="preserve"> referrals in 2011, </w:t>
      </w:r>
      <w:r>
        <w:t>three</w:t>
      </w:r>
      <w:r w:rsidRPr="00E06B10">
        <w:t xml:space="preserve"> referrals in 2012 and </w:t>
      </w:r>
      <w:r>
        <w:t>one</w:t>
      </w:r>
      <w:r w:rsidRPr="00E06B10">
        <w:t xml:space="preserve"> referral in 2013). This may indicate a need to ensure the treatment workforce is aware, trained and confident in identifying and responding to drug related domestic violence.</w:t>
      </w:r>
    </w:p>
    <w:p w:rsidR="00895BDD" w:rsidRPr="00E06B10" w:rsidRDefault="00895BDD" w:rsidP="00895BDD">
      <w:pPr>
        <w:pStyle w:val="Caption"/>
      </w:pPr>
      <w:r>
        <w:t xml:space="preserve">Figure </w:t>
      </w:r>
      <w:fldSimple w:instr=" STYLEREF 1 \s ">
        <w:r w:rsidR="001663C2">
          <w:rPr>
            <w:noProof/>
          </w:rPr>
          <w:t>6</w:t>
        </w:r>
      </w:fldSimple>
      <w:r w:rsidR="00943DC2">
        <w:noBreakHyphen/>
      </w:r>
      <w:fldSimple w:instr=" SEQ Figure \* ARABIC \s 1 ">
        <w:r w:rsidR="001663C2">
          <w:rPr>
            <w:noProof/>
          </w:rPr>
          <w:t>12</w:t>
        </w:r>
      </w:fldSimple>
      <w:r>
        <w:t xml:space="preserve">: </w:t>
      </w:r>
      <w:r w:rsidRPr="00E06B10">
        <w:t>Barnet MARAC cases involving drugs or alcohol</w:t>
      </w:r>
    </w:p>
    <w:p w:rsidR="00895BDD" w:rsidRDefault="00895BDD" w:rsidP="00895BDD">
      <w:pPr>
        <w:jc w:val="center"/>
      </w:pPr>
      <w:bookmarkStart w:id="688" w:name="_Toc394917965"/>
      <w:r w:rsidRPr="00E06B10">
        <w:rPr>
          <w:noProof/>
          <w:lang w:eastAsia="en-GB"/>
        </w:rPr>
        <w:drawing>
          <wp:inline distT="0" distB="0" distL="0" distR="0" wp14:anchorId="18BCA4D2" wp14:editId="180BCCF4">
            <wp:extent cx="4252823" cy="2180025"/>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243123" cy="2175052"/>
                    </a:xfrm>
                    <a:prstGeom prst="rect">
                      <a:avLst/>
                    </a:prstGeom>
                    <a:noFill/>
                    <a:ln>
                      <a:noFill/>
                    </a:ln>
                  </pic:spPr>
                </pic:pic>
              </a:graphicData>
            </a:graphic>
          </wp:inline>
        </w:drawing>
      </w:r>
    </w:p>
    <w:p w:rsidR="00895BDD" w:rsidRPr="00E06B10" w:rsidRDefault="00895BDD" w:rsidP="00895BDD">
      <w:pPr>
        <w:pStyle w:val="Heading3"/>
        <w:numPr>
          <w:ilvl w:val="2"/>
          <w:numId w:val="35"/>
        </w:numPr>
        <w:jc w:val="both"/>
      </w:pPr>
      <w:bookmarkStart w:id="689" w:name="_Toc422840082"/>
      <w:r w:rsidRPr="00E06B10">
        <w:t xml:space="preserve">Housing </w:t>
      </w:r>
      <w:r w:rsidR="0050457E">
        <w:t>S</w:t>
      </w:r>
      <w:r w:rsidRPr="00E06B10">
        <w:t>upport</w:t>
      </w:r>
      <w:bookmarkEnd w:id="688"/>
      <w:bookmarkEnd w:id="689"/>
    </w:p>
    <w:p w:rsidR="00895BDD" w:rsidRPr="00E06B10" w:rsidRDefault="00895BDD" w:rsidP="00895BDD">
      <w:r w:rsidRPr="00E06B10">
        <w:t xml:space="preserve">A Floating Support Service (FSS) is provided to drug/alcohol using tenancy holders. The FSS provides help with budgeting, income maximisation and tenancy maintenance (Outreach Barnet). Data from Supporting People commissioners shows the number of drug and alcohol users supported by the floating support (Table </w:t>
      </w:r>
      <w:r>
        <w:t>6-4</w:t>
      </w:r>
      <w:r w:rsidRPr="00E06B10">
        <w:t xml:space="preserve">). </w:t>
      </w:r>
    </w:p>
    <w:p w:rsidR="00895BDD" w:rsidRPr="00E06B10" w:rsidRDefault="00895BDD" w:rsidP="00895BDD">
      <w:pPr>
        <w:pStyle w:val="Caption"/>
      </w:pPr>
      <w:r>
        <w:t xml:space="preserve">Table </w:t>
      </w:r>
      <w:fldSimple w:instr=" STYLEREF 1 \s ">
        <w:r w:rsidR="001663C2">
          <w:rPr>
            <w:noProof/>
          </w:rPr>
          <w:t>6</w:t>
        </w:r>
      </w:fldSimple>
      <w:r>
        <w:noBreakHyphen/>
      </w:r>
      <w:fldSimple w:instr=" SEQ Table \* ARABIC \s 1 ">
        <w:r w:rsidR="001663C2">
          <w:rPr>
            <w:noProof/>
          </w:rPr>
          <w:t>4</w:t>
        </w:r>
      </w:fldSimple>
      <w:r>
        <w:t>:</w:t>
      </w:r>
      <w:r w:rsidRPr="00E06B10">
        <w:t xml:space="preserve"> Floating support service – substance misuse needs and outcomes</w:t>
      </w:r>
    </w:p>
    <w:tbl>
      <w:tblPr>
        <w:tblStyle w:val="MediumGrid1-Accent2"/>
        <w:tblW w:w="4813" w:type="pct"/>
        <w:jc w:val="center"/>
        <w:tblLayout w:type="fixed"/>
        <w:tblLook w:val="04A0" w:firstRow="1" w:lastRow="0" w:firstColumn="1" w:lastColumn="0" w:noHBand="0" w:noVBand="1"/>
      </w:tblPr>
      <w:tblGrid>
        <w:gridCol w:w="1068"/>
        <w:gridCol w:w="1450"/>
        <w:gridCol w:w="1986"/>
        <w:gridCol w:w="1560"/>
        <w:gridCol w:w="2832"/>
      </w:tblGrid>
      <w:tr w:rsidR="00895BDD" w:rsidRPr="00E06B10" w:rsidTr="00031B92">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600" w:type="pct"/>
            <w:noWrap/>
          </w:tcPr>
          <w:p w:rsidR="00895BDD" w:rsidRPr="00E06B10" w:rsidRDefault="00895BDD" w:rsidP="00031B92">
            <w:pPr>
              <w:rPr>
                <w:rFonts w:ascii="Calibri" w:eastAsia="Times New Roman" w:hAnsi="Calibri" w:cs="Times New Roman"/>
                <w:b w:val="0"/>
                <w:color w:val="000000"/>
                <w:lang w:eastAsia="en-GB"/>
              </w:rPr>
            </w:pPr>
          </w:p>
        </w:tc>
        <w:tc>
          <w:tcPr>
            <w:tcW w:w="815" w:type="pct"/>
            <w:noWrap/>
          </w:tcPr>
          <w:p w:rsidR="00895BDD" w:rsidRPr="00E06B10" w:rsidRDefault="00895BDD" w:rsidP="00031B92">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n-GB"/>
              </w:rPr>
            </w:pPr>
            <w:r w:rsidRPr="00E06B10">
              <w:rPr>
                <w:rFonts w:ascii="Calibri" w:eastAsia="Times New Roman" w:hAnsi="Calibri" w:cs="Times New Roman"/>
                <w:b w:val="0"/>
                <w:color w:val="000000"/>
                <w:lang w:eastAsia="en-GB"/>
              </w:rPr>
              <w:t>Substance misuse need identified</w:t>
            </w:r>
          </w:p>
        </w:tc>
        <w:tc>
          <w:tcPr>
            <w:tcW w:w="1116" w:type="pct"/>
            <w:noWrap/>
          </w:tcPr>
          <w:p w:rsidR="00895BDD" w:rsidRPr="00E06B10" w:rsidRDefault="00895BDD" w:rsidP="00031B92">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n-GB"/>
              </w:rPr>
            </w:pPr>
            <w:r w:rsidRPr="00E06B10">
              <w:rPr>
                <w:rFonts w:ascii="Calibri" w:eastAsia="Times New Roman" w:hAnsi="Calibri" w:cs="Times New Roman"/>
                <w:b w:val="0"/>
                <w:color w:val="000000"/>
                <w:lang w:eastAsia="en-GB"/>
              </w:rPr>
              <w:t>% of caseload with</w:t>
            </w:r>
          </w:p>
          <w:p w:rsidR="00895BDD" w:rsidRPr="00E06B10" w:rsidRDefault="00895BDD" w:rsidP="00031B92">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n-GB"/>
              </w:rPr>
            </w:pPr>
            <w:r w:rsidRPr="00E06B10">
              <w:rPr>
                <w:rFonts w:ascii="Calibri" w:eastAsia="Times New Roman" w:hAnsi="Calibri" w:cs="Times New Roman"/>
                <w:b w:val="0"/>
                <w:color w:val="000000"/>
                <w:lang w:eastAsia="en-GB"/>
              </w:rPr>
              <w:t>substance misuse need</w:t>
            </w:r>
          </w:p>
        </w:tc>
        <w:tc>
          <w:tcPr>
            <w:tcW w:w="877" w:type="pct"/>
            <w:noWrap/>
          </w:tcPr>
          <w:p w:rsidR="00895BDD" w:rsidRPr="00E06B10" w:rsidRDefault="00895BDD" w:rsidP="00031B92">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n-GB"/>
              </w:rPr>
            </w:pPr>
            <w:r w:rsidRPr="00E06B10">
              <w:rPr>
                <w:rFonts w:ascii="Calibri" w:eastAsia="Times New Roman" w:hAnsi="Calibri" w:cs="Times New Roman"/>
                <w:b w:val="0"/>
                <w:color w:val="000000"/>
                <w:lang w:eastAsia="en-GB"/>
              </w:rPr>
              <w:t>positive outcome achieved</w:t>
            </w:r>
          </w:p>
        </w:tc>
        <w:tc>
          <w:tcPr>
            <w:tcW w:w="1592" w:type="pct"/>
            <w:noWrap/>
          </w:tcPr>
          <w:p w:rsidR="00895BDD" w:rsidRPr="00E06B10" w:rsidRDefault="00895BDD" w:rsidP="00031B92">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n-GB"/>
              </w:rPr>
            </w:pPr>
            <w:r w:rsidRPr="00E06B10">
              <w:rPr>
                <w:rFonts w:ascii="Calibri" w:eastAsia="Times New Roman" w:hAnsi="Calibri" w:cs="Times New Roman"/>
                <w:b w:val="0"/>
                <w:color w:val="000000"/>
                <w:lang w:eastAsia="en-GB"/>
              </w:rPr>
              <w:t>% of those with a substance misuse need who had a</w:t>
            </w:r>
          </w:p>
          <w:p w:rsidR="00895BDD" w:rsidRPr="00E06B10" w:rsidRDefault="00895BDD" w:rsidP="00031B92">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n-GB"/>
              </w:rPr>
            </w:pPr>
            <w:r w:rsidRPr="00E06B10">
              <w:rPr>
                <w:rFonts w:ascii="Calibri" w:eastAsia="Times New Roman" w:hAnsi="Calibri" w:cs="Times New Roman"/>
                <w:b w:val="0"/>
                <w:color w:val="000000"/>
                <w:lang w:eastAsia="en-GB"/>
              </w:rPr>
              <w:t>positive outcome</w:t>
            </w:r>
          </w:p>
        </w:tc>
      </w:tr>
      <w:tr w:rsidR="00895BDD" w:rsidRPr="00E06B10" w:rsidTr="00031B92">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600" w:type="pct"/>
            <w:noWrap/>
            <w:hideMark/>
          </w:tcPr>
          <w:p w:rsidR="00895BDD" w:rsidRPr="00E06B10" w:rsidRDefault="00895BDD" w:rsidP="00031B92">
            <w:pPr>
              <w:rPr>
                <w:rFonts w:ascii="Calibri" w:eastAsia="Times New Roman" w:hAnsi="Calibri" w:cs="Times New Roman"/>
                <w:b w:val="0"/>
                <w:color w:val="000000"/>
                <w:lang w:eastAsia="en-GB"/>
              </w:rPr>
            </w:pPr>
            <w:r w:rsidRPr="00E06B10">
              <w:rPr>
                <w:rFonts w:ascii="Calibri" w:eastAsia="Times New Roman" w:hAnsi="Calibri" w:cs="Times New Roman"/>
                <w:b w:val="0"/>
                <w:color w:val="000000"/>
                <w:lang w:eastAsia="en-GB"/>
              </w:rPr>
              <w:t>2011-12</w:t>
            </w:r>
          </w:p>
        </w:tc>
        <w:tc>
          <w:tcPr>
            <w:tcW w:w="815" w:type="pct"/>
            <w:noWrap/>
            <w:hideMark/>
          </w:tcPr>
          <w:p w:rsidR="00895BDD" w:rsidRPr="00E06B10" w:rsidRDefault="00895BDD" w:rsidP="00031B9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06B10">
              <w:rPr>
                <w:rFonts w:ascii="Calibri" w:eastAsia="Times New Roman" w:hAnsi="Calibri" w:cs="Times New Roman"/>
                <w:color w:val="000000"/>
                <w:lang w:eastAsia="en-GB"/>
              </w:rPr>
              <w:t>92</w:t>
            </w:r>
          </w:p>
        </w:tc>
        <w:tc>
          <w:tcPr>
            <w:tcW w:w="1116" w:type="pct"/>
            <w:noWrap/>
            <w:hideMark/>
          </w:tcPr>
          <w:p w:rsidR="00895BDD" w:rsidRPr="00E06B10" w:rsidRDefault="00895BDD" w:rsidP="00031B9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06B10">
              <w:rPr>
                <w:rFonts w:ascii="Calibri" w:eastAsia="Times New Roman" w:hAnsi="Calibri" w:cs="Times New Roman"/>
                <w:color w:val="000000"/>
                <w:lang w:eastAsia="en-GB"/>
              </w:rPr>
              <w:t>7.76</w:t>
            </w:r>
          </w:p>
        </w:tc>
        <w:tc>
          <w:tcPr>
            <w:tcW w:w="877" w:type="pct"/>
            <w:noWrap/>
            <w:hideMark/>
          </w:tcPr>
          <w:p w:rsidR="00895BDD" w:rsidRPr="00E06B10" w:rsidRDefault="00895BDD" w:rsidP="00031B9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06B10">
              <w:rPr>
                <w:rFonts w:ascii="Calibri" w:eastAsia="Times New Roman" w:hAnsi="Calibri" w:cs="Times New Roman"/>
                <w:color w:val="000000"/>
                <w:lang w:eastAsia="en-GB"/>
              </w:rPr>
              <w:t>51</w:t>
            </w:r>
          </w:p>
        </w:tc>
        <w:tc>
          <w:tcPr>
            <w:tcW w:w="1592" w:type="pct"/>
            <w:noWrap/>
            <w:hideMark/>
          </w:tcPr>
          <w:p w:rsidR="00895BDD" w:rsidRPr="00E06B10" w:rsidRDefault="00895BDD" w:rsidP="00031B9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06B10">
              <w:rPr>
                <w:rFonts w:ascii="Calibri" w:eastAsia="Times New Roman" w:hAnsi="Calibri" w:cs="Times New Roman"/>
                <w:color w:val="000000"/>
                <w:lang w:eastAsia="en-GB"/>
              </w:rPr>
              <w:t>55.44</w:t>
            </w:r>
          </w:p>
        </w:tc>
      </w:tr>
      <w:tr w:rsidR="00895BDD" w:rsidRPr="00E06B10" w:rsidTr="00031B92">
        <w:trPr>
          <w:trHeight w:val="288"/>
          <w:jc w:val="center"/>
        </w:trPr>
        <w:tc>
          <w:tcPr>
            <w:cnfStyle w:val="001000000000" w:firstRow="0" w:lastRow="0" w:firstColumn="1" w:lastColumn="0" w:oddVBand="0" w:evenVBand="0" w:oddHBand="0" w:evenHBand="0" w:firstRowFirstColumn="0" w:firstRowLastColumn="0" w:lastRowFirstColumn="0" w:lastRowLastColumn="0"/>
            <w:tcW w:w="600" w:type="pct"/>
            <w:noWrap/>
            <w:hideMark/>
          </w:tcPr>
          <w:p w:rsidR="00895BDD" w:rsidRPr="00E06B10" w:rsidRDefault="00895BDD" w:rsidP="00031B92">
            <w:pPr>
              <w:rPr>
                <w:rFonts w:ascii="Calibri" w:eastAsia="Times New Roman" w:hAnsi="Calibri" w:cs="Times New Roman"/>
                <w:b w:val="0"/>
                <w:color w:val="000000"/>
                <w:lang w:eastAsia="en-GB"/>
              </w:rPr>
            </w:pPr>
            <w:r w:rsidRPr="00E06B10">
              <w:rPr>
                <w:rFonts w:ascii="Calibri" w:eastAsia="Times New Roman" w:hAnsi="Calibri" w:cs="Times New Roman"/>
                <w:b w:val="0"/>
                <w:color w:val="000000"/>
                <w:lang w:eastAsia="en-GB"/>
              </w:rPr>
              <w:t>2012-13</w:t>
            </w:r>
          </w:p>
        </w:tc>
        <w:tc>
          <w:tcPr>
            <w:tcW w:w="815" w:type="pct"/>
            <w:noWrap/>
            <w:hideMark/>
          </w:tcPr>
          <w:p w:rsidR="00895BDD" w:rsidRPr="00E06B10" w:rsidRDefault="00895BDD" w:rsidP="00031B9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06B10">
              <w:rPr>
                <w:rFonts w:ascii="Calibri" w:eastAsia="Times New Roman" w:hAnsi="Calibri" w:cs="Times New Roman"/>
                <w:color w:val="000000"/>
                <w:lang w:eastAsia="en-GB"/>
              </w:rPr>
              <w:t>94</w:t>
            </w:r>
          </w:p>
        </w:tc>
        <w:tc>
          <w:tcPr>
            <w:tcW w:w="1116" w:type="pct"/>
            <w:noWrap/>
            <w:hideMark/>
          </w:tcPr>
          <w:p w:rsidR="00895BDD" w:rsidRPr="00E06B10" w:rsidRDefault="00895BDD" w:rsidP="00031B9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06B10">
              <w:rPr>
                <w:rFonts w:ascii="Calibri" w:eastAsia="Times New Roman" w:hAnsi="Calibri" w:cs="Times New Roman"/>
                <w:color w:val="000000"/>
                <w:lang w:eastAsia="en-GB"/>
              </w:rPr>
              <w:t>8.55</w:t>
            </w:r>
          </w:p>
        </w:tc>
        <w:tc>
          <w:tcPr>
            <w:tcW w:w="877" w:type="pct"/>
            <w:noWrap/>
            <w:hideMark/>
          </w:tcPr>
          <w:p w:rsidR="00895BDD" w:rsidRPr="00E06B10" w:rsidRDefault="00895BDD" w:rsidP="00031B9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06B10">
              <w:rPr>
                <w:rFonts w:ascii="Calibri" w:eastAsia="Times New Roman" w:hAnsi="Calibri" w:cs="Times New Roman"/>
                <w:color w:val="000000"/>
                <w:lang w:eastAsia="en-GB"/>
              </w:rPr>
              <w:t>60</w:t>
            </w:r>
          </w:p>
        </w:tc>
        <w:tc>
          <w:tcPr>
            <w:tcW w:w="1592" w:type="pct"/>
            <w:noWrap/>
            <w:hideMark/>
          </w:tcPr>
          <w:p w:rsidR="00895BDD" w:rsidRPr="00E06B10" w:rsidRDefault="00895BDD" w:rsidP="00031B9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06B10">
              <w:rPr>
                <w:rFonts w:ascii="Calibri" w:eastAsia="Times New Roman" w:hAnsi="Calibri" w:cs="Times New Roman"/>
                <w:color w:val="000000"/>
                <w:lang w:eastAsia="en-GB"/>
              </w:rPr>
              <w:t>63.83</w:t>
            </w:r>
          </w:p>
        </w:tc>
      </w:tr>
      <w:tr w:rsidR="00895BDD" w:rsidRPr="00E06B10" w:rsidTr="00031B92">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600" w:type="pct"/>
            <w:noWrap/>
            <w:hideMark/>
          </w:tcPr>
          <w:p w:rsidR="00895BDD" w:rsidRPr="00E06B10" w:rsidRDefault="00895BDD" w:rsidP="00031B92">
            <w:pPr>
              <w:rPr>
                <w:rFonts w:ascii="Calibri" w:eastAsia="Times New Roman" w:hAnsi="Calibri" w:cs="Times New Roman"/>
                <w:b w:val="0"/>
                <w:color w:val="000000"/>
                <w:lang w:eastAsia="en-GB"/>
              </w:rPr>
            </w:pPr>
            <w:r w:rsidRPr="00E06B10">
              <w:rPr>
                <w:rFonts w:ascii="Calibri" w:eastAsia="Times New Roman" w:hAnsi="Calibri" w:cs="Times New Roman"/>
                <w:b w:val="0"/>
                <w:color w:val="000000"/>
                <w:lang w:eastAsia="en-GB"/>
              </w:rPr>
              <w:t>2013-14</w:t>
            </w:r>
          </w:p>
        </w:tc>
        <w:tc>
          <w:tcPr>
            <w:tcW w:w="815" w:type="pct"/>
            <w:noWrap/>
            <w:hideMark/>
          </w:tcPr>
          <w:p w:rsidR="00895BDD" w:rsidRPr="00E06B10" w:rsidRDefault="00895BDD" w:rsidP="00031B9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06B10">
              <w:rPr>
                <w:rFonts w:ascii="Calibri" w:eastAsia="Times New Roman" w:hAnsi="Calibri" w:cs="Times New Roman"/>
                <w:color w:val="000000"/>
                <w:lang w:eastAsia="en-GB"/>
              </w:rPr>
              <w:t>96</w:t>
            </w:r>
          </w:p>
        </w:tc>
        <w:tc>
          <w:tcPr>
            <w:tcW w:w="1116" w:type="pct"/>
            <w:noWrap/>
            <w:hideMark/>
          </w:tcPr>
          <w:p w:rsidR="00895BDD" w:rsidRPr="00E06B10" w:rsidRDefault="00895BDD" w:rsidP="00031B9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06B10">
              <w:rPr>
                <w:rFonts w:ascii="Calibri" w:eastAsia="Times New Roman" w:hAnsi="Calibri" w:cs="Times New Roman"/>
                <w:color w:val="000000"/>
                <w:lang w:eastAsia="en-GB"/>
              </w:rPr>
              <w:t>7.26</w:t>
            </w:r>
          </w:p>
        </w:tc>
        <w:tc>
          <w:tcPr>
            <w:tcW w:w="877" w:type="pct"/>
            <w:noWrap/>
            <w:hideMark/>
          </w:tcPr>
          <w:p w:rsidR="00895BDD" w:rsidRPr="00E06B10" w:rsidRDefault="00895BDD" w:rsidP="00031B9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06B10">
              <w:rPr>
                <w:rFonts w:ascii="Calibri" w:eastAsia="Times New Roman" w:hAnsi="Calibri" w:cs="Times New Roman"/>
                <w:color w:val="000000"/>
                <w:lang w:eastAsia="en-GB"/>
              </w:rPr>
              <w:t>61</w:t>
            </w:r>
          </w:p>
        </w:tc>
        <w:tc>
          <w:tcPr>
            <w:tcW w:w="1592" w:type="pct"/>
            <w:noWrap/>
            <w:hideMark/>
          </w:tcPr>
          <w:p w:rsidR="00895BDD" w:rsidRPr="00E06B10" w:rsidRDefault="00895BDD" w:rsidP="00031B9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06B10">
              <w:rPr>
                <w:rFonts w:ascii="Calibri" w:eastAsia="Times New Roman" w:hAnsi="Calibri" w:cs="Times New Roman"/>
                <w:color w:val="000000"/>
                <w:lang w:eastAsia="en-GB"/>
              </w:rPr>
              <w:t>63.54</w:t>
            </w:r>
          </w:p>
        </w:tc>
      </w:tr>
    </w:tbl>
    <w:p w:rsidR="00895BDD" w:rsidRPr="00E06B10" w:rsidRDefault="00895BDD" w:rsidP="00895BDD">
      <w:pPr>
        <w:spacing w:line="240" w:lineRule="auto"/>
      </w:pPr>
    </w:p>
    <w:p w:rsidR="00895BDD" w:rsidRPr="00E06B10" w:rsidRDefault="00895BDD" w:rsidP="00895BDD">
      <w:pPr>
        <w:spacing w:line="240" w:lineRule="auto"/>
        <w:jc w:val="both"/>
      </w:pPr>
      <w:r w:rsidRPr="00E06B10">
        <w:lastRenderedPageBreak/>
        <w:t>Whilst substance misuse represents less than 2% of primary needs identified by Supporting People data at initial referral stage, subsequent assessment shows that up to 8.5% of the caseload have a substance misuse issue. Positive outcomes range between 55% and 64% in the years shown.</w:t>
      </w:r>
    </w:p>
    <w:p w:rsidR="00895BDD" w:rsidRPr="00E06B10" w:rsidRDefault="00895BDD" w:rsidP="00895BDD">
      <w:pPr>
        <w:jc w:val="both"/>
      </w:pPr>
      <w:r w:rsidRPr="00E06B10">
        <w:t xml:space="preserve">Homeless Action Barnet, also deliver support to homeless clients, many of whom have alcohol rather than drug issues. The service can help with breakfast/lunch, showers, laundry, clothing, escorts to appointments and referral to food banks. Public Health funds contribute £35,000 per year towards the service. HAGA (alcohol treatment service) provide satellite sessions (up to 3.5 days a week) and are starting up a SMART group in association with Westminster Drug Project (WDP), which has three shared houses that are supported by </w:t>
      </w:r>
      <w:r>
        <w:t>one</w:t>
      </w:r>
      <w:r w:rsidRPr="00E06B10">
        <w:t xml:space="preserve"> worker. Some tenants have alcohol problems and engagement in treatment is a condition of their tenancy. Tenancies are short-term, </w:t>
      </w:r>
      <w:r>
        <w:t>six</w:t>
      </w:r>
      <w:r w:rsidRPr="00E06B10">
        <w:t xml:space="preserve"> months to a year, pending suitable lo</w:t>
      </w:r>
      <w:r>
        <w:t>n</w:t>
      </w:r>
      <w:r w:rsidRPr="00E06B10">
        <w:t>g term accommodation. However, good quality accommodation has become harder to find due to benefit changes.</w:t>
      </w:r>
    </w:p>
    <w:p w:rsidR="00895BDD" w:rsidRPr="00E06B10" w:rsidRDefault="00895BDD" w:rsidP="00895BDD">
      <w:pPr>
        <w:pStyle w:val="Heading3"/>
        <w:numPr>
          <w:ilvl w:val="2"/>
          <w:numId w:val="35"/>
        </w:numPr>
        <w:jc w:val="both"/>
      </w:pPr>
      <w:bookmarkStart w:id="690" w:name="_Toc422840083"/>
      <w:r w:rsidRPr="00E06B10">
        <w:t xml:space="preserve">Drug </w:t>
      </w:r>
      <w:r w:rsidR="0050457E">
        <w:t>Treatment C</w:t>
      </w:r>
      <w:r w:rsidRPr="00E06B10">
        <w:t xml:space="preserve">ompletion </w:t>
      </w:r>
      <w:r w:rsidR="0050457E">
        <w:t>R</w:t>
      </w:r>
      <w:r w:rsidRPr="00E06B10">
        <w:t>ates</w:t>
      </w:r>
      <w:bookmarkEnd w:id="690"/>
    </w:p>
    <w:p w:rsidR="00895BDD" w:rsidRPr="00E06B10" w:rsidRDefault="00895BDD" w:rsidP="00895BDD">
      <w:pPr>
        <w:jc w:val="both"/>
      </w:pPr>
      <w:r w:rsidRPr="00E06B10">
        <w:t xml:space="preserve">The percentage of opiate drug users that left drug treatment successfully who do not represent to treatment within 6 months in Barnet (8.6%) </w:t>
      </w:r>
      <w:r>
        <w:t>wa</w:t>
      </w:r>
      <w:r w:rsidRPr="00E06B10">
        <w:t>s similar to the national (7.8%) and London regional (9.0%) averages</w:t>
      </w:r>
      <w:r>
        <w:t xml:space="preserve"> for 2013</w:t>
      </w:r>
      <w:r w:rsidRPr="00E06B10">
        <w:t xml:space="preserve">. However, the proportion of non-opiate drug users that left drug treatment successfully who do not represent to treatment within </w:t>
      </w:r>
      <w:r>
        <w:t>six</w:t>
      </w:r>
      <w:r w:rsidRPr="00E06B10">
        <w:t xml:space="preserve"> months in Barnet (20.4%) </w:t>
      </w:r>
      <w:r>
        <w:t>wa</w:t>
      </w:r>
      <w:r w:rsidRPr="00E06B10">
        <w:t>s</w:t>
      </w:r>
      <w:r>
        <w:t xml:space="preserve"> </w:t>
      </w:r>
      <w:r w:rsidRPr="00E06B10">
        <w:t>lower than the London (37.2%) and national (37.7%) averages</w:t>
      </w:r>
      <w:r>
        <w:t xml:space="preserve"> for 2013</w:t>
      </w:r>
      <w:r w:rsidRPr="00E06B10">
        <w:t xml:space="preserve">. </w:t>
      </w:r>
      <w:r>
        <w:t>For the same period</w:t>
      </w:r>
      <w:r w:rsidRPr="00E06B10">
        <w:t xml:space="preserve">, the Barnet rates of successful completion of drug treatment for both opiate and non-opiate users </w:t>
      </w:r>
      <w:r>
        <w:t>were</w:t>
      </w:r>
      <w:r w:rsidRPr="00E06B10">
        <w:t xml:space="preserve"> lower than these rates in Harrow (11.5% for opiate users and 41.4% for non-opiate users), which is a neighbouring </w:t>
      </w:r>
      <w:r>
        <w:t>Borough</w:t>
      </w:r>
      <w:r w:rsidRPr="00E06B10">
        <w:t>.</w:t>
      </w:r>
      <w:r>
        <w:t xml:space="preserve"> </w:t>
      </w:r>
    </w:p>
    <w:p w:rsidR="00895BDD" w:rsidRPr="00E06B10" w:rsidRDefault="00895BDD" w:rsidP="00895BDD">
      <w:pPr>
        <w:jc w:val="both"/>
      </w:pPr>
      <w:r w:rsidRPr="00E06B10">
        <w:t>The proportion of OCUs in treatment (estimated penetration rate) in 2013/14 in Barnet (44.3%) is lower than the estimated national penetration rate (52.3%).</w:t>
      </w:r>
      <w:r w:rsidRPr="00E06B10">
        <w:rPr>
          <w:rStyle w:val="FootnoteReference"/>
        </w:rPr>
        <w:footnoteReference w:id="103"/>
      </w:r>
      <w:r>
        <w:t xml:space="preserve"> </w:t>
      </w:r>
      <w:r w:rsidRPr="00E06B10">
        <w:t xml:space="preserve">The ‘penetration rate’ for OCUs in treatment needs to increase to optimise numbers into treatment. </w:t>
      </w:r>
    </w:p>
    <w:p w:rsidR="00895BDD" w:rsidRPr="00E06B10" w:rsidRDefault="00895BDD" w:rsidP="00895BDD">
      <w:pPr>
        <w:jc w:val="both"/>
      </w:pPr>
      <w:r w:rsidRPr="00E06B10">
        <w:t>There is a need to ‘segment’ the treatment population to ensure that those with more complex needs and longer treatment journeys are targeted with services that help build recovery capital. Furthermore there is a need to improve the effectiveness of treatment for non-opiate users, specifically cannabis and cocaine users which will require better psychosocial interventions and support to maintain treatment gains long term.</w:t>
      </w:r>
    </w:p>
    <w:p w:rsidR="00895BDD" w:rsidRPr="00E06B10" w:rsidRDefault="00895BDD" w:rsidP="00895BDD">
      <w:pPr>
        <w:pStyle w:val="Heading2"/>
        <w:numPr>
          <w:ilvl w:val="1"/>
          <w:numId w:val="35"/>
        </w:numPr>
        <w:jc w:val="both"/>
        <w:rPr>
          <w:rFonts w:asciiTheme="minorHAnsi" w:hAnsiTheme="minorHAnsi"/>
        </w:rPr>
      </w:pPr>
      <w:bookmarkStart w:id="691" w:name="_Toc422840084"/>
      <w:bookmarkStart w:id="692" w:name="_Toc426723349"/>
      <w:bookmarkStart w:id="693" w:name="_Toc431225176"/>
      <w:r w:rsidRPr="00E06B10">
        <w:rPr>
          <w:rFonts w:asciiTheme="minorHAnsi" w:hAnsiTheme="minorHAnsi"/>
        </w:rPr>
        <w:t>Sexual and Reproductive Health</w:t>
      </w:r>
      <w:bookmarkEnd w:id="691"/>
      <w:bookmarkEnd w:id="692"/>
      <w:bookmarkEnd w:id="693"/>
      <w:r w:rsidRPr="00E06B10">
        <w:rPr>
          <w:rFonts w:asciiTheme="minorHAnsi" w:hAnsiTheme="minorHAnsi"/>
        </w:rPr>
        <w:t xml:space="preserve"> </w:t>
      </w:r>
    </w:p>
    <w:p w:rsidR="00895BDD" w:rsidRPr="00E06B10" w:rsidRDefault="00895BDD" w:rsidP="00895BDD">
      <w:pPr>
        <w:pStyle w:val="Heading3"/>
        <w:numPr>
          <w:ilvl w:val="2"/>
          <w:numId w:val="35"/>
        </w:numPr>
        <w:jc w:val="both"/>
      </w:pPr>
      <w:bookmarkStart w:id="694" w:name="_Toc422840085"/>
      <w:r w:rsidRPr="00E06B10">
        <w:t>Reproductive Health</w:t>
      </w:r>
      <w:bookmarkEnd w:id="694"/>
    </w:p>
    <w:p w:rsidR="00895BDD" w:rsidRPr="00E06B10" w:rsidRDefault="00895BDD" w:rsidP="00895BDD">
      <w:pPr>
        <w:pStyle w:val="Heading4"/>
        <w:numPr>
          <w:ilvl w:val="3"/>
          <w:numId w:val="35"/>
        </w:numPr>
        <w:ind w:left="709" w:hanging="709"/>
        <w:jc w:val="both"/>
      </w:pPr>
      <w:r w:rsidRPr="00E06B10">
        <w:t xml:space="preserve">Teenage </w:t>
      </w:r>
      <w:r w:rsidR="0050457E">
        <w:t>P</w:t>
      </w:r>
      <w:r w:rsidRPr="00E06B10">
        <w:t>regnancy</w:t>
      </w:r>
    </w:p>
    <w:p w:rsidR="00895BDD" w:rsidRPr="00E06B10" w:rsidRDefault="00895BDD" w:rsidP="00895BDD">
      <w:pPr>
        <w:jc w:val="both"/>
      </w:pPr>
      <w:r w:rsidRPr="00E06B10">
        <w:t xml:space="preserve">Teenage pregnancy related indicators i.e. the rates of conception in under 16 </w:t>
      </w:r>
      <w:r>
        <w:t xml:space="preserve">years and under </w:t>
      </w:r>
      <w:r w:rsidRPr="00E06B10">
        <w:t xml:space="preserve">18 years and the abortion and birth rates in under 18 years in Barnet are lower than the regional </w:t>
      </w:r>
      <w:r w:rsidRPr="004E4C7B">
        <w:t>London and national rates. However, percentage of conception to females aged less than 18 years leading to an abortion is higher in Barnet (76.2%) compared to London (64.2%) and England (51.1%). In Barnet, the top three wards with the highest percentage of delivery episodes where the mother was under 18 years of age include West Hendon (1.2%), Hale (1%) and Finchley Church End (1%) wards.</w:t>
      </w:r>
      <w:r>
        <w:t xml:space="preserve"> </w:t>
      </w:r>
    </w:p>
    <w:p w:rsidR="00895BDD" w:rsidRPr="00E06B10" w:rsidRDefault="00895BDD" w:rsidP="00895BDD">
      <w:pPr>
        <w:pStyle w:val="Heading4"/>
        <w:numPr>
          <w:ilvl w:val="3"/>
          <w:numId w:val="35"/>
        </w:numPr>
        <w:ind w:left="709" w:hanging="709"/>
        <w:jc w:val="both"/>
      </w:pPr>
      <w:r w:rsidRPr="00E06B10">
        <w:lastRenderedPageBreak/>
        <w:t>Abortions</w:t>
      </w:r>
    </w:p>
    <w:p w:rsidR="00895BDD" w:rsidRPr="00E06B10" w:rsidRDefault="00895BDD" w:rsidP="00895BDD">
      <w:pPr>
        <w:jc w:val="both"/>
      </w:pPr>
      <w:r w:rsidRPr="00E06B10">
        <w:t xml:space="preserve">The total number of legal abortions carried out in Barnet was 1,624 (95% CI: 1,546-1,705). The age standardised rate (ASR) of abortions was 19.9 per 1,000 female population aged 15-44 years. The ASR of abortions (in all ages) in Barnet is lower than </w:t>
      </w:r>
      <w:r>
        <w:t xml:space="preserve">the </w:t>
      </w:r>
      <w:r w:rsidRPr="00E06B10">
        <w:t>London regional rate (22.8) but higher than the national rate (16.6).</w:t>
      </w:r>
      <w:r w:rsidRPr="00E06B10">
        <w:rPr>
          <w:rStyle w:val="FootnoteReference"/>
        </w:rPr>
        <w:footnoteReference w:id="104"/>
      </w:r>
      <w:r w:rsidRPr="00E06B10">
        <w:t xml:space="preserve"> The crude rate of abortions in the 20-24 years age group was highest (34 </w:t>
      </w:r>
      <w:r>
        <w:t>per</w:t>
      </w:r>
      <w:r w:rsidRPr="00E06B10">
        <w:t xml:space="preserve"> 1,000 women aged 20-24 years)</w:t>
      </w:r>
      <w:r>
        <w:t xml:space="preserve">, </w:t>
      </w:r>
      <w:r w:rsidRPr="00E06B10">
        <w:t xml:space="preserve">which was lower than the London </w:t>
      </w:r>
      <w:r>
        <w:t xml:space="preserve">regional rate </w:t>
      </w:r>
      <w:r w:rsidRPr="00E06B10">
        <w:t>(</w:t>
      </w:r>
      <w:r>
        <w:t>38</w:t>
      </w:r>
      <w:r w:rsidRPr="00E06B10">
        <w:t xml:space="preserve"> per 1</w:t>
      </w:r>
      <w:r>
        <w:t>,</w:t>
      </w:r>
      <w:r w:rsidRPr="00E06B10">
        <w:t xml:space="preserve">000 women) </w:t>
      </w:r>
      <w:r>
        <w:t xml:space="preserve">but higher than the national rate </w:t>
      </w:r>
      <w:r w:rsidRPr="00E06B10">
        <w:t>(</w:t>
      </w:r>
      <w:r>
        <w:t>28.7</w:t>
      </w:r>
      <w:r w:rsidRPr="00E06B10">
        <w:t xml:space="preserve"> per 1</w:t>
      </w:r>
      <w:r>
        <w:t>,</w:t>
      </w:r>
      <w:r w:rsidRPr="00E06B10">
        <w:t>000 women)</w:t>
      </w:r>
      <w:r>
        <w:t xml:space="preserve">. </w:t>
      </w:r>
      <w:r w:rsidRPr="00E06B10">
        <w:t xml:space="preserve">The crude rate of abortions </w:t>
      </w:r>
      <w:r>
        <w:t xml:space="preserve">in the </w:t>
      </w:r>
      <w:r w:rsidRPr="00E06B10">
        <w:t xml:space="preserve">under 18 years of age </w:t>
      </w:r>
      <w:r>
        <w:t xml:space="preserve">was </w:t>
      </w:r>
      <w:r w:rsidRPr="00E06B10">
        <w:t>8 per 1</w:t>
      </w:r>
      <w:r>
        <w:t>,</w:t>
      </w:r>
      <w:r w:rsidRPr="00E06B10">
        <w:t xml:space="preserve">000 women </w:t>
      </w:r>
      <w:r>
        <w:t>(</w:t>
      </w:r>
      <w:r w:rsidRPr="00E06B10">
        <w:t xml:space="preserve">aged &lt;18 years) which was lower than the </w:t>
      </w:r>
      <w:r>
        <w:t xml:space="preserve">average rates in the </w:t>
      </w:r>
      <w:r w:rsidRPr="00E06B10">
        <w:t xml:space="preserve">London </w:t>
      </w:r>
      <w:r>
        <w:t xml:space="preserve">region </w:t>
      </w:r>
      <w:r w:rsidRPr="00E06B10">
        <w:t>(14 per 1</w:t>
      </w:r>
      <w:r>
        <w:t>,</w:t>
      </w:r>
      <w:r w:rsidRPr="00E06B10">
        <w:t>000 women</w:t>
      </w:r>
      <w:r>
        <w:t xml:space="preserve"> </w:t>
      </w:r>
      <w:r w:rsidRPr="00E06B10">
        <w:t>aged &lt;18 years)</w:t>
      </w:r>
      <w:r>
        <w:t xml:space="preserve"> and England</w:t>
      </w:r>
      <w:r w:rsidRPr="00E06B10">
        <w:t xml:space="preserve"> (11.7 per 1</w:t>
      </w:r>
      <w:r>
        <w:t>,</w:t>
      </w:r>
      <w:r w:rsidRPr="00E06B10">
        <w:t>000 women</w:t>
      </w:r>
      <w:r>
        <w:t xml:space="preserve"> </w:t>
      </w:r>
      <w:r w:rsidRPr="00E06B10">
        <w:t>aged &lt;18 years</w:t>
      </w:r>
      <w:r>
        <w:t>)</w:t>
      </w:r>
      <w:r w:rsidRPr="00E06B10">
        <w:t xml:space="preserve">. </w:t>
      </w:r>
      <w:r>
        <w:t>O</w:t>
      </w:r>
      <w:r w:rsidRPr="00E06B10">
        <w:t>f abortions,</w:t>
      </w:r>
      <w:r>
        <w:t xml:space="preserve"> </w:t>
      </w:r>
      <w:r w:rsidRPr="00E06B10">
        <w:t xml:space="preserve">84% were carried out at less than 10 weeks gestation. </w:t>
      </w:r>
      <w:r>
        <w:t xml:space="preserve">60% of </w:t>
      </w:r>
      <w:r w:rsidRPr="00E06B10">
        <w:t xml:space="preserve">abortions </w:t>
      </w:r>
      <w:r>
        <w:t xml:space="preserve">were carried out using </w:t>
      </w:r>
      <w:r w:rsidRPr="00E06B10">
        <w:t xml:space="preserve">surgical </w:t>
      </w:r>
      <w:r>
        <w:t>methods while the remaining 40% of abortions were carried out using medical methods</w:t>
      </w:r>
      <w:r w:rsidRPr="00E06B10">
        <w:t xml:space="preserve">. The percentage of repeat abortions was 40% in women of all ages, 30% in women aged less than 25 years and 46% in women aged 25 years and above. </w:t>
      </w:r>
    </w:p>
    <w:p w:rsidR="00895BDD" w:rsidRPr="00E06B10" w:rsidRDefault="00895BDD" w:rsidP="00895BDD">
      <w:pPr>
        <w:jc w:val="both"/>
      </w:pPr>
      <w:r w:rsidRPr="00E06B10">
        <w:t xml:space="preserve">Higher percentages of repeat abortions and conceptions leading to abortions might suggest inequalities in regards to advice and access to services concerning contraception. </w:t>
      </w:r>
    </w:p>
    <w:p w:rsidR="00895BDD" w:rsidRPr="00E06B10" w:rsidRDefault="00895BDD" w:rsidP="00895BDD">
      <w:pPr>
        <w:pStyle w:val="Heading4"/>
        <w:numPr>
          <w:ilvl w:val="3"/>
          <w:numId w:val="35"/>
        </w:numPr>
        <w:ind w:left="709" w:hanging="709"/>
        <w:jc w:val="both"/>
      </w:pPr>
      <w:r w:rsidRPr="00E06B10">
        <w:rPr>
          <w:rStyle w:val="Heading4Char"/>
          <w:b/>
          <w:bCs/>
          <w:i/>
          <w:iCs/>
        </w:rPr>
        <w:t>Contraception</w:t>
      </w:r>
      <w:r w:rsidRPr="00E06B10">
        <w:t xml:space="preserve"> (provision of advice and services around contraception)</w:t>
      </w:r>
    </w:p>
    <w:p w:rsidR="00895BDD" w:rsidRPr="00E06B10" w:rsidRDefault="00895BDD" w:rsidP="00895BDD">
      <w:pPr>
        <w:jc w:val="both"/>
      </w:pPr>
      <w:r w:rsidRPr="00E06B10">
        <w:t xml:space="preserve">The rate of GP prescribed long acting reversible contraceptives (LARC) per 1,000 in Barnet (19.4) is lower than the average rates for London (25.1) and England (52.7). This suggests a need for increasing the rate of LARC prescription by GPs in Barnet. </w:t>
      </w:r>
    </w:p>
    <w:p w:rsidR="00895BDD" w:rsidRPr="00E06B10" w:rsidRDefault="00895BDD" w:rsidP="00895BDD">
      <w:pPr>
        <w:pStyle w:val="Heading4"/>
        <w:numPr>
          <w:ilvl w:val="3"/>
          <w:numId w:val="35"/>
        </w:numPr>
        <w:ind w:left="709" w:hanging="709"/>
        <w:jc w:val="both"/>
      </w:pPr>
      <w:r w:rsidRPr="00E06B10">
        <w:t xml:space="preserve">Sexual </w:t>
      </w:r>
      <w:r w:rsidR="0050457E">
        <w:t>O</w:t>
      </w:r>
      <w:r w:rsidRPr="00E06B10">
        <w:t>ffences</w:t>
      </w:r>
    </w:p>
    <w:p w:rsidR="00895BDD" w:rsidRPr="00E06B10" w:rsidRDefault="00895BDD" w:rsidP="00895BDD">
      <w:pPr>
        <w:jc w:val="both"/>
      </w:pPr>
      <w:r w:rsidRPr="00E06B10">
        <w:t>In Barnet, 307 incidences of sexual</w:t>
      </w:r>
      <w:r w:rsidR="00270AEE">
        <w:t xml:space="preserve"> offences were reported in 2013/</w:t>
      </w:r>
      <w:r w:rsidRPr="00E06B10">
        <w:t xml:space="preserve">14. The rate of sexual offences (per 1,000) in Barnet (0.84) is the fifth lowest across all London </w:t>
      </w:r>
      <w:r>
        <w:t>Borough</w:t>
      </w:r>
      <w:r w:rsidRPr="00E06B10">
        <w:t>s and it is lower than the average rates for London region (1.22) and England (1.01).</w:t>
      </w:r>
    </w:p>
    <w:p w:rsidR="00895BDD" w:rsidRPr="00E06B10" w:rsidRDefault="00895BDD" w:rsidP="00895BDD">
      <w:pPr>
        <w:pStyle w:val="Heading4"/>
        <w:numPr>
          <w:ilvl w:val="3"/>
          <w:numId w:val="35"/>
        </w:numPr>
        <w:ind w:left="709" w:hanging="709"/>
        <w:jc w:val="both"/>
      </w:pPr>
      <w:r w:rsidRPr="00E06B10">
        <w:t>Sexually Transmitted Infections (STI)</w:t>
      </w:r>
    </w:p>
    <w:p w:rsidR="00895BDD" w:rsidRPr="00E06B10" w:rsidRDefault="00895BDD" w:rsidP="00895BDD">
      <w:pPr>
        <w:jc w:val="both"/>
      </w:pPr>
      <w:r w:rsidRPr="00E06B10">
        <w:t xml:space="preserve">In Barnet, the diagnosis rates (per 100,000) for syphilis (6.0), gonorrhoea (60.2), genital warts (122.8) and genital herpes (64.0) are similar to average rates in England but lower than the average London rates. </w:t>
      </w:r>
    </w:p>
    <w:p w:rsidR="00895BDD" w:rsidRPr="00E06B10" w:rsidRDefault="00895BDD" w:rsidP="00895BDD">
      <w:pPr>
        <w:jc w:val="both"/>
      </w:pPr>
      <w:r w:rsidRPr="00E06B10">
        <w:t xml:space="preserve">In young people aged 14-24 years, Chlamydia detection rate (1,098 per 100,000) and Chlamydia screening proportion (16.0%) measured separately in </w:t>
      </w:r>
      <w:r w:rsidRPr="00E6060A">
        <w:t xml:space="preserve">genitourinary medicine </w:t>
      </w:r>
      <w:r>
        <w:t>(</w:t>
      </w:r>
      <w:r w:rsidRPr="00E06B10">
        <w:t>GUM</w:t>
      </w:r>
      <w:r>
        <w:t>)</w:t>
      </w:r>
      <w:r w:rsidRPr="00E06B10">
        <w:t xml:space="preserve"> clinics and non-GUM settings, in Barnet are lower than the national rates (2016 /100,000 and 24.9% respectively). The low rates in Barnet suggest a need for increasing detection of and screening for Chlamydia in young people. </w:t>
      </w:r>
    </w:p>
    <w:p w:rsidR="00895BDD" w:rsidRPr="00E06B10" w:rsidRDefault="00895BDD" w:rsidP="00895BDD">
      <w:pPr>
        <w:jc w:val="both"/>
      </w:pPr>
      <w:r w:rsidRPr="00E06B10">
        <w:t>In addition, excluding Chlamydia in young people under 25 years, new cases of STI diagnosed (899 per 100,000 population aged 15-64 years)</w:t>
      </w:r>
      <w:r>
        <w:t xml:space="preserve"> i</w:t>
      </w:r>
      <w:r w:rsidRPr="00E06B10">
        <w:t xml:space="preserve">s higher than the average </w:t>
      </w:r>
      <w:r>
        <w:t xml:space="preserve">in </w:t>
      </w:r>
      <w:r w:rsidRPr="00E06B10">
        <w:t xml:space="preserve">England (832 /100,000) and the proportion of STI testing positivity (4.7%) in Barnet is lower than the national average. These STI statistics suggest a need </w:t>
      </w:r>
      <w:r>
        <w:t>to better understand the demography and epidemiology of STIs in Barnet</w:t>
      </w:r>
      <w:r w:rsidRPr="00E06B10">
        <w:t xml:space="preserve">. </w:t>
      </w:r>
    </w:p>
    <w:p w:rsidR="00895BDD" w:rsidRPr="00E06B10" w:rsidRDefault="00895BDD" w:rsidP="00895BDD">
      <w:pPr>
        <w:pStyle w:val="Heading4"/>
        <w:numPr>
          <w:ilvl w:val="3"/>
          <w:numId w:val="35"/>
        </w:numPr>
        <w:ind w:left="709" w:hanging="709"/>
        <w:jc w:val="both"/>
      </w:pPr>
      <w:r w:rsidRPr="00E06B10">
        <w:t>Human Immunodeficiency Virus (HIV)</w:t>
      </w:r>
    </w:p>
    <w:p w:rsidR="00895BDD" w:rsidRDefault="00895BDD" w:rsidP="00895BDD">
      <w:pPr>
        <w:jc w:val="both"/>
      </w:pPr>
      <w:r w:rsidRPr="00E06B10">
        <w:t xml:space="preserve">In Barnet, uptake of HIV testing in GUM clinics (86.0 in women, 92.2 in men and 97.4 in men who have sex with men (MSM)) are better than the </w:t>
      </w:r>
      <w:r>
        <w:t xml:space="preserve">uptake </w:t>
      </w:r>
      <w:r w:rsidRPr="00E06B10">
        <w:t>average</w:t>
      </w:r>
      <w:r>
        <w:t xml:space="preserve">s in </w:t>
      </w:r>
      <w:r w:rsidRPr="00E06B10">
        <w:t xml:space="preserve">England. However, </w:t>
      </w:r>
      <w:r>
        <w:t xml:space="preserve">within Barnet, </w:t>
      </w:r>
      <w:r w:rsidRPr="00E06B10">
        <w:lastRenderedPageBreak/>
        <w:t xml:space="preserve">HIV testing </w:t>
      </w:r>
      <w:r w:rsidRPr="003F688C">
        <w:t>uptake by women is lower than the uptake by</w:t>
      </w:r>
      <w:r>
        <w:t xml:space="preserve"> </w:t>
      </w:r>
      <w:r w:rsidRPr="00E06B10">
        <w:t xml:space="preserve">men and </w:t>
      </w:r>
      <w:r>
        <w:t xml:space="preserve">by those </w:t>
      </w:r>
      <w:r w:rsidRPr="00E06B10">
        <w:t xml:space="preserve">men who have sex with men (Figure </w:t>
      </w:r>
      <w:r>
        <w:t>6-13a</w:t>
      </w:r>
      <w:r w:rsidRPr="00E06B10">
        <w:t>). Thus, there is a need to increase the uptake of HIV testing in Barnet women.</w:t>
      </w:r>
    </w:p>
    <w:p w:rsidR="00895BDD" w:rsidRDefault="00895BDD" w:rsidP="00895BDD">
      <w:pPr>
        <w:jc w:val="both"/>
      </w:pPr>
      <w:r w:rsidRPr="00E06B10">
        <w:t xml:space="preserve">In addition, coverage of HIV testing in GUM clinics among Barnet women (66.5%), men (79.9%) and MSM (86%) are either better or similar to </w:t>
      </w:r>
      <w:r>
        <w:t xml:space="preserve">the average coverage </w:t>
      </w:r>
      <w:r w:rsidRPr="00E06B10">
        <w:t>levels</w:t>
      </w:r>
      <w:r w:rsidRPr="00DB7F34">
        <w:t xml:space="preserve"> </w:t>
      </w:r>
      <w:r>
        <w:t xml:space="preserve">for </w:t>
      </w:r>
      <w:r w:rsidRPr="00E06B10">
        <w:t xml:space="preserve">England. </w:t>
      </w:r>
      <w:r>
        <w:t xml:space="preserve">However, </w:t>
      </w:r>
      <w:r w:rsidRPr="00E06B10">
        <w:t>uptake of HIV testing in Barnet women needs to be increased</w:t>
      </w:r>
      <w:r>
        <w:t xml:space="preserve"> because it is lower than the uptake by Barnet men and those </w:t>
      </w:r>
      <w:r w:rsidRPr="00E06B10">
        <w:t xml:space="preserve">men who have sex with men </w:t>
      </w:r>
      <w:r>
        <w:t>i</w:t>
      </w:r>
      <w:r w:rsidRPr="00E06B10">
        <w:t>n Barnet (Figure</w:t>
      </w:r>
      <w:r>
        <w:t xml:space="preserve"> 6-13b</w:t>
      </w:r>
      <w:r w:rsidRPr="00E06B10">
        <w:t>).</w:t>
      </w:r>
    </w:p>
    <w:p w:rsidR="00895BDD" w:rsidRPr="00E06B10" w:rsidRDefault="00895BDD" w:rsidP="00895BDD">
      <w:pPr>
        <w:pStyle w:val="Caption"/>
      </w:pPr>
      <w:r>
        <w:t xml:space="preserve">Figure </w:t>
      </w:r>
      <w:fldSimple w:instr=" STYLEREF 1 \s ">
        <w:r w:rsidR="001663C2">
          <w:rPr>
            <w:noProof/>
          </w:rPr>
          <w:t>6</w:t>
        </w:r>
      </w:fldSimple>
      <w:r w:rsidR="00943DC2">
        <w:noBreakHyphen/>
      </w:r>
      <w:fldSimple w:instr=" SEQ Figure \* ARABIC \s 1 ">
        <w:r w:rsidR="001663C2">
          <w:rPr>
            <w:noProof/>
          </w:rPr>
          <w:t>13</w:t>
        </w:r>
      </w:fldSimple>
      <w:r>
        <w:t>:</w:t>
      </w:r>
      <w:r w:rsidRPr="00E06B10">
        <w:t xml:space="preserve"> HIV testing uptake and coverage in Barnet</w:t>
      </w:r>
    </w:p>
    <w:p w:rsidR="00895BDD" w:rsidRDefault="00895BDD" w:rsidP="00895BDD">
      <w:pPr>
        <w:spacing w:after="0" w:line="240" w:lineRule="auto"/>
      </w:pPr>
      <w:r w:rsidRPr="00AE7B04">
        <w:rPr>
          <w:noProof/>
          <w:lang w:eastAsia="en-GB"/>
        </w:rPr>
        <w:drawing>
          <wp:inline distT="0" distB="0" distL="0" distR="0" wp14:anchorId="17C27D1E" wp14:editId="1B469E86">
            <wp:extent cx="2819400" cy="1691640"/>
            <wp:effectExtent l="0" t="0" r="0" b="381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2819400" cy="1691640"/>
                    </a:xfrm>
                    <a:prstGeom prst="rect">
                      <a:avLst/>
                    </a:prstGeom>
                  </pic:spPr>
                </pic:pic>
              </a:graphicData>
            </a:graphic>
          </wp:inline>
        </w:drawing>
      </w:r>
      <w:r>
        <w:rPr>
          <w:noProof/>
          <w:lang w:eastAsia="en-GB"/>
        </w:rPr>
        <w:drawing>
          <wp:inline distT="0" distB="0" distL="0" distR="0" wp14:anchorId="7F3C3E1D" wp14:editId="4527CAA8">
            <wp:extent cx="2822575" cy="1693545"/>
            <wp:effectExtent l="0" t="0" r="0" b="1905"/>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2822575" cy="1693545"/>
                    </a:xfrm>
                    <a:prstGeom prst="rect">
                      <a:avLst/>
                    </a:prstGeom>
                  </pic:spPr>
                </pic:pic>
              </a:graphicData>
            </a:graphic>
          </wp:inline>
        </w:drawing>
      </w:r>
    </w:p>
    <w:p w:rsidR="00895BDD" w:rsidRPr="008A799C" w:rsidRDefault="00895BDD" w:rsidP="0050457E">
      <w:pPr>
        <w:pStyle w:val="FootnoteText"/>
        <w:rPr>
          <w:rFonts w:asciiTheme="minorHAnsi" w:hAnsiTheme="minorHAnsi"/>
          <w:sz w:val="22"/>
          <w:szCs w:val="22"/>
        </w:rPr>
      </w:pPr>
      <w:r w:rsidRPr="008A799C">
        <w:rPr>
          <w:rFonts w:asciiTheme="minorHAnsi" w:hAnsiTheme="minorHAnsi"/>
          <w:sz w:val="22"/>
          <w:szCs w:val="22"/>
        </w:rPr>
        <w:t xml:space="preserve">Source: Public Health England. </w:t>
      </w:r>
      <w:hyperlink r:id="rId152" w:history="1">
        <w:r w:rsidRPr="008A799C">
          <w:rPr>
            <w:rStyle w:val="Hyperlink"/>
            <w:rFonts w:asciiTheme="minorHAnsi" w:hAnsiTheme="minorHAnsi"/>
            <w:sz w:val="22"/>
            <w:szCs w:val="22"/>
          </w:rPr>
          <w:t>Sexual and Reproductive Health Profiles</w:t>
        </w:r>
      </w:hyperlink>
      <w:r w:rsidRPr="008A799C">
        <w:rPr>
          <w:rFonts w:asciiTheme="minorHAnsi" w:hAnsiTheme="minorHAnsi"/>
          <w:sz w:val="22"/>
          <w:szCs w:val="22"/>
        </w:rPr>
        <w:t xml:space="preserve">. </w:t>
      </w:r>
      <w:hyperlink r:id="rId153" w:history="1">
        <w:r w:rsidRPr="008A799C">
          <w:rPr>
            <w:rStyle w:val="Hyperlink"/>
            <w:rFonts w:asciiTheme="minorHAnsi" w:hAnsiTheme="minorHAnsi"/>
            <w:sz w:val="22"/>
            <w:szCs w:val="22"/>
          </w:rPr>
          <w:t>Public Health Outcomes Framework</w:t>
        </w:r>
      </w:hyperlink>
      <w:r w:rsidRPr="008A799C">
        <w:rPr>
          <w:rFonts w:asciiTheme="minorHAnsi" w:hAnsiTheme="minorHAnsi"/>
          <w:sz w:val="22"/>
          <w:szCs w:val="22"/>
        </w:rPr>
        <w:t xml:space="preserve"> </w:t>
      </w:r>
    </w:p>
    <w:p w:rsidR="00895BDD" w:rsidRDefault="00895BDD" w:rsidP="0050457E">
      <w:pPr>
        <w:spacing w:after="0" w:line="240" w:lineRule="auto"/>
      </w:pPr>
    </w:p>
    <w:p w:rsidR="00895BDD" w:rsidRPr="00FC7B46" w:rsidRDefault="00895BDD" w:rsidP="0050457E">
      <w:pPr>
        <w:spacing w:after="0" w:line="240" w:lineRule="auto"/>
        <w:jc w:val="both"/>
      </w:pPr>
      <w:r>
        <w:t>T</w:t>
      </w:r>
      <w:r w:rsidRPr="00E06B10">
        <w:t xml:space="preserve">he rate of diagnosed HIV prevalence (per 1,000 among persons aged 15-59 years) in Barnet (3.00) is higher than the rate </w:t>
      </w:r>
      <w:r>
        <w:t xml:space="preserve">in </w:t>
      </w:r>
      <w:r w:rsidRPr="00E06B10">
        <w:t xml:space="preserve">England (2.14) and the proportion of adults (aged 15 years and above) with newly diagnosed HIV in Barnet (51.5%) is worse compared to the average for </w:t>
      </w:r>
      <w:r>
        <w:t xml:space="preserve">the </w:t>
      </w:r>
      <w:r w:rsidRPr="00E06B10">
        <w:t>London region (40.5%) and England (45</w:t>
      </w:r>
      <w:r>
        <w:t>%</w:t>
      </w:r>
      <w:r w:rsidRPr="00E06B10">
        <w:t>). The</w:t>
      </w:r>
      <w:r>
        <w:t>se statistics</w:t>
      </w:r>
      <w:r w:rsidRPr="00E06B10">
        <w:t xml:space="preserve"> suggest a need for improving early diagnosis of HIV with targeted intervention to specific and hard to reach communities such as gays and lesbian people</w:t>
      </w:r>
      <w:r w:rsidRPr="005F2F44">
        <w:t xml:space="preserve"> </w:t>
      </w:r>
      <w:r>
        <w:t xml:space="preserve">in Barnet. </w:t>
      </w:r>
    </w:p>
    <w:p w:rsidR="00895BDD" w:rsidRDefault="00895BDD" w:rsidP="00895BDD">
      <w:pPr>
        <w:pStyle w:val="Heading2"/>
        <w:numPr>
          <w:ilvl w:val="1"/>
          <w:numId w:val="35"/>
        </w:numPr>
        <w:jc w:val="both"/>
        <w:rPr>
          <w:rFonts w:asciiTheme="minorHAnsi" w:hAnsiTheme="minorHAnsi"/>
        </w:rPr>
      </w:pPr>
      <w:bookmarkStart w:id="695" w:name="_Toc422840086"/>
      <w:bookmarkStart w:id="696" w:name="_Toc426723350"/>
      <w:bookmarkStart w:id="697" w:name="_Toc431225177"/>
      <w:r w:rsidRPr="00E06B10">
        <w:rPr>
          <w:rFonts w:asciiTheme="minorHAnsi" w:hAnsiTheme="minorHAnsi"/>
        </w:rPr>
        <w:t>Preventing Ill Health</w:t>
      </w:r>
      <w:bookmarkEnd w:id="695"/>
      <w:bookmarkEnd w:id="696"/>
      <w:bookmarkEnd w:id="697"/>
    </w:p>
    <w:p w:rsidR="00895BDD" w:rsidRDefault="00895BDD" w:rsidP="00895BDD">
      <w:pPr>
        <w:jc w:val="both"/>
      </w:pPr>
      <w:r>
        <w:t xml:space="preserve">The </w:t>
      </w:r>
      <w:hyperlink r:id="rId154" w:history="1">
        <w:r w:rsidRPr="003F0A3A">
          <w:rPr>
            <w:rStyle w:val="Hyperlink"/>
          </w:rPr>
          <w:t>public health outcome framework</w:t>
        </w:r>
      </w:hyperlink>
      <w:r>
        <w:t xml:space="preserve"> shows that the majority of Barnet indicators are either better or similar to the national level; however, a few Barnet indicators are either worse or lower than the England average. These worse or lower indicators are mainly under the health protection and health improvement theme indicators (</w:t>
      </w:r>
      <w:hyperlink w:anchor="_Appendix-1_Barnet_(PHOF)_1" w:history="1">
        <w:r w:rsidRPr="00295EE4">
          <w:rPr>
            <w:rStyle w:val="Hyperlink"/>
          </w:rPr>
          <w:t>Appendix 1</w:t>
        </w:r>
      </w:hyperlink>
      <w:r>
        <w:t xml:space="preserve">), which can be addressed through public health prevention and health improvement interventions. </w:t>
      </w:r>
    </w:p>
    <w:p w:rsidR="00895BDD" w:rsidRPr="00E06B10" w:rsidRDefault="0050457E" w:rsidP="00895BDD">
      <w:pPr>
        <w:pStyle w:val="Heading3"/>
        <w:numPr>
          <w:ilvl w:val="2"/>
          <w:numId w:val="35"/>
        </w:numPr>
        <w:jc w:val="both"/>
      </w:pPr>
      <w:bookmarkStart w:id="698" w:name="_Toc422840087"/>
      <w:r>
        <w:t>Primary P</w:t>
      </w:r>
      <w:r w:rsidR="00895BDD" w:rsidRPr="00E06B10">
        <w:t>revention</w:t>
      </w:r>
      <w:bookmarkEnd w:id="698"/>
    </w:p>
    <w:p w:rsidR="00895BDD" w:rsidRDefault="00895BDD" w:rsidP="00895BDD">
      <w:pPr>
        <w:jc w:val="both"/>
      </w:pPr>
      <w:r w:rsidRPr="00A42E2B">
        <w:t>Boyce</w:t>
      </w:r>
      <w:r>
        <w:t xml:space="preserve"> et al (2010) suggested that primary prevention of ill health could include childhood </w:t>
      </w:r>
      <w:r w:rsidRPr="00E06B10">
        <w:t>immunisation</w:t>
      </w:r>
      <w:r>
        <w:t xml:space="preserve"> against preventable infectious diseases. In Barnet, coverage (uptake) of various immunisations for children, </w:t>
      </w:r>
      <w:r w:rsidRPr="00E06B10">
        <w:t xml:space="preserve">young adults and elderly people </w:t>
      </w:r>
      <w:r>
        <w:t xml:space="preserve">is below the national level. It is therefore essential that the rates of immunisation coverage (uptake) are increased in Barnet to the level of average national rates. </w:t>
      </w:r>
    </w:p>
    <w:p w:rsidR="00895BDD" w:rsidRPr="008D65CB" w:rsidRDefault="00895BDD" w:rsidP="00895BDD">
      <w:pPr>
        <w:jc w:val="both"/>
        <w:rPr>
          <w:vertAlign w:val="superscript"/>
        </w:rPr>
      </w:pPr>
      <w:r>
        <w:t>For achieving the desired rates</w:t>
      </w:r>
      <w:r w:rsidRPr="009F27D2">
        <w:t xml:space="preserve"> </w:t>
      </w:r>
      <w:r w:rsidRPr="00EE2F40">
        <w:t>with regard to childhood immunisation</w:t>
      </w:r>
      <w:r>
        <w:t xml:space="preserve">, </w:t>
      </w:r>
      <w:r w:rsidRPr="00EE2F40">
        <w:t xml:space="preserve">motivation of parents </w:t>
      </w:r>
      <w:r>
        <w:t xml:space="preserve">and </w:t>
      </w:r>
      <w:r w:rsidRPr="00EE2F40">
        <w:t>training of GPs are some of the key issues that need to be addressed.</w:t>
      </w:r>
      <w:r w:rsidRPr="00EE2F40">
        <w:rPr>
          <w:vertAlign w:val="superscript"/>
        </w:rPr>
        <w:t>77</w:t>
      </w:r>
      <w:r>
        <w:rPr>
          <w:vertAlign w:val="superscript"/>
        </w:rPr>
        <w:t xml:space="preserve"> </w:t>
      </w:r>
      <w:r>
        <w:t>In addition, there is a need to target those with transport, language or communication difficulties, and those with physical or learning disabilities.</w:t>
      </w:r>
      <w:r>
        <w:rPr>
          <w:rStyle w:val="FootnoteReference"/>
        </w:rPr>
        <w:footnoteReference w:id="105"/>
      </w:r>
      <w:r>
        <w:t xml:space="preserve"> Moreover, appropriate information needs to be provided at the local </w:t>
      </w:r>
      <w:r>
        <w:lastRenderedPageBreak/>
        <w:t xml:space="preserve">communities levels, at their premises and in their languages because the language could be a major barrier and source of inequalities for certain types of people. For example, providing information and creating awareness about </w:t>
      </w:r>
      <w:r w:rsidRPr="00E21F6B">
        <w:t>tuberculosis</w:t>
      </w:r>
      <w:r>
        <w:t xml:space="preserve"> (TB) through active engagement of local ethnic communities in which TB is more common.</w:t>
      </w:r>
    </w:p>
    <w:p w:rsidR="00895BDD" w:rsidRPr="00E06B10" w:rsidRDefault="0050457E" w:rsidP="00895BDD">
      <w:pPr>
        <w:pStyle w:val="Heading3"/>
        <w:numPr>
          <w:ilvl w:val="2"/>
          <w:numId w:val="35"/>
        </w:numPr>
        <w:jc w:val="both"/>
      </w:pPr>
      <w:bookmarkStart w:id="699" w:name="_Toc422840088"/>
      <w:r>
        <w:t>Secondary P</w:t>
      </w:r>
      <w:r w:rsidR="00895BDD" w:rsidRPr="00E06B10">
        <w:t>revention</w:t>
      </w:r>
      <w:bookmarkEnd w:id="699"/>
    </w:p>
    <w:p w:rsidR="00895BDD" w:rsidRDefault="00895BDD" w:rsidP="00895BDD">
      <w:pPr>
        <w:jc w:val="both"/>
        <w:rPr>
          <w:highlight w:val="yellow"/>
        </w:rPr>
      </w:pPr>
      <w:r>
        <w:t>Preventing ill health needs addressing the common causes of major diseases that lead to high rates of premature mortality.  In Barnet, the top causes of premature mortality include c</w:t>
      </w:r>
      <w:r w:rsidRPr="00E21F6B">
        <w:t>oronary heart disease</w:t>
      </w:r>
      <w:r>
        <w:t xml:space="preserve"> (CHD), stroke, breast and lung</w:t>
      </w:r>
      <w:r w:rsidRPr="0054440A">
        <w:t xml:space="preserve"> </w:t>
      </w:r>
      <w:r>
        <w:t xml:space="preserve">cancers, mental health and respiratory diseases (e.g. pneumonia and COPD), which are more prevalent </w:t>
      </w:r>
      <w:r w:rsidRPr="004E4C7B">
        <w:t xml:space="preserve">in specific communities such as people of BME origin and those living in most deprived localities such as Burnt Oak and Colindale wards. There are health and lifestyle inequalities between different wards in Barnet (Table </w:t>
      </w:r>
      <w:r>
        <w:t>6-5</w:t>
      </w:r>
      <w:r w:rsidRPr="004E4C7B">
        <w:t>).</w:t>
      </w:r>
    </w:p>
    <w:p w:rsidR="00895BDD" w:rsidRDefault="00895BDD" w:rsidP="00895BDD">
      <w:pPr>
        <w:jc w:val="both"/>
        <w:rPr>
          <w:rFonts w:eastAsia="Times New Roman" w:cs="Arial"/>
          <w:color w:val="000000"/>
          <w:lang w:eastAsia="en-GB"/>
        </w:rPr>
      </w:pPr>
      <w:r>
        <w:t xml:space="preserve">More importantly, the common causes of the above mentioned major killer diseases include smoking, </w:t>
      </w:r>
      <w:r w:rsidRPr="00E06B10">
        <w:rPr>
          <w:rFonts w:eastAsia="Times New Roman" w:cs="Arial"/>
          <w:color w:val="000000"/>
          <w:lang w:eastAsia="en-GB"/>
        </w:rPr>
        <w:t>poor diet,</w:t>
      </w:r>
      <w:r>
        <w:rPr>
          <w:rFonts w:eastAsia="Times New Roman" w:cs="Arial"/>
          <w:color w:val="000000"/>
          <w:lang w:eastAsia="en-GB"/>
        </w:rPr>
        <w:t xml:space="preserve"> a</w:t>
      </w:r>
      <w:r w:rsidRPr="00E06B10">
        <w:rPr>
          <w:rFonts w:eastAsia="Times New Roman" w:cs="Arial"/>
          <w:color w:val="000000"/>
          <w:lang w:eastAsia="en-GB"/>
        </w:rPr>
        <w:t>lcohol,</w:t>
      </w:r>
      <w:r>
        <w:rPr>
          <w:rFonts w:eastAsia="Times New Roman" w:cs="Arial"/>
          <w:color w:val="000000"/>
          <w:lang w:eastAsia="en-GB"/>
        </w:rPr>
        <w:t xml:space="preserve"> </w:t>
      </w:r>
      <w:r w:rsidRPr="00E06B10">
        <w:rPr>
          <w:rFonts w:eastAsia="Times New Roman" w:cs="Arial"/>
          <w:color w:val="000000"/>
          <w:lang w:eastAsia="en-GB"/>
        </w:rPr>
        <w:t>obesity</w:t>
      </w:r>
      <w:r>
        <w:rPr>
          <w:rFonts w:eastAsia="Times New Roman" w:cs="Arial"/>
          <w:color w:val="000000"/>
          <w:lang w:eastAsia="en-GB"/>
        </w:rPr>
        <w:t xml:space="preserve">, </w:t>
      </w:r>
      <w:r w:rsidRPr="00E06B10">
        <w:rPr>
          <w:rFonts w:eastAsia="Times New Roman" w:cs="Arial"/>
          <w:color w:val="000000"/>
          <w:lang w:eastAsia="en-GB"/>
        </w:rPr>
        <w:t>physical inactivity</w:t>
      </w:r>
      <w:r>
        <w:rPr>
          <w:rFonts w:eastAsia="Times New Roman" w:cs="Arial"/>
          <w:color w:val="000000"/>
          <w:lang w:eastAsia="en-GB"/>
        </w:rPr>
        <w:t>, h</w:t>
      </w:r>
      <w:r w:rsidRPr="00E06B10">
        <w:rPr>
          <w:rFonts w:eastAsia="Times New Roman" w:cs="Arial"/>
          <w:color w:val="000000"/>
          <w:lang w:eastAsia="en-GB"/>
        </w:rPr>
        <w:t>igh blood pressure</w:t>
      </w:r>
      <w:r>
        <w:rPr>
          <w:rFonts w:eastAsia="Times New Roman" w:cs="Arial"/>
          <w:color w:val="000000"/>
          <w:lang w:eastAsia="en-GB"/>
        </w:rPr>
        <w:t xml:space="preserve"> and a</w:t>
      </w:r>
      <w:r w:rsidRPr="00E06B10">
        <w:rPr>
          <w:rFonts w:eastAsia="Times New Roman" w:cs="Arial"/>
          <w:color w:val="000000"/>
          <w:lang w:eastAsia="en-GB"/>
        </w:rPr>
        <w:t>ir pollution</w:t>
      </w:r>
      <w:r>
        <w:rPr>
          <w:rFonts w:eastAsia="Times New Roman" w:cs="Arial"/>
          <w:color w:val="000000"/>
          <w:lang w:eastAsia="en-GB"/>
        </w:rPr>
        <w:t xml:space="preserve">, which are mostly lifestyle related health risk factors that could be modified by behavioural change and health promotion interventions such as smoking cessation, stop alcohol, healthy eating and physical </w:t>
      </w:r>
      <w:r>
        <w:t xml:space="preserve">and </w:t>
      </w:r>
      <w:r w:rsidRPr="00E06B10">
        <w:t>weight reduction activities</w:t>
      </w:r>
      <w:r>
        <w:rPr>
          <w:rFonts w:eastAsia="Times New Roman" w:cs="Arial"/>
          <w:color w:val="000000"/>
          <w:lang w:eastAsia="en-GB"/>
        </w:rPr>
        <w:t xml:space="preserve">. </w:t>
      </w:r>
    </w:p>
    <w:p w:rsidR="00895BDD" w:rsidRDefault="00895BDD" w:rsidP="00895BDD">
      <w:pPr>
        <w:jc w:val="both"/>
      </w:pPr>
      <w:r>
        <w:rPr>
          <w:rFonts w:eastAsia="Times New Roman" w:cs="Arial"/>
          <w:color w:val="000000"/>
          <w:lang w:eastAsia="en-GB"/>
        </w:rPr>
        <w:t>H</w:t>
      </w:r>
      <w:r>
        <w:t>owever, the services covering these activities would require remodelling and adjustments so that they meet specific needs of the clients and are suitable and accessible to local people, irrespective of their physical (dis)abilities and</w:t>
      </w:r>
      <w:r w:rsidRPr="0006240F">
        <w:t xml:space="preserve"> </w:t>
      </w:r>
      <w:r>
        <w:t xml:space="preserve">social, demographic and ethnic background. For example, preventing smoking in people with serious mental illness, during pregnancy, and among young children and women of ethnic minority groups would require programmes that are tailored to the needs of the targeted clients. </w:t>
      </w:r>
    </w:p>
    <w:p w:rsidR="00F53967" w:rsidRDefault="00F53967" w:rsidP="00895BDD">
      <w:pPr>
        <w:pStyle w:val="Caption"/>
      </w:pPr>
    </w:p>
    <w:p w:rsidR="00F53967" w:rsidRDefault="00F53967" w:rsidP="00895BDD">
      <w:pPr>
        <w:pStyle w:val="Caption"/>
      </w:pPr>
    </w:p>
    <w:p w:rsidR="00F53967" w:rsidRDefault="00F53967" w:rsidP="00895BDD">
      <w:pPr>
        <w:pStyle w:val="Caption"/>
      </w:pPr>
    </w:p>
    <w:p w:rsidR="00F53967" w:rsidRDefault="00F53967" w:rsidP="00895BDD">
      <w:pPr>
        <w:pStyle w:val="Caption"/>
      </w:pPr>
    </w:p>
    <w:p w:rsidR="00F53967" w:rsidRDefault="00F53967" w:rsidP="00895BDD">
      <w:pPr>
        <w:pStyle w:val="Caption"/>
      </w:pPr>
    </w:p>
    <w:p w:rsidR="00F53967" w:rsidRDefault="00F53967" w:rsidP="00895BDD">
      <w:pPr>
        <w:pStyle w:val="Caption"/>
      </w:pPr>
    </w:p>
    <w:p w:rsidR="00F53967" w:rsidRDefault="00F53967" w:rsidP="00895BDD">
      <w:pPr>
        <w:pStyle w:val="Caption"/>
      </w:pPr>
    </w:p>
    <w:p w:rsidR="00F53967" w:rsidRDefault="00F53967" w:rsidP="00895BDD">
      <w:pPr>
        <w:pStyle w:val="Caption"/>
      </w:pPr>
    </w:p>
    <w:p w:rsidR="00F53967" w:rsidRDefault="00F53967" w:rsidP="00895BDD">
      <w:pPr>
        <w:pStyle w:val="Caption"/>
      </w:pPr>
    </w:p>
    <w:p w:rsidR="00F53967" w:rsidRDefault="00F53967" w:rsidP="00895BDD">
      <w:pPr>
        <w:pStyle w:val="Caption"/>
      </w:pPr>
    </w:p>
    <w:p w:rsidR="00F53967" w:rsidRDefault="00F53967" w:rsidP="00895BDD">
      <w:pPr>
        <w:pStyle w:val="Caption"/>
      </w:pPr>
    </w:p>
    <w:p w:rsidR="00F53967" w:rsidRDefault="00F53967" w:rsidP="00895BDD">
      <w:pPr>
        <w:pStyle w:val="Caption"/>
      </w:pPr>
    </w:p>
    <w:p w:rsidR="00F53967" w:rsidRDefault="00F53967" w:rsidP="00895BDD">
      <w:pPr>
        <w:pStyle w:val="Caption"/>
      </w:pPr>
    </w:p>
    <w:p w:rsidR="00F53967" w:rsidRDefault="00F53967" w:rsidP="00895BDD">
      <w:pPr>
        <w:pStyle w:val="Caption"/>
      </w:pPr>
    </w:p>
    <w:p w:rsidR="00F53967" w:rsidRDefault="00F53967" w:rsidP="00895BDD">
      <w:pPr>
        <w:pStyle w:val="Caption"/>
      </w:pPr>
    </w:p>
    <w:p w:rsidR="00F53967" w:rsidRDefault="00F53967" w:rsidP="00895BDD">
      <w:pPr>
        <w:pStyle w:val="Caption"/>
      </w:pPr>
    </w:p>
    <w:p w:rsidR="00F53967" w:rsidRDefault="00F53967" w:rsidP="00895BDD">
      <w:pPr>
        <w:pStyle w:val="Caption"/>
      </w:pPr>
    </w:p>
    <w:p w:rsidR="00F53967" w:rsidRDefault="00F53967" w:rsidP="00895BDD">
      <w:pPr>
        <w:pStyle w:val="Caption"/>
      </w:pPr>
    </w:p>
    <w:p w:rsidR="00F53967" w:rsidRDefault="00F53967" w:rsidP="00895BDD">
      <w:pPr>
        <w:pStyle w:val="Caption"/>
      </w:pPr>
    </w:p>
    <w:p w:rsidR="00895BDD" w:rsidRDefault="00895BDD" w:rsidP="00895BDD">
      <w:pPr>
        <w:pStyle w:val="Caption"/>
      </w:pPr>
      <w:r>
        <w:lastRenderedPageBreak/>
        <w:t xml:space="preserve">Table </w:t>
      </w:r>
      <w:fldSimple w:instr=" STYLEREF 1 \s ">
        <w:r w:rsidR="001663C2">
          <w:rPr>
            <w:noProof/>
          </w:rPr>
          <w:t>6</w:t>
        </w:r>
      </w:fldSimple>
      <w:r>
        <w:noBreakHyphen/>
      </w:r>
      <w:fldSimple w:instr=" SEQ Table \* ARABIC \s 1 ">
        <w:r w:rsidR="001663C2">
          <w:rPr>
            <w:noProof/>
          </w:rPr>
          <w:t>5</w:t>
        </w:r>
      </w:fldSimple>
      <w:r>
        <w:t>:</w:t>
      </w:r>
      <w:r w:rsidRPr="004E4C7B">
        <w:rPr>
          <w:lang w:eastAsia="en-GB"/>
        </w:rPr>
        <w:t xml:space="preserve"> Health and Lifestyle indicators: ranking of Barnet wards</w:t>
      </w:r>
    </w:p>
    <w:tbl>
      <w:tblPr>
        <w:tblStyle w:val="MediumShading1-Accent4"/>
        <w:tblW w:w="9948" w:type="dxa"/>
        <w:jc w:val="center"/>
        <w:tblLook w:val="04A0" w:firstRow="1" w:lastRow="0" w:firstColumn="1" w:lastColumn="0" w:noHBand="0" w:noVBand="1"/>
      </w:tblPr>
      <w:tblGrid>
        <w:gridCol w:w="3152"/>
        <w:gridCol w:w="1434"/>
        <w:gridCol w:w="2576"/>
        <w:gridCol w:w="2786"/>
      </w:tblGrid>
      <w:tr w:rsidR="00895BDD" w:rsidRPr="00EB6228" w:rsidTr="00F53967">
        <w:trPr>
          <w:cnfStyle w:val="100000000000" w:firstRow="1" w:lastRow="0" w:firstColumn="0" w:lastColumn="0" w:oddVBand="0" w:evenVBand="0" w:oddHBand="0"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3152" w:type="dxa"/>
            <w:noWrap/>
            <w:hideMark/>
          </w:tcPr>
          <w:p w:rsidR="00895BDD" w:rsidRPr="00296BBF" w:rsidRDefault="00895BDD" w:rsidP="00031B92">
            <w:pPr>
              <w:rPr>
                <w:rFonts w:eastAsia="Times New Roman" w:cs="Arial"/>
                <w:color w:val="000000"/>
                <w:sz w:val="20"/>
                <w:szCs w:val="20"/>
                <w:lang w:eastAsia="en-GB"/>
              </w:rPr>
            </w:pPr>
            <w:r w:rsidRPr="00296BBF">
              <w:rPr>
                <w:rFonts w:eastAsia="Times New Roman" w:cs="Arial"/>
                <w:color w:val="000000"/>
                <w:sz w:val="20"/>
                <w:szCs w:val="20"/>
                <w:lang w:eastAsia="en-GB"/>
              </w:rPr>
              <w:t>Indicator</w:t>
            </w:r>
          </w:p>
        </w:tc>
        <w:tc>
          <w:tcPr>
            <w:tcW w:w="1434" w:type="dxa"/>
            <w:noWrap/>
            <w:hideMark/>
          </w:tcPr>
          <w:p w:rsidR="00895BDD" w:rsidRPr="00296BBF" w:rsidRDefault="00895BDD" w:rsidP="00031B92">
            <w:pPr>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296BBF">
              <w:rPr>
                <w:rFonts w:eastAsia="Times New Roman" w:cs="Arial"/>
                <w:color w:val="000000"/>
                <w:sz w:val="20"/>
                <w:szCs w:val="20"/>
                <w:lang w:eastAsia="en-GB"/>
              </w:rPr>
              <w:t>Unit</w:t>
            </w:r>
          </w:p>
        </w:tc>
        <w:tc>
          <w:tcPr>
            <w:tcW w:w="2576" w:type="dxa"/>
            <w:noWrap/>
            <w:hideMark/>
          </w:tcPr>
          <w:p w:rsidR="00895BDD" w:rsidRPr="00296BBF" w:rsidRDefault="00895BDD" w:rsidP="00031B92">
            <w:pP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296BBF">
              <w:rPr>
                <w:rFonts w:eastAsia="Times New Roman" w:cs="Arial"/>
                <w:color w:val="000000"/>
                <w:sz w:val="20"/>
                <w:szCs w:val="20"/>
                <w:lang w:eastAsia="en-GB"/>
              </w:rPr>
              <w:t>Best ward</w:t>
            </w:r>
          </w:p>
        </w:tc>
        <w:tc>
          <w:tcPr>
            <w:tcW w:w="2786" w:type="dxa"/>
            <w:noWrap/>
            <w:hideMark/>
          </w:tcPr>
          <w:p w:rsidR="00895BDD" w:rsidRPr="00296BBF" w:rsidRDefault="00895BDD" w:rsidP="00031B92">
            <w:pP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EB6228">
              <w:rPr>
                <w:rFonts w:eastAsia="Times New Roman" w:cs="Arial"/>
                <w:b w:val="0"/>
                <w:color w:val="000000"/>
                <w:sz w:val="20"/>
                <w:szCs w:val="20"/>
                <w:lang w:eastAsia="en-GB"/>
              </w:rPr>
              <w:t>Worse ward</w:t>
            </w:r>
          </w:p>
        </w:tc>
      </w:tr>
      <w:tr w:rsidR="00895BDD" w:rsidRPr="00EB6228" w:rsidTr="00F5396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152" w:type="dxa"/>
            <w:noWrap/>
            <w:hideMark/>
          </w:tcPr>
          <w:p w:rsidR="00895BDD" w:rsidRPr="00296BBF" w:rsidRDefault="00895BDD" w:rsidP="00031B92">
            <w:pPr>
              <w:rPr>
                <w:rFonts w:eastAsia="Times New Roman" w:cs="Arial"/>
                <w:b w:val="0"/>
                <w:color w:val="1D1B11" w:themeColor="background2" w:themeShade="1A"/>
                <w:sz w:val="20"/>
                <w:szCs w:val="20"/>
                <w:lang w:eastAsia="en-GB"/>
              </w:rPr>
            </w:pPr>
            <w:r w:rsidRPr="00296BBF">
              <w:rPr>
                <w:rFonts w:eastAsia="Times New Roman" w:cs="Arial"/>
                <w:b w:val="0"/>
                <w:color w:val="1D1B11" w:themeColor="background2" w:themeShade="1A"/>
                <w:sz w:val="20"/>
                <w:szCs w:val="20"/>
                <w:lang w:eastAsia="en-GB"/>
              </w:rPr>
              <w:t>Life expectancy</w:t>
            </w:r>
          </w:p>
        </w:tc>
        <w:tc>
          <w:tcPr>
            <w:tcW w:w="1434" w:type="dxa"/>
            <w:noWrap/>
            <w:hideMark/>
          </w:tcPr>
          <w:p w:rsidR="00895BDD" w:rsidRPr="00296BBF" w:rsidRDefault="00895BDD" w:rsidP="00031B9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n-GB"/>
              </w:rPr>
            </w:pPr>
            <w:r w:rsidRPr="00296BBF">
              <w:rPr>
                <w:rFonts w:eastAsia="Times New Roman" w:cs="Arial"/>
                <w:color w:val="000000"/>
                <w:sz w:val="20"/>
                <w:szCs w:val="20"/>
                <w:lang w:eastAsia="en-GB"/>
              </w:rPr>
              <w:t>Years</w:t>
            </w:r>
          </w:p>
        </w:tc>
        <w:tc>
          <w:tcPr>
            <w:tcW w:w="2576" w:type="dxa"/>
            <w:noWrap/>
            <w:hideMark/>
          </w:tcPr>
          <w:p w:rsidR="00895BDD" w:rsidRPr="00EB6228" w:rsidRDefault="00895BDD" w:rsidP="00031B92">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n-GB"/>
              </w:rPr>
            </w:pPr>
            <w:r w:rsidRPr="00EB6228">
              <w:rPr>
                <w:rFonts w:eastAsia="Times New Roman" w:cs="Arial"/>
                <w:color w:val="000000"/>
                <w:sz w:val="20"/>
                <w:szCs w:val="20"/>
                <w:lang w:eastAsia="en-GB"/>
              </w:rPr>
              <w:t xml:space="preserve">Garden Suburb  </w:t>
            </w:r>
          </w:p>
          <w:p w:rsidR="00895BDD" w:rsidRPr="00296BBF" w:rsidRDefault="00895BDD" w:rsidP="00031B92">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n-GB"/>
              </w:rPr>
            </w:pPr>
            <w:r w:rsidRPr="00EB6228">
              <w:rPr>
                <w:rFonts w:eastAsia="Times New Roman" w:cs="Arial"/>
                <w:color w:val="000000"/>
                <w:sz w:val="20"/>
                <w:szCs w:val="20"/>
                <w:lang w:eastAsia="en-GB"/>
              </w:rPr>
              <w:t>(males =84.1, females =</w:t>
            </w:r>
            <w:r w:rsidRPr="00296BBF">
              <w:rPr>
                <w:rFonts w:eastAsia="Times New Roman" w:cs="Arial"/>
                <w:color w:val="000000"/>
                <w:sz w:val="20"/>
                <w:szCs w:val="20"/>
                <w:lang w:eastAsia="en-GB"/>
              </w:rPr>
              <w:t>88.5</w:t>
            </w:r>
            <w:r>
              <w:rPr>
                <w:rFonts w:eastAsia="Times New Roman" w:cs="Arial"/>
                <w:color w:val="000000"/>
                <w:sz w:val="20"/>
                <w:szCs w:val="20"/>
                <w:lang w:eastAsia="en-GB"/>
              </w:rPr>
              <w:t>)</w:t>
            </w:r>
          </w:p>
        </w:tc>
        <w:tc>
          <w:tcPr>
            <w:tcW w:w="2786" w:type="dxa"/>
            <w:noWrap/>
            <w:hideMark/>
          </w:tcPr>
          <w:p w:rsidR="00895BDD" w:rsidRPr="00EB6228" w:rsidRDefault="00895BDD" w:rsidP="00031B92">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n-GB"/>
              </w:rPr>
            </w:pPr>
            <w:r w:rsidRPr="00296BBF">
              <w:rPr>
                <w:rFonts w:eastAsia="Times New Roman" w:cs="Arial"/>
                <w:color w:val="000000"/>
                <w:sz w:val="20"/>
                <w:szCs w:val="20"/>
                <w:lang w:eastAsia="en-GB"/>
              </w:rPr>
              <w:t xml:space="preserve">Burnt Oak </w:t>
            </w:r>
          </w:p>
          <w:p w:rsidR="00895BDD" w:rsidRPr="00296BBF" w:rsidRDefault="00895BDD" w:rsidP="00031B92">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n-GB"/>
              </w:rPr>
            </w:pPr>
            <w:r w:rsidRPr="00296BBF">
              <w:rPr>
                <w:rFonts w:eastAsia="Times New Roman" w:cs="Arial"/>
                <w:color w:val="000000"/>
                <w:sz w:val="20"/>
                <w:szCs w:val="20"/>
                <w:lang w:eastAsia="en-GB"/>
              </w:rPr>
              <w:t>(males</w:t>
            </w:r>
            <w:r w:rsidRPr="00EB6228">
              <w:rPr>
                <w:rFonts w:eastAsia="Times New Roman" w:cs="Arial"/>
                <w:color w:val="000000"/>
                <w:sz w:val="20"/>
                <w:szCs w:val="20"/>
                <w:lang w:eastAsia="en-GB"/>
              </w:rPr>
              <w:t xml:space="preserve"> = </w:t>
            </w:r>
            <w:r w:rsidRPr="00296BBF">
              <w:rPr>
                <w:rFonts w:eastAsia="Times New Roman" w:cs="Arial"/>
                <w:color w:val="000000"/>
                <w:sz w:val="20"/>
                <w:szCs w:val="20"/>
                <w:lang w:eastAsia="en-GB"/>
              </w:rPr>
              <w:t>75.8, females</w:t>
            </w:r>
            <w:r w:rsidRPr="00EB6228">
              <w:rPr>
                <w:rFonts w:eastAsia="Times New Roman" w:cs="Arial"/>
                <w:color w:val="000000"/>
                <w:sz w:val="20"/>
                <w:szCs w:val="20"/>
                <w:lang w:eastAsia="en-GB"/>
              </w:rPr>
              <w:t xml:space="preserve"> =</w:t>
            </w:r>
            <w:r w:rsidRPr="00296BBF">
              <w:rPr>
                <w:rFonts w:eastAsia="Times New Roman" w:cs="Arial"/>
                <w:color w:val="000000"/>
                <w:sz w:val="20"/>
                <w:szCs w:val="20"/>
                <w:lang w:eastAsia="en-GB"/>
              </w:rPr>
              <w:t xml:space="preserve"> 81.6) </w:t>
            </w:r>
          </w:p>
        </w:tc>
      </w:tr>
      <w:tr w:rsidR="00895BDD" w:rsidRPr="00EB6228" w:rsidTr="00F5396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152" w:type="dxa"/>
            <w:noWrap/>
            <w:hideMark/>
          </w:tcPr>
          <w:p w:rsidR="00895BDD" w:rsidRPr="00296BBF" w:rsidRDefault="00895BDD" w:rsidP="00031B92">
            <w:pPr>
              <w:rPr>
                <w:rFonts w:eastAsia="Times New Roman" w:cs="Arial"/>
                <w:b w:val="0"/>
                <w:color w:val="1D1B11" w:themeColor="background2" w:themeShade="1A"/>
                <w:sz w:val="20"/>
                <w:szCs w:val="20"/>
                <w:lang w:eastAsia="en-GB"/>
              </w:rPr>
            </w:pPr>
            <w:r w:rsidRPr="00EB6228">
              <w:rPr>
                <w:rFonts w:eastAsia="Times New Roman" w:cs="Arial"/>
                <w:b w:val="0"/>
                <w:color w:val="1D1B11" w:themeColor="background2" w:themeShade="1A"/>
                <w:sz w:val="20"/>
                <w:szCs w:val="20"/>
                <w:lang w:eastAsia="en-GB"/>
              </w:rPr>
              <w:t>S</w:t>
            </w:r>
            <w:r w:rsidRPr="00296BBF">
              <w:rPr>
                <w:rFonts w:eastAsia="Times New Roman" w:cs="Arial"/>
                <w:b w:val="0"/>
                <w:color w:val="1D1B11" w:themeColor="background2" w:themeShade="1A"/>
                <w:sz w:val="20"/>
                <w:szCs w:val="20"/>
                <w:lang w:eastAsia="en-GB"/>
              </w:rPr>
              <w:t>troke</w:t>
            </w:r>
            <w:r w:rsidRPr="00EB6228">
              <w:rPr>
                <w:rFonts w:eastAsia="Times New Roman" w:cs="Arial"/>
                <w:b w:val="0"/>
                <w:color w:val="1D1B11" w:themeColor="background2" w:themeShade="1A"/>
                <w:sz w:val="20"/>
                <w:szCs w:val="20"/>
                <w:lang w:eastAsia="en-GB"/>
              </w:rPr>
              <w:t xml:space="preserve"> mortality</w:t>
            </w:r>
            <w:r w:rsidRPr="00296BBF">
              <w:rPr>
                <w:rFonts w:eastAsia="Times New Roman" w:cs="Arial"/>
                <w:b w:val="0"/>
                <w:color w:val="1D1B11" w:themeColor="background2" w:themeShade="1A"/>
                <w:sz w:val="20"/>
                <w:szCs w:val="20"/>
                <w:lang w:eastAsia="en-GB"/>
              </w:rPr>
              <w:t xml:space="preserve"> </w:t>
            </w:r>
          </w:p>
        </w:tc>
        <w:tc>
          <w:tcPr>
            <w:tcW w:w="1434" w:type="dxa"/>
            <w:noWrap/>
            <w:hideMark/>
          </w:tcPr>
          <w:p w:rsidR="00895BDD" w:rsidRPr="00296BBF" w:rsidRDefault="00895BDD" w:rsidP="00031B92">
            <w:pPr>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EB6228">
              <w:rPr>
                <w:rFonts w:eastAsia="Times New Roman" w:cs="Arial"/>
                <w:color w:val="000000"/>
                <w:sz w:val="20"/>
                <w:szCs w:val="20"/>
                <w:lang w:eastAsia="en-GB"/>
              </w:rPr>
              <w:t>SMR</w:t>
            </w:r>
          </w:p>
        </w:tc>
        <w:tc>
          <w:tcPr>
            <w:tcW w:w="2576" w:type="dxa"/>
            <w:noWrap/>
            <w:hideMark/>
          </w:tcPr>
          <w:p w:rsidR="00895BDD" w:rsidRPr="00296BBF" w:rsidRDefault="00895BDD" w:rsidP="00031B92">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296BBF">
              <w:rPr>
                <w:rFonts w:eastAsia="Times New Roman" w:cs="Arial"/>
                <w:color w:val="000000"/>
                <w:sz w:val="20"/>
                <w:szCs w:val="20"/>
                <w:lang w:eastAsia="en-GB"/>
              </w:rPr>
              <w:t xml:space="preserve">Finchley (47.9) </w:t>
            </w:r>
          </w:p>
        </w:tc>
        <w:tc>
          <w:tcPr>
            <w:tcW w:w="2786" w:type="dxa"/>
            <w:noWrap/>
            <w:hideMark/>
          </w:tcPr>
          <w:p w:rsidR="00895BDD" w:rsidRPr="00296BBF" w:rsidRDefault="00895BDD" w:rsidP="00031B92">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296BBF">
              <w:rPr>
                <w:rFonts w:eastAsia="Times New Roman" w:cs="Arial"/>
                <w:color w:val="000000"/>
                <w:sz w:val="20"/>
                <w:szCs w:val="20"/>
                <w:lang w:eastAsia="en-GB"/>
              </w:rPr>
              <w:t>Childs Hill (117.7)</w:t>
            </w:r>
          </w:p>
        </w:tc>
      </w:tr>
      <w:tr w:rsidR="00895BDD" w:rsidRPr="00EB6228" w:rsidTr="00F5396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152" w:type="dxa"/>
            <w:noWrap/>
            <w:hideMark/>
          </w:tcPr>
          <w:p w:rsidR="00895BDD" w:rsidRPr="00296BBF" w:rsidRDefault="00895BDD" w:rsidP="00031B92">
            <w:pPr>
              <w:rPr>
                <w:rFonts w:eastAsia="Times New Roman" w:cs="Arial"/>
                <w:b w:val="0"/>
                <w:color w:val="1D1B11" w:themeColor="background2" w:themeShade="1A"/>
                <w:sz w:val="20"/>
                <w:szCs w:val="20"/>
                <w:lang w:eastAsia="en-GB"/>
              </w:rPr>
            </w:pPr>
            <w:r w:rsidRPr="00EB6228">
              <w:rPr>
                <w:rFonts w:eastAsia="Times New Roman" w:cs="Arial"/>
                <w:b w:val="0"/>
                <w:color w:val="1D1B11" w:themeColor="background2" w:themeShade="1A"/>
                <w:sz w:val="20"/>
                <w:szCs w:val="20"/>
                <w:lang w:eastAsia="en-GB"/>
              </w:rPr>
              <w:t>E</w:t>
            </w:r>
            <w:r w:rsidRPr="00296BBF">
              <w:rPr>
                <w:rFonts w:eastAsia="Times New Roman" w:cs="Arial"/>
                <w:b w:val="0"/>
                <w:color w:val="1D1B11" w:themeColor="background2" w:themeShade="1A"/>
                <w:sz w:val="20"/>
                <w:szCs w:val="20"/>
                <w:lang w:eastAsia="en-GB"/>
              </w:rPr>
              <w:t xml:space="preserve">mergency hospital admissions for stroke </w:t>
            </w:r>
          </w:p>
        </w:tc>
        <w:tc>
          <w:tcPr>
            <w:tcW w:w="1434" w:type="dxa"/>
            <w:noWrap/>
            <w:hideMark/>
          </w:tcPr>
          <w:p w:rsidR="00895BDD" w:rsidRPr="00EB6228" w:rsidRDefault="00895BDD" w:rsidP="00031B92">
            <w:pPr>
              <w:jc w:val="center"/>
              <w:cnfStyle w:val="000000100000" w:firstRow="0" w:lastRow="0" w:firstColumn="0" w:lastColumn="0" w:oddVBand="0" w:evenVBand="0" w:oddHBand="1" w:evenHBand="0" w:firstRowFirstColumn="0" w:firstRowLastColumn="0" w:lastRowFirstColumn="0" w:lastRowLastColumn="0"/>
            </w:pPr>
            <w:r w:rsidRPr="00EB6228">
              <w:rPr>
                <w:rFonts w:eastAsia="Times New Roman" w:cs="Arial"/>
                <w:color w:val="000000"/>
                <w:sz w:val="20"/>
                <w:szCs w:val="20"/>
                <w:lang w:eastAsia="en-GB"/>
              </w:rPr>
              <w:t>SMR</w:t>
            </w:r>
          </w:p>
        </w:tc>
        <w:tc>
          <w:tcPr>
            <w:tcW w:w="2576" w:type="dxa"/>
            <w:noWrap/>
            <w:hideMark/>
          </w:tcPr>
          <w:p w:rsidR="00895BDD" w:rsidRPr="00296BBF" w:rsidRDefault="00895BDD" w:rsidP="00031B92">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n-GB"/>
              </w:rPr>
            </w:pPr>
            <w:r w:rsidRPr="00296BBF">
              <w:rPr>
                <w:rFonts w:eastAsia="Times New Roman" w:cs="Arial"/>
                <w:color w:val="000000"/>
                <w:sz w:val="20"/>
                <w:szCs w:val="20"/>
                <w:lang w:eastAsia="en-GB"/>
              </w:rPr>
              <w:t xml:space="preserve">Garden Suburb  (78.9) </w:t>
            </w:r>
          </w:p>
        </w:tc>
        <w:tc>
          <w:tcPr>
            <w:tcW w:w="2786" w:type="dxa"/>
            <w:noWrap/>
            <w:hideMark/>
          </w:tcPr>
          <w:p w:rsidR="00895BDD" w:rsidRPr="00296BBF" w:rsidRDefault="00895BDD" w:rsidP="00031B92">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n-GB"/>
              </w:rPr>
            </w:pPr>
            <w:r w:rsidRPr="00296BBF">
              <w:rPr>
                <w:rFonts w:eastAsia="Times New Roman" w:cs="Arial"/>
                <w:color w:val="000000"/>
                <w:sz w:val="20"/>
                <w:szCs w:val="20"/>
                <w:lang w:eastAsia="en-GB"/>
              </w:rPr>
              <w:t xml:space="preserve">Burnt Oak (173) </w:t>
            </w:r>
          </w:p>
        </w:tc>
      </w:tr>
      <w:tr w:rsidR="00895BDD" w:rsidRPr="00EB6228" w:rsidTr="00F5396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152" w:type="dxa"/>
            <w:noWrap/>
            <w:hideMark/>
          </w:tcPr>
          <w:p w:rsidR="00895BDD" w:rsidRPr="00296BBF" w:rsidRDefault="00895BDD" w:rsidP="00031B92">
            <w:pPr>
              <w:rPr>
                <w:rFonts w:eastAsia="Times New Roman" w:cs="Arial"/>
                <w:b w:val="0"/>
                <w:color w:val="1D1B11" w:themeColor="background2" w:themeShade="1A"/>
                <w:sz w:val="20"/>
                <w:szCs w:val="20"/>
                <w:lang w:eastAsia="en-GB"/>
              </w:rPr>
            </w:pPr>
            <w:r w:rsidRPr="00296BBF">
              <w:rPr>
                <w:rFonts w:eastAsia="Times New Roman" w:cs="Arial"/>
                <w:b w:val="0"/>
                <w:color w:val="1D1B11" w:themeColor="background2" w:themeShade="1A"/>
                <w:sz w:val="20"/>
                <w:szCs w:val="20"/>
                <w:lang w:eastAsia="en-GB"/>
              </w:rPr>
              <w:t xml:space="preserve">Breast cancer incidence </w:t>
            </w:r>
          </w:p>
        </w:tc>
        <w:tc>
          <w:tcPr>
            <w:tcW w:w="1434" w:type="dxa"/>
            <w:noWrap/>
            <w:hideMark/>
          </w:tcPr>
          <w:p w:rsidR="00895BDD" w:rsidRPr="00EB6228" w:rsidRDefault="00895BDD" w:rsidP="00031B92">
            <w:pPr>
              <w:jc w:val="center"/>
              <w:cnfStyle w:val="000000010000" w:firstRow="0" w:lastRow="0" w:firstColumn="0" w:lastColumn="0" w:oddVBand="0" w:evenVBand="0" w:oddHBand="0" w:evenHBand="1" w:firstRowFirstColumn="0" w:firstRowLastColumn="0" w:lastRowFirstColumn="0" w:lastRowLastColumn="0"/>
            </w:pPr>
            <w:r w:rsidRPr="00EB6228">
              <w:rPr>
                <w:rFonts w:eastAsia="Times New Roman" w:cs="Arial"/>
                <w:color w:val="000000"/>
                <w:sz w:val="20"/>
                <w:szCs w:val="20"/>
                <w:lang w:eastAsia="en-GB"/>
              </w:rPr>
              <w:t>SMR</w:t>
            </w:r>
          </w:p>
        </w:tc>
        <w:tc>
          <w:tcPr>
            <w:tcW w:w="2576" w:type="dxa"/>
            <w:noWrap/>
            <w:hideMark/>
          </w:tcPr>
          <w:p w:rsidR="00895BDD" w:rsidRPr="00296BBF" w:rsidRDefault="00895BDD" w:rsidP="00031B92">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296BBF">
              <w:rPr>
                <w:rFonts w:eastAsia="Times New Roman" w:cs="Arial"/>
                <w:color w:val="000000"/>
                <w:sz w:val="20"/>
                <w:szCs w:val="20"/>
                <w:lang w:eastAsia="en-GB"/>
              </w:rPr>
              <w:t>Burnt Oak  (77.5)</w:t>
            </w:r>
          </w:p>
        </w:tc>
        <w:tc>
          <w:tcPr>
            <w:tcW w:w="2786" w:type="dxa"/>
            <w:noWrap/>
            <w:hideMark/>
          </w:tcPr>
          <w:p w:rsidR="00895BDD" w:rsidRPr="00296BBF" w:rsidRDefault="00895BDD" w:rsidP="00031B92">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296BBF">
              <w:rPr>
                <w:rFonts w:eastAsia="Times New Roman" w:cs="Arial"/>
                <w:color w:val="000000"/>
                <w:sz w:val="20"/>
                <w:szCs w:val="20"/>
                <w:lang w:eastAsia="en-GB"/>
              </w:rPr>
              <w:t xml:space="preserve">Mill Hill  (118.2) </w:t>
            </w:r>
          </w:p>
        </w:tc>
      </w:tr>
      <w:tr w:rsidR="00895BDD" w:rsidRPr="00EB6228" w:rsidTr="00F5396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152" w:type="dxa"/>
            <w:noWrap/>
            <w:hideMark/>
          </w:tcPr>
          <w:p w:rsidR="00895BDD" w:rsidRPr="00296BBF" w:rsidRDefault="00895BDD" w:rsidP="00031B92">
            <w:pPr>
              <w:rPr>
                <w:rFonts w:eastAsia="Times New Roman" w:cs="Arial"/>
                <w:b w:val="0"/>
                <w:color w:val="1D1B11" w:themeColor="background2" w:themeShade="1A"/>
                <w:sz w:val="20"/>
                <w:szCs w:val="20"/>
                <w:lang w:eastAsia="en-GB"/>
              </w:rPr>
            </w:pPr>
            <w:r w:rsidRPr="00EB6228">
              <w:rPr>
                <w:rFonts w:eastAsia="Times New Roman" w:cs="Arial"/>
                <w:b w:val="0"/>
                <w:color w:val="1D1B11" w:themeColor="background2" w:themeShade="1A"/>
                <w:sz w:val="20"/>
                <w:szCs w:val="20"/>
                <w:lang w:eastAsia="en-GB"/>
              </w:rPr>
              <w:t xml:space="preserve">Colorectal cancer </w:t>
            </w:r>
            <w:r w:rsidRPr="00501AB5">
              <w:rPr>
                <w:rFonts w:ascii="Calibri" w:eastAsia="Times New Roman" w:hAnsi="Calibri" w:cs="Arial"/>
                <w:b w:val="0"/>
                <w:color w:val="1D1B11"/>
                <w:sz w:val="20"/>
                <w:szCs w:val="20"/>
                <w:lang w:eastAsia="en-GB"/>
              </w:rPr>
              <w:t>incidence</w:t>
            </w:r>
          </w:p>
        </w:tc>
        <w:tc>
          <w:tcPr>
            <w:tcW w:w="1434" w:type="dxa"/>
            <w:noWrap/>
            <w:hideMark/>
          </w:tcPr>
          <w:p w:rsidR="00895BDD" w:rsidRPr="00EB6228" w:rsidRDefault="00895BDD" w:rsidP="00031B92">
            <w:pPr>
              <w:jc w:val="center"/>
              <w:cnfStyle w:val="000000100000" w:firstRow="0" w:lastRow="0" w:firstColumn="0" w:lastColumn="0" w:oddVBand="0" w:evenVBand="0" w:oddHBand="1" w:evenHBand="0" w:firstRowFirstColumn="0" w:firstRowLastColumn="0" w:lastRowFirstColumn="0" w:lastRowLastColumn="0"/>
            </w:pPr>
            <w:r w:rsidRPr="00EB6228">
              <w:rPr>
                <w:rFonts w:eastAsia="Times New Roman" w:cs="Arial"/>
                <w:color w:val="000000"/>
                <w:sz w:val="20"/>
                <w:szCs w:val="20"/>
                <w:lang w:eastAsia="en-GB"/>
              </w:rPr>
              <w:t>SMR</w:t>
            </w:r>
          </w:p>
        </w:tc>
        <w:tc>
          <w:tcPr>
            <w:tcW w:w="2576" w:type="dxa"/>
            <w:noWrap/>
            <w:hideMark/>
          </w:tcPr>
          <w:p w:rsidR="00895BDD" w:rsidRPr="00296BBF" w:rsidRDefault="00895BDD" w:rsidP="00031B92">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n-GB"/>
              </w:rPr>
            </w:pPr>
            <w:r w:rsidRPr="00296BBF">
              <w:rPr>
                <w:rFonts w:eastAsia="Times New Roman" w:cs="Arial"/>
                <w:color w:val="000000"/>
                <w:sz w:val="20"/>
                <w:szCs w:val="20"/>
                <w:lang w:eastAsia="en-GB"/>
              </w:rPr>
              <w:t>Hale  (69.8)</w:t>
            </w:r>
          </w:p>
        </w:tc>
        <w:tc>
          <w:tcPr>
            <w:tcW w:w="2786" w:type="dxa"/>
            <w:noWrap/>
            <w:hideMark/>
          </w:tcPr>
          <w:p w:rsidR="00895BDD" w:rsidRPr="00296BBF" w:rsidRDefault="00895BDD" w:rsidP="00031B92">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n-GB"/>
              </w:rPr>
            </w:pPr>
            <w:r w:rsidRPr="00296BBF">
              <w:rPr>
                <w:rFonts w:eastAsia="Times New Roman" w:cs="Arial"/>
                <w:color w:val="000000"/>
                <w:sz w:val="20"/>
                <w:szCs w:val="20"/>
                <w:lang w:eastAsia="en-GB"/>
              </w:rPr>
              <w:t xml:space="preserve">Coppetts  (122.8) </w:t>
            </w:r>
          </w:p>
        </w:tc>
      </w:tr>
      <w:tr w:rsidR="00895BDD" w:rsidRPr="00EB6228" w:rsidTr="00F5396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152" w:type="dxa"/>
            <w:noWrap/>
            <w:hideMark/>
          </w:tcPr>
          <w:p w:rsidR="00895BDD" w:rsidRPr="00296BBF" w:rsidRDefault="00895BDD" w:rsidP="00031B92">
            <w:pPr>
              <w:rPr>
                <w:rFonts w:eastAsia="Times New Roman" w:cs="Arial"/>
                <w:b w:val="0"/>
                <w:color w:val="1D1B11" w:themeColor="background2" w:themeShade="1A"/>
                <w:sz w:val="20"/>
                <w:szCs w:val="20"/>
                <w:lang w:eastAsia="en-GB"/>
              </w:rPr>
            </w:pPr>
            <w:r w:rsidRPr="00EB6228">
              <w:rPr>
                <w:rFonts w:eastAsia="Times New Roman" w:cs="Arial"/>
                <w:b w:val="0"/>
                <w:color w:val="1D1B11" w:themeColor="background2" w:themeShade="1A"/>
                <w:sz w:val="20"/>
                <w:szCs w:val="20"/>
                <w:lang w:eastAsia="en-GB"/>
              </w:rPr>
              <w:t xml:space="preserve">Lung cancer </w:t>
            </w:r>
            <w:r w:rsidRPr="00501AB5">
              <w:rPr>
                <w:rFonts w:ascii="Calibri" w:eastAsia="Times New Roman" w:hAnsi="Calibri" w:cs="Arial"/>
                <w:b w:val="0"/>
                <w:color w:val="1D1B11"/>
                <w:sz w:val="20"/>
                <w:szCs w:val="20"/>
                <w:lang w:eastAsia="en-GB"/>
              </w:rPr>
              <w:t>incidence</w:t>
            </w:r>
          </w:p>
        </w:tc>
        <w:tc>
          <w:tcPr>
            <w:tcW w:w="1434" w:type="dxa"/>
            <w:noWrap/>
            <w:hideMark/>
          </w:tcPr>
          <w:p w:rsidR="00895BDD" w:rsidRPr="00EB6228" w:rsidRDefault="00895BDD" w:rsidP="00031B92">
            <w:pPr>
              <w:jc w:val="center"/>
              <w:cnfStyle w:val="000000010000" w:firstRow="0" w:lastRow="0" w:firstColumn="0" w:lastColumn="0" w:oddVBand="0" w:evenVBand="0" w:oddHBand="0" w:evenHBand="1" w:firstRowFirstColumn="0" w:firstRowLastColumn="0" w:lastRowFirstColumn="0" w:lastRowLastColumn="0"/>
            </w:pPr>
            <w:r w:rsidRPr="00EB6228">
              <w:rPr>
                <w:rFonts w:eastAsia="Times New Roman" w:cs="Arial"/>
                <w:color w:val="000000"/>
                <w:sz w:val="20"/>
                <w:szCs w:val="20"/>
                <w:lang w:eastAsia="en-GB"/>
              </w:rPr>
              <w:t>SMR</w:t>
            </w:r>
          </w:p>
        </w:tc>
        <w:tc>
          <w:tcPr>
            <w:tcW w:w="2576" w:type="dxa"/>
            <w:noWrap/>
            <w:hideMark/>
          </w:tcPr>
          <w:p w:rsidR="00895BDD" w:rsidRPr="00296BBF" w:rsidRDefault="00895BDD" w:rsidP="00031B92">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296BBF">
              <w:rPr>
                <w:rFonts w:eastAsia="Times New Roman" w:cs="Arial"/>
                <w:color w:val="000000"/>
                <w:sz w:val="20"/>
                <w:szCs w:val="20"/>
                <w:lang w:eastAsia="en-GB"/>
              </w:rPr>
              <w:t>Garden Suburb  (53.2)</w:t>
            </w:r>
          </w:p>
        </w:tc>
        <w:tc>
          <w:tcPr>
            <w:tcW w:w="2786" w:type="dxa"/>
            <w:noWrap/>
            <w:hideMark/>
          </w:tcPr>
          <w:p w:rsidR="00895BDD" w:rsidRPr="00296BBF" w:rsidRDefault="00895BDD" w:rsidP="00031B92">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296BBF">
              <w:rPr>
                <w:rFonts w:eastAsia="Times New Roman" w:cs="Arial"/>
                <w:color w:val="000000"/>
                <w:sz w:val="20"/>
                <w:szCs w:val="20"/>
                <w:lang w:eastAsia="en-GB"/>
              </w:rPr>
              <w:t xml:space="preserve">Coppetts  (117.3) </w:t>
            </w:r>
          </w:p>
        </w:tc>
      </w:tr>
      <w:tr w:rsidR="00895BDD" w:rsidRPr="00EB6228" w:rsidTr="00F5396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152" w:type="dxa"/>
            <w:noWrap/>
            <w:hideMark/>
          </w:tcPr>
          <w:p w:rsidR="00895BDD" w:rsidRPr="00296BBF" w:rsidRDefault="00895BDD" w:rsidP="00031B92">
            <w:pPr>
              <w:rPr>
                <w:rFonts w:eastAsia="Times New Roman" w:cs="Arial"/>
                <w:b w:val="0"/>
                <w:color w:val="1D1B11" w:themeColor="background2" w:themeShade="1A"/>
                <w:sz w:val="20"/>
                <w:szCs w:val="20"/>
                <w:lang w:eastAsia="en-GB"/>
              </w:rPr>
            </w:pPr>
            <w:r>
              <w:rPr>
                <w:rFonts w:eastAsia="Times New Roman" w:cs="Arial"/>
                <w:b w:val="0"/>
                <w:color w:val="1D1B11" w:themeColor="background2" w:themeShade="1A"/>
                <w:sz w:val="20"/>
                <w:szCs w:val="20"/>
                <w:lang w:eastAsia="en-GB"/>
              </w:rPr>
              <w:t>P</w:t>
            </w:r>
            <w:r w:rsidRPr="00EB6228">
              <w:rPr>
                <w:rFonts w:eastAsia="Times New Roman" w:cs="Arial"/>
                <w:b w:val="0"/>
                <w:color w:val="1D1B11" w:themeColor="background2" w:themeShade="1A"/>
                <w:sz w:val="20"/>
                <w:szCs w:val="20"/>
                <w:lang w:eastAsia="en-GB"/>
              </w:rPr>
              <w:t>rostate cancer</w:t>
            </w:r>
            <w:r>
              <w:rPr>
                <w:rFonts w:eastAsia="Times New Roman" w:cs="Arial"/>
                <w:b w:val="0"/>
                <w:color w:val="1D1B11" w:themeColor="background2" w:themeShade="1A"/>
                <w:sz w:val="20"/>
                <w:szCs w:val="20"/>
                <w:lang w:eastAsia="en-GB"/>
              </w:rPr>
              <w:t xml:space="preserve"> </w:t>
            </w:r>
            <w:r w:rsidRPr="00501AB5">
              <w:rPr>
                <w:rFonts w:ascii="Calibri" w:eastAsia="Times New Roman" w:hAnsi="Calibri" w:cs="Arial"/>
                <w:b w:val="0"/>
                <w:color w:val="1D1B11"/>
                <w:sz w:val="20"/>
                <w:szCs w:val="20"/>
                <w:lang w:eastAsia="en-GB"/>
              </w:rPr>
              <w:t>incidence</w:t>
            </w:r>
            <w:r w:rsidRPr="00EB6228">
              <w:rPr>
                <w:rFonts w:eastAsia="Times New Roman" w:cs="Arial"/>
                <w:b w:val="0"/>
                <w:color w:val="1D1B11" w:themeColor="background2" w:themeShade="1A"/>
                <w:sz w:val="20"/>
                <w:szCs w:val="20"/>
                <w:lang w:eastAsia="en-GB"/>
              </w:rPr>
              <w:t xml:space="preserve"> </w:t>
            </w:r>
          </w:p>
        </w:tc>
        <w:tc>
          <w:tcPr>
            <w:tcW w:w="1434" w:type="dxa"/>
            <w:noWrap/>
            <w:hideMark/>
          </w:tcPr>
          <w:p w:rsidR="00895BDD" w:rsidRPr="00EB6228" w:rsidRDefault="00895BDD" w:rsidP="00031B92">
            <w:pPr>
              <w:jc w:val="center"/>
              <w:cnfStyle w:val="000000100000" w:firstRow="0" w:lastRow="0" w:firstColumn="0" w:lastColumn="0" w:oddVBand="0" w:evenVBand="0" w:oddHBand="1" w:evenHBand="0" w:firstRowFirstColumn="0" w:firstRowLastColumn="0" w:lastRowFirstColumn="0" w:lastRowLastColumn="0"/>
            </w:pPr>
            <w:r w:rsidRPr="00EB6228">
              <w:rPr>
                <w:rFonts w:eastAsia="Times New Roman" w:cs="Arial"/>
                <w:color w:val="000000"/>
                <w:sz w:val="20"/>
                <w:szCs w:val="20"/>
                <w:lang w:eastAsia="en-GB"/>
              </w:rPr>
              <w:t>SMR</w:t>
            </w:r>
          </w:p>
        </w:tc>
        <w:tc>
          <w:tcPr>
            <w:tcW w:w="2576" w:type="dxa"/>
            <w:noWrap/>
            <w:hideMark/>
          </w:tcPr>
          <w:p w:rsidR="00895BDD" w:rsidRPr="00296BBF" w:rsidRDefault="00895BDD" w:rsidP="00031B92">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n-GB"/>
              </w:rPr>
            </w:pPr>
            <w:r w:rsidRPr="00296BBF">
              <w:rPr>
                <w:rFonts w:eastAsia="Times New Roman" w:cs="Arial"/>
                <w:color w:val="000000"/>
                <w:sz w:val="20"/>
                <w:szCs w:val="20"/>
                <w:lang w:eastAsia="en-GB"/>
              </w:rPr>
              <w:t>Brunt Oak  (72.6)</w:t>
            </w:r>
          </w:p>
        </w:tc>
        <w:tc>
          <w:tcPr>
            <w:tcW w:w="2786" w:type="dxa"/>
            <w:noWrap/>
            <w:hideMark/>
          </w:tcPr>
          <w:p w:rsidR="00895BDD" w:rsidRPr="00296BBF" w:rsidRDefault="00895BDD" w:rsidP="00031B92">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n-GB"/>
              </w:rPr>
            </w:pPr>
            <w:r w:rsidRPr="00296BBF">
              <w:rPr>
                <w:rFonts w:eastAsia="Times New Roman" w:cs="Arial"/>
                <w:color w:val="000000"/>
                <w:sz w:val="20"/>
                <w:szCs w:val="20"/>
                <w:lang w:eastAsia="en-GB"/>
              </w:rPr>
              <w:t xml:space="preserve">West Finchley  (115.6) </w:t>
            </w:r>
          </w:p>
        </w:tc>
      </w:tr>
      <w:tr w:rsidR="00895BDD" w:rsidRPr="00EB6228" w:rsidTr="00F5396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152" w:type="dxa"/>
            <w:noWrap/>
            <w:hideMark/>
          </w:tcPr>
          <w:p w:rsidR="00895BDD" w:rsidRPr="00296BBF" w:rsidRDefault="00895BDD" w:rsidP="00031B92">
            <w:pPr>
              <w:rPr>
                <w:rFonts w:eastAsia="Times New Roman" w:cs="Arial"/>
                <w:b w:val="0"/>
                <w:color w:val="1D1B11" w:themeColor="background2" w:themeShade="1A"/>
                <w:sz w:val="20"/>
                <w:szCs w:val="20"/>
                <w:lang w:eastAsia="en-GB"/>
              </w:rPr>
            </w:pPr>
            <w:r>
              <w:rPr>
                <w:rFonts w:eastAsia="Times New Roman" w:cs="Arial"/>
                <w:b w:val="0"/>
                <w:color w:val="1D1B11" w:themeColor="background2" w:themeShade="1A"/>
                <w:sz w:val="20"/>
                <w:szCs w:val="20"/>
                <w:lang w:eastAsia="en-GB"/>
              </w:rPr>
              <w:t>A</w:t>
            </w:r>
            <w:r w:rsidRPr="00EB6228">
              <w:rPr>
                <w:rFonts w:eastAsia="Times New Roman" w:cs="Arial"/>
                <w:b w:val="0"/>
                <w:color w:val="1D1B11" w:themeColor="background2" w:themeShade="1A"/>
                <w:sz w:val="20"/>
                <w:szCs w:val="20"/>
                <w:lang w:eastAsia="en-GB"/>
              </w:rPr>
              <w:t xml:space="preserve">ll cancers </w:t>
            </w:r>
            <w:r>
              <w:rPr>
                <w:rFonts w:eastAsia="Times New Roman" w:cs="Arial"/>
                <w:b w:val="0"/>
                <w:color w:val="1D1B11"/>
                <w:sz w:val="20"/>
                <w:szCs w:val="20"/>
                <w:lang w:eastAsia="en-GB"/>
              </w:rPr>
              <w:t>Incidence</w:t>
            </w:r>
          </w:p>
        </w:tc>
        <w:tc>
          <w:tcPr>
            <w:tcW w:w="1434" w:type="dxa"/>
            <w:noWrap/>
            <w:hideMark/>
          </w:tcPr>
          <w:p w:rsidR="00895BDD" w:rsidRPr="00EB6228" w:rsidRDefault="00895BDD" w:rsidP="00031B92">
            <w:pPr>
              <w:jc w:val="center"/>
              <w:cnfStyle w:val="000000010000" w:firstRow="0" w:lastRow="0" w:firstColumn="0" w:lastColumn="0" w:oddVBand="0" w:evenVBand="0" w:oddHBand="0" w:evenHBand="1" w:firstRowFirstColumn="0" w:firstRowLastColumn="0" w:lastRowFirstColumn="0" w:lastRowLastColumn="0"/>
            </w:pPr>
            <w:r w:rsidRPr="00EB6228">
              <w:rPr>
                <w:rFonts w:eastAsia="Times New Roman" w:cs="Arial"/>
                <w:color w:val="000000"/>
                <w:sz w:val="20"/>
                <w:szCs w:val="20"/>
                <w:lang w:eastAsia="en-GB"/>
              </w:rPr>
              <w:t>SMR</w:t>
            </w:r>
          </w:p>
        </w:tc>
        <w:tc>
          <w:tcPr>
            <w:tcW w:w="2576" w:type="dxa"/>
            <w:noWrap/>
            <w:hideMark/>
          </w:tcPr>
          <w:p w:rsidR="00895BDD" w:rsidRPr="00296BBF" w:rsidRDefault="00895BDD" w:rsidP="00031B92">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296BBF">
              <w:rPr>
                <w:rFonts w:eastAsia="Times New Roman" w:cs="Arial"/>
                <w:color w:val="000000"/>
                <w:sz w:val="20"/>
                <w:szCs w:val="20"/>
                <w:lang w:eastAsia="en-GB"/>
              </w:rPr>
              <w:t xml:space="preserve">Garden suburb   (86.2) </w:t>
            </w:r>
          </w:p>
        </w:tc>
        <w:tc>
          <w:tcPr>
            <w:tcW w:w="2786" w:type="dxa"/>
            <w:noWrap/>
            <w:hideMark/>
          </w:tcPr>
          <w:p w:rsidR="00895BDD" w:rsidRPr="00296BBF" w:rsidRDefault="00895BDD" w:rsidP="00031B92">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296BBF">
              <w:rPr>
                <w:rFonts w:eastAsia="Times New Roman" w:cs="Arial"/>
                <w:color w:val="000000"/>
                <w:sz w:val="20"/>
                <w:szCs w:val="20"/>
                <w:lang w:eastAsia="en-GB"/>
              </w:rPr>
              <w:t xml:space="preserve">Underhill  (103.3) </w:t>
            </w:r>
          </w:p>
        </w:tc>
      </w:tr>
      <w:tr w:rsidR="00895BDD" w:rsidRPr="00EB6228" w:rsidTr="00F5396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152" w:type="dxa"/>
            <w:noWrap/>
            <w:hideMark/>
          </w:tcPr>
          <w:p w:rsidR="00895BDD" w:rsidRPr="00296BBF" w:rsidRDefault="00895BDD" w:rsidP="00031B92">
            <w:pPr>
              <w:rPr>
                <w:rFonts w:eastAsia="Times New Roman" w:cs="Arial"/>
                <w:b w:val="0"/>
                <w:color w:val="1D1B11" w:themeColor="background2" w:themeShade="1A"/>
                <w:sz w:val="20"/>
                <w:szCs w:val="20"/>
                <w:lang w:eastAsia="en-GB"/>
              </w:rPr>
            </w:pPr>
            <w:r>
              <w:rPr>
                <w:rFonts w:eastAsia="Times New Roman" w:cs="Arial"/>
                <w:b w:val="0"/>
                <w:color w:val="1D1B11" w:themeColor="background2" w:themeShade="1A"/>
                <w:sz w:val="20"/>
                <w:szCs w:val="20"/>
                <w:lang w:eastAsia="en-GB"/>
              </w:rPr>
              <w:t>COPD hospital admissions</w:t>
            </w:r>
          </w:p>
        </w:tc>
        <w:tc>
          <w:tcPr>
            <w:tcW w:w="1434" w:type="dxa"/>
            <w:noWrap/>
            <w:hideMark/>
          </w:tcPr>
          <w:p w:rsidR="00895BDD" w:rsidRPr="00296BBF" w:rsidRDefault="00895BDD" w:rsidP="00031B9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n-GB"/>
              </w:rPr>
            </w:pPr>
            <w:r w:rsidRPr="00EB6228">
              <w:rPr>
                <w:rFonts w:eastAsia="Times New Roman" w:cs="Arial"/>
                <w:color w:val="000000"/>
                <w:sz w:val="20"/>
                <w:szCs w:val="20"/>
                <w:lang w:eastAsia="en-GB"/>
              </w:rPr>
              <w:t>SAR</w:t>
            </w:r>
          </w:p>
        </w:tc>
        <w:tc>
          <w:tcPr>
            <w:tcW w:w="2576" w:type="dxa"/>
            <w:noWrap/>
            <w:hideMark/>
          </w:tcPr>
          <w:p w:rsidR="00895BDD" w:rsidRPr="00296BBF" w:rsidRDefault="00895BDD" w:rsidP="00031B92">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n-GB"/>
              </w:rPr>
            </w:pPr>
            <w:r w:rsidRPr="00296BBF">
              <w:rPr>
                <w:rFonts w:eastAsia="Times New Roman" w:cs="Arial"/>
                <w:color w:val="000000"/>
                <w:sz w:val="20"/>
                <w:szCs w:val="20"/>
                <w:lang w:eastAsia="en-GB"/>
              </w:rPr>
              <w:t>Garden suburb  (28.3)</w:t>
            </w:r>
          </w:p>
        </w:tc>
        <w:tc>
          <w:tcPr>
            <w:tcW w:w="2786" w:type="dxa"/>
            <w:noWrap/>
            <w:hideMark/>
          </w:tcPr>
          <w:p w:rsidR="00895BDD" w:rsidRPr="00296BBF" w:rsidRDefault="00895BDD" w:rsidP="00031B92">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n-GB"/>
              </w:rPr>
            </w:pPr>
            <w:r w:rsidRPr="00296BBF">
              <w:rPr>
                <w:rFonts w:eastAsia="Times New Roman" w:cs="Arial"/>
                <w:color w:val="000000"/>
                <w:sz w:val="20"/>
                <w:szCs w:val="20"/>
                <w:lang w:eastAsia="en-GB"/>
              </w:rPr>
              <w:t xml:space="preserve">Burnt Oak (141.8) </w:t>
            </w:r>
          </w:p>
        </w:tc>
      </w:tr>
      <w:tr w:rsidR="00895BDD" w:rsidRPr="00EB6228" w:rsidTr="00F5396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152" w:type="dxa"/>
            <w:noWrap/>
            <w:hideMark/>
          </w:tcPr>
          <w:p w:rsidR="00895BDD" w:rsidRPr="00296BBF" w:rsidRDefault="00895BDD" w:rsidP="00031B92">
            <w:pPr>
              <w:rPr>
                <w:rFonts w:eastAsia="Times New Roman" w:cs="Arial"/>
                <w:b w:val="0"/>
                <w:color w:val="1D1B11" w:themeColor="background2" w:themeShade="1A"/>
                <w:sz w:val="20"/>
                <w:szCs w:val="20"/>
                <w:lang w:eastAsia="en-GB"/>
              </w:rPr>
            </w:pPr>
            <w:r>
              <w:rPr>
                <w:rFonts w:eastAsia="Times New Roman" w:cs="Arial"/>
                <w:b w:val="0"/>
                <w:color w:val="1D1B11" w:themeColor="background2" w:themeShade="1A"/>
                <w:sz w:val="20"/>
                <w:szCs w:val="20"/>
                <w:lang w:eastAsia="en-GB"/>
              </w:rPr>
              <w:t xml:space="preserve">Fertility rate (per 1,000 </w:t>
            </w:r>
            <w:r w:rsidRPr="00004358">
              <w:rPr>
                <w:rFonts w:ascii="Calibri" w:eastAsia="Times New Roman" w:hAnsi="Calibri" w:cs="Arial"/>
                <w:b w:val="0"/>
                <w:color w:val="1D1B11"/>
                <w:sz w:val="20"/>
                <w:szCs w:val="20"/>
                <w:lang w:eastAsia="en-GB"/>
              </w:rPr>
              <w:t>females aged 15-44</w:t>
            </w:r>
            <w:r>
              <w:rPr>
                <w:rFonts w:eastAsia="Times New Roman" w:cs="Arial"/>
                <w:b w:val="0"/>
                <w:color w:val="1D1B11"/>
                <w:sz w:val="20"/>
                <w:szCs w:val="20"/>
                <w:lang w:eastAsia="en-GB"/>
              </w:rPr>
              <w:t>)</w:t>
            </w:r>
          </w:p>
        </w:tc>
        <w:tc>
          <w:tcPr>
            <w:tcW w:w="1434" w:type="dxa"/>
            <w:noWrap/>
            <w:hideMark/>
          </w:tcPr>
          <w:p w:rsidR="00895BDD" w:rsidRPr="00296BBF" w:rsidRDefault="00895BDD" w:rsidP="00031B92">
            <w:pPr>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Pr>
                <w:rFonts w:eastAsia="Times New Roman" w:cs="Arial"/>
                <w:color w:val="000000"/>
                <w:sz w:val="20"/>
                <w:szCs w:val="20"/>
                <w:lang w:eastAsia="en-GB"/>
              </w:rPr>
              <w:t>CFR</w:t>
            </w:r>
          </w:p>
        </w:tc>
        <w:tc>
          <w:tcPr>
            <w:tcW w:w="2576" w:type="dxa"/>
            <w:noWrap/>
            <w:hideMark/>
          </w:tcPr>
          <w:p w:rsidR="00895BDD" w:rsidRPr="00296BBF" w:rsidRDefault="00895BDD" w:rsidP="00031B92">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Pr>
                <w:rFonts w:eastAsia="Times New Roman" w:cs="Arial"/>
                <w:color w:val="000000"/>
                <w:sz w:val="20"/>
                <w:szCs w:val="20"/>
                <w:lang w:eastAsia="en-GB"/>
              </w:rPr>
              <w:t>Golders Green (82.9)</w:t>
            </w:r>
          </w:p>
        </w:tc>
        <w:tc>
          <w:tcPr>
            <w:tcW w:w="2786" w:type="dxa"/>
            <w:noWrap/>
            <w:hideMark/>
          </w:tcPr>
          <w:p w:rsidR="00895BDD" w:rsidRPr="00296BBF" w:rsidRDefault="00895BDD" w:rsidP="00031B92">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374F54">
              <w:rPr>
                <w:rFonts w:ascii="Calibri" w:eastAsia="Times New Roman" w:hAnsi="Calibri" w:cs="Arial"/>
                <w:color w:val="000000"/>
                <w:sz w:val="20"/>
                <w:szCs w:val="20"/>
                <w:lang w:eastAsia="en-GB"/>
              </w:rPr>
              <w:t>Brunswick Park</w:t>
            </w:r>
            <w:r>
              <w:rPr>
                <w:rFonts w:eastAsia="Times New Roman" w:cs="Arial"/>
                <w:color w:val="000000"/>
                <w:sz w:val="20"/>
                <w:szCs w:val="20"/>
                <w:lang w:eastAsia="en-GB"/>
              </w:rPr>
              <w:t xml:space="preserve"> (56.8)</w:t>
            </w:r>
            <w:r w:rsidRPr="00296BBF">
              <w:rPr>
                <w:rFonts w:eastAsia="Times New Roman" w:cs="Arial"/>
                <w:color w:val="000000"/>
                <w:sz w:val="20"/>
                <w:szCs w:val="20"/>
                <w:lang w:eastAsia="en-GB"/>
              </w:rPr>
              <w:t xml:space="preserve">  </w:t>
            </w:r>
          </w:p>
        </w:tc>
      </w:tr>
      <w:tr w:rsidR="00895BDD" w:rsidRPr="00EB6228" w:rsidTr="00F5396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152" w:type="dxa"/>
            <w:noWrap/>
            <w:hideMark/>
          </w:tcPr>
          <w:p w:rsidR="00895BDD" w:rsidRPr="00296BBF" w:rsidRDefault="00895BDD" w:rsidP="00031B92">
            <w:pPr>
              <w:rPr>
                <w:rFonts w:eastAsia="Times New Roman" w:cs="Arial"/>
                <w:b w:val="0"/>
                <w:color w:val="1D1B11" w:themeColor="background2" w:themeShade="1A"/>
                <w:sz w:val="20"/>
                <w:szCs w:val="20"/>
                <w:lang w:eastAsia="en-GB"/>
              </w:rPr>
            </w:pPr>
            <w:r w:rsidRPr="00296BBF">
              <w:rPr>
                <w:rFonts w:eastAsia="Times New Roman" w:cs="Arial"/>
                <w:b w:val="0"/>
                <w:color w:val="1D1B11" w:themeColor="background2" w:themeShade="1A"/>
                <w:sz w:val="20"/>
                <w:szCs w:val="20"/>
                <w:lang w:eastAsia="en-GB"/>
              </w:rPr>
              <w:t xml:space="preserve">Low birth weight babies(less than 2500 g) </w:t>
            </w:r>
          </w:p>
        </w:tc>
        <w:tc>
          <w:tcPr>
            <w:tcW w:w="1434" w:type="dxa"/>
            <w:noWrap/>
            <w:hideMark/>
          </w:tcPr>
          <w:p w:rsidR="00895BDD" w:rsidRPr="00296BBF" w:rsidRDefault="00895BDD" w:rsidP="00031B9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n-GB"/>
              </w:rPr>
            </w:pPr>
            <w:r>
              <w:rPr>
                <w:rFonts w:eastAsia="Times New Roman" w:cs="Arial"/>
                <w:color w:val="000000"/>
                <w:sz w:val="20"/>
                <w:szCs w:val="20"/>
                <w:lang w:eastAsia="en-GB"/>
              </w:rPr>
              <w:t>Proportion (%)</w:t>
            </w:r>
          </w:p>
        </w:tc>
        <w:tc>
          <w:tcPr>
            <w:tcW w:w="2576" w:type="dxa"/>
            <w:noWrap/>
            <w:hideMark/>
          </w:tcPr>
          <w:p w:rsidR="00895BDD" w:rsidRPr="00296BBF" w:rsidRDefault="00895BDD" w:rsidP="00031B92">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n-GB"/>
              </w:rPr>
            </w:pPr>
            <w:r w:rsidRPr="00296BBF">
              <w:rPr>
                <w:rFonts w:eastAsia="Times New Roman" w:cs="Arial"/>
                <w:color w:val="000000"/>
                <w:sz w:val="20"/>
                <w:szCs w:val="20"/>
                <w:lang w:eastAsia="en-GB"/>
              </w:rPr>
              <w:t xml:space="preserve">Hendon (5.9%) </w:t>
            </w:r>
          </w:p>
        </w:tc>
        <w:tc>
          <w:tcPr>
            <w:tcW w:w="2786" w:type="dxa"/>
            <w:noWrap/>
            <w:hideMark/>
          </w:tcPr>
          <w:p w:rsidR="00895BDD" w:rsidRPr="00296BBF" w:rsidRDefault="00895BDD" w:rsidP="00031B92">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n-GB"/>
              </w:rPr>
            </w:pPr>
            <w:r>
              <w:rPr>
                <w:rFonts w:eastAsia="Times New Roman" w:cs="Arial"/>
                <w:color w:val="000000"/>
                <w:sz w:val="20"/>
                <w:szCs w:val="20"/>
                <w:lang w:eastAsia="en-GB"/>
              </w:rPr>
              <w:t xml:space="preserve">Finchley Church End </w:t>
            </w:r>
            <w:r w:rsidRPr="00296BBF">
              <w:rPr>
                <w:rFonts w:eastAsia="Times New Roman" w:cs="Arial"/>
                <w:color w:val="000000"/>
                <w:sz w:val="20"/>
                <w:szCs w:val="20"/>
                <w:lang w:eastAsia="en-GB"/>
              </w:rPr>
              <w:t xml:space="preserve">(9.1%) </w:t>
            </w:r>
          </w:p>
        </w:tc>
      </w:tr>
      <w:tr w:rsidR="00895BDD" w:rsidRPr="00EB6228" w:rsidTr="00F5396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152" w:type="dxa"/>
            <w:noWrap/>
            <w:hideMark/>
          </w:tcPr>
          <w:p w:rsidR="00895BDD" w:rsidRPr="00296BBF" w:rsidRDefault="00895BDD" w:rsidP="00031B92">
            <w:pPr>
              <w:rPr>
                <w:rFonts w:eastAsia="Times New Roman" w:cs="Arial"/>
                <w:b w:val="0"/>
                <w:color w:val="1D1B11" w:themeColor="background2" w:themeShade="1A"/>
                <w:sz w:val="20"/>
                <w:szCs w:val="20"/>
                <w:lang w:eastAsia="en-GB"/>
              </w:rPr>
            </w:pPr>
            <w:r w:rsidRPr="00296BBF">
              <w:rPr>
                <w:rFonts w:eastAsia="Times New Roman" w:cs="Arial"/>
                <w:b w:val="0"/>
                <w:color w:val="1D1B11" w:themeColor="background2" w:themeShade="1A"/>
                <w:sz w:val="20"/>
                <w:szCs w:val="20"/>
                <w:lang w:eastAsia="en-GB"/>
              </w:rPr>
              <w:t xml:space="preserve">Drug-related ambulance callouts </w:t>
            </w:r>
          </w:p>
        </w:tc>
        <w:tc>
          <w:tcPr>
            <w:tcW w:w="1434" w:type="dxa"/>
            <w:noWrap/>
            <w:hideMark/>
          </w:tcPr>
          <w:p w:rsidR="00895BDD" w:rsidRPr="00296BBF" w:rsidRDefault="00895BDD" w:rsidP="00031B92">
            <w:pPr>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EB6228">
              <w:rPr>
                <w:rFonts w:eastAsia="Times New Roman" w:cs="Arial"/>
                <w:color w:val="000000"/>
                <w:sz w:val="20"/>
                <w:szCs w:val="20"/>
                <w:lang w:eastAsia="en-GB"/>
              </w:rPr>
              <w:t>Count</w:t>
            </w:r>
          </w:p>
        </w:tc>
        <w:tc>
          <w:tcPr>
            <w:tcW w:w="2576" w:type="dxa"/>
            <w:noWrap/>
            <w:hideMark/>
          </w:tcPr>
          <w:p w:rsidR="00895BDD" w:rsidRPr="00296BBF" w:rsidRDefault="00895BDD" w:rsidP="00031B92">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296BBF">
              <w:rPr>
                <w:rFonts w:eastAsia="Times New Roman" w:cs="Arial"/>
                <w:color w:val="000000"/>
                <w:sz w:val="20"/>
                <w:szCs w:val="20"/>
                <w:lang w:eastAsia="en-GB"/>
              </w:rPr>
              <w:t xml:space="preserve">Brunswick Park </w:t>
            </w:r>
          </w:p>
        </w:tc>
        <w:tc>
          <w:tcPr>
            <w:tcW w:w="2786" w:type="dxa"/>
            <w:noWrap/>
            <w:hideMark/>
          </w:tcPr>
          <w:p w:rsidR="00895BDD" w:rsidRPr="00296BBF" w:rsidRDefault="00895BDD" w:rsidP="00031B92">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296BBF">
              <w:rPr>
                <w:rFonts w:eastAsia="Times New Roman" w:cs="Arial"/>
                <w:color w:val="000000"/>
                <w:sz w:val="20"/>
                <w:szCs w:val="20"/>
                <w:lang w:eastAsia="en-GB"/>
              </w:rPr>
              <w:t xml:space="preserve">Colindale  </w:t>
            </w:r>
          </w:p>
        </w:tc>
      </w:tr>
      <w:tr w:rsidR="00895BDD" w:rsidRPr="00EB6228" w:rsidTr="00F5396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152" w:type="dxa"/>
            <w:noWrap/>
            <w:hideMark/>
          </w:tcPr>
          <w:p w:rsidR="00895BDD" w:rsidRPr="00296BBF" w:rsidRDefault="00895BDD" w:rsidP="00031B92">
            <w:pPr>
              <w:rPr>
                <w:rFonts w:eastAsia="Times New Roman" w:cs="Arial"/>
                <w:b w:val="0"/>
                <w:color w:val="1D1B11" w:themeColor="background2" w:themeShade="1A"/>
                <w:sz w:val="20"/>
                <w:szCs w:val="20"/>
                <w:lang w:eastAsia="en-GB"/>
              </w:rPr>
            </w:pPr>
            <w:r>
              <w:rPr>
                <w:rFonts w:eastAsia="Times New Roman" w:cs="Arial"/>
                <w:b w:val="0"/>
                <w:color w:val="1D1B11" w:themeColor="background2" w:themeShade="1A"/>
                <w:sz w:val="20"/>
                <w:szCs w:val="20"/>
                <w:lang w:eastAsia="en-GB"/>
              </w:rPr>
              <w:t xml:space="preserve">Smoking </w:t>
            </w:r>
            <w:r w:rsidRPr="00296BBF">
              <w:rPr>
                <w:rFonts w:eastAsia="Times New Roman" w:cs="Arial"/>
                <w:b w:val="0"/>
                <w:color w:val="1D1B11" w:themeColor="background2" w:themeShade="1A"/>
                <w:sz w:val="20"/>
                <w:szCs w:val="20"/>
                <w:lang w:eastAsia="en-GB"/>
              </w:rPr>
              <w:t>in adults</w:t>
            </w:r>
            <w:r>
              <w:rPr>
                <w:rFonts w:eastAsia="Times New Roman" w:cs="Arial"/>
                <w:b w:val="0"/>
                <w:color w:val="1D1B11" w:themeColor="background2" w:themeShade="1A"/>
                <w:sz w:val="20"/>
                <w:szCs w:val="20"/>
                <w:lang w:eastAsia="en-GB"/>
              </w:rPr>
              <w:t xml:space="preserve"> (e</w:t>
            </w:r>
            <w:r w:rsidRPr="00501AB5">
              <w:rPr>
                <w:rFonts w:ascii="Calibri" w:eastAsia="Times New Roman" w:hAnsi="Calibri" w:cs="Arial"/>
                <w:b w:val="0"/>
                <w:color w:val="1D1B11"/>
                <w:sz w:val="20"/>
                <w:szCs w:val="20"/>
                <w:lang w:eastAsia="en-GB"/>
              </w:rPr>
              <w:t>stimated prevalence</w:t>
            </w:r>
            <w:r>
              <w:rPr>
                <w:rFonts w:eastAsia="Times New Roman" w:cs="Arial"/>
                <w:b w:val="0"/>
                <w:color w:val="1D1B11"/>
                <w:sz w:val="20"/>
                <w:szCs w:val="20"/>
                <w:lang w:eastAsia="en-GB"/>
              </w:rPr>
              <w:t xml:space="preserve">, </w:t>
            </w:r>
            <w:r w:rsidRPr="00004358">
              <w:rPr>
                <w:rFonts w:ascii="Calibri" w:eastAsia="Times New Roman" w:hAnsi="Calibri" w:cs="Arial"/>
                <w:b w:val="0"/>
                <w:color w:val="1D1B11"/>
                <w:sz w:val="20"/>
                <w:szCs w:val="20"/>
                <w:lang w:eastAsia="en-GB"/>
              </w:rPr>
              <w:t>18 years and above)</w:t>
            </w:r>
          </w:p>
        </w:tc>
        <w:tc>
          <w:tcPr>
            <w:tcW w:w="1434" w:type="dxa"/>
            <w:noWrap/>
            <w:hideMark/>
          </w:tcPr>
          <w:p w:rsidR="00895BDD" w:rsidRPr="00296BBF" w:rsidRDefault="00895BDD" w:rsidP="00031B9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n-GB"/>
              </w:rPr>
            </w:pPr>
            <w:r>
              <w:rPr>
                <w:rFonts w:eastAsia="Times New Roman" w:cs="Arial"/>
                <w:color w:val="000000"/>
                <w:sz w:val="20"/>
                <w:szCs w:val="20"/>
                <w:lang w:eastAsia="en-GB"/>
              </w:rPr>
              <w:t>Proportion (%)</w:t>
            </w:r>
          </w:p>
        </w:tc>
        <w:tc>
          <w:tcPr>
            <w:tcW w:w="2576" w:type="dxa"/>
            <w:noWrap/>
            <w:hideMark/>
          </w:tcPr>
          <w:p w:rsidR="00895BDD" w:rsidRPr="00296BBF" w:rsidRDefault="00895BDD" w:rsidP="00031B92">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n-GB"/>
              </w:rPr>
            </w:pPr>
            <w:r w:rsidRPr="00296BBF">
              <w:rPr>
                <w:rFonts w:eastAsia="Times New Roman" w:cs="Arial"/>
                <w:color w:val="000000"/>
                <w:sz w:val="20"/>
                <w:szCs w:val="20"/>
                <w:lang w:eastAsia="en-GB"/>
              </w:rPr>
              <w:t>Garden Suburb (13.5%)</w:t>
            </w:r>
          </w:p>
        </w:tc>
        <w:tc>
          <w:tcPr>
            <w:tcW w:w="2786" w:type="dxa"/>
            <w:noWrap/>
            <w:hideMark/>
          </w:tcPr>
          <w:p w:rsidR="00895BDD" w:rsidRPr="00296BBF" w:rsidRDefault="00895BDD" w:rsidP="00031B92">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n-GB"/>
              </w:rPr>
            </w:pPr>
            <w:r w:rsidRPr="00296BBF">
              <w:rPr>
                <w:rFonts w:eastAsia="Times New Roman" w:cs="Arial"/>
                <w:color w:val="000000"/>
                <w:sz w:val="20"/>
                <w:szCs w:val="20"/>
                <w:lang w:eastAsia="en-GB"/>
              </w:rPr>
              <w:t xml:space="preserve">Burnt Oak (16.9%) </w:t>
            </w:r>
          </w:p>
        </w:tc>
      </w:tr>
      <w:tr w:rsidR="00895BDD" w:rsidRPr="00EB6228" w:rsidTr="00F5396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152" w:type="dxa"/>
            <w:noWrap/>
            <w:hideMark/>
          </w:tcPr>
          <w:p w:rsidR="00895BDD" w:rsidRPr="00296BBF" w:rsidRDefault="00895BDD" w:rsidP="00031B92">
            <w:pPr>
              <w:rPr>
                <w:rFonts w:eastAsia="Times New Roman" w:cs="Arial"/>
                <w:b w:val="0"/>
                <w:color w:val="1D1B11" w:themeColor="background2" w:themeShade="1A"/>
                <w:sz w:val="20"/>
                <w:szCs w:val="20"/>
                <w:lang w:eastAsia="en-GB"/>
              </w:rPr>
            </w:pPr>
            <w:r w:rsidRPr="00EB6228">
              <w:rPr>
                <w:rFonts w:eastAsia="Times New Roman" w:cs="Arial"/>
                <w:b w:val="0"/>
                <w:color w:val="1D1B11" w:themeColor="background2" w:themeShade="1A"/>
                <w:sz w:val="20"/>
                <w:szCs w:val="20"/>
                <w:lang w:eastAsia="en-GB"/>
              </w:rPr>
              <w:t>Modelled prevalence of regular smoking in children age 11-15 years</w:t>
            </w:r>
          </w:p>
        </w:tc>
        <w:tc>
          <w:tcPr>
            <w:tcW w:w="1434" w:type="dxa"/>
            <w:noWrap/>
            <w:hideMark/>
          </w:tcPr>
          <w:p w:rsidR="00895BDD" w:rsidRPr="00296BBF" w:rsidRDefault="00895BDD" w:rsidP="00031B92">
            <w:pPr>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374F54">
              <w:rPr>
                <w:rFonts w:ascii="Calibri" w:eastAsia="Times New Roman" w:hAnsi="Calibri" w:cs="Arial"/>
                <w:color w:val="000000"/>
                <w:sz w:val="20"/>
                <w:szCs w:val="20"/>
                <w:lang w:eastAsia="en-GB"/>
              </w:rPr>
              <w:t>Proportion (%)</w:t>
            </w:r>
          </w:p>
        </w:tc>
        <w:tc>
          <w:tcPr>
            <w:tcW w:w="2576" w:type="dxa"/>
            <w:noWrap/>
            <w:hideMark/>
          </w:tcPr>
          <w:p w:rsidR="00895BDD" w:rsidRPr="00296BBF" w:rsidRDefault="00895BDD" w:rsidP="00031B92">
            <w:pPr>
              <w:cnfStyle w:val="000000010000" w:firstRow="0" w:lastRow="0" w:firstColumn="0" w:lastColumn="0" w:oddVBand="0" w:evenVBand="0" w:oddHBand="0" w:evenHBand="1" w:firstRowFirstColumn="0" w:firstRowLastColumn="0" w:lastRowFirstColumn="0" w:lastRowLastColumn="0"/>
              <w:rPr>
                <w:rFonts w:eastAsia="Times New Roman" w:cs="Arial"/>
                <w:color w:val="000000" w:themeColor="text1"/>
                <w:sz w:val="20"/>
                <w:szCs w:val="20"/>
                <w:lang w:eastAsia="en-GB"/>
              </w:rPr>
            </w:pPr>
            <w:r w:rsidRPr="00EB6228">
              <w:rPr>
                <w:rFonts w:eastAsia="Times New Roman" w:cs="Arial"/>
                <w:color w:val="000000" w:themeColor="text1"/>
                <w:sz w:val="20"/>
                <w:szCs w:val="20"/>
                <w:lang w:eastAsia="en-GB"/>
              </w:rPr>
              <w:t>Colindale (1.1%)</w:t>
            </w:r>
          </w:p>
        </w:tc>
        <w:tc>
          <w:tcPr>
            <w:tcW w:w="2786" w:type="dxa"/>
            <w:noWrap/>
            <w:hideMark/>
          </w:tcPr>
          <w:p w:rsidR="00895BDD" w:rsidRPr="00296BBF" w:rsidRDefault="00895BDD" w:rsidP="00031B92">
            <w:pPr>
              <w:cnfStyle w:val="000000010000" w:firstRow="0" w:lastRow="0" w:firstColumn="0" w:lastColumn="0" w:oddVBand="0" w:evenVBand="0" w:oddHBand="0" w:evenHBand="1" w:firstRowFirstColumn="0" w:firstRowLastColumn="0" w:lastRowFirstColumn="0" w:lastRowLastColumn="0"/>
              <w:rPr>
                <w:rFonts w:eastAsia="Times New Roman" w:cs="Arial"/>
                <w:color w:val="000000" w:themeColor="text1"/>
                <w:sz w:val="20"/>
                <w:szCs w:val="20"/>
                <w:lang w:eastAsia="en-GB"/>
              </w:rPr>
            </w:pPr>
            <w:r w:rsidRPr="00EB6228">
              <w:rPr>
                <w:rFonts w:eastAsia="Times New Roman" w:cs="Arial"/>
                <w:color w:val="000000" w:themeColor="text1"/>
                <w:sz w:val="20"/>
                <w:szCs w:val="20"/>
                <w:lang w:eastAsia="en-GB"/>
              </w:rPr>
              <w:t xml:space="preserve">Underhill (5.6%) </w:t>
            </w:r>
          </w:p>
        </w:tc>
      </w:tr>
      <w:tr w:rsidR="00895BDD" w:rsidRPr="00EB6228" w:rsidTr="00F5396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152" w:type="dxa"/>
            <w:noWrap/>
            <w:hideMark/>
          </w:tcPr>
          <w:p w:rsidR="00895BDD" w:rsidRPr="00296BBF" w:rsidRDefault="00895BDD" w:rsidP="00031B92">
            <w:pPr>
              <w:rPr>
                <w:rFonts w:eastAsia="Times New Roman" w:cs="Arial"/>
                <w:b w:val="0"/>
                <w:color w:val="1D1B11" w:themeColor="background2" w:themeShade="1A"/>
                <w:sz w:val="20"/>
                <w:szCs w:val="20"/>
                <w:lang w:eastAsia="en-GB"/>
              </w:rPr>
            </w:pPr>
            <w:r w:rsidRPr="00EB6228">
              <w:rPr>
                <w:rFonts w:eastAsia="Times New Roman" w:cs="Arial"/>
                <w:b w:val="0"/>
                <w:color w:val="1D1B11" w:themeColor="background2" w:themeShade="1A"/>
                <w:sz w:val="20"/>
                <w:szCs w:val="20"/>
                <w:lang w:eastAsia="en-GB"/>
              </w:rPr>
              <w:t>Modelled prevalence of regular smoking in children age 15 years</w:t>
            </w:r>
          </w:p>
        </w:tc>
        <w:tc>
          <w:tcPr>
            <w:tcW w:w="1434" w:type="dxa"/>
            <w:noWrap/>
            <w:hideMark/>
          </w:tcPr>
          <w:p w:rsidR="00895BDD" w:rsidRPr="00296BBF" w:rsidRDefault="00895BDD" w:rsidP="00031B9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n-GB"/>
              </w:rPr>
            </w:pPr>
            <w:r>
              <w:rPr>
                <w:rFonts w:eastAsia="Times New Roman" w:cs="Arial"/>
                <w:color w:val="000000"/>
                <w:sz w:val="20"/>
                <w:szCs w:val="20"/>
                <w:lang w:eastAsia="en-GB"/>
              </w:rPr>
              <w:t>Proportion (%)</w:t>
            </w:r>
          </w:p>
        </w:tc>
        <w:tc>
          <w:tcPr>
            <w:tcW w:w="2576" w:type="dxa"/>
            <w:noWrap/>
            <w:hideMark/>
          </w:tcPr>
          <w:p w:rsidR="00895BDD" w:rsidRPr="00296BBF" w:rsidRDefault="00895BDD" w:rsidP="00031B92">
            <w:pP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20"/>
                <w:szCs w:val="20"/>
                <w:lang w:eastAsia="en-GB"/>
              </w:rPr>
            </w:pPr>
            <w:r w:rsidRPr="00EB6228">
              <w:rPr>
                <w:rFonts w:eastAsia="Times New Roman" w:cs="Arial"/>
                <w:color w:val="000000" w:themeColor="text1"/>
                <w:sz w:val="20"/>
                <w:szCs w:val="20"/>
                <w:lang w:eastAsia="en-GB"/>
              </w:rPr>
              <w:t>Colindale (4.2%)</w:t>
            </w:r>
          </w:p>
        </w:tc>
        <w:tc>
          <w:tcPr>
            <w:tcW w:w="2786" w:type="dxa"/>
            <w:noWrap/>
            <w:hideMark/>
          </w:tcPr>
          <w:p w:rsidR="00895BDD" w:rsidRPr="00296BBF" w:rsidRDefault="00895BDD" w:rsidP="00031B92">
            <w:pP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20"/>
                <w:szCs w:val="20"/>
                <w:lang w:eastAsia="en-GB"/>
              </w:rPr>
            </w:pPr>
            <w:r w:rsidRPr="00EB6228">
              <w:rPr>
                <w:rFonts w:eastAsia="Times New Roman" w:cs="Arial"/>
                <w:color w:val="000000" w:themeColor="text1"/>
                <w:sz w:val="20"/>
                <w:szCs w:val="20"/>
                <w:lang w:eastAsia="en-GB"/>
              </w:rPr>
              <w:t>Hendon (14.2%)</w:t>
            </w:r>
          </w:p>
        </w:tc>
      </w:tr>
      <w:tr w:rsidR="00895BDD" w:rsidRPr="00EB6228" w:rsidTr="00F5396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152" w:type="dxa"/>
            <w:noWrap/>
            <w:hideMark/>
          </w:tcPr>
          <w:p w:rsidR="00895BDD" w:rsidRPr="00296BBF" w:rsidRDefault="00895BDD" w:rsidP="00031B92">
            <w:pPr>
              <w:rPr>
                <w:rFonts w:eastAsia="Times New Roman" w:cs="Arial"/>
                <w:b w:val="0"/>
                <w:color w:val="1D1B11" w:themeColor="background2" w:themeShade="1A"/>
                <w:sz w:val="20"/>
                <w:szCs w:val="20"/>
                <w:lang w:eastAsia="en-GB"/>
              </w:rPr>
            </w:pPr>
            <w:r w:rsidRPr="00EB6228">
              <w:rPr>
                <w:rFonts w:eastAsia="Times New Roman" w:cs="Arial"/>
                <w:b w:val="0"/>
                <w:color w:val="1D1B11" w:themeColor="background2" w:themeShade="1A"/>
                <w:sz w:val="20"/>
                <w:szCs w:val="20"/>
                <w:lang w:eastAsia="en-GB"/>
              </w:rPr>
              <w:t>Modelled prevalence of regular smoking in young people aged16-17 years</w:t>
            </w:r>
          </w:p>
        </w:tc>
        <w:tc>
          <w:tcPr>
            <w:tcW w:w="1434" w:type="dxa"/>
            <w:noWrap/>
            <w:hideMark/>
          </w:tcPr>
          <w:p w:rsidR="00895BDD" w:rsidRPr="00296BBF" w:rsidRDefault="00895BDD" w:rsidP="00031B92">
            <w:pPr>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Pr>
                <w:rFonts w:eastAsia="Times New Roman" w:cs="Arial"/>
                <w:color w:val="000000"/>
                <w:sz w:val="20"/>
                <w:szCs w:val="20"/>
                <w:lang w:eastAsia="en-GB"/>
              </w:rPr>
              <w:t>Proportion (%)</w:t>
            </w:r>
          </w:p>
        </w:tc>
        <w:tc>
          <w:tcPr>
            <w:tcW w:w="2576" w:type="dxa"/>
            <w:noWrap/>
            <w:hideMark/>
          </w:tcPr>
          <w:p w:rsidR="00895BDD" w:rsidRPr="00296BBF" w:rsidRDefault="00895BDD" w:rsidP="00031B92">
            <w:pPr>
              <w:cnfStyle w:val="000000010000" w:firstRow="0" w:lastRow="0" w:firstColumn="0" w:lastColumn="0" w:oddVBand="0" w:evenVBand="0" w:oddHBand="0" w:evenHBand="1" w:firstRowFirstColumn="0" w:firstRowLastColumn="0" w:lastRowFirstColumn="0" w:lastRowLastColumn="0"/>
              <w:rPr>
                <w:rFonts w:eastAsia="Times New Roman" w:cs="Arial"/>
                <w:color w:val="000000" w:themeColor="text1"/>
                <w:sz w:val="20"/>
                <w:szCs w:val="20"/>
                <w:lang w:eastAsia="en-GB"/>
              </w:rPr>
            </w:pPr>
            <w:r w:rsidRPr="00EB6228">
              <w:rPr>
                <w:rFonts w:eastAsia="Times New Roman" w:cs="Arial"/>
                <w:color w:val="000000" w:themeColor="text1"/>
                <w:sz w:val="20"/>
                <w:szCs w:val="20"/>
                <w:lang w:eastAsia="en-GB"/>
              </w:rPr>
              <w:t xml:space="preserve">Colindale (7.8%) </w:t>
            </w:r>
          </w:p>
        </w:tc>
        <w:tc>
          <w:tcPr>
            <w:tcW w:w="2786" w:type="dxa"/>
            <w:noWrap/>
            <w:hideMark/>
          </w:tcPr>
          <w:p w:rsidR="00895BDD" w:rsidRPr="00296BBF" w:rsidRDefault="00895BDD" w:rsidP="00031B92">
            <w:pPr>
              <w:cnfStyle w:val="000000010000" w:firstRow="0" w:lastRow="0" w:firstColumn="0" w:lastColumn="0" w:oddVBand="0" w:evenVBand="0" w:oddHBand="0" w:evenHBand="1" w:firstRowFirstColumn="0" w:firstRowLastColumn="0" w:lastRowFirstColumn="0" w:lastRowLastColumn="0"/>
              <w:rPr>
                <w:rFonts w:eastAsia="Times New Roman" w:cs="Arial"/>
                <w:color w:val="000000" w:themeColor="text1"/>
                <w:sz w:val="20"/>
                <w:szCs w:val="20"/>
                <w:lang w:eastAsia="en-GB"/>
              </w:rPr>
            </w:pPr>
            <w:r w:rsidRPr="00EB6228">
              <w:rPr>
                <w:rFonts w:eastAsia="Times New Roman" w:cs="Arial"/>
                <w:color w:val="000000" w:themeColor="text1"/>
                <w:sz w:val="20"/>
                <w:szCs w:val="20"/>
                <w:lang w:eastAsia="en-GB"/>
              </w:rPr>
              <w:t>Hendon (22.6%)</w:t>
            </w:r>
          </w:p>
        </w:tc>
      </w:tr>
      <w:tr w:rsidR="00895BDD" w:rsidRPr="00EB6228" w:rsidTr="00F5396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152" w:type="dxa"/>
            <w:noWrap/>
            <w:hideMark/>
          </w:tcPr>
          <w:p w:rsidR="00895BDD" w:rsidRPr="00296BBF" w:rsidRDefault="00895BDD" w:rsidP="00031B92">
            <w:pPr>
              <w:rPr>
                <w:rFonts w:eastAsia="Times New Roman" w:cs="Arial"/>
                <w:b w:val="0"/>
                <w:color w:val="1D1B11" w:themeColor="background2" w:themeShade="1A"/>
                <w:sz w:val="20"/>
                <w:szCs w:val="20"/>
                <w:lang w:eastAsia="en-GB"/>
              </w:rPr>
            </w:pPr>
            <w:r>
              <w:rPr>
                <w:rFonts w:eastAsia="Times New Roman" w:cs="Arial"/>
                <w:b w:val="0"/>
                <w:color w:val="1D1B11" w:themeColor="background2" w:themeShade="1A"/>
                <w:sz w:val="20"/>
                <w:szCs w:val="20"/>
                <w:lang w:eastAsia="en-GB"/>
              </w:rPr>
              <w:t xml:space="preserve">Obesity in </w:t>
            </w:r>
            <w:r w:rsidRPr="00EB6228">
              <w:rPr>
                <w:rFonts w:eastAsia="Times New Roman" w:cs="Arial"/>
                <w:b w:val="0"/>
                <w:color w:val="1D1B11" w:themeColor="background2" w:themeShade="1A"/>
                <w:sz w:val="20"/>
                <w:szCs w:val="20"/>
                <w:lang w:eastAsia="en-GB"/>
              </w:rPr>
              <w:t>adult</w:t>
            </w:r>
            <w:r>
              <w:rPr>
                <w:rFonts w:eastAsia="Times New Roman" w:cs="Arial"/>
                <w:b w:val="0"/>
                <w:color w:val="1D1B11" w:themeColor="background2" w:themeShade="1A"/>
                <w:sz w:val="20"/>
                <w:szCs w:val="20"/>
                <w:lang w:eastAsia="en-GB"/>
              </w:rPr>
              <w:t>s (m</w:t>
            </w:r>
            <w:r>
              <w:rPr>
                <w:rFonts w:eastAsia="Times New Roman" w:cs="Arial"/>
                <w:b w:val="0"/>
                <w:color w:val="1D1B11"/>
                <w:sz w:val="20"/>
                <w:szCs w:val="20"/>
                <w:lang w:eastAsia="en-GB"/>
              </w:rPr>
              <w:t>odelled estimates)</w:t>
            </w:r>
          </w:p>
        </w:tc>
        <w:tc>
          <w:tcPr>
            <w:tcW w:w="1434" w:type="dxa"/>
            <w:noWrap/>
            <w:hideMark/>
          </w:tcPr>
          <w:p w:rsidR="00895BDD" w:rsidRPr="00296BBF" w:rsidRDefault="00895BDD" w:rsidP="00031B9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n-GB"/>
              </w:rPr>
            </w:pPr>
            <w:r>
              <w:rPr>
                <w:rFonts w:eastAsia="Times New Roman" w:cs="Arial"/>
                <w:color w:val="000000"/>
                <w:sz w:val="20"/>
                <w:szCs w:val="20"/>
                <w:lang w:eastAsia="en-GB"/>
              </w:rPr>
              <w:t>Proportion (%)</w:t>
            </w:r>
          </w:p>
        </w:tc>
        <w:tc>
          <w:tcPr>
            <w:tcW w:w="2576" w:type="dxa"/>
            <w:noWrap/>
            <w:hideMark/>
          </w:tcPr>
          <w:p w:rsidR="00895BDD" w:rsidRPr="00296BBF" w:rsidRDefault="00895BDD" w:rsidP="00031B92">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n-GB"/>
              </w:rPr>
            </w:pPr>
            <w:r w:rsidRPr="00296BBF">
              <w:rPr>
                <w:rFonts w:eastAsia="Times New Roman" w:cs="Arial"/>
                <w:color w:val="000000"/>
                <w:sz w:val="20"/>
                <w:szCs w:val="20"/>
                <w:lang w:eastAsia="en-GB"/>
              </w:rPr>
              <w:t>Garden Suburb (12.8%)</w:t>
            </w:r>
          </w:p>
        </w:tc>
        <w:tc>
          <w:tcPr>
            <w:tcW w:w="2786" w:type="dxa"/>
            <w:noWrap/>
            <w:hideMark/>
          </w:tcPr>
          <w:p w:rsidR="00895BDD" w:rsidRPr="00296BBF" w:rsidRDefault="00895BDD" w:rsidP="00031B92">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n-GB"/>
              </w:rPr>
            </w:pPr>
            <w:r w:rsidRPr="00296BBF">
              <w:rPr>
                <w:rFonts w:eastAsia="Times New Roman" w:cs="Arial"/>
                <w:color w:val="000000"/>
                <w:sz w:val="20"/>
                <w:szCs w:val="20"/>
                <w:lang w:eastAsia="en-GB"/>
              </w:rPr>
              <w:t>Burnt Oak (23.7%)</w:t>
            </w:r>
          </w:p>
        </w:tc>
      </w:tr>
      <w:tr w:rsidR="00895BDD" w:rsidRPr="00EB6228" w:rsidTr="00F5396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152" w:type="dxa"/>
            <w:noWrap/>
            <w:hideMark/>
          </w:tcPr>
          <w:p w:rsidR="00895BDD" w:rsidRPr="00296BBF" w:rsidRDefault="00895BDD" w:rsidP="00031B92">
            <w:pPr>
              <w:rPr>
                <w:rFonts w:eastAsia="Times New Roman" w:cs="Arial"/>
                <w:b w:val="0"/>
                <w:color w:val="1D1B11" w:themeColor="background2" w:themeShade="1A"/>
                <w:sz w:val="20"/>
                <w:szCs w:val="20"/>
                <w:lang w:eastAsia="en-GB"/>
              </w:rPr>
            </w:pPr>
            <w:r>
              <w:rPr>
                <w:rFonts w:eastAsia="Times New Roman" w:cs="Arial"/>
                <w:b w:val="0"/>
                <w:color w:val="1D1B11" w:themeColor="background2" w:themeShade="1A"/>
                <w:sz w:val="20"/>
                <w:szCs w:val="20"/>
                <w:lang w:eastAsia="en-GB"/>
              </w:rPr>
              <w:t>O</w:t>
            </w:r>
            <w:r w:rsidRPr="00EB6228">
              <w:rPr>
                <w:rFonts w:eastAsia="Times New Roman" w:cs="Arial"/>
                <w:b w:val="0"/>
                <w:color w:val="1D1B11" w:themeColor="background2" w:themeShade="1A"/>
                <w:sz w:val="20"/>
                <w:szCs w:val="20"/>
                <w:lang w:eastAsia="en-GB"/>
              </w:rPr>
              <w:t>besity in reception year children</w:t>
            </w:r>
            <w:r>
              <w:rPr>
                <w:rFonts w:eastAsia="Times New Roman" w:cs="Arial"/>
                <w:b w:val="0"/>
                <w:color w:val="1D1B11" w:themeColor="background2" w:themeShade="1A"/>
                <w:sz w:val="20"/>
                <w:szCs w:val="20"/>
                <w:lang w:eastAsia="en-GB"/>
              </w:rPr>
              <w:t xml:space="preserve"> (</w:t>
            </w:r>
            <w:r>
              <w:rPr>
                <w:rFonts w:eastAsia="Times New Roman" w:cs="Arial"/>
                <w:b w:val="0"/>
                <w:color w:val="1D1B11"/>
                <w:sz w:val="20"/>
                <w:szCs w:val="20"/>
                <w:lang w:eastAsia="en-GB"/>
              </w:rPr>
              <w:t>prevalence)</w:t>
            </w:r>
            <w:r w:rsidRPr="00EB6228">
              <w:rPr>
                <w:rFonts w:eastAsia="Times New Roman" w:cs="Arial"/>
                <w:b w:val="0"/>
                <w:color w:val="1D1B11" w:themeColor="background2" w:themeShade="1A"/>
                <w:sz w:val="20"/>
                <w:szCs w:val="20"/>
                <w:lang w:eastAsia="en-GB"/>
              </w:rPr>
              <w:t xml:space="preserve"> </w:t>
            </w:r>
          </w:p>
        </w:tc>
        <w:tc>
          <w:tcPr>
            <w:tcW w:w="1434" w:type="dxa"/>
            <w:noWrap/>
            <w:hideMark/>
          </w:tcPr>
          <w:p w:rsidR="00895BDD" w:rsidRPr="00296BBF" w:rsidRDefault="00895BDD" w:rsidP="00031B92">
            <w:pPr>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Pr>
                <w:rFonts w:eastAsia="Times New Roman" w:cs="Arial"/>
                <w:color w:val="000000"/>
                <w:sz w:val="20"/>
                <w:szCs w:val="20"/>
                <w:lang w:eastAsia="en-GB"/>
              </w:rPr>
              <w:t>Proportion (%)</w:t>
            </w:r>
          </w:p>
        </w:tc>
        <w:tc>
          <w:tcPr>
            <w:tcW w:w="2576" w:type="dxa"/>
            <w:noWrap/>
            <w:hideMark/>
          </w:tcPr>
          <w:p w:rsidR="00895BDD" w:rsidRPr="00296BBF" w:rsidRDefault="00895BDD" w:rsidP="00031B92">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296BBF">
              <w:rPr>
                <w:rFonts w:eastAsia="Times New Roman" w:cs="Arial"/>
                <w:color w:val="000000"/>
                <w:sz w:val="20"/>
                <w:szCs w:val="20"/>
                <w:lang w:eastAsia="en-GB"/>
              </w:rPr>
              <w:t>Garden Suburb (5.6%)</w:t>
            </w:r>
          </w:p>
        </w:tc>
        <w:tc>
          <w:tcPr>
            <w:tcW w:w="2786" w:type="dxa"/>
            <w:noWrap/>
            <w:hideMark/>
          </w:tcPr>
          <w:p w:rsidR="00895BDD" w:rsidRPr="00296BBF" w:rsidRDefault="00895BDD" w:rsidP="00031B92">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296BBF">
              <w:rPr>
                <w:rFonts w:eastAsia="Times New Roman" w:cs="Arial"/>
                <w:color w:val="000000"/>
                <w:sz w:val="20"/>
                <w:szCs w:val="20"/>
                <w:lang w:eastAsia="en-GB"/>
              </w:rPr>
              <w:t>Colindale (13.1%)</w:t>
            </w:r>
          </w:p>
        </w:tc>
      </w:tr>
      <w:tr w:rsidR="00895BDD" w:rsidRPr="00EB6228" w:rsidTr="00F5396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152" w:type="dxa"/>
            <w:noWrap/>
            <w:hideMark/>
          </w:tcPr>
          <w:p w:rsidR="00895BDD" w:rsidRPr="00296BBF" w:rsidRDefault="00895BDD" w:rsidP="00031B92">
            <w:pPr>
              <w:rPr>
                <w:rFonts w:eastAsia="Times New Roman" w:cs="Arial"/>
                <w:b w:val="0"/>
                <w:color w:val="1D1B11" w:themeColor="background2" w:themeShade="1A"/>
                <w:sz w:val="20"/>
                <w:szCs w:val="20"/>
                <w:lang w:eastAsia="en-GB"/>
              </w:rPr>
            </w:pPr>
            <w:r>
              <w:rPr>
                <w:rFonts w:eastAsia="Times New Roman" w:cs="Arial"/>
                <w:b w:val="0"/>
                <w:color w:val="1D1B11" w:themeColor="background2" w:themeShade="1A"/>
                <w:sz w:val="20"/>
                <w:szCs w:val="20"/>
                <w:lang w:eastAsia="en-GB"/>
              </w:rPr>
              <w:t>O</w:t>
            </w:r>
            <w:r w:rsidRPr="00EB6228">
              <w:rPr>
                <w:rFonts w:eastAsia="Times New Roman" w:cs="Arial"/>
                <w:b w:val="0"/>
                <w:color w:val="1D1B11" w:themeColor="background2" w:themeShade="1A"/>
                <w:sz w:val="20"/>
                <w:szCs w:val="20"/>
                <w:lang w:eastAsia="en-GB"/>
              </w:rPr>
              <w:t>besity in year six children</w:t>
            </w:r>
            <w:r>
              <w:rPr>
                <w:rFonts w:eastAsia="Times New Roman" w:cs="Arial"/>
                <w:b w:val="0"/>
                <w:color w:val="1D1B11" w:themeColor="background2" w:themeShade="1A"/>
                <w:sz w:val="20"/>
                <w:szCs w:val="20"/>
                <w:lang w:eastAsia="en-GB"/>
              </w:rPr>
              <w:t xml:space="preserve"> </w:t>
            </w:r>
            <w:r w:rsidRPr="00EB6228">
              <w:rPr>
                <w:rFonts w:eastAsia="Times New Roman" w:cs="Arial"/>
                <w:b w:val="0"/>
                <w:color w:val="1D1B11" w:themeColor="background2" w:themeShade="1A"/>
                <w:sz w:val="20"/>
                <w:szCs w:val="20"/>
                <w:lang w:eastAsia="en-GB"/>
              </w:rPr>
              <w:t xml:space="preserve"> </w:t>
            </w:r>
            <w:r w:rsidRPr="00004358">
              <w:rPr>
                <w:rFonts w:ascii="Calibri" w:eastAsia="Times New Roman" w:hAnsi="Calibri" w:cs="Arial"/>
                <w:b w:val="0"/>
                <w:color w:val="1D1B11"/>
                <w:sz w:val="20"/>
                <w:szCs w:val="20"/>
                <w:lang w:eastAsia="en-GB"/>
              </w:rPr>
              <w:t>(</w:t>
            </w:r>
            <w:r>
              <w:rPr>
                <w:rFonts w:eastAsia="Times New Roman" w:cs="Arial"/>
                <w:b w:val="0"/>
                <w:color w:val="1D1B11"/>
                <w:sz w:val="20"/>
                <w:szCs w:val="20"/>
                <w:lang w:eastAsia="en-GB"/>
              </w:rPr>
              <w:t>prevalence)</w:t>
            </w:r>
          </w:p>
        </w:tc>
        <w:tc>
          <w:tcPr>
            <w:tcW w:w="1434" w:type="dxa"/>
            <w:noWrap/>
            <w:hideMark/>
          </w:tcPr>
          <w:p w:rsidR="00895BDD" w:rsidRPr="00296BBF" w:rsidRDefault="00895BDD" w:rsidP="00031B9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n-GB"/>
              </w:rPr>
            </w:pPr>
            <w:r>
              <w:rPr>
                <w:rFonts w:eastAsia="Times New Roman" w:cs="Arial"/>
                <w:color w:val="000000"/>
                <w:sz w:val="20"/>
                <w:szCs w:val="20"/>
                <w:lang w:eastAsia="en-GB"/>
              </w:rPr>
              <w:t>Proportion (%)</w:t>
            </w:r>
          </w:p>
        </w:tc>
        <w:tc>
          <w:tcPr>
            <w:tcW w:w="2576" w:type="dxa"/>
            <w:noWrap/>
            <w:hideMark/>
          </w:tcPr>
          <w:p w:rsidR="00895BDD" w:rsidRPr="00296BBF" w:rsidRDefault="00895BDD" w:rsidP="00031B92">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n-GB"/>
              </w:rPr>
            </w:pPr>
            <w:r w:rsidRPr="00296BBF">
              <w:rPr>
                <w:rFonts w:eastAsia="Times New Roman" w:cs="Arial"/>
                <w:color w:val="000000"/>
                <w:sz w:val="20"/>
                <w:szCs w:val="20"/>
                <w:lang w:eastAsia="en-GB"/>
              </w:rPr>
              <w:t>Finchley Church End (13.2%)</w:t>
            </w:r>
          </w:p>
        </w:tc>
        <w:tc>
          <w:tcPr>
            <w:tcW w:w="2786" w:type="dxa"/>
            <w:noWrap/>
            <w:hideMark/>
          </w:tcPr>
          <w:p w:rsidR="00895BDD" w:rsidRPr="00296BBF" w:rsidRDefault="00895BDD" w:rsidP="00031B92">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n-GB"/>
              </w:rPr>
            </w:pPr>
            <w:r w:rsidRPr="00296BBF">
              <w:rPr>
                <w:rFonts w:eastAsia="Times New Roman" w:cs="Arial"/>
                <w:color w:val="000000"/>
                <w:sz w:val="20"/>
                <w:szCs w:val="20"/>
                <w:lang w:eastAsia="en-GB"/>
              </w:rPr>
              <w:t>Colindale (25.1%)</w:t>
            </w:r>
          </w:p>
        </w:tc>
      </w:tr>
      <w:tr w:rsidR="00895BDD" w:rsidRPr="00EB6228" w:rsidTr="00F5396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152" w:type="dxa"/>
            <w:noWrap/>
            <w:hideMark/>
          </w:tcPr>
          <w:p w:rsidR="00895BDD" w:rsidRPr="00296BBF" w:rsidRDefault="00895BDD" w:rsidP="00031B92">
            <w:pPr>
              <w:rPr>
                <w:rFonts w:eastAsia="Times New Roman" w:cs="Arial"/>
                <w:b w:val="0"/>
                <w:color w:val="1D1B11" w:themeColor="background2" w:themeShade="1A"/>
                <w:sz w:val="20"/>
                <w:szCs w:val="20"/>
                <w:lang w:eastAsia="en-GB"/>
              </w:rPr>
            </w:pPr>
            <w:r>
              <w:rPr>
                <w:rFonts w:eastAsia="Times New Roman" w:cs="Arial"/>
                <w:b w:val="0"/>
                <w:color w:val="1D1B11" w:themeColor="background2" w:themeShade="1A"/>
                <w:sz w:val="20"/>
                <w:szCs w:val="20"/>
                <w:lang w:eastAsia="en-GB"/>
              </w:rPr>
              <w:t>B</w:t>
            </w:r>
            <w:r w:rsidRPr="00EB6228">
              <w:rPr>
                <w:rFonts w:eastAsia="Times New Roman" w:cs="Arial"/>
                <w:b w:val="0"/>
                <w:color w:val="1D1B11" w:themeColor="background2" w:themeShade="1A"/>
                <w:sz w:val="20"/>
                <w:szCs w:val="20"/>
                <w:lang w:eastAsia="en-GB"/>
              </w:rPr>
              <w:t xml:space="preserve">inge drinking </w:t>
            </w:r>
            <w:r>
              <w:rPr>
                <w:rFonts w:eastAsia="Times New Roman" w:cs="Arial"/>
                <w:b w:val="0"/>
                <w:color w:val="1D1B11" w:themeColor="background2" w:themeShade="1A"/>
                <w:sz w:val="20"/>
                <w:szCs w:val="20"/>
                <w:lang w:eastAsia="en-GB"/>
              </w:rPr>
              <w:t xml:space="preserve">in </w:t>
            </w:r>
            <w:r w:rsidRPr="00EB6228">
              <w:rPr>
                <w:rFonts w:eastAsia="Times New Roman" w:cs="Arial"/>
                <w:b w:val="0"/>
                <w:color w:val="1D1B11" w:themeColor="background2" w:themeShade="1A"/>
                <w:sz w:val="20"/>
                <w:szCs w:val="20"/>
                <w:lang w:eastAsia="en-GB"/>
              </w:rPr>
              <w:t>adults</w:t>
            </w:r>
            <w:r>
              <w:rPr>
                <w:rFonts w:eastAsia="Times New Roman" w:cs="Arial"/>
                <w:b w:val="0"/>
                <w:color w:val="1D1B11" w:themeColor="background2" w:themeShade="1A"/>
                <w:sz w:val="20"/>
                <w:szCs w:val="20"/>
                <w:lang w:eastAsia="en-GB"/>
              </w:rPr>
              <w:t xml:space="preserve"> (</w:t>
            </w:r>
            <w:r>
              <w:rPr>
                <w:rFonts w:eastAsia="Times New Roman" w:cs="Arial"/>
                <w:b w:val="0"/>
                <w:color w:val="1D1B11"/>
                <w:sz w:val="20"/>
                <w:szCs w:val="20"/>
                <w:lang w:eastAsia="en-GB"/>
              </w:rPr>
              <w:t>m</w:t>
            </w:r>
            <w:r w:rsidRPr="00004358">
              <w:rPr>
                <w:rFonts w:ascii="Calibri" w:eastAsia="Times New Roman" w:hAnsi="Calibri" w:cs="Arial"/>
                <w:b w:val="0"/>
                <w:color w:val="1D1B11"/>
                <w:sz w:val="20"/>
                <w:szCs w:val="20"/>
                <w:lang w:eastAsia="en-GB"/>
              </w:rPr>
              <w:t>odelled estimates</w:t>
            </w:r>
            <w:r>
              <w:rPr>
                <w:rFonts w:eastAsia="Times New Roman" w:cs="Arial"/>
                <w:b w:val="0"/>
                <w:color w:val="1D1B11"/>
                <w:sz w:val="20"/>
                <w:szCs w:val="20"/>
                <w:lang w:eastAsia="en-GB"/>
              </w:rPr>
              <w:t>)</w:t>
            </w:r>
            <w:r w:rsidRPr="00EB6228">
              <w:rPr>
                <w:rFonts w:eastAsia="Times New Roman" w:cs="Arial"/>
                <w:b w:val="0"/>
                <w:color w:val="1D1B11" w:themeColor="background2" w:themeShade="1A"/>
                <w:sz w:val="20"/>
                <w:szCs w:val="20"/>
                <w:lang w:eastAsia="en-GB"/>
              </w:rPr>
              <w:t xml:space="preserve"> </w:t>
            </w:r>
          </w:p>
        </w:tc>
        <w:tc>
          <w:tcPr>
            <w:tcW w:w="1434" w:type="dxa"/>
            <w:noWrap/>
            <w:hideMark/>
          </w:tcPr>
          <w:p w:rsidR="00895BDD" w:rsidRPr="00296BBF" w:rsidRDefault="00895BDD" w:rsidP="00031B92">
            <w:pPr>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Pr>
                <w:rFonts w:eastAsia="Times New Roman" w:cs="Arial"/>
                <w:color w:val="000000"/>
                <w:sz w:val="20"/>
                <w:szCs w:val="20"/>
                <w:lang w:eastAsia="en-GB"/>
              </w:rPr>
              <w:t>Proportion (%)</w:t>
            </w:r>
          </w:p>
        </w:tc>
        <w:tc>
          <w:tcPr>
            <w:tcW w:w="2576" w:type="dxa"/>
            <w:noWrap/>
            <w:hideMark/>
          </w:tcPr>
          <w:p w:rsidR="00895BDD" w:rsidRPr="00296BBF" w:rsidRDefault="00895BDD" w:rsidP="00031B92">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296BBF">
              <w:rPr>
                <w:rFonts w:eastAsia="Times New Roman" w:cs="Arial"/>
                <w:color w:val="000000"/>
                <w:sz w:val="20"/>
                <w:szCs w:val="20"/>
                <w:lang w:eastAsia="en-GB"/>
              </w:rPr>
              <w:t>Colindale (8.4%)</w:t>
            </w:r>
          </w:p>
        </w:tc>
        <w:tc>
          <w:tcPr>
            <w:tcW w:w="2786" w:type="dxa"/>
            <w:noWrap/>
            <w:hideMark/>
          </w:tcPr>
          <w:p w:rsidR="00895BDD" w:rsidRPr="00296BBF" w:rsidRDefault="00895BDD" w:rsidP="00031B92">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296BBF">
              <w:rPr>
                <w:rFonts w:eastAsia="Times New Roman" w:cs="Arial"/>
                <w:color w:val="000000"/>
                <w:sz w:val="20"/>
                <w:szCs w:val="20"/>
                <w:lang w:eastAsia="en-GB"/>
              </w:rPr>
              <w:t>Garden Suburb (14.7%)</w:t>
            </w:r>
          </w:p>
        </w:tc>
      </w:tr>
      <w:tr w:rsidR="00895BDD" w:rsidRPr="00EB6228" w:rsidTr="00F5396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152" w:type="dxa"/>
            <w:noWrap/>
            <w:hideMark/>
          </w:tcPr>
          <w:p w:rsidR="00895BDD" w:rsidRPr="00296BBF" w:rsidRDefault="00895BDD" w:rsidP="00031B92">
            <w:pPr>
              <w:rPr>
                <w:rFonts w:eastAsia="Times New Roman" w:cs="Arial"/>
                <w:b w:val="0"/>
                <w:color w:val="1D1B11" w:themeColor="background2" w:themeShade="1A"/>
                <w:sz w:val="20"/>
                <w:szCs w:val="20"/>
                <w:lang w:eastAsia="en-GB"/>
              </w:rPr>
            </w:pPr>
            <w:r w:rsidRPr="00EB6228">
              <w:rPr>
                <w:rFonts w:eastAsia="Times New Roman" w:cs="Arial"/>
                <w:b w:val="0"/>
                <w:color w:val="1D1B11" w:themeColor="background2" w:themeShade="1A"/>
                <w:sz w:val="20"/>
                <w:szCs w:val="20"/>
                <w:lang w:eastAsia="en-GB"/>
              </w:rPr>
              <w:t xml:space="preserve">Hospital admissions for alcohol attributable conditions </w:t>
            </w:r>
          </w:p>
        </w:tc>
        <w:tc>
          <w:tcPr>
            <w:tcW w:w="1434" w:type="dxa"/>
            <w:noWrap/>
            <w:hideMark/>
          </w:tcPr>
          <w:p w:rsidR="00895BDD" w:rsidRPr="00296BBF" w:rsidRDefault="00895BDD" w:rsidP="00031B92">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n-GB"/>
              </w:rPr>
            </w:pPr>
            <w:r w:rsidRPr="00EB6228">
              <w:rPr>
                <w:rFonts w:eastAsia="Times New Roman" w:cs="Arial"/>
                <w:color w:val="000000"/>
                <w:sz w:val="20"/>
                <w:szCs w:val="20"/>
                <w:lang w:eastAsia="en-GB"/>
              </w:rPr>
              <w:t>SAR</w:t>
            </w:r>
          </w:p>
        </w:tc>
        <w:tc>
          <w:tcPr>
            <w:tcW w:w="2576" w:type="dxa"/>
            <w:noWrap/>
            <w:hideMark/>
          </w:tcPr>
          <w:p w:rsidR="00895BDD" w:rsidRPr="00296BBF" w:rsidRDefault="00895BDD" w:rsidP="00031B92">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n-GB"/>
              </w:rPr>
            </w:pPr>
            <w:r w:rsidRPr="00296BBF">
              <w:rPr>
                <w:rFonts w:eastAsia="Times New Roman" w:cs="Arial"/>
                <w:color w:val="000000"/>
                <w:sz w:val="20"/>
                <w:szCs w:val="20"/>
                <w:lang w:eastAsia="en-GB"/>
              </w:rPr>
              <w:t>Garden Suburb (50.9)</w:t>
            </w:r>
          </w:p>
        </w:tc>
        <w:tc>
          <w:tcPr>
            <w:tcW w:w="2786" w:type="dxa"/>
            <w:noWrap/>
            <w:hideMark/>
          </w:tcPr>
          <w:p w:rsidR="00895BDD" w:rsidRPr="00296BBF" w:rsidRDefault="00895BDD" w:rsidP="00031B92">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n-GB"/>
              </w:rPr>
            </w:pPr>
            <w:r w:rsidRPr="00296BBF">
              <w:rPr>
                <w:rFonts w:eastAsia="Times New Roman" w:cs="Arial"/>
                <w:color w:val="000000"/>
                <w:sz w:val="20"/>
                <w:szCs w:val="20"/>
                <w:lang w:eastAsia="en-GB"/>
              </w:rPr>
              <w:t>Burnt Oak (122.9)</w:t>
            </w:r>
          </w:p>
        </w:tc>
      </w:tr>
    </w:tbl>
    <w:p w:rsidR="00895BDD" w:rsidRDefault="00895BDD" w:rsidP="0050457E">
      <w:pPr>
        <w:spacing w:after="0" w:line="240" w:lineRule="auto"/>
      </w:pPr>
      <w:r>
        <w:t xml:space="preserve"> </w:t>
      </w:r>
    </w:p>
    <w:p w:rsidR="00895BDD" w:rsidRDefault="00895BDD" w:rsidP="0050457E">
      <w:pPr>
        <w:spacing w:after="0" w:line="240" w:lineRule="auto"/>
        <w:jc w:val="both"/>
      </w:pPr>
      <w:r>
        <w:rPr>
          <w:rFonts w:eastAsia="Times New Roman" w:cs="Arial"/>
          <w:color w:val="000000"/>
          <w:lang w:eastAsia="en-GB"/>
        </w:rPr>
        <w:t>The likely positive outcomes of reducing inequalities and p</w:t>
      </w:r>
      <w:r>
        <w:t>reventing CHD, stroke, cancers, respiratory diseases and mental health in Barnet include reduction in costs of and demand for health and care services, improvement in life expectancy and reduction in the premature mortality as shown in Table 6-6.</w:t>
      </w:r>
    </w:p>
    <w:p w:rsidR="0050457E" w:rsidRDefault="0050457E" w:rsidP="0050457E">
      <w:pPr>
        <w:spacing w:after="0" w:line="240" w:lineRule="auto"/>
        <w:jc w:val="both"/>
      </w:pPr>
    </w:p>
    <w:p w:rsidR="0050457E" w:rsidRDefault="0050457E" w:rsidP="0050457E">
      <w:pPr>
        <w:spacing w:after="0" w:line="240" w:lineRule="auto"/>
        <w:jc w:val="both"/>
      </w:pPr>
    </w:p>
    <w:p w:rsidR="0050457E" w:rsidRDefault="0050457E" w:rsidP="0050457E">
      <w:pPr>
        <w:spacing w:after="0" w:line="240" w:lineRule="auto"/>
        <w:jc w:val="both"/>
      </w:pPr>
    </w:p>
    <w:p w:rsidR="0050457E" w:rsidRDefault="0050457E" w:rsidP="0050457E">
      <w:pPr>
        <w:spacing w:after="0" w:line="240" w:lineRule="auto"/>
        <w:jc w:val="both"/>
      </w:pPr>
    </w:p>
    <w:p w:rsidR="0050457E" w:rsidRDefault="0050457E" w:rsidP="0050457E">
      <w:pPr>
        <w:spacing w:after="0" w:line="240" w:lineRule="auto"/>
        <w:jc w:val="both"/>
      </w:pPr>
    </w:p>
    <w:p w:rsidR="0050457E" w:rsidRDefault="0050457E" w:rsidP="0050457E">
      <w:pPr>
        <w:spacing w:after="0" w:line="240" w:lineRule="auto"/>
        <w:jc w:val="both"/>
      </w:pPr>
    </w:p>
    <w:p w:rsidR="0050457E" w:rsidRDefault="0050457E" w:rsidP="0050457E">
      <w:pPr>
        <w:spacing w:after="0" w:line="240" w:lineRule="auto"/>
        <w:jc w:val="both"/>
      </w:pPr>
    </w:p>
    <w:p w:rsidR="0050457E" w:rsidRDefault="0050457E" w:rsidP="0050457E">
      <w:pPr>
        <w:spacing w:after="0" w:line="240" w:lineRule="auto"/>
        <w:jc w:val="both"/>
      </w:pPr>
    </w:p>
    <w:p w:rsidR="00895BDD" w:rsidRPr="00E06B10" w:rsidRDefault="00895BDD" w:rsidP="00895BDD">
      <w:pPr>
        <w:pStyle w:val="Caption"/>
      </w:pPr>
      <w:r>
        <w:lastRenderedPageBreak/>
        <w:t xml:space="preserve">Table </w:t>
      </w:r>
      <w:fldSimple w:instr=" STYLEREF 1 \s ">
        <w:r w:rsidR="001663C2">
          <w:rPr>
            <w:noProof/>
          </w:rPr>
          <w:t>6</w:t>
        </w:r>
      </w:fldSimple>
      <w:r>
        <w:noBreakHyphen/>
      </w:r>
      <w:fldSimple w:instr=" SEQ Table \* ARABIC \s 1 ">
        <w:r w:rsidR="001663C2">
          <w:rPr>
            <w:noProof/>
          </w:rPr>
          <w:t>6</w:t>
        </w:r>
      </w:fldSimple>
      <w:r>
        <w:t>:</w:t>
      </w:r>
      <w:r w:rsidRPr="00E06B10">
        <w:t xml:space="preserve"> </w:t>
      </w:r>
      <w:r>
        <w:t>L</w:t>
      </w:r>
      <w:r w:rsidRPr="007D14C3">
        <w:t>ife expectancy years gained if Barnet most deprived quintile had the same mortality rates as Barnet least deprived quintile, by detailed cause of death</w:t>
      </w:r>
      <w:r>
        <w:t xml:space="preserve"> (</w:t>
      </w:r>
      <w:r w:rsidRPr="007D14C3">
        <w:t>2010-2012</w:t>
      </w:r>
      <w:r>
        <w:t>)</w:t>
      </w:r>
    </w:p>
    <w:tbl>
      <w:tblPr>
        <w:tblStyle w:val="MediumGrid1-Accent4"/>
        <w:tblW w:w="9043" w:type="dxa"/>
        <w:jc w:val="center"/>
        <w:tblInd w:w="108" w:type="dxa"/>
        <w:tblBorders>
          <w:top w:val="single" w:sz="12" w:space="0" w:color="9F8AB9" w:themeColor="accent4" w:themeTint="BF"/>
          <w:left w:val="single" w:sz="12" w:space="0" w:color="9F8AB9" w:themeColor="accent4" w:themeTint="BF"/>
          <w:bottom w:val="single" w:sz="12" w:space="0" w:color="9F8AB9" w:themeColor="accent4" w:themeTint="BF"/>
          <w:right w:val="single" w:sz="12" w:space="0" w:color="9F8AB9" w:themeColor="accent4" w:themeTint="BF"/>
          <w:insideH w:val="single" w:sz="12" w:space="0" w:color="9F8AB9" w:themeColor="accent4" w:themeTint="BF"/>
          <w:insideV w:val="single" w:sz="12" w:space="0" w:color="9F8AB9" w:themeColor="accent4" w:themeTint="BF"/>
        </w:tblBorders>
        <w:tblLayout w:type="fixed"/>
        <w:tblLook w:val="04A0" w:firstRow="1" w:lastRow="0" w:firstColumn="1" w:lastColumn="0" w:noHBand="0" w:noVBand="1"/>
      </w:tblPr>
      <w:tblGrid>
        <w:gridCol w:w="1935"/>
        <w:gridCol w:w="1279"/>
        <w:gridCol w:w="1025"/>
        <w:gridCol w:w="1342"/>
        <w:gridCol w:w="1135"/>
        <w:gridCol w:w="13"/>
        <w:gridCol w:w="1122"/>
        <w:gridCol w:w="1192"/>
      </w:tblGrid>
      <w:tr w:rsidR="00895BDD" w:rsidRPr="00000489" w:rsidTr="00F53967">
        <w:trPr>
          <w:cnfStyle w:val="100000000000" w:firstRow="1" w:lastRow="0" w:firstColumn="0" w:lastColumn="0" w:oddVBand="0" w:evenVBand="0" w:oddHBand="0" w:evenHBand="0" w:firstRowFirstColumn="0" w:firstRowLastColumn="0" w:lastRowFirstColumn="0" w:lastRowLastColumn="0"/>
          <w:trHeight w:val="585"/>
          <w:jc w:val="center"/>
        </w:trPr>
        <w:tc>
          <w:tcPr>
            <w:cnfStyle w:val="001000000000" w:firstRow="0" w:lastRow="0" w:firstColumn="1" w:lastColumn="0" w:oddVBand="0" w:evenVBand="0" w:oddHBand="0" w:evenHBand="0" w:firstRowFirstColumn="0" w:firstRowLastColumn="0" w:lastRowFirstColumn="0" w:lastRowLastColumn="0"/>
            <w:tcW w:w="1935" w:type="dxa"/>
            <w:noWrap/>
            <w:hideMark/>
          </w:tcPr>
          <w:p w:rsidR="00895BDD" w:rsidRPr="00000489" w:rsidRDefault="00895BDD" w:rsidP="00031B92">
            <w:pPr>
              <w:jc w:val="center"/>
              <w:rPr>
                <w:rFonts w:ascii="Calibri" w:eastAsia="Times New Roman" w:hAnsi="Calibri" w:cs="Times New Roman"/>
                <w:b w:val="0"/>
                <w:bCs w:val="0"/>
                <w:color w:val="000000"/>
                <w:lang w:eastAsia="en-GB"/>
              </w:rPr>
            </w:pPr>
            <w:r w:rsidRPr="00000489">
              <w:rPr>
                <w:rFonts w:ascii="Calibri" w:eastAsia="Times New Roman" w:hAnsi="Calibri" w:cs="Times New Roman"/>
                <w:b w:val="0"/>
                <w:bCs w:val="0"/>
                <w:color w:val="000000"/>
                <w:lang w:eastAsia="en-GB"/>
              </w:rPr>
              <w:t>Broad cause of death</w:t>
            </w:r>
          </w:p>
        </w:tc>
        <w:tc>
          <w:tcPr>
            <w:tcW w:w="2304" w:type="dxa"/>
            <w:gridSpan w:val="2"/>
            <w:hideMark/>
          </w:tcPr>
          <w:p w:rsidR="00895BDD" w:rsidRPr="00000489" w:rsidRDefault="00895BDD" w:rsidP="00031B92">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color w:val="000000"/>
                <w:lang w:eastAsia="en-GB"/>
              </w:rPr>
            </w:pPr>
            <w:r w:rsidRPr="00000489">
              <w:rPr>
                <w:rFonts w:ascii="Calibri" w:eastAsia="Times New Roman" w:hAnsi="Calibri" w:cs="Times New Roman"/>
                <w:b w:val="0"/>
                <w:bCs w:val="0"/>
                <w:color w:val="000000"/>
                <w:lang w:eastAsia="en-GB"/>
              </w:rPr>
              <w:t>Number of deaths in most deprived quintile</w:t>
            </w:r>
          </w:p>
        </w:tc>
        <w:tc>
          <w:tcPr>
            <w:tcW w:w="2490" w:type="dxa"/>
            <w:gridSpan w:val="3"/>
            <w:hideMark/>
          </w:tcPr>
          <w:p w:rsidR="00895BDD" w:rsidRPr="00000489" w:rsidRDefault="00895BDD" w:rsidP="00031B92">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color w:val="000000"/>
                <w:lang w:eastAsia="en-GB"/>
              </w:rPr>
            </w:pPr>
            <w:r w:rsidRPr="00000489">
              <w:rPr>
                <w:rFonts w:ascii="Calibri" w:eastAsia="Times New Roman" w:hAnsi="Calibri" w:cs="Times New Roman"/>
                <w:b w:val="0"/>
                <w:bCs w:val="0"/>
                <w:color w:val="000000"/>
                <w:lang w:eastAsia="en-GB"/>
              </w:rPr>
              <w:t>Number of excess deaths in most deprived quintile</w:t>
            </w:r>
          </w:p>
        </w:tc>
        <w:tc>
          <w:tcPr>
            <w:tcW w:w="2314" w:type="dxa"/>
            <w:gridSpan w:val="2"/>
            <w:hideMark/>
          </w:tcPr>
          <w:p w:rsidR="00895BDD" w:rsidRPr="00000489" w:rsidRDefault="00895BDD" w:rsidP="00031B92">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color w:val="000000"/>
                <w:lang w:eastAsia="en-GB"/>
              </w:rPr>
            </w:pPr>
            <w:r w:rsidRPr="00000489">
              <w:rPr>
                <w:rFonts w:ascii="Calibri" w:eastAsia="Times New Roman" w:hAnsi="Calibri" w:cs="Times New Roman"/>
                <w:b w:val="0"/>
                <w:bCs w:val="0"/>
                <w:color w:val="000000"/>
                <w:lang w:eastAsia="en-GB"/>
              </w:rPr>
              <w:t>Number of years of life expectancy gained*</w:t>
            </w:r>
          </w:p>
        </w:tc>
      </w:tr>
      <w:tr w:rsidR="00895BDD" w:rsidRPr="00000489" w:rsidTr="00F53967">
        <w:trPr>
          <w:cnfStyle w:val="000000100000" w:firstRow="0" w:lastRow="0" w:firstColumn="0" w:lastColumn="0" w:oddVBand="0" w:evenVBand="0" w:oddHBand="1" w:evenHBand="0"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1935" w:type="dxa"/>
            <w:noWrap/>
          </w:tcPr>
          <w:p w:rsidR="00895BDD" w:rsidRPr="00000489" w:rsidRDefault="00895BDD" w:rsidP="00031B92">
            <w:pPr>
              <w:rPr>
                <w:rFonts w:ascii="Calibri" w:eastAsia="Times New Roman" w:hAnsi="Calibri" w:cs="Times New Roman"/>
                <w:b w:val="0"/>
                <w:color w:val="000000"/>
                <w:lang w:eastAsia="en-GB"/>
              </w:rPr>
            </w:pPr>
          </w:p>
        </w:tc>
        <w:tc>
          <w:tcPr>
            <w:tcW w:w="1279" w:type="dxa"/>
            <w:noWrap/>
          </w:tcPr>
          <w:p w:rsidR="00895BDD" w:rsidRPr="00000489" w:rsidRDefault="00895BDD" w:rsidP="00031B9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000489">
              <w:rPr>
                <w:rFonts w:ascii="Calibri" w:eastAsia="Times New Roman" w:hAnsi="Calibri" w:cs="Times New Roman"/>
                <w:color w:val="000000"/>
                <w:lang w:eastAsia="en-GB"/>
              </w:rPr>
              <w:t>Male</w:t>
            </w:r>
          </w:p>
        </w:tc>
        <w:tc>
          <w:tcPr>
            <w:tcW w:w="1025" w:type="dxa"/>
          </w:tcPr>
          <w:p w:rsidR="00895BDD" w:rsidRPr="00000489" w:rsidRDefault="00895BDD" w:rsidP="00031B9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000489">
              <w:rPr>
                <w:rFonts w:ascii="Calibri" w:eastAsia="Times New Roman" w:hAnsi="Calibri" w:cs="Times New Roman"/>
                <w:color w:val="000000"/>
                <w:lang w:eastAsia="en-GB"/>
              </w:rPr>
              <w:t>Female</w:t>
            </w:r>
          </w:p>
        </w:tc>
        <w:tc>
          <w:tcPr>
            <w:tcW w:w="1342" w:type="dxa"/>
            <w:noWrap/>
          </w:tcPr>
          <w:p w:rsidR="00895BDD" w:rsidRPr="00000489" w:rsidRDefault="00895BDD" w:rsidP="00031B9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000489">
              <w:rPr>
                <w:rFonts w:ascii="Calibri" w:eastAsia="Times New Roman" w:hAnsi="Calibri" w:cs="Times New Roman"/>
                <w:color w:val="000000"/>
                <w:lang w:eastAsia="en-GB"/>
              </w:rPr>
              <w:t>Male</w:t>
            </w:r>
          </w:p>
        </w:tc>
        <w:tc>
          <w:tcPr>
            <w:tcW w:w="1135" w:type="dxa"/>
          </w:tcPr>
          <w:p w:rsidR="00895BDD" w:rsidRPr="00000489" w:rsidRDefault="00895BDD" w:rsidP="00031B9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000489">
              <w:rPr>
                <w:rFonts w:ascii="Calibri" w:eastAsia="Times New Roman" w:hAnsi="Calibri" w:cs="Times New Roman"/>
                <w:color w:val="000000"/>
                <w:lang w:eastAsia="en-GB"/>
              </w:rPr>
              <w:t>Female</w:t>
            </w:r>
          </w:p>
        </w:tc>
        <w:tc>
          <w:tcPr>
            <w:tcW w:w="1135" w:type="dxa"/>
            <w:gridSpan w:val="2"/>
            <w:noWrap/>
          </w:tcPr>
          <w:p w:rsidR="00895BDD" w:rsidRPr="00000489" w:rsidRDefault="00895BDD" w:rsidP="00031B9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000489">
              <w:rPr>
                <w:rFonts w:ascii="Calibri" w:eastAsia="Times New Roman" w:hAnsi="Calibri" w:cs="Times New Roman"/>
                <w:color w:val="000000"/>
                <w:lang w:eastAsia="en-GB"/>
              </w:rPr>
              <w:t>Male</w:t>
            </w:r>
          </w:p>
        </w:tc>
        <w:tc>
          <w:tcPr>
            <w:tcW w:w="1192" w:type="dxa"/>
          </w:tcPr>
          <w:p w:rsidR="00895BDD" w:rsidRPr="00000489" w:rsidRDefault="00895BDD" w:rsidP="00031B9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000489">
              <w:rPr>
                <w:rFonts w:ascii="Calibri" w:eastAsia="Times New Roman" w:hAnsi="Calibri" w:cs="Times New Roman"/>
                <w:color w:val="000000"/>
                <w:lang w:eastAsia="en-GB"/>
              </w:rPr>
              <w:t>Female</w:t>
            </w:r>
          </w:p>
        </w:tc>
      </w:tr>
      <w:tr w:rsidR="00895BDD" w:rsidRPr="00000489" w:rsidTr="00F53967">
        <w:trPr>
          <w:trHeight w:val="293"/>
          <w:jc w:val="center"/>
        </w:trPr>
        <w:tc>
          <w:tcPr>
            <w:cnfStyle w:val="001000000000" w:firstRow="0" w:lastRow="0" w:firstColumn="1" w:lastColumn="0" w:oddVBand="0" w:evenVBand="0" w:oddHBand="0" w:evenHBand="0" w:firstRowFirstColumn="0" w:firstRowLastColumn="0" w:lastRowFirstColumn="0" w:lastRowLastColumn="0"/>
            <w:tcW w:w="1935" w:type="dxa"/>
            <w:noWrap/>
            <w:hideMark/>
          </w:tcPr>
          <w:p w:rsidR="00895BDD" w:rsidRPr="00000489" w:rsidRDefault="00895BDD" w:rsidP="00031B92">
            <w:pPr>
              <w:rPr>
                <w:rFonts w:ascii="Calibri" w:eastAsia="Times New Roman" w:hAnsi="Calibri" w:cs="Times New Roman"/>
                <w:b w:val="0"/>
                <w:color w:val="000000"/>
                <w:lang w:eastAsia="en-GB"/>
              </w:rPr>
            </w:pPr>
            <w:r w:rsidRPr="00000489">
              <w:rPr>
                <w:rFonts w:ascii="Calibri" w:eastAsia="Times New Roman" w:hAnsi="Calibri" w:cs="Times New Roman"/>
                <w:b w:val="0"/>
                <w:color w:val="000000"/>
                <w:lang w:eastAsia="en-GB"/>
              </w:rPr>
              <w:t>Circulatory diseases</w:t>
            </w:r>
          </w:p>
        </w:tc>
        <w:tc>
          <w:tcPr>
            <w:tcW w:w="1279" w:type="dxa"/>
            <w:noWrap/>
            <w:hideMark/>
          </w:tcPr>
          <w:p w:rsidR="00895BDD" w:rsidRPr="00000489" w:rsidRDefault="00895BDD" w:rsidP="00031B9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000489">
              <w:rPr>
                <w:rFonts w:ascii="Calibri" w:eastAsia="Times New Roman" w:hAnsi="Calibri" w:cs="Times New Roman"/>
                <w:color w:val="000000"/>
                <w:lang w:eastAsia="en-GB"/>
              </w:rPr>
              <w:t>219</w:t>
            </w:r>
          </w:p>
        </w:tc>
        <w:tc>
          <w:tcPr>
            <w:tcW w:w="1025" w:type="dxa"/>
          </w:tcPr>
          <w:p w:rsidR="00895BDD" w:rsidRPr="00000489" w:rsidRDefault="00895BDD" w:rsidP="00031B9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000489">
              <w:rPr>
                <w:rFonts w:ascii="Calibri" w:eastAsia="Times New Roman" w:hAnsi="Calibri" w:cs="Times New Roman"/>
                <w:color w:val="000000"/>
                <w:lang w:eastAsia="en-GB"/>
              </w:rPr>
              <w:t>240</w:t>
            </w:r>
          </w:p>
        </w:tc>
        <w:tc>
          <w:tcPr>
            <w:tcW w:w="1342" w:type="dxa"/>
            <w:noWrap/>
            <w:hideMark/>
          </w:tcPr>
          <w:p w:rsidR="00895BDD" w:rsidRPr="00000489" w:rsidRDefault="00895BDD" w:rsidP="00031B9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000489">
              <w:rPr>
                <w:rFonts w:ascii="Calibri" w:eastAsia="Times New Roman" w:hAnsi="Calibri" w:cs="Times New Roman"/>
                <w:color w:val="000000"/>
                <w:lang w:eastAsia="en-GB"/>
              </w:rPr>
              <w:t>122</w:t>
            </w:r>
          </w:p>
        </w:tc>
        <w:tc>
          <w:tcPr>
            <w:tcW w:w="1135" w:type="dxa"/>
          </w:tcPr>
          <w:p w:rsidR="00895BDD" w:rsidRPr="00000489" w:rsidRDefault="00895BDD" w:rsidP="00031B9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000489">
              <w:rPr>
                <w:rFonts w:ascii="Calibri" w:eastAsia="Times New Roman" w:hAnsi="Calibri" w:cs="Times New Roman"/>
                <w:color w:val="000000"/>
                <w:lang w:eastAsia="en-GB"/>
              </w:rPr>
              <w:t>103</w:t>
            </w:r>
          </w:p>
        </w:tc>
        <w:tc>
          <w:tcPr>
            <w:tcW w:w="1135" w:type="dxa"/>
            <w:gridSpan w:val="2"/>
            <w:noWrap/>
            <w:hideMark/>
          </w:tcPr>
          <w:p w:rsidR="00895BDD" w:rsidRPr="00000489" w:rsidRDefault="00895BDD" w:rsidP="00031B9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000489">
              <w:rPr>
                <w:rFonts w:ascii="Calibri" w:eastAsia="Times New Roman" w:hAnsi="Calibri" w:cs="Times New Roman"/>
                <w:color w:val="000000"/>
                <w:lang w:eastAsia="en-GB"/>
              </w:rPr>
              <w:t>2.61</w:t>
            </w:r>
          </w:p>
        </w:tc>
        <w:tc>
          <w:tcPr>
            <w:tcW w:w="1192" w:type="dxa"/>
          </w:tcPr>
          <w:p w:rsidR="00895BDD" w:rsidRPr="00000489" w:rsidRDefault="00895BDD" w:rsidP="00031B9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000489">
              <w:rPr>
                <w:rFonts w:ascii="Calibri" w:eastAsia="Times New Roman" w:hAnsi="Calibri" w:cs="Times New Roman"/>
                <w:color w:val="000000"/>
                <w:lang w:eastAsia="en-GB"/>
              </w:rPr>
              <w:t>1.73</w:t>
            </w:r>
          </w:p>
        </w:tc>
      </w:tr>
      <w:tr w:rsidR="00895BDD" w:rsidRPr="00000489" w:rsidTr="00F53967">
        <w:trPr>
          <w:cnfStyle w:val="000000100000" w:firstRow="0" w:lastRow="0" w:firstColumn="0" w:lastColumn="0" w:oddVBand="0" w:evenVBand="0" w:oddHBand="1" w:evenHBand="0"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1935" w:type="dxa"/>
            <w:noWrap/>
            <w:hideMark/>
          </w:tcPr>
          <w:p w:rsidR="00895BDD" w:rsidRPr="00000489" w:rsidRDefault="00895BDD" w:rsidP="00031B92">
            <w:pPr>
              <w:rPr>
                <w:rFonts w:ascii="Calibri" w:eastAsia="Times New Roman" w:hAnsi="Calibri" w:cs="Times New Roman"/>
                <w:b w:val="0"/>
                <w:color w:val="000000"/>
                <w:lang w:eastAsia="en-GB"/>
              </w:rPr>
            </w:pPr>
            <w:r w:rsidRPr="00000489">
              <w:rPr>
                <w:rFonts w:ascii="Calibri" w:eastAsia="Times New Roman" w:hAnsi="Calibri" w:cs="Times New Roman"/>
                <w:b w:val="0"/>
                <w:color w:val="000000"/>
                <w:lang w:eastAsia="en-GB"/>
              </w:rPr>
              <w:t>Cancers</w:t>
            </w:r>
          </w:p>
        </w:tc>
        <w:tc>
          <w:tcPr>
            <w:tcW w:w="1279" w:type="dxa"/>
            <w:noWrap/>
            <w:hideMark/>
          </w:tcPr>
          <w:p w:rsidR="00895BDD" w:rsidRPr="00000489" w:rsidRDefault="00895BDD" w:rsidP="00031B9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000489">
              <w:rPr>
                <w:rFonts w:ascii="Calibri" w:eastAsia="Times New Roman" w:hAnsi="Calibri" w:cs="Times New Roman"/>
                <w:color w:val="000000"/>
                <w:lang w:eastAsia="en-GB"/>
              </w:rPr>
              <w:t>158</w:t>
            </w:r>
          </w:p>
        </w:tc>
        <w:tc>
          <w:tcPr>
            <w:tcW w:w="1025" w:type="dxa"/>
          </w:tcPr>
          <w:p w:rsidR="00895BDD" w:rsidRPr="00000489" w:rsidRDefault="00895BDD" w:rsidP="00031B9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000489">
              <w:rPr>
                <w:rFonts w:ascii="Calibri" w:eastAsia="Times New Roman" w:hAnsi="Calibri" w:cs="Times New Roman"/>
                <w:color w:val="000000"/>
                <w:lang w:eastAsia="en-GB"/>
              </w:rPr>
              <w:t>170</w:t>
            </w:r>
          </w:p>
        </w:tc>
        <w:tc>
          <w:tcPr>
            <w:tcW w:w="1342" w:type="dxa"/>
            <w:noWrap/>
            <w:hideMark/>
          </w:tcPr>
          <w:p w:rsidR="00895BDD" w:rsidRPr="00000489" w:rsidRDefault="00895BDD" w:rsidP="00031B9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000489">
              <w:rPr>
                <w:rFonts w:ascii="Calibri" w:eastAsia="Times New Roman" w:hAnsi="Calibri" w:cs="Times New Roman"/>
                <w:color w:val="000000"/>
                <w:lang w:eastAsia="en-GB"/>
              </w:rPr>
              <w:t>39</w:t>
            </w:r>
          </w:p>
        </w:tc>
        <w:tc>
          <w:tcPr>
            <w:tcW w:w="1135" w:type="dxa"/>
          </w:tcPr>
          <w:p w:rsidR="00895BDD" w:rsidRPr="00000489" w:rsidRDefault="00895BDD" w:rsidP="00031B9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000489">
              <w:rPr>
                <w:rFonts w:ascii="Calibri" w:eastAsia="Times New Roman" w:hAnsi="Calibri" w:cs="Times New Roman"/>
                <w:color w:val="000000"/>
                <w:lang w:eastAsia="en-GB"/>
              </w:rPr>
              <w:t>19</w:t>
            </w:r>
          </w:p>
        </w:tc>
        <w:tc>
          <w:tcPr>
            <w:tcW w:w="1135" w:type="dxa"/>
            <w:gridSpan w:val="2"/>
            <w:noWrap/>
            <w:hideMark/>
          </w:tcPr>
          <w:p w:rsidR="00895BDD" w:rsidRPr="00000489" w:rsidRDefault="00895BDD" w:rsidP="00031B9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000489">
              <w:rPr>
                <w:rFonts w:ascii="Calibri" w:eastAsia="Times New Roman" w:hAnsi="Calibri" w:cs="Times New Roman"/>
                <w:color w:val="000000"/>
                <w:lang w:eastAsia="en-GB"/>
              </w:rPr>
              <w:t>0.94</w:t>
            </w:r>
          </w:p>
        </w:tc>
        <w:tc>
          <w:tcPr>
            <w:tcW w:w="1192" w:type="dxa"/>
          </w:tcPr>
          <w:p w:rsidR="00895BDD" w:rsidRPr="00000489" w:rsidRDefault="00895BDD" w:rsidP="00031B9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000489">
              <w:rPr>
                <w:rFonts w:ascii="Calibri" w:eastAsia="Times New Roman" w:hAnsi="Calibri" w:cs="Times New Roman"/>
                <w:color w:val="000000"/>
                <w:lang w:eastAsia="en-GB"/>
              </w:rPr>
              <w:t>0.54</w:t>
            </w:r>
          </w:p>
        </w:tc>
      </w:tr>
      <w:tr w:rsidR="00895BDD" w:rsidRPr="00000489" w:rsidTr="00F53967">
        <w:trPr>
          <w:trHeight w:val="293"/>
          <w:jc w:val="center"/>
        </w:trPr>
        <w:tc>
          <w:tcPr>
            <w:cnfStyle w:val="001000000000" w:firstRow="0" w:lastRow="0" w:firstColumn="1" w:lastColumn="0" w:oddVBand="0" w:evenVBand="0" w:oddHBand="0" w:evenHBand="0" w:firstRowFirstColumn="0" w:firstRowLastColumn="0" w:lastRowFirstColumn="0" w:lastRowLastColumn="0"/>
            <w:tcW w:w="1935" w:type="dxa"/>
            <w:noWrap/>
            <w:hideMark/>
          </w:tcPr>
          <w:p w:rsidR="00895BDD" w:rsidRPr="00000489" w:rsidRDefault="00895BDD" w:rsidP="00031B92">
            <w:pPr>
              <w:rPr>
                <w:rFonts w:ascii="Calibri" w:eastAsia="Times New Roman" w:hAnsi="Calibri" w:cs="Times New Roman"/>
                <w:b w:val="0"/>
                <w:color w:val="000000"/>
                <w:lang w:eastAsia="en-GB"/>
              </w:rPr>
            </w:pPr>
            <w:r w:rsidRPr="00000489">
              <w:rPr>
                <w:rFonts w:ascii="Calibri" w:eastAsia="Times New Roman" w:hAnsi="Calibri" w:cs="Times New Roman"/>
                <w:b w:val="0"/>
                <w:color w:val="000000"/>
                <w:lang w:eastAsia="en-GB"/>
              </w:rPr>
              <w:t>Respiratory diseases</w:t>
            </w:r>
          </w:p>
        </w:tc>
        <w:tc>
          <w:tcPr>
            <w:tcW w:w="1279" w:type="dxa"/>
            <w:noWrap/>
            <w:hideMark/>
          </w:tcPr>
          <w:p w:rsidR="00895BDD" w:rsidRPr="00000489" w:rsidRDefault="00895BDD" w:rsidP="00031B9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000489">
              <w:rPr>
                <w:rFonts w:ascii="Calibri" w:eastAsia="Times New Roman" w:hAnsi="Calibri" w:cs="Times New Roman"/>
                <w:color w:val="000000"/>
                <w:lang w:eastAsia="en-GB"/>
              </w:rPr>
              <w:t>68</w:t>
            </w:r>
          </w:p>
        </w:tc>
        <w:tc>
          <w:tcPr>
            <w:tcW w:w="1025" w:type="dxa"/>
          </w:tcPr>
          <w:p w:rsidR="00895BDD" w:rsidRPr="00000489" w:rsidRDefault="00895BDD" w:rsidP="00031B9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000489">
              <w:rPr>
                <w:rFonts w:ascii="Calibri" w:eastAsia="Times New Roman" w:hAnsi="Calibri" w:cs="Times New Roman"/>
                <w:color w:val="000000"/>
                <w:lang w:eastAsia="en-GB"/>
              </w:rPr>
              <w:t>96</w:t>
            </w:r>
          </w:p>
        </w:tc>
        <w:tc>
          <w:tcPr>
            <w:tcW w:w="1342" w:type="dxa"/>
            <w:noWrap/>
            <w:hideMark/>
          </w:tcPr>
          <w:p w:rsidR="00895BDD" w:rsidRPr="00000489" w:rsidRDefault="00895BDD" w:rsidP="00031B9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000489">
              <w:rPr>
                <w:rFonts w:ascii="Calibri" w:eastAsia="Times New Roman" w:hAnsi="Calibri" w:cs="Times New Roman"/>
                <w:color w:val="000000"/>
                <w:lang w:eastAsia="en-GB"/>
              </w:rPr>
              <w:t>23</w:t>
            </w:r>
          </w:p>
        </w:tc>
        <w:tc>
          <w:tcPr>
            <w:tcW w:w="1135" w:type="dxa"/>
          </w:tcPr>
          <w:p w:rsidR="00895BDD" w:rsidRPr="00000489" w:rsidRDefault="00895BDD" w:rsidP="00031B9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000489">
              <w:rPr>
                <w:rFonts w:ascii="Calibri" w:eastAsia="Times New Roman" w:hAnsi="Calibri" w:cs="Times New Roman"/>
                <w:color w:val="000000"/>
                <w:lang w:eastAsia="en-GB"/>
              </w:rPr>
              <w:t>36</w:t>
            </w:r>
          </w:p>
        </w:tc>
        <w:tc>
          <w:tcPr>
            <w:tcW w:w="1135" w:type="dxa"/>
            <w:gridSpan w:val="2"/>
            <w:noWrap/>
            <w:hideMark/>
          </w:tcPr>
          <w:p w:rsidR="00895BDD" w:rsidRPr="00000489" w:rsidRDefault="00895BDD" w:rsidP="00031B9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000489">
              <w:rPr>
                <w:rFonts w:ascii="Calibri" w:eastAsia="Times New Roman" w:hAnsi="Calibri" w:cs="Times New Roman"/>
                <w:color w:val="000000"/>
                <w:lang w:eastAsia="en-GB"/>
              </w:rPr>
              <w:t>0.49</w:t>
            </w:r>
          </w:p>
        </w:tc>
        <w:tc>
          <w:tcPr>
            <w:tcW w:w="1192" w:type="dxa"/>
          </w:tcPr>
          <w:p w:rsidR="00895BDD" w:rsidRPr="00000489" w:rsidRDefault="00895BDD" w:rsidP="00031B9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000489">
              <w:rPr>
                <w:rFonts w:ascii="Calibri" w:eastAsia="Times New Roman" w:hAnsi="Calibri" w:cs="Times New Roman"/>
                <w:color w:val="000000"/>
                <w:lang w:eastAsia="en-GB"/>
              </w:rPr>
              <w:t>0.65</w:t>
            </w:r>
          </w:p>
        </w:tc>
      </w:tr>
      <w:tr w:rsidR="00895BDD" w:rsidRPr="00000489" w:rsidTr="00F53967">
        <w:trPr>
          <w:cnfStyle w:val="000000100000" w:firstRow="0" w:lastRow="0" w:firstColumn="0" w:lastColumn="0" w:oddVBand="0" w:evenVBand="0" w:oddHBand="1" w:evenHBand="0"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1935" w:type="dxa"/>
            <w:noWrap/>
            <w:hideMark/>
          </w:tcPr>
          <w:p w:rsidR="00895BDD" w:rsidRPr="00000489" w:rsidRDefault="00895BDD" w:rsidP="00031B92">
            <w:pPr>
              <w:rPr>
                <w:rFonts w:ascii="Calibri" w:eastAsia="Times New Roman" w:hAnsi="Calibri" w:cs="Times New Roman"/>
                <w:b w:val="0"/>
                <w:color w:val="000000"/>
                <w:lang w:eastAsia="en-GB"/>
              </w:rPr>
            </w:pPr>
            <w:r w:rsidRPr="00000489">
              <w:rPr>
                <w:rFonts w:ascii="Calibri" w:eastAsia="Times New Roman" w:hAnsi="Calibri" w:cs="Times New Roman"/>
                <w:b w:val="0"/>
                <w:color w:val="000000"/>
                <w:lang w:eastAsia="en-GB"/>
              </w:rPr>
              <w:t>Digestive diseases</w:t>
            </w:r>
          </w:p>
        </w:tc>
        <w:tc>
          <w:tcPr>
            <w:tcW w:w="1279" w:type="dxa"/>
            <w:noWrap/>
            <w:hideMark/>
          </w:tcPr>
          <w:p w:rsidR="00895BDD" w:rsidRPr="00000489" w:rsidRDefault="00895BDD" w:rsidP="00031B9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000489">
              <w:rPr>
                <w:rFonts w:ascii="Calibri" w:eastAsia="Times New Roman" w:hAnsi="Calibri" w:cs="Times New Roman"/>
                <w:color w:val="000000"/>
                <w:lang w:eastAsia="en-GB"/>
              </w:rPr>
              <w:t>31</w:t>
            </w:r>
          </w:p>
        </w:tc>
        <w:tc>
          <w:tcPr>
            <w:tcW w:w="1025" w:type="dxa"/>
          </w:tcPr>
          <w:p w:rsidR="00895BDD" w:rsidRPr="00000489" w:rsidRDefault="00895BDD" w:rsidP="00031B9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000489">
              <w:rPr>
                <w:rFonts w:ascii="Calibri" w:eastAsia="Times New Roman" w:hAnsi="Calibri" w:cs="Times New Roman"/>
                <w:color w:val="000000"/>
                <w:lang w:eastAsia="en-GB"/>
              </w:rPr>
              <w:t>36</w:t>
            </w:r>
          </w:p>
        </w:tc>
        <w:tc>
          <w:tcPr>
            <w:tcW w:w="1342" w:type="dxa"/>
            <w:noWrap/>
            <w:hideMark/>
          </w:tcPr>
          <w:p w:rsidR="00895BDD" w:rsidRPr="00000489" w:rsidRDefault="00895BDD" w:rsidP="00031B9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000489">
              <w:rPr>
                <w:rFonts w:ascii="Calibri" w:eastAsia="Times New Roman" w:hAnsi="Calibri" w:cs="Times New Roman"/>
                <w:color w:val="000000"/>
                <w:lang w:eastAsia="en-GB"/>
              </w:rPr>
              <w:t>18</w:t>
            </w:r>
          </w:p>
        </w:tc>
        <w:tc>
          <w:tcPr>
            <w:tcW w:w="1135" w:type="dxa"/>
          </w:tcPr>
          <w:p w:rsidR="00895BDD" w:rsidRPr="00000489" w:rsidRDefault="00895BDD" w:rsidP="00031B9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000489">
              <w:rPr>
                <w:rFonts w:ascii="Calibri" w:eastAsia="Times New Roman" w:hAnsi="Calibri" w:cs="Times New Roman"/>
                <w:color w:val="000000"/>
                <w:lang w:eastAsia="en-GB"/>
              </w:rPr>
              <w:t>21</w:t>
            </w:r>
          </w:p>
        </w:tc>
        <w:tc>
          <w:tcPr>
            <w:tcW w:w="1135" w:type="dxa"/>
            <w:gridSpan w:val="2"/>
            <w:noWrap/>
            <w:hideMark/>
          </w:tcPr>
          <w:p w:rsidR="00895BDD" w:rsidRPr="00000489" w:rsidRDefault="00895BDD" w:rsidP="00031B9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000489">
              <w:rPr>
                <w:rFonts w:ascii="Calibri" w:eastAsia="Times New Roman" w:hAnsi="Calibri" w:cs="Times New Roman"/>
                <w:color w:val="000000"/>
                <w:lang w:eastAsia="en-GB"/>
              </w:rPr>
              <w:t>0.41</w:t>
            </w:r>
          </w:p>
        </w:tc>
        <w:tc>
          <w:tcPr>
            <w:tcW w:w="1192" w:type="dxa"/>
          </w:tcPr>
          <w:p w:rsidR="00895BDD" w:rsidRPr="00000489" w:rsidRDefault="00895BDD" w:rsidP="00031B9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000489">
              <w:rPr>
                <w:rFonts w:ascii="Calibri" w:eastAsia="Times New Roman" w:hAnsi="Calibri" w:cs="Times New Roman"/>
                <w:color w:val="000000"/>
                <w:lang w:eastAsia="en-GB"/>
              </w:rPr>
              <w:t>0.36</w:t>
            </w:r>
          </w:p>
        </w:tc>
      </w:tr>
      <w:tr w:rsidR="00895BDD" w:rsidRPr="00000489" w:rsidTr="00F53967">
        <w:trPr>
          <w:trHeight w:val="293"/>
          <w:jc w:val="center"/>
        </w:trPr>
        <w:tc>
          <w:tcPr>
            <w:cnfStyle w:val="001000000000" w:firstRow="0" w:lastRow="0" w:firstColumn="1" w:lastColumn="0" w:oddVBand="0" w:evenVBand="0" w:oddHBand="0" w:evenHBand="0" w:firstRowFirstColumn="0" w:firstRowLastColumn="0" w:lastRowFirstColumn="0" w:lastRowLastColumn="0"/>
            <w:tcW w:w="1935" w:type="dxa"/>
            <w:noWrap/>
            <w:hideMark/>
          </w:tcPr>
          <w:p w:rsidR="00895BDD" w:rsidRPr="00000489" w:rsidRDefault="00895BDD" w:rsidP="00031B92">
            <w:pPr>
              <w:rPr>
                <w:rFonts w:ascii="Calibri" w:eastAsia="Times New Roman" w:hAnsi="Calibri" w:cs="Times New Roman"/>
                <w:b w:val="0"/>
                <w:color w:val="000000"/>
                <w:lang w:eastAsia="en-GB"/>
              </w:rPr>
            </w:pPr>
            <w:r w:rsidRPr="00000489">
              <w:rPr>
                <w:rFonts w:ascii="Calibri" w:eastAsia="Times New Roman" w:hAnsi="Calibri" w:cs="Times New Roman"/>
                <w:b w:val="0"/>
                <w:color w:val="000000"/>
                <w:lang w:eastAsia="en-GB"/>
              </w:rPr>
              <w:t>Mental and behavioural illnesses</w:t>
            </w:r>
          </w:p>
        </w:tc>
        <w:tc>
          <w:tcPr>
            <w:tcW w:w="1279" w:type="dxa"/>
            <w:noWrap/>
            <w:hideMark/>
          </w:tcPr>
          <w:p w:rsidR="00895BDD" w:rsidRPr="00000489" w:rsidRDefault="00895BDD" w:rsidP="00031B9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000489">
              <w:rPr>
                <w:rFonts w:ascii="Calibri" w:eastAsia="Times New Roman" w:hAnsi="Calibri" w:cs="Times New Roman"/>
                <w:color w:val="000000"/>
                <w:lang w:eastAsia="en-GB"/>
              </w:rPr>
              <w:t>39</w:t>
            </w:r>
          </w:p>
        </w:tc>
        <w:tc>
          <w:tcPr>
            <w:tcW w:w="1025" w:type="dxa"/>
          </w:tcPr>
          <w:p w:rsidR="00895BDD" w:rsidRPr="00000489" w:rsidRDefault="00895BDD" w:rsidP="00031B9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000489">
              <w:rPr>
                <w:rFonts w:ascii="Calibri" w:eastAsia="Times New Roman" w:hAnsi="Calibri" w:cs="Times New Roman"/>
                <w:color w:val="000000"/>
                <w:lang w:eastAsia="en-GB"/>
              </w:rPr>
              <w:t>76</w:t>
            </w:r>
          </w:p>
        </w:tc>
        <w:tc>
          <w:tcPr>
            <w:tcW w:w="1342" w:type="dxa"/>
            <w:noWrap/>
            <w:hideMark/>
          </w:tcPr>
          <w:p w:rsidR="00895BDD" w:rsidRPr="00000489" w:rsidRDefault="00895BDD" w:rsidP="00031B9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000489">
              <w:rPr>
                <w:rFonts w:ascii="Calibri" w:eastAsia="Times New Roman" w:hAnsi="Calibri" w:cs="Times New Roman"/>
                <w:color w:val="000000"/>
                <w:lang w:eastAsia="en-GB"/>
              </w:rPr>
              <w:t>24</w:t>
            </w:r>
          </w:p>
        </w:tc>
        <w:tc>
          <w:tcPr>
            <w:tcW w:w="1135" w:type="dxa"/>
          </w:tcPr>
          <w:p w:rsidR="00895BDD" w:rsidRPr="00000489" w:rsidRDefault="00895BDD" w:rsidP="00031B9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000489">
              <w:rPr>
                <w:rFonts w:ascii="Calibri" w:eastAsia="Times New Roman" w:hAnsi="Calibri" w:cs="Times New Roman"/>
                <w:color w:val="000000"/>
                <w:lang w:eastAsia="en-GB"/>
              </w:rPr>
              <w:t>48</w:t>
            </w:r>
          </w:p>
        </w:tc>
        <w:tc>
          <w:tcPr>
            <w:tcW w:w="1135" w:type="dxa"/>
            <w:gridSpan w:val="2"/>
            <w:noWrap/>
            <w:hideMark/>
          </w:tcPr>
          <w:p w:rsidR="00895BDD" w:rsidRPr="00000489" w:rsidRDefault="00895BDD" w:rsidP="00031B9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000489">
              <w:rPr>
                <w:rFonts w:ascii="Calibri" w:eastAsia="Times New Roman" w:hAnsi="Calibri" w:cs="Times New Roman"/>
                <w:color w:val="000000"/>
                <w:lang w:eastAsia="en-GB"/>
              </w:rPr>
              <w:t>0.39</w:t>
            </w:r>
          </w:p>
        </w:tc>
        <w:tc>
          <w:tcPr>
            <w:tcW w:w="1192" w:type="dxa"/>
          </w:tcPr>
          <w:p w:rsidR="00895BDD" w:rsidRPr="00000489" w:rsidRDefault="00895BDD" w:rsidP="00031B9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000489">
              <w:rPr>
                <w:rFonts w:ascii="Calibri" w:eastAsia="Times New Roman" w:hAnsi="Calibri" w:cs="Times New Roman"/>
                <w:color w:val="000000"/>
                <w:lang w:eastAsia="en-GB"/>
              </w:rPr>
              <w:t>0.63</w:t>
            </w:r>
          </w:p>
        </w:tc>
      </w:tr>
      <w:tr w:rsidR="00895BDD" w:rsidRPr="00000489" w:rsidTr="00F53967">
        <w:trPr>
          <w:cnfStyle w:val="000000100000" w:firstRow="0" w:lastRow="0" w:firstColumn="0" w:lastColumn="0" w:oddVBand="0" w:evenVBand="0" w:oddHBand="1" w:evenHBand="0"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9043" w:type="dxa"/>
            <w:gridSpan w:val="8"/>
            <w:noWrap/>
          </w:tcPr>
          <w:p w:rsidR="00895BDD" w:rsidRPr="00000489" w:rsidRDefault="00895BDD" w:rsidP="00031B92">
            <w:pPr>
              <w:pBdr>
                <w:bottom w:val="single" w:sz="12" w:space="1" w:color="9F8AB9" w:themeColor="accent4" w:themeTint="BF"/>
              </w:pBdr>
              <w:rPr>
                <w:b w:val="0"/>
                <w:sz w:val="20"/>
              </w:rPr>
            </w:pPr>
            <w:r w:rsidRPr="00000489">
              <w:rPr>
                <w:b w:val="0"/>
                <w:sz w:val="20"/>
              </w:rPr>
              <w:t>*</w:t>
            </w:r>
            <w:r w:rsidRPr="00000489">
              <w:rPr>
                <w:b w:val="0"/>
              </w:rPr>
              <w:t xml:space="preserve"> </w:t>
            </w:r>
            <w:r w:rsidRPr="00000489">
              <w:rPr>
                <w:b w:val="0"/>
                <w:sz w:val="20"/>
              </w:rPr>
              <w:t>A positive figure indicates that life expectancy years would be gained if the base area (the most deprived area) had the same mortality rate as the comparator area (the least deprived area) (i.e. the mortality rate in the base area for the cause is higher than the comparator)</w:t>
            </w:r>
          </w:p>
        </w:tc>
      </w:tr>
      <w:tr w:rsidR="00895BDD" w:rsidRPr="00000489" w:rsidTr="00F53967">
        <w:trPr>
          <w:trHeight w:val="293"/>
          <w:jc w:val="center"/>
        </w:trPr>
        <w:tc>
          <w:tcPr>
            <w:cnfStyle w:val="001000000000" w:firstRow="0" w:lastRow="0" w:firstColumn="1" w:lastColumn="0" w:oddVBand="0" w:evenVBand="0" w:oddHBand="0" w:evenHBand="0" w:firstRowFirstColumn="0" w:firstRowLastColumn="0" w:lastRowFirstColumn="0" w:lastRowLastColumn="0"/>
            <w:tcW w:w="9043" w:type="dxa"/>
            <w:gridSpan w:val="8"/>
            <w:noWrap/>
          </w:tcPr>
          <w:p w:rsidR="00895BDD" w:rsidRPr="00000489" w:rsidRDefault="00895BDD" w:rsidP="00031B92">
            <w:pPr>
              <w:rPr>
                <w:rFonts w:ascii="Calibri" w:eastAsia="Times New Roman" w:hAnsi="Calibri" w:cs="Times New Roman"/>
                <w:b w:val="0"/>
                <w:color w:val="000000"/>
                <w:lang w:eastAsia="en-GB"/>
              </w:rPr>
            </w:pPr>
            <w:r w:rsidRPr="00000489">
              <w:rPr>
                <w:b w:val="0"/>
                <w:sz w:val="20"/>
              </w:rPr>
              <w:t xml:space="preserve">Adapted from: Public Health England. </w:t>
            </w:r>
            <w:hyperlink r:id="rId155" w:history="1">
              <w:r w:rsidRPr="00000489">
                <w:rPr>
                  <w:rStyle w:val="Hyperlink"/>
                  <w:b w:val="0"/>
                  <w:sz w:val="20"/>
                </w:rPr>
                <w:t>Segment Tool 2015</w:t>
              </w:r>
            </w:hyperlink>
          </w:p>
        </w:tc>
      </w:tr>
    </w:tbl>
    <w:p w:rsidR="00895BDD" w:rsidRPr="00E06B10" w:rsidRDefault="00895BDD" w:rsidP="00895BDD">
      <w:pPr>
        <w:pStyle w:val="Heading3"/>
        <w:numPr>
          <w:ilvl w:val="2"/>
          <w:numId w:val="35"/>
        </w:numPr>
        <w:jc w:val="both"/>
      </w:pPr>
      <w:bookmarkStart w:id="700" w:name="_Toc422840089"/>
      <w:r w:rsidRPr="00E06B10">
        <w:t xml:space="preserve">Tertiary </w:t>
      </w:r>
      <w:r w:rsidR="0050457E">
        <w:t>P</w:t>
      </w:r>
      <w:r w:rsidRPr="00E06B10">
        <w:t>revention</w:t>
      </w:r>
      <w:bookmarkEnd w:id="700"/>
    </w:p>
    <w:p w:rsidR="00895BDD" w:rsidRDefault="00895BDD" w:rsidP="00895BDD">
      <w:pPr>
        <w:jc w:val="both"/>
      </w:pPr>
      <w:r w:rsidRPr="00E06B10">
        <w:t xml:space="preserve">Under the tertiary preventative initiatives, a few selected public health issues </w:t>
      </w:r>
      <w:r>
        <w:t>such as mental health c</w:t>
      </w:r>
      <w:r w:rsidRPr="00E06B10">
        <w:t xml:space="preserve">ould be tackled. </w:t>
      </w:r>
      <w:r>
        <w:t>In Barnet, mental health and behavioural illnesses are among the major causes of premature mortality, especially among women and young children. M</w:t>
      </w:r>
      <w:r w:rsidRPr="00E06B10">
        <w:t xml:space="preserve">ental health </w:t>
      </w:r>
      <w:r>
        <w:t xml:space="preserve">and behavioural illnesses are </w:t>
      </w:r>
      <w:r w:rsidRPr="00E06B10">
        <w:t>multidimensional issue</w:t>
      </w:r>
      <w:r>
        <w:t xml:space="preserve">s; therefore, tackling them would require a </w:t>
      </w:r>
      <w:r w:rsidRPr="00E06B10">
        <w:t>multi-disciplinary approach</w:t>
      </w:r>
      <w:r>
        <w:t xml:space="preserve"> involving the key stakeholders su</w:t>
      </w:r>
      <w:r w:rsidRPr="00E06B10">
        <w:t>ch as GPs, local government</w:t>
      </w:r>
      <w:r>
        <w:t xml:space="preserve">s / public health </w:t>
      </w:r>
      <w:r w:rsidRPr="00E06B10">
        <w:t>agencies, NHS</w:t>
      </w:r>
      <w:r>
        <w:t xml:space="preserve"> England</w:t>
      </w:r>
      <w:r w:rsidRPr="00E06B10">
        <w:t xml:space="preserve">, </w:t>
      </w:r>
      <w:r>
        <w:t>Public Health England</w:t>
      </w:r>
      <w:r w:rsidRPr="00E06B10">
        <w:t>, third sector organisations</w:t>
      </w:r>
      <w:r>
        <w:t xml:space="preserve"> and families of patients.</w:t>
      </w:r>
    </w:p>
    <w:p w:rsidR="00895BDD" w:rsidRDefault="00895BDD" w:rsidP="00895BDD">
      <w:pPr>
        <w:pStyle w:val="Heading3"/>
        <w:numPr>
          <w:ilvl w:val="2"/>
          <w:numId w:val="35"/>
        </w:numPr>
        <w:jc w:val="both"/>
        <w:rPr>
          <w:rFonts w:eastAsia="Times New Roman"/>
          <w:lang w:eastAsia="en-GB"/>
        </w:rPr>
      </w:pPr>
      <w:bookmarkStart w:id="701" w:name="_Toc422840090"/>
      <w:r>
        <w:rPr>
          <w:rFonts w:eastAsia="Times New Roman"/>
          <w:lang w:eastAsia="en-GB"/>
        </w:rPr>
        <w:t xml:space="preserve">Return on </w:t>
      </w:r>
      <w:r w:rsidR="0050457E">
        <w:rPr>
          <w:rFonts w:eastAsia="Times New Roman"/>
          <w:lang w:eastAsia="en-GB"/>
        </w:rPr>
        <w:t>Investment in Public Health Prevention I</w:t>
      </w:r>
      <w:r>
        <w:rPr>
          <w:rFonts w:eastAsia="Times New Roman"/>
          <w:lang w:eastAsia="en-GB"/>
        </w:rPr>
        <w:t>nterventions</w:t>
      </w:r>
      <w:bookmarkEnd w:id="701"/>
    </w:p>
    <w:p w:rsidR="00895BDD" w:rsidRDefault="00895BDD" w:rsidP="00895BDD">
      <w:pPr>
        <w:jc w:val="both"/>
        <w:rPr>
          <w:lang w:eastAsia="en-GB"/>
        </w:rPr>
      </w:pPr>
      <w:r>
        <w:t>A report ‘</w:t>
      </w:r>
      <w:hyperlink r:id="rId156" w:history="1">
        <w:r w:rsidRPr="000700CF">
          <w:rPr>
            <w:rStyle w:val="Hyperlink"/>
            <w:lang w:eastAsia="en-GB"/>
          </w:rPr>
          <w:t>Making the case for public health interventions</w:t>
        </w:r>
      </w:hyperlink>
      <w:r>
        <w:rPr>
          <w:rStyle w:val="Hyperlink"/>
          <w:lang w:eastAsia="en-GB"/>
        </w:rPr>
        <w:t>’</w:t>
      </w:r>
      <w:r>
        <w:rPr>
          <w:lang w:eastAsia="en-GB"/>
        </w:rPr>
        <w:t xml:space="preserve"> by the </w:t>
      </w:r>
      <w:hyperlink r:id="rId157" w:history="1">
        <w:r w:rsidRPr="000700CF">
          <w:rPr>
            <w:rStyle w:val="Hyperlink"/>
            <w:lang w:eastAsia="en-GB"/>
          </w:rPr>
          <w:t>Kings Fund</w:t>
        </w:r>
      </w:hyperlink>
      <w:r>
        <w:rPr>
          <w:lang w:eastAsia="en-GB"/>
        </w:rPr>
        <w:t xml:space="preserve"> has suggested that little investment in public health prevention interventions such as changing unhealthy lifestyle and behaviour could results in considerable savings by reducing or avoiding some healthcare and care costs and would increase life expectancy. A few examples of investment and return for specific public health interventions are given in Table </w:t>
      </w:r>
      <w:r>
        <w:t>6-7</w:t>
      </w:r>
      <w:r>
        <w:rPr>
          <w:lang w:eastAsia="en-GB"/>
        </w:rPr>
        <w:t xml:space="preserve">. </w:t>
      </w:r>
    </w:p>
    <w:p w:rsidR="0050457E" w:rsidRDefault="0050457E" w:rsidP="00895BDD">
      <w:pPr>
        <w:jc w:val="both"/>
        <w:rPr>
          <w:lang w:eastAsia="en-GB"/>
        </w:rPr>
      </w:pPr>
    </w:p>
    <w:p w:rsidR="0050457E" w:rsidRDefault="0050457E" w:rsidP="00895BDD">
      <w:pPr>
        <w:jc w:val="both"/>
        <w:rPr>
          <w:lang w:eastAsia="en-GB"/>
        </w:rPr>
      </w:pPr>
    </w:p>
    <w:p w:rsidR="0050457E" w:rsidRDefault="0050457E" w:rsidP="00895BDD">
      <w:pPr>
        <w:jc w:val="both"/>
        <w:rPr>
          <w:lang w:eastAsia="en-GB"/>
        </w:rPr>
      </w:pPr>
    </w:p>
    <w:p w:rsidR="0050457E" w:rsidRDefault="0050457E" w:rsidP="00895BDD">
      <w:pPr>
        <w:jc w:val="both"/>
        <w:rPr>
          <w:lang w:eastAsia="en-GB"/>
        </w:rPr>
      </w:pPr>
    </w:p>
    <w:p w:rsidR="0050457E" w:rsidRDefault="0050457E" w:rsidP="00895BDD">
      <w:pPr>
        <w:jc w:val="both"/>
        <w:rPr>
          <w:lang w:eastAsia="en-GB"/>
        </w:rPr>
      </w:pPr>
    </w:p>
    <w:p w:rsidR="0050457E" w:rsidRDefault="0050457E" w:rsidP="00895BDD">
      <w:pPr>
        <w:jc w:val="both"/>
        <w:rPr>
          <w:lang w:eastAsia="en-GB"/>
        </w:rPr>
      </w:pPr>
    </w:p>
    <w:p w:rsidR="0050457E" w:rsidRDefault="0050457E" w:rsidP="00895BDD">
      <w:pPr>
        <w:jc w:val="both"/>
        <w:rPr>
          <w:lang w:eastAsia="en-GB"/>
        </w:rPr>
      </w:pPr>
    </w:p>
    <w:p w:rsidR="0050457E" w:rsidRDefault="0050457E" w:rsidP="00895BDD">
      <w:pPr>
        <w:jc w:val="both"/>
        <w:rPr>
          <w:lang w:eastAsia="en-GB"/>
        </w:rPr>
      </w:pPr>
    </w:p>
    <w:p w:rsidR="00895BDD" w:rsidRDefault="00895BDD" w:rsidP="00895BDD">
      <w:pPr>
        <w:pStyle w:val="Caption"/>
        <w:rPr>
          <w:lang w:eastAsia="en-GB"/>
        </w:rPr>
      </w:pPr>
      <w:r>
        <w:lastRenderedPageBreak/>
        <w:t xml:space="preserve">Table </w:t>
      </w:r>
      <w:fldSimple w:instr=" STYLEREF 1 \s ">
        <w:r w:rsidR="001663C2">
          <w:rPr>
            <w:noProof/>
          </w:rPr>
          <w:t>6</w:t>
        </w:r>
      </w:fldSimple>
      <w:r>
        <w:noBreakHyphen/>
      </w:r>
      <w:fldSimple w:instr=" SEQ Table \* ARABIC \s 1 ">
        <w:r w:rsidR="001663C2">
          <w:rPr>
            <w:noProof/>
          </w:rPr>
          <w:t>7</w:t>
        </w:r>
      </w:fldSimple>
      <w:r>
        <w:t>:</w:t>
      </w:r>
      <w:r>
        <w:rPr>
          <w:lang w:eastAsia="en-GB"/>
        </w:rPr>
        <w:t xml:space="preserve"> </w:t>
      </w:r>
      <w:r w:rsidRPr="0046611F">
        <w:rPr>
          <w:lang w:eastAsia="en-GB"/>
        </w:rPr>
        <w:t xml:space="preserve">Return on investment in </w:t>
      </w:r>
      <w:r>
        <w:rPr>
          <w:lang w:eastAsia="en-GB"/>
        </w:rPr>
        <w:t xml:space="preserve">public </w:t>
      </w:r>
      <w:r w:rsidRPr="0046611F">
        <w:rPr>
          <w:lang w:eastAsia="en-GB"/>
        </w:rPr>
        <w:t>health prevention interventions</w:t>
      </w:r>
    </w:p>
    <w:tbl>
      <w:tblPr>
        <w:tblStyle w:val="TableGrid"/>
        <w:tblW w:w="9478" w:type="dxa"/>
        <w:tblLook w:val="04A0" w:firstRow="1" w:lastRow="0" w:firstColumn="1" w:lastColumn="0" w:noHBand="0" w:noVBand="1"/>
      </w:tblPr>
      <w:tblGrid>
        <w:gridCol w:w="3018"/>
        <w:gridCol w:w="1635"/>
        <w:gridCol w:w="1966"/>
        <w:gridCol w:w="2859"/>
      </w:tblGrid>
      <w:tr w:rsidR="00895BDD" w:rsidTr="00031B92">
        <w:tc>
          <w:tcPr>
            <w:tcW w:w="3018" w:type="dxa"/>
          </w:tcPr>
          <w:p w:rsidR="00895BDD" w:rsidRPr="0046611F" w:rsidRDefault="00895BDD" w:rsidP="00031B92">
            <w:pPr>
              <w:rPr>
                <w:rFonts w:eastAsia="Times New Roman" w:cs="Arial"/>
                <w:b/>
                <w:color w:val="000000"/>
                <w:lang w:eastAsia="en-GB"/>
              </w:rPr>
            </w:pPr>
            <w:r>
              <w:rPr>
                <w:rFonts w:eastAsia="Times New Roman" w:cs="Arial"/>
                <w:b/>
                <w:color w:val="000000"/>
                <w:lang w:eastAsia="en-GB"/>
              </w:rPr>
              <w:t>Intervention area</w:t>
            </w:r>
          </w:p>
        </w:tc>
        <w:tc>
          <w:tcPr>
            <w:tcW w:w="1635" w:type="dxa"/>
          </w:tcPr>
          <w:p w:rsidR="00895BDD" w:rsidRPr="0046611F" w:rsidRDefault="00895BDD" w:rsidP="00031B92">
            <w:pPr>
              <w:rPr>
                <w:rFonts w:eastAsia="Times New Roman" w:cs="Arial"/>
                <w:b/>
                <w:color w:val="000000"/>
                <w:lang w:eastAsia="en-GB"/>
              </w:rPr>
            </w:pPr>
            <w:r w:rsidRPr="0046611F">
              <w:rPr>
                <w:rFonts w:eastAsia="Times New Roman" w:cs="Arial"/>
                <w:b/>
                <w:color w:val="000000"/>
                <w:lang w:eastAsia="en-GB"/>
              </w:rPr>
              <w:t>Investment (£)</w:t>
            </w:r>
          </w:p>
        </w:tc>
        <w:tc>
          <w:tcPr>
            <w:tcW w:w="1966" w:type="dxa"/>
          </w:tcPr>
          <w:p w:rsidR="00895BDD" w:rsidRPr="0046611F" w:rsidRDefault="00895BDD" w:rsidP="00031B92">
            <w:pPr>
              <w:rPr>
                <w:rFonts w:eastAsia="Times New Roman" w:cs="Arial"/>
                <w:b/>
                <w:color w:val="000000"/>
                <w:lang w:eastAsia="en-GB"/>
              </w:rPr>
            </w:pPr>
            <w:r w:rsidRPr="0046611F">
              <w:rPr>
                <w:rFonts w:eastAsia="Times New Roman" w:cs="Arial"/>
                <w:b/>
                <w:color w:val="000000"/>
                <w:lang w:eastAsia="en-GB"/>
              </w:rPr>
              <w:t>Possible return (£)</w:t>
            </w:r>
          </w:p>
        </w:tc>
        <w:tc>
          <w:tcPr>
            <w:tcW w:w="2859" w:type="dxa"/>
          </w:tcPr>
          <w:p w:rsidR="00895BDD" w:rsidRPr="0046611F" w:rsidRDefault="00895BDD" w:rsidP="00031B92">
            <w:pPr>
              <w:rPr>
                <w:rFonts w:eastAsia="Times New Roman" w:cs="Arial"/>
                <w:b/>
                <w:color w:val="000000"/>
                <w:lang w:eastAsia="en-GB"/>
              </w:rPr>
            </w:pPr>
            <w:r w:rsidRPr="0046611F">
              <w:rPr>
                <w:rFonts w:eastAsia="Times New Roman" w:cs="Arial"/>
                <w:b/>
                <w:color w:val="000000"/>
                <w:lang w:eastAsia="en-GB"/>
              </w:rPr>
              <w:t>Saving in</w:t>
            </w:r>
          </w:p>
        </w:tc>
      </w:tr>
      <w:tr w:rsidR="00895BDD" w:rsidTr="00031B92">
        <w:tc>
          <w:tcPr>
            <w:tcW w:w="3018" w:type="dxa"/>
          </w:tcPr>
          <w:p w:rsidR="00895BDD" w:rsidRDefault="00895BDD" w:rsidP="00031B92">
            <w:pPr>
              <w:rPr>
                <w:rFonts w:eastAsia="Times New Roman" w:cs="Arial"/>
                <w:color w:val="000000"/>
                <w:lang w:eastAsia="en-GB"/>
              </w:rPr>
            </w:pPr>
            <w:r>
              <w:rPr>
                <w:rFonts w:eastAsia="Times New Roman" w:cs="Arial"/>
                <w:color w:val="000000"/>
                <w:lang w:eastAsia="en-GB"/>
              </w:rPr>
              <w:t>Housing interventions (warm and safe)</w:t>
            </w:r>
          </w:p>
        </w:tc>
        <w:tc>
          <w:tcPr>
            <w:tcW w:w="1635" w:type="dxa"/>
          </w:tcPr>
          <w:p w:rsidR="00895BDD" w:rsidRDefault="00895BDD" w:rsidP="00031B92">
            <w:pPr>
              <w:jc w:val="center"/>
              <w:rPr>
                <w:rFonts w:eastAsia="Times New Roman" w:cs="Arial"/>
                <w:color w:val="000000"/>
                <w:lang w:eastAsia="en-GB"/>
              </w:rPr>
            </w:pPr>
            <w:r>
              <w:rPr>
                <w:rFonts w:eastAsia="Times New Roman" w:cs="Arial"/>
                <w:color w:val="000000"/>
                <w:lang w:eastAsia="en-GB"/>
              </w:rPr>
              <w:t>1</w:t>
            </w:r>
          </w:p>
        </w:tc>
        <w:tc>
          <w:tcPr>
            <w:tcW w:w="1966" w:type="dxa"/>
          </w:tcPr>
          <w:p w:rsidR="00895BDD" w:rsidRDefault="00895BDD" w:rsidP="00031B92">
            <w:pPr>
              <w:jc w:val="center"/>
              <w:rPr>
                <w:rFonts w:eastAsia="Times New Roman" w:cs="Arial"/>
                <w:color w:val="000000"/>
                <w:lang w:eastAsia="en-GB"/>
              </w:rPr>
            </w:pPr>
            <w:r>
              <w:rPr>
                <w:rFonts w:eastAsia="Times New Roman" w:cs="Arial"/>
                <w:color w:val="000000"/>
                <w:lang w:eastAsia="en-GB"/>
              </w:rPr>
              <w:t>70</w:t>
            </w:r>
          </w:p>
        </w:tc>
        <w:tc>
          <w:tcPr>
            <w:tcW w:w="2859" w:type="dxa"/>
          </w:tcPr>
          <w:p w:rsidR="00895BDD" w:rsidRDefault="00895BDD" w:rsidP="00031B92">
            <w:pPr>
              <w:rPr>
                <w:rFonts w:eastAsia="Times New Roman" w:cs="Arial"/>
                <w:color w:val="000000"/>
                <w:lang w:eastAsia="en-GB"/>
              </w:rPr>
            </w:pPr>
            <w:r>
              <w:rPr>
                <w:rFonts w:eastAsia="Times New Roman" w:cs="Arial"/>
                <w:color w:val="000000"/>
                <w:lang w:eastAsia="en-GB"/>
              </w:rPr>
              <w:t>NHS costs over 10 years</w:t>
            </w:r>
          </w:p>
        </w:tc>
      </w:tr>
      <w:tr w:rsidR="00895BDD" w:rsidTr="00031B92">
        <w:tc>
          <w:tcPr>
            <w:tcW w:w="3018" w:type="dxa"/>
          </w:tcPr>
          <w:p w:rsidR="00895BDD" w:rsidRDefault="00895BDD" w:rsidP="00031B92">
            <w:pPr>
              <w:rPr>
                <w:rFonts w:eastAsia="Times New Roman" w:cs="Arial"/>
                <w:color w:val="000000"/>
                <w:lang w:eastAsia="en-GB"/>
              </w:rPr>
            </w:pPr>
            <w:r>
              <w:rPr>
                <w:rFonts w:eastAsia="Times New Roman" w:cs="Arial"/>
                <w:color w:val="000000"/>
                <w:lang w:eastAsia="en-GB"/>
              </w:rPr>
              <w:t>Be active programmes</w:t>
            </w:r>
          </w:p>
        </w:tc>
        <w:tc>
          <w:tcPr>
            <w:tcW w:w="1635" w:type="dxa"/>
          </w:tcPr>
          <w:p w:rsidR="00895BDD" w:rsidRDefault="00895BDD" w:rsidP="00031B92">
            <w:pPr>
              <w:jc w:val="center"/>
              <w:rPr>
                <w:rFonts w:eastAsia="Times New Roman" w:cs="Arial"/>
                <w:color w:val="000000"/>
                <w:lang w:eastAsia="en-GB"/>
              </w:rPr>
            </w:pPr>
            <w:r>
              <w:rPr>
                <w:rFonts w:eastAsia="Times New Roman" w:cs="Arial"/>
                <w:color w:val="000000"/>
                <w:lang w:eastAsia="en-GB"/>
              </w:rPr>
              <w:t>1</w:t>
            </w:r>
          </w:p>
        </w:tc>
        <w:tc>
          <w:tcPr>
            <w:tcW w:w="1966" w:type="dxa"/>
          </w:tcPr>
          <w:p w:rsidR="00895BDD" w:rsidRDefault="00895BDD" w:rsidP="00031B92">
            <w:pPr>
              <w:jc w:val="center"/>
              <w:rPr>
                <w:rFonts w:eastAsia="Times New Roman" w:cs="Arial"/>
                <w:color w:val="000000"/>
                <w:lang w:eastAsia="en-GB"/>
              </w:rPr>
            </w:pPr>
            <w:r>
              <w:rPr>
                <w:rFonts w:eastAsia="Times New Roman" w:cs="Arial"/>
                <w:color w:val="000000"/>
                <w:lang w:eastAsia="en-GB"/>
              </w:rPr>
              <w:t>23</w:t>
            </w:r>
          </w:p>
        </w:tc>
        <w:tc>
          <w:tcPr>
            <w:tcW w:w="2859" w:type="dxa"/>
          </w:tcPr>
          <w:p w:rsidR="00895BDD" w:rsidRPr="0033477C" w:rsidRDefault="00895BDD" w:rsidP="00031B92">
            <w:pPr>
              <w:rPr>
                <w:rFonts w:eastAsia="Times New Roman" w:cs="Arial"/>
                <w:color w:val="000000"/>
                <w:lang w:eastAsia="en-GB"/>
              </w:rPr>
            </w:pPr>
            <w:r>
              <w:rPr>
                <w:rFonts w:eastAsia="Times New Roman" w:cs="Arial"/>
                <w:color w:val="000000"/>
                <w:lang w:eastAsia="en-GB"/>
              </w:rPr>
              <w:t>Q</w:t>
            </w:r>
            <w:r w:rsidRPr="0033477C">
              <w:rPr>
                <w:rFonts w:eastAsia="Times New Roman" w:cs="Arial"/>
                <w:color w:val="000000"/>
                <w:lang w:eastAsia="en-GB"/>
              </w:rPr>
              <w:t>uality of life, reduced</w:t>
            </w:r>
          </w:p>
          <w:p w:rsidR="00895BDD" w:rsidRDefault="00895BDD" w:rsidP="00031B92">
            <w:pPr>
              <w:rPr>
                <w:rFonts w:eastAsia="Times New Roman" w:cs="Arial"/>
                <w:color w:val="000000"/>
                <w:lang w:eastAsia="en-GB"/>
              </w:rPr>
            </w:pPr>
            <w:r w:rsidRPr="0033477C">
              <w:rPr>
                <w:rFonts w:eastAsia="Times New Roman" w:cs="Arial"/>
                <w:color w:val="000000"/>
                <w:lang w:eastAsia="en-GB"/>
              </w:rPr>
              <w:t>NHS use and other gains</w:t>
            </w:r>
          </w:p>
        </w:tc>
      </w:tr>
      <w:tr w:rsidR="00895BDD" w:rsidTr="00031B92">
        <w:tc>
          <w:tcPr>
            <w:tcW w:w="3018" w:type="dxa"/>
          </w:tcPr>
          <w:p w:rsidR="00895BDD" w:rsidRDefault="00895BDD" w:rsidP="00031B92">
            <w:pPr>
              <w:rPr>
                <w:rFonts w:eastAsia="Times New Roman" w:cs="Arial"/>
                <w:color w:val="000000"/>
                <w:lang w:eastAsia="en-GB"/>
              </w:rPr>
            </w:pPr>
            <w:r w:rsidRPr="000D3D5B">
              <w:rPr>
                <w:rFonts w:eastAsia="Times New Roman" w:cs="Arial"/>
                <w:color w:val="000000"/>
                <w:lang w:eastAsia="en-GB"/>
              </w:rPr>
              <w:t xml:space="preserve">School-based public health interventions </w:t>
            </w:r>
            <w:r>
              <w:rPr>
                <w:rFonts w:eastAsia="Times New Roman" w:cs="Arial"/>
                <w:color w:val="000000"/>
                <w:lang w:eastAsia="en-GB"/>
              </w:rPr>
              <w:t>i.e. smoking prevention programmes and a</w:t>
            </w:r>
            <w:r w:rsidRPr="000D3D5B">
              <w:rPr>
                <w:rFonts w:eastAsia="Times New Roman" w:cs="Arial"/>
                <w:color w:val="000000"/>
                <w:lang w:eastAsia="en-GB"/>
              </w:rPr>
              <w:t>nti-bullying interventions</w:t>
            </w:r>
          </w:p>
        </w:tc>
        <w:tc>
          <w:tcPr>
            <w:tcW w:w="1635" w:type="dxa"/>
          </w:tcPr>
          <w:p w:rsidR="00895BDD" w:rsidRDefault="00895BDD" w:rsidP="00031B92">
            <w:pPr>
              <w:jc w:val="center"/>
              <w:rPr>
                <w:rFonts w:eastAsia="Times New Roman" w:cs="Arial"/>
                <w:color w:val="000000"/>
                <w:lang w:eastAsia="en-GB"/>
              </w:rPr>
            </w:pPr>
            <w:r>
              <w:rPr>
                <w:rFonts w:eastAsia="Times New Roman" w:cs="Arial"/>
                <w:color w:val="000000"/>
                <w:lang w:eastAsia="en-GB"/>
              </w:rPr>
              <w:t>1</w:t>
            </w:r>
          </w:p>
        </w:tc>
        <w:tc>
          <w:tcPr>
            <w:tcW w:w="1966" w:type="dxa"/>
          </w:tcPr>
          <w:p w:rsidR="00895BDD" w:rsidRDefault="00895BDD" w:rsidP="00031B92">
            <w:pPr>
              <w:jc w:val="center"/>
              <w:rPr>
                <w:rFonts w:eastAsia="Times New Roman" w:cs="Arial"/>
                <w:color w:val="000000"/>
                <w:lang w:eastAsia="en-GB"/>
              </w:rPr>
            </w:pPr>
            <w:r>
              <w:rPr>
                <w:rFonts w:eastAsia="Times New Roman" w:cs="Arial"/>
                <w:color w:val="000000"/>
                <w:lang w:eastAsia="en-GB"/>
              </w:rPr>
              <w:t>15</w:t>
            </w:r>
          </w:p>
        </w:tc>
        <w:tc>
          <w:tcPr>
            <w:tcW w:w="2859" w:type="dxa"/>
          </w:tcPr>
          <w:p w:rsidR="00895BDD" w:rsidRDefault="00895BDD" w:rsidP="00031B92">
            <w:pPr>
              <w:rPr>
                <w:rFonts w:eastAsia="Times New Roman" w:cs="Arial"/>
                <w:color w:val="000000"/>
                <w:lang w:eastAsia="en-GB"/>
              </w:rPr>
            </w:pPr>
            <w:r>
              <w:rPr>
                <w:rFonts w:eastAsia="Times New Roman" w:cs="Arial"/>
                <w:color w:val="000000"/>
                <w:lang w:eastAsia="en-GB"/>
              </w:rPr>
              <w:t>Children’s health</w:t>
            </w:r>
          </w:p>
        </w:tc>
      </w:tr>
      <w:tr w:rsidR="00895BDD" w:rsidTr="00031B92">
        <w:tc>
          <w:tcPr>
            <w:tcW w:w="3018" w:type="dxa"/>
          </w:tcPr>
          <w:p w:rsidR="00895BDD" w:rsidRDefault="00895BDD" w:rsidP="00031B92">
            <w:pPr>
              <w:rPr>
                <w:rFonts w:eastAsia="Times New Roman" w:cs="Arial"/>
                <w:color w:val="000000"/>
                <w:lang w:eastAsia="en-GB"/>
              </w:rPr>
            </w:pPr>
            <w:r>
              <w:rPr>
                <w:rFonts w:eastAsia="Times New Roman" w:cs="Arial"/>
                <w:color w:val="000000"/>
                <w:lang w:eastAsia="en-GB"/>
              </w:rPr>
              <w:t>Preventing teenage pregnancy</w:t>
            </w:r>
          </w:p>
        </w:tc>
        <w:tc>
          <w:tcPr>
            <w:tcW w:w="1635" w:type="dxa"/>
          </w:tcPr>
          <w:p w:rsidR="00895BDD" w:rsidRDefault="00895BDD" w:rsidP="00031B92">
            <w:pPr>
              <w:jc w:val="center"/>
              <w:rPr>
                <w:rFonts w:eastAsia="Times New Roman" w:cs="Arial"/>
                <w:color w:val="000000"/>
                <w:lang w:eastAsia="en-GB"/>
              </w:rPr>
            </w:pPr>
            <w:r>
              <w:rPr>
                <w:rFonts w:eastAsia="Times New Roman" w:cs="Arial"/>
                <w:color w:val="000000"/>
                <w:lang w:eastAsia="en-GB"/>
              </w:rPr>
              <w:t>1</w:t>
            </w:r>
          </w:p>
        </w:tc>
        <w:tc>
          <w:tcPr>
            <w:tcW w:w="1966" w:type="dxa"/>
          </w:tcPr>
          <w:p w:rsidR="00895BDD" w:rsidRDefault="00895BDD" w:rsidP="00031B92">
            <w:pPr>
              <w:jc w:val="center"/>
              <w:rPr>
                <w:rFonts w:eastAsia="Times New Roman" w:cs="Arial"/>
                <w:color w:val="000000"/>
                <w:lang w:eastAsia="en-GB"/>
              </w:rPr>
            </w:pPr>
            <w:r>
              <w:rPr>
                <w:rFonts w:eastAsia="Times New Roman" w:cs="Arial"/>
                <w:color w:val="000000"/>
                <w:lang w:eastAsia="en-GB"/>
              </w:rPr>
              <w:t>11</w:t>
            </w:r>
          </w:p>
        </w:tc>
        <w:tc>
          <w:tcPr>
            <w:tcW w:w="2859" w:type="dxa"/>
          </w:tcPr>
          <w:p w:rsidR="00895BDD" w:rsidRDefault="00895BDD" w:rsidP="00031B92">
            <w:pPr>
              <w:rPr>
                <w:rFonts w:eastAsia="Times New Roman" w:cs="Arial"/>
                <w:color w:val="000000"/>
                <w:lang w:eastAsia="en-GB"/>
              </w:rPr>
            </w:pPr>
            <w:r>
              <w:rPr>
                <w:rFonts w:eastAsia="Times New Roman" w:cs="Arial"/>
                <w:color w:val="000000"/>
                <w:lang w:eastAsia="en-GB"/>
              </w:rPr>
              <w:t>Healthcare cost</w:t>
            </w:r>
          </w:p>
        </w:tc>
      </w:tr>
      <w:tr w:rsidR="00895BDD" w:rsidTr="00031B92">
        <w:tc>
          <w:tcPr>
            <w:tcW w:w="3018" w:type="dxa"/>
          </w:tcPr>
          <w:p w:rsidR="00895BDD" w:rsidRDefault="00895BDD" w:rsidP="00031B92">
            <w:pPr>
              <w:rPr>
                <w:rFonts w:eastAsia="Times New Roman" w:cs="Arial"/>
                <w:color w:val="000000"/>
                <w:lang w:eastAsia="en-GB"/>
              </w:rPr>
            </w:pPr>
            <w:r>
              <w:rPr>
                <w:rFonts w:eastAsia="Times New Roman" w:cs="Arial"/>
                <w:color w:val="000000"/>
                <w:lang w:eastAsia="en-GB"/>
              </w:rPr>
              <w:t>Parenting programmes</w:t>
            </w:r>
          </w:p>
        </w:tc>
        <w:tc>
          <w:tcPr>
            <w:tcW w:w="1635" w:type="dxa"/>
          </w:tcPr>
          <w:p w:rsidR="00895BDD" w:rsidRDefault="00895BDD" w:rsidP="00031B92">
            <w:pPr>
              <w:jc w:val="center"/>
              <w:rPr>
                <w:rFonts w:eastAsia="Times New Roman" w:cs="Arial"/>
                <w:color w:val="000000"/>
                <w:lang w:eastAsia="en-GB"/>
              </w:rPr>
            </w:pPr>
            <w:r>
              <w:rPr>
                <w:rFonts w:eastAsia="Times New Roman" w:cs="Arial"/>
                <w:color w:val="000000"/>
                <w:lang w:eastAsia="en-GB"/>
              </w:rPr>
              <w:t>1</w:t>
            </w:r>
          </w:p>
        </w:tc>
        <w:tc>
          <w:tcPr>
            <w:tcW w:w="1966" w:type="dxa"/>
          </w:tcPr>
          <w:p w:rsidR="00895BDD" w:rsidRDefault="00895BDD" w:rsidP="00031B92">
            <w:pPr>
              <w:jc w:val="center"/>
              <w:rPr>
                <w:rFonts w:eastAsia="Times New Roman" w:cs="Arial"/>
                <w:color w:val="000000"/>
                <w:lang w:eastAsia="en-GB"/>
              </w:rPr>
            </w:pPr>
            <w:r>
              <w:rPr>
                <w:rFonts w:eastAsia="Times New Roman" w:cs="Arial"/>
                <w:color w:val="000000"/>
                <w:lang w:eastAsia="en-GB"/>
              </w:rPr>
              <w:t>8</w:t>
            </w:r>
          </w:p>
        </w:tc>
        <w:tc>
          <w:tcPr>
            <w:tcW w:w="2859" w:type="dxa"/>
          </w:tcPr>
          <w:p w:rsidR="00895BDD" w:rsidRDefault="00895BDD" w:rsidP="00031B92">
            <w:pPr>
              <w:rPr>
                <w:rFonts w:eastAsia="Times New Roman" w:cs="Arial"/>
                <w:color w:val="000000"/>
                <w:lang w:eastAsia="en-GB"/>
              </w:rPr>
            </w:pPr>
            <w:r>
              <w:rPr>
                <w:rFonts w:eastAsia="Times New Roman" w:cs="Arial"/>
                <w:color w:val="000000"/>
                <w:lang w:eastAsia="en-GB"/>
              </w:rPr>
              <w:t>Preventing conduct disorder over six years</w:t>
            </w:r>
          </w:p>
        </w:tc>
      </w:tr>
      <w:tr w:rsidR="00895BDD" w:rsidTr="00031B92">
        <w:tc>
          <w:tcPr>
            <w:tcW w:w="3018" w:type="dxa"/>
          </w:tcPr>
          <w:p w:rsidR="00895BDD" w:rsidRDefault="00895BDD" w:rsidP="00031B92">
            <w:pPr>
              <w:rPr>
                <w:rFonts w:eastAsia="Times New Roman" w:cs="Arial"/>
                <w:color w:val="000000"/>
                <w:lang w:eastAsia="en-GB"/>
              </w:rPr>
            </w:pPr>
            <w:r>
              <w:rPr>
                <w:rFonts w:eastAsia="Times New Roman" w:cs="Arial"/>
                <w:color w:val="000000"/>
                <w:lang w:eastAsia="en-GB"/>
              </w:rPr>
              <w:t>Supporting people with a</w:t>
            </w:r>
            <w:r w:rsidRPr="0033477C">
              <w:rPr>
                <w:rFonts w:eastAsia="Times New Roman" w:cs="Arial"/>
                <w:color w:val="000000"/>
                <w:lang w:eastAsia="en-GB"/>
              </w:rPr>
              <w:t>lcohol or drug addiction</w:t>
            </w:r>
          </w:p>
        </w:tc>
        <w:tc>
          <w:tcPr>
            <w:tcW w:w="1635" w:type="dxa"/>
          </w:tcPr>
          <w:p w:rsidR="00895BDD" w:rsidRDefault="00895BDD" w:rsidP="00031B92">
            <w:pPr>
              <w:jc w:val="center"/>
              <w:rPr>
                <w:rFonts w:eastAsia="Times New Roman" w:cs="Arial"/>
                <w:color w:val="000000"/>
                <w:lang w:eastAsia="en-GB"/>
              </w:rPr>
            </w:pPr>
            <w:r>
              <w:rPr>
                <w:rFonts w:eastAsia="Times New Roman" w:cs="Arial"/>
                <w:color w:val="000000"/>
                <w:lang w:eastAsia="en-GB"/>
              </w:rPr>
              <w:t>1</w:t>
            </w:r>
          </w:p>
        </w:tc>
        <w:tc>
          <w:tcPr>
            <w:tcW w:w="1966" w:type="dxa"/>
          </w:tcPr>
          <w:p w:rsidR="00895BDD" w:rsidRDefault="00895BDD" w:rsidP="00031B92">
            <w:pPr>
              <w:jc w:val="center"/>
              <w:rPr>
                <w:rFonts w:eastAsia="Times New Roman" w:cs="Arial"/>
                <w:color w:val="000000"/>
                <w:lang w:eastAsia="en-GB"/>
              </w:rPr>
            </w:pPr>
            <w:r>
              <w:rPr>
                <w:rFonts w:eastAsia="Times New Roman" w:cs="Arial"/>
                <w:color w:val="000000"/>
                <w:lang w:eastAsia="en-GB"/>
              </w:rPr>
              <w:t>5</w:t>
            </w:r>
          </w:p>
        </w:tc>
        <w:tc>
          <w:tcPr>
            <w:tcW w:w="2859" w:type="dxa"/>
          </w:tcPr>
          <w:p w:rsidR="00895BDD" w:rsidRPr="0033477C" w:rsidRDefault="00895BDD" w:rsidP="00031B92">
            <w:pPr>
              <w:rPr>
                <w:rFonts w:eastAsia="Times New Roman" w:cs="Arial"/>
                <w:color w:val="000000"/>
                <w:lang w:eastAsia="en-GB"/>
              </w:rPr>
            </w:pPr>
            <w:r>
              <w:rPr>
                <w:rFonts w:eastAsia="Times New Roman" w:cs="Arial"/>
                <w:color w:val="000000"/>
                <w:lang w:eastAsia="en-GB"/>
              </w:rPr>
              <w:t>R</w:t>
            </w:r>
            <w:r w:rsidRPr="0033477C">
              <w:rPr>
                <w:rFonts w:eastAsia="Times New Roman" w:cs="Arial"/>
                <w:color w:val="000000"/>
                <w:lang w:eastAsia="en-GB"/>
              </w:rPr>
              <w:t>educed health care, social care and criminal justice costs</w:t>
            </w:r>
          </w:p>
        </w:tc>
      </w:tr>
      <w:tr w:rsidR="00895BDD" w:rsidTr="00031B92">
        <w:tc>
          <w:tcPr>
            <w:tcW w:w="3018" w:type="dxa"/>
          </w:tcPr>
          <w:p w:rsidR="00895BDD" w:rsidRDefault="00895BDD" w:rsidP="00031B92">
            <w:pPr>
              <w:rPr>
                <w:rFonts w:eastAsia="Times New Roman" w:cs="Arial"/>
                <w:color w:val="000000"/>
                <w:lang w:eastAsia="en-GB"/>
              </w:rPr>
            </w:pPr>
            <w:r>
              <w:rPr>
                <w:rFonts w:eastAsia="Times New Roman" w:cs="Arial"/>
                <w:color w:val="000000"/>
                <w:lang w:eastAsia="en-GB"/>
              </w:rPr>
              <w:t>Providing social support</w:t>
            </w:r>
          </w:p>
        </w:tc>
        <w:tc>
          <w:tcPr>
            <w:tcW w:w="1635" w:type="dxa"/>
          </w:tcPr>
          <w:p w:rsidR="00895BDD" w:rsidRDefault="00895BDD" w:rsidP="00031B92">
            <w:pPr>
              <w:jc w:val="center"/>
              <w:rPr>
                <w:rFonts w:eastAsia="Times New Roman" w:cs="Arial"/>
                <w:color w:val="000000"/>
                <w:lang w:eastAsia="en-GB"/>
              </w:rPr>
            </w:pPr>
            <w:r>
              <w:rPr>
                <w:rFonts w:eastAsia="Times New Roman" w:cs="Arial"/>
                <w:color w:val="000000"/>
                <w:lang w:eastAsia="en-GB"/>
              </w:rPr>
              <w:t>1</w:t>
            </w:r>
          </w:p>
        </w:tc>
        <w:tc>
          <w:tcPr>
            <w:tcW w:w="1966" w:type="dxa"/>
          </w:tcPr>
          <w:p w:rsidR="00895BDD" w:rsidRDefault="00895BDD" w:rsidP="00031B92">
            <w:pPr>
              <w:jc w:val="center"/>
              <w:rPr>
                <w:rFonts w:eastAsia="Times New Roman" w:cs="Arial"/>
                <w:color w:val="000000"/>
                <w:lang w:eastAsia="en-GB"/>
              </w:rPr>
            </w:pPr>
            <w:r>
              <w:rPr>
                <w:rFonts w:eastAsia="Times New Roman" w:cs="Arial"/>
                <w:color w:val="000000"/>
                <w:lang w:eastAsia="en-GB"/>
              </w:rPr>
              <w:t>3.75</w:t>
            </w:r>
          </w:p>
        </w:tc>
        <w:tc>
          <w:tcPr>
            <w:tcW w:w="2859" w:type="dxa"/>
          </w:tcPr>
          <w:p w:rsidR="00895BDD" w:rsidRDefault="00895BDD" w:rsidP="00031B92">
            <w:pPr>
              <w:rPr>
                <w:rFonts w:eastAsia="Times New Roman" w:cs="Arial"/>
                <w:color w:val="000000"/>
                <w:lang w:eastAsia="en-GB"/>
              </w:rPr>
            </w:pPr>
            <w:r>
              <w:rPr>
                <w:rFonts w:eastAsia="Times New Roman" w:cs="Arial"/>
                <w:color w:val="000000"/>
                <w:lang w:eastAsia="en-GB"/>
              </w:rPr>
              <w:t>R</w:t>
            </w:r>
            <w:r w:rsidRPr="0033477C">
              <w:rPr>
                <w:rFonts w:eastAsia="Times New Roman" w:cs="Arial"/>
                <w:color w:val="000000"/>
                <w:lang w:eastAsia="en-GB"/>
              </w:rPr>
              <w:t>educed mental health service</w:t>
            </w:r>
            <w:r>
              <w:rPr>
                <w:rFonts w:eastAsia="Times New Roman" w:cs="Arial"/>
                <w:color w:val="000000"/>
                <w:lang w:eastAsia="en-GB"/>
              </w:rPr>
              <w:t xml:space="preserve"> </w:t>
            </w:r>
            <w:r w:rsidRPr="0033477C">
              <w:rPr>
                <w:rFonts w:eastAsia="Times New Roman" w:cs="Arial"/>
                <w:color w:val="000000"/>
                <w:lang w:eastAsia="en-GB"/>
              </w:rPr>
              <w:t>spending and improvements in health</w:t>
            </w:r>
          </w:p>
        </w:tc>
      </w:tr>
      <w:tr w:rsidR="00895BDD" w:rsidTr="00031B92">
        <w:tc>
          <w:tcPr>
            <w:tcW w:w="3018" w:type="dxa"/>
          </w:tcPr>
          <w:p w:rsidR="00895BDD" w:rsidRPr="0033477C" w:rsidRDefault="00895BDD" w:rsidP="00031B92">
            <w:pPr>
              <w:rPr>
                <w:rFonts w:eastAsia="Times New Roman" w:cs="Arial"/>
                <w:color w:val="000000"/>
                <w:lang w:eastAsia="en-GB"/>
              </w:rPr>
            </w:pPr>
            <w:r>
              <w:rPr>
                <w:rFonts w:eastAsia="Times New Roman" w:cs="Arial"/>
                <w:color w:val="000000"/>
                <w:lang w:eastAsia="en-GB"/>
              </w:rPr>
              <w:t>Drug treatment</w:t>
            </w:r>
          </w:p>
        </w:tc>
        <w:tc>
          <w:tcPr>
            <w:tcW w:w="1635" w:type="dxa"/>
          </w:tcPr>
          <w:p w:rsidR="00895BDD" w:rsidRDefault="00895BDD" w:rsidP="00031B92">
            <w:pPr>
              <w:jc w:val="center"/>
              <w:rPr>
                <w:rFonts w:eastAsia="Times New Roman" w:cs="Arial"/>
                <w:color w:val="000000"/>
                <w:lang w:eastAsia="en-GB"/>
              </w:rPr>
            </w:pPr>
            <w:r>
              <w:rPr>
                <w:rFonts w:eastAsia="Times New Roman" w:cs="Arial"/>
                <w:color w:val="000000"/>
                <w:lang w:eastAsia="en-GB"/>
              </w:rPr>
              <w:t>1</w:t>
            </w:r>
          </w:p>
        </w:tc>
        <w:tc>
          <w:tcPr>
            <w:tcW w:w="1966" w:type="dxa"/>
          </w:tcPr>
          <w:p w:rsidR="00895BDD" w:rsidRDefault="00895BDD" w:rsidP="00031B92">
            <w:pPr>
              <w:jc w:val="center"/>
              <w:rPr>
                <w:rFonts w:eastAsia="Times New Roman" w:cs="Arial"/>
                <w:color w:val="000000"/>
                <w:lang w:eastAsia="en-GB"/>
              </w:rPr>
            </w:pPr>
            <w:r>
              <w:rPr>
                <w:rFonts w:eastAsia="Times New Roman" w:cs="Arial"/>
                <w:color w:val="000000"/>
                <w:lang w:eastAsia="en-GB"/>
              </w:rPr>
              <w:t>2.50</w:t>
            </w:r>
          </w:p>
        </w:tc>
        <w:tc>
          <w:tcPr>
            <w:tcW w:w="2859" w:type="dxa"/>
          </w:tcPr>
          <w:p w:rsidR="00895BDD" w:rsidRPr="00095D44" w:rsidRDefault="00895BDD" w:rsidP="00031B92">
            <w:pPr>
              <w:rPr>
                <w:rFonts w:eastAsia="Times New Roman" w:cs="Arial"/>
                <w:color w:val="000000"/>
                <w:lang w:eastAsia="en-GB"/>
              </w:rPr>
            </w:pPr>
            <w:r w:rsidRPr="00095D44">
              <w:rPr>
                <w:rFonts w:eastAsia="Times New Roman" w:cs="Arial"/>
                <w:color w:val="000000"/>
                <w:lang w:eastAsia="en-GB"/>
              </w:rPr>
              <w:t>Reduced NHS and social care costs and reduced crime</w:t>
            </w:r>
          </w:p>
        </w:tc>
      </w:tr>
    </w:tbl>
    <w:p w:rsidR="00895BDD" w:rsidRPr="008A799C" w:rsidRDefault="00895BDD" w:rsidP="00895BDD">
      <w:pPr>
        <w:rPr>
          <w:lang w:eastAsia="en-GB"/>
        </w:rPr>
      </w:pPr>
      <w:r>
        <w:rPr>
          <w:rFonts w:eastAsia="Times New Roman" w:cs="Arial"/>
          <w:color w:val="000000"/>
          <w:lang w:eastAsia="en-GB"/>
        </w:rPr>
        <w:t xml:space="preserve">Source: </w:t>
      </w:r>
      <w:r w:rsidRPr="008A799C">
        <w:rPr>
          <w:rFonts w:eastAsia="Times New Roman" w:cs="Arial"/>
          <w:color w:val="000000"/>
          <w:lang w:eastAsia="en-GB"/>
        </w:rPr>
        <w:t xml:space="preserve">Adapted from </w:t>
      </w:r>
      <w:hyperlink r:id="rId158" w:history="1">
        <w:r w:rsidRPr="008A799C">
          <w:rPr>
            <w:rStyle w:val="Hyperlink"/>
            <w:lang w:eastAsia="en-GB"/>
          </w:rPr>
          <w:t>Kings Fund</w:t>
        </w:r>
      </w:hyperlink>
      <w:r w:rsidRPr="008A799C">
        <w:rPr>
          <w:lang w:eastAsia="en-GB"/>
        </w:rPr>
        <w:t xml:space="preserve"> (September 2014) </w:t>
      </w:r>
      <w:hyperlink r:id="rId159" w:history="1">
        <w:r w:rsidRPr="008A799C">
          <w:rPr>
            <w:rStyle w:val="Hyperlink"/>
            <w:lang w:eastAsia="en-GB"/>
          </w:rPr>
          <w:t>Making the case for public health interventions</w:t>
        </w:r>
      </w:hyperlink>
    </w:p>
    <w:p w:rsidR="0050457E" w:rsidRDefault="0050457E">
      <w:pPr>
        <w:rPr>
          <w:rFonts w:asciiTheme="majorHAnsi" w:eastAsiaTheme="majorEastAsia" w:hAnsiTheme="majorHAnsi" w:cstheme="majorBidi"/>
          <w:b/>
          <w:bCs/>
          <w:color w:val="365F91" w:themeColor="accent1" w:themeShade="BF"/>
          <w:sz w:val="28"/>
          <w:szCs w:val="28"/>
        </w:rPr>
      </w:pPr>
      <w:bookmarkStart w:id="702" w:name="_Appendix-1_Barnet_(PHOF)"/>
      <w:bookmarkEnd w:id="702"/>
      <w:r>
        <w:br w:type="page"/>
      </w:r>
    </w:p>
    <w:p w:rsidR="00F16C54" w:rsidRPr="00502967" w:rsidRDefault="00473D1B" w:rsidP="008921BF">
      <w:pPr>
        <w:pStyle w:val="Heading1"/>
        <w:numPr>
          <w:ilvl w:val="0"/>
          <w:numId w:val="86"/>
        </w:numPr>
      </w:pPr>
      <w:bookmarkStart w:id="703" w:name="_Toc431225178"/>
      <w:r>
        <w:lastRenderedPageBreak/>
        <w:t>Primary and Secondary Care</w:t>
      </w:r>
      <w:bookmarkEnd w:id="703"/>
    </w:p>
    <w:bookmarkStart w:id="704" w:name="_Toc424290328"/>
    <w:bookmarkStart w:id="705" w:name="_Toc424290487"/>
    <w:bookmarkStart w:id="706" w:name="_Toc424290836"/>
    <w:bookmarkStart w:id="707" w:name="_Toc424290999"/>
    <w:bookmarkStart w:id="708" w:name="_Toc424291645"/>
    <w:bookmarkStart w:id="709" w:name="_Toc424291806"/>
    <w:bookmarkStart w:id="710" w:name="_Toc424291968"/>
    <w:bookmarkStart w:id="711" w:name="_Toc425235644"/>
    <w:bookmarkStart w:id="712" w:name="_Toc425246679"/>
    <w:bookmarkStart w:id="713" w:name="_Toc425255207"/>
    <w:bookmarkStart w:id="714" w:name="_Toc426377319"/>
    <w:bookmarkStart w:id="715" w:name="_Toc426384975"/>
    <w:bookmarkStart w:id="716" w:name="_Toc426632837"/>
    <w:bookmarkStart w:id="717" w:name="_Toc426633619"/>
    <w:bookmarkStart w:id="718" w:name="_Toc426723352"/>
    <w:bookmarkStart w:id="719" w:name="_Toc427247182"/>
    <w:bookmarkStart w:id="720" w:name="_Toc427312642"/>
    <w:bookmarkStart w:id="721" w:name="_Toc427324206"/>
    <w:bookmarkStart w:id="722" w:name="_Toc427327424"/>
    <w:bookmarkStart w:id="723" w:name="_Toc427676640"/>
    <w:bookmarkStart w:id="724" w:name="_Toc427738595"/>
    <w:bookmarkStart w:id="725" w:name="_Toc427763241"/>
    <w:bookmarkStart w:id="726" w:name="_Toc427830434"/>
    <w:bookmarkStart w:id="727" w:name="_Toc428344173"/>
    <w:bookmarkStart w:id="728" w:name="_Toc430871201"/>
    <w:bookmarkStart w:id="729" w:name="_Toc431198902"/>
    <w:bookmarkStart w:id="730" w:name="_Toc431225179"/>
    <w:bookmarkStart w:id="731" w:name="_Toc424218017"/>
    <w:bookmarkEnd w:id="704"/>
    <w:bookmarkEnd w:id="705"/>
    <w:bookmarkEnd w:id="706"/>
    <w:bookmarkEnd w:id="707"/>
    <w:bookmarkEnd w:id="708"/>
    <w:bookmarkEnd w:id="709"/>
    <w:bookmarkEnd w:id="710"/>
    <w:p w:rsidR="00F16C54" w:rsidRPr="00771E42" w:rsidRDefault="00F16C54" w:rsidP="008921BF">
      <w:pPr>
        <w:pStyle w:val="ListParagraph"/>
        <w:keepNext/>
        <w:keepLines/>
        <w:numPr>
          <w:ilvl w:val="0"/>
          <w:numId w:val="112"/>
        </w:numPr>
        <w:spacing w:before="480" w:after="0"/>
        <w:contextualSpacing w:val="0"/>
        <w:outlineLvl w:val="0"/>
        <w:rPr>
          <w:rFonts w:asciiTheme="majorHAnsi" w:eastAsiaTheme="majorEastAsia" w:hAnsiTheme="majorHAnsi" w:cstheme="majorBidi"/>
          <w:b/>
          <w:bCs/>
          <w:vanish/>
          <w:color w:val="365F91" w:themeColor="accent1" w:themeShade="BF"/>
          <w:sz w:val="28"/>
          <w:szCs w:val="28"/>
        </w:rPr>
      </w:pPr>
      <w:r>
        <w:rPr>
          <w:noProof/>
          <w:lang w:eastAsia="en-GB"/>
        </w:rPr>
        <mc:AlternateContent>
          <mc:Choice Requires="wps">
            <w:drawing>
              <wp:anchor distT="0" distB="0" distL="114300" distR="114300" simplePos="0" relativeHeight="251826176" behindDoc="1" locked="0" layoutInCell="1" allowOverlap="1" wp14:anchorId="4221B0D7" wp14:editId="218A0B63">
                <wp:simplePos x="0" y="0"/>
                <wp:positionH relativeFrom="column">
                  <wp:posOffset>-106326</wp:posOffset>
                </wp:positionH>
                <wp:positionV relativeFrom="paragraph">
                  <wp:posOffset>57682</wp:posOffset>
                </wp:positionV>
                <wp:extent cx="6038850" cy="2179674"/>
                <wp:effectExtent l="0" t="0" r="0" b="0"/>
                <wp:wrapNone/>
                <wp:docPr id="49164" name="Rectangle 49164"/>
                <wp:cNvGraphicFramePr/>
                <a:graphic xmlns:a="http://schemas.openxmlformats.org/drawingml/2006/main">
                  <a:graphicData uri="http://schemas.microsoft.com/office/word/2010/wordprocessingShape">
                    <wps:wsp>
                      <wps:cNvSpPr/>
                      <wps:spPr>
                        <a:xfrm>
                          <a:off x="0" y="0"/>
                          <a:ext cx="6038850" cy="2179674"/>
                        </a:xfrm>
                        <a:prstGeom prst="rect">
                          <a:avLst/>
                        </a:prstGeom>
                        <a:solidFill>
                          <a:srgbClr val="4F81BD">
                            <a:lumMod val="20000"/>
                            <a:lumOff val="80000"/>
                            <a:alpha val="7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9164" o:spid="_x0000_s1026" style="position:absolute;margin-left:-8.35pt;margin-top:4.55pt;width:475.5pt;height:171.65pt;z-index:-25149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" fillcolor="#dce6f2" stroked="f" strokeweight="2pt">
                <v:fill opacity="46003f"/>
              </v:rect>
            </w:pict>
          </mc:Fallback>
        </mc:AlternateContent>
      </w:r>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p>
    <w:p w:rsidR="00F16C54" w:rsidRPr="00771E42" w:rsidRDefault="00F16C54" w:rsidP="008921BF">
      <w:pPr>
        <w:pStyle w:val="ListParagraph"/>
        <w:keepNext/>
        <w:keepLines/>
        <w:numPr>
          <w:ilvl w:val="0"/>
          <w:numId w:val="112"/>
        </w:numPr>
        <w:spacing w:before="480" w:after="0"/>
        <w:contextualSpacing w:val="0"/>
        <w:outlineLvl w:val="0"/>
        <w:rPr>
          <w:rFonts w:asciiTheme="majorHAnsi" w:eastAsiaTheme="majorEastAsia" w:hAnsiTheme="majorHAnsi" w:cstheme="majorBidi"/>
          <w:b/>
          <w:bCs/>
          <w:vanish/>
          <w:color w:val="365F91" w:themeColor="accent1" w:themeShade="BF"/>
          <w:sz w:val="28"/>
          <w:szCs w:val="28"/>
        </w:rPr>
      </w:pPr>
      <w:bookmarkStart w:id="732" w:name="_Toc424291646"/>
      <w:bookmarkStart w:id="733" w:name="_Toc424291807"/>
      <w:bookmarkStart w:id="734" w:name="_Toc424291969"/>
      <w:bookmarkStart w:id="735" w:name="_Toc425235645"/>
      <w:bookmarkStart w:id="736" w:name="_Toc425246520"/>
      <w:bookmarkStart w:id="737" w:name="_Toc425246680"/>
      <w:bookmarkStart w:id="738" w:name="_Toc425255208"/>
      <w:bookmarkStart w:id="739" w:name="_Toc426377320"/>
      <w:bookmarkStart w:id="740" w:name="_Toc426384976"/>
      <w:bookmarkStart w:id="741" w:name="_Toc426632645"/>
      <w:bookmarkStart w:id="742" w:name="_Toc426632838"/>
      <w:bookmarkStart w:id="743" w:name="_Toc426633453"/>
      <w:bookmarkStart w:id="744" w:name="_Toc426633620"/>
      <w:bookmarkStart w:id="745" w:name="_Toc426723353"/>
      <w:bookmarkStart w:id="746" w:name="_Toc427247183"/>
      <w:bookmarkStart w:id="747" w:name="_Toc427312460"/>
      <w:bookmarkStart w:id="748" w:name="_Toc427312643"/>
      <w:bookmarkStart w:id="749" w:name="_Toc427319835"/>
      <w:bookmarkStart w:id="750" w:name="_Toc427323223"/>
      <w:bookmarkStart w:id="751" w:name="_Toc427323407"/>
      <w:bookmarkStart w:id="752" w:name="_Toc427323903"/>
      <w:bookmarkStart w:id="753" w:name="_Toc427324207"/>
      <w:bookmarkStart w:id="754" w:name="_Toc427327425"/>
      <w:bookmarkStart w:id="755" w:name="_Toc427676457"/>
      <w:bookmarkStart w:id="756" w:name="_Toc427676641"/>
      <w:bookmarkStart w:id="757" w:name="_Toc427738596"/>
      <w:bookmarkStart w:id="758" w:name="_Toc427763047"/>
      <w:bookmarkStart w:id="759" w:name="_Toc427763242"/>
      <w:bookmarkStart w:id="760" w:name="_Toc427830240"/>
      <w:bookmarkStart w:id="761" w:name="_Toc427830435"/>
      <w:bookmarkStart w:id="762" w:name="_Toc428344174"/>
      <w:bookmarkStart w:id="763" w:name="_Toc430871202"/>
      <w:bookmarkStart w:id="764" w:name="_Toc431198903"/>
      <w:bookmarkStart w:id="765" w:name="_Toc431225180"/>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p>
    <w:p w:rsidR="00F16C54" w:rsidRPr="00771E42" w:rsidRDefault="00F16C54" w:rsidP="008921BF">
      <w:pPr>
        <w:pStyle w:val="ListParagraph"/>
        <w:keepNext/>
        <w:keepLines/>
        <w:numPr>
          <w:ilvl w:val="0"/>
          <w:numId w:val="112"/>
        </w:numPr>
        <w:spacing w:before="480" w:after="0"/>
        <w:contextualSpacing w:val="0"/>
        <w:outlineLvl w:val="0"/>
        <w:rPr>
          <w:rFonts w:asciiTheme="majorHAnsi" w:eastAsiaTheme="majorEastAsia" w:hAnsiTheme="majorHAnsi" w:cstheme="majorBidi"/>
          <w:b/>
          <w:bCs/>
          <w:vanish/>
          <w:color w:val="365F91" w:themeColor="accent1" w:themeShade="BF"/>
          <w:sz w:val="28"/>
          <w:szCs w:val="28"/>
        </w:rPr>
      </w:pPr>
      <w:bookmarkStart w:id="766" w:name="_Toc424291647"/>
      <w:bookmarkStart w:id="767" w:name="_Toc424291808"/>
      <w:bookmarkStart w:id="768" w:name="_Toc424291970"/>
      <w:bookmarkStart w:id="769" w:name="_Toc425235646"/>
      <w:bookmarkStart w:id="770" w:name="_Toc425246521"/>
      <w:bookmarkStart w:id="771" w:name="_Toc425246681"/>
      <w:bookmarkStart w:id="772" w:name="_Toc425255209"/>
      <w:bookmarkStart w:id="773" w:name="_Toc426377321"/>
      <w:bookmarkStart w:id="774" w:name="_Toc426384977"/>
      <w:bookmarkStart w:id="775" w:name="_Toc426632646"/>
      <w:bookmarkStart w:id="776" w:name="_Toc426632839"/>
      <w:bookmarkStart w:id="777" w:name="_Toc426633454"/>
      <w:bookmarkStart w:id="778" w:name="_Toc426633621"/>
      <w:bookmarkStart w:id="779" w:name="_Toc426723354"/>
      <w:bookmarkStart w:id="780" w:name="_Toc427247184"/>
      <w:bookmarkStart w:id="781" w:name="_Toc427312461"/>
      <w:bookmarkStart w:id="782" w:name="_Toc427312644"/>
      <w:bookmarkStart w:id="783" w:name="_Toc427319836"/>
      <w:bookmarkStart w:id="784" w:name="_Toc427323224"/>
      <w:bookmarkStart w:id="785" w:name="_Toc427323408"/>
      <w:bookmarkStart w:id="786" w:name="_Toc427323904"/>
      <w:bookmarkStart w:id="787" w:name="_Toc427324208"/>
      <w:bookmarkStart w:id="788" w:name="_Toc427327426"/>
      <w:bookmarkStart w:id="789" w:name="_Toc427676458"/>
      <w:bookmarkStart w:id="790" w:name="_Toc427676642"/>
      <w:bookmarkStart w:id="791" w:name="_Toc427738597"/>
      <w:bookmarkStart w:id="792" w:name="_Toc427763048"/>
      <w:bookmarkStart w:id="793" w:name="_Toc427763243"/>
      <w:bookmarkStart w:id="794" w:name="_Toc427830241"/>
      <w:bookmarkStart w:id="795" w:name="_Toc427830436"/>
      <w:bookmarkStart w:id="796" w:name="_Toc428344175"/>
      <w:bookmarkStart w:id="797" w:name="_Toc430871203"/>
      <w:bookmarkStart w:id="798" w:name="_Toc431198904"/>
      <w:bookmarkStart w:id="799" w:name="_Toc431225181"/>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p>
    <w:p w:rsidR="00F16C54" w:rsidRDefault="00F16C54" w:rsidP="00F16C54">
      <w:pPr>
        <w:pStyle w:val="Heading2"/>
      </w:pPr>
      <w:bookmarkStart w:id="800" w:name="_Toc426723355"/>
      <w:bookmarkStart w:id="801" w:name="_Toc431225182"/>
      <w:r>
        <w:t>Key Facts</w:t>
      </w:r>
      <w:bookmarkEnd w:id="731"/>
      <w:bookmarkEnd w:id="800"/>
      <w:bookmarkEnd w:id="801"/>
    </w:p>
    <w:p w:rsidR="00F16C54" w:rsidRPr="00915363" w:rsidRDefault="00F16C54" w:rsidP="008921BF">
      <w:pPr>
        <w:pStyle w:val="ListParagraph"/>
        <w:numPr>
          <w:ilvl w:val="0"/>
          <w:numId w:val="77"/>
        </w:numPr>
        <w:tabs>
          <w:tab w:val="left" w:pos="9072"/>
        </w:tabs>
        <w:jc w:val="both"/>
      </w:pPr>
      <w:r w:rsidRPr="00915363">
        <w:t>Barnet is ranked 3</w:t>
      </w:r>
      <w:r w:rsidRPr="00915363">
        <w:rPr>
          <w:vertAlign w:val="superscript"/>
        </w:rPr>
        <w:t>rd</w:t>
      </w:r>
      <w:r w:rsidRPr="00915363">
        <w:t xml:space="preserve"> across North Central London (NCL) CCG’s in terms of A&amp;E activity usage and yet is the lowest per 1000 population compared to the other NCL CCGs</w:t>
      </w:r>
      <w:r>
        <w:t>.</w:t>
      </w:r>
    </w:p>
    <w:p w:rsidR="00F16C54" w:rsidRPr="00915363" w:rsidRDefault="00F16C54" w:rsidP="008921BF">
      <w:pPr>
        <w:pStyle w:val="ListParagraph"/>
        <w:numPr>
          <w:ilvl w:val="0"/>
          <w:numId w:val="74"/>
        </w:numPr>
        <w:tabs>
          <w:tab w:val="left" w:pos="9072"/>
        </w:tabs>
        <w:jc w:val="both"/>
      </w:pPr>
      <w:r w:rsidRPr="00915363">
        <w:t>Larg</w:t>
      </w:r>
      <w:r>
        <w:t>est number of nursing home beds in London.</w:t>
      </w:r>
    </w:p>
    <w:p w:rsidR="00F16C54" w:rsidRPr="00A4508C" w:rsidRDefault="00F16C54" w:rsidP="008921BF">
      <w:pPr>
        <w:pStyle w:val="ListParagraph"/>
        <w:numPr>
          <w:ilvl w:val="0"/>
          <w:numId w:val="74"/>
        </w:numPr>
        <w:tabs>
          <w:tab w:val="left" w:pos="9072"/>
        </w:tabs>
        <w:jc w:val="both"/>
      </w:pPr>
      <w:r w:rsidRPr="00915363">
        <w:t xml:space="preserve">The total number of GP registered patients in Barnet at the start of 13/14 was 388,895 and is estimated to rise to 402,748 by 2015/16. </w:t>
      </w:r>
    </w:p>
    <w:p w:rsidR="00F16C54" w:rsidRPr="00915363" w:rsidRDefault="00F16C54" w:rsidP="008921BF">
      <w:pPr>
        <w:pStyle w:val="ListParagraph"/>
        <w:numPr>
          <w:ilvl w:val="0"/>
          <w:numId w:val="75"/>
        </w:numPr>
        <w:tabs>
          <w:tab w:val="left" w:pos="9072"/>
        </w:tabs>
        <w:jc w:val="both"/>
      </w:pPr>
      <w:r w:rsidRPr="00915363">
        <w:t xml:space="preserve">Older people </w:t>
      </w:r>
      <w:r>
        <w:t>(65+</w:t>
      </w:r>
      <w:r w:rsidR="00DD3A76">
        <w:t>)</w:t>
      </w:r>
      <w:r w:rsidR="00DD3A76" w:rsidRPr="00915363">
        <w:t xml:space="preserve"> are</w:t>
      </w:r>
      <w:r w:rsidRPr="00915363">
        <w:t xml:space="preserve"> three times more likely to be admitted to hospital following attendance at A&amp;E</w:t>
      </w:r>
      <w:r>
        <w:t>.</w:t>
      </w:r>
    </w:p>
    <w:p w:rsidR="00F16C54" w:rsidRPr="00915363" w:rsidRDefault="00F16C54" w:rsidP="008921BF">
      <w:pPr>
        <w:pStyle w:val="ListParagraph"/>
        <w:numPr>
          <w:ilvl w:val="0"/>
          <w:numId w:val="75"/>
        </w:numPr>
        <w:tabs>
          <w:tab w:val="left" w:pos="9072"/>
        </w:tabs>
        <w:jc w:val="both"/>
      </w:pPr>
      <w:r w:rsidRPr="00915363">
        <w:t>Hip fractures prompt entry to a care home in up to 10% of cases</w:t>
      </w:r>
      <w:r>
        <w:t>.</w:t>
      </w:r>
    </w:p>
    <w:p w:rsidR="00F16C54" w:rsidRPr="00915363" w:rsidRDefault="00F16C54" w:rsidP="008921BF">
      <w:pPr>
        <w:pStyle w:val="ListParagraph"/>
        <w:numPr>
          <w:ilvl w:val="0"/>
          <w:numId w:val="75"/>
        </w:numPr>
        <w:tabs>
          <w:tab w:val="left" w:pos="9072"/>
        </w:tabs>
        <w:jc w:val="both"/>
      </w:pPr>
      <w:r w:rsidRPr="00915363">
        <w:t>The rate of alcohol related</w:t>
      </w:r>
      <w:r>
        <w:t xml:space="preserve"> hospital</w:t>
      </w:r>
      <w:r w:rsidRPr="00915363">
        <w:t xml:space="preserve"> admissions has steadily increased over a six year period</w:t>
      </w:r>
      <w:r>
        <w:t>.</w:t>
      </w:r>
    </w:p>
    <w:p w:rsidR="00F16C54" w:rsidRPr="00A4508C" w:rsidRDefault="00F16C54" w:rsidP="00F16C54">
      <w:pPr>
        <w:pStyle w:val="Heading2"/>
        <w:keepNext w:val="0"/>
        <w:keepLines w:val="0"/>
      </w:pPr>
      <w:bookmarkStart w:id="802" w:name="_Toc424218018"/>
      <w:bookmarkStart w:id="803" w:name="_Toc426723356"/>
      <w:bookmarkStart w:id="804" w:name="_Toc431225183"/>
      <w:r>
        <w:t>Strategic Needs</w:t>
      </w:r>
      <w:bookmarkEnd w:id="802"/>
      <w:bookmarkEnd w:id="803"/>
      <w:bookmarkEnd w:id="804"/>
    </w:p>
    <w:p w:rsidR="00F16C54" w:rsidRDefault="00F16C54" w:rsidP="008921BF">
      <w:pPr>
        <w:pStyle w:val="ListParagraph"/>
        <w:numPr>
          <w:ilvl w:val="0"/>
          <w:numId w:val="77"/>
        </w:numPr>
        <w:tabs>
          <w:tab w:val="left" w:pos="9072"/>
        </w:tabs>
        <w:jc w:val="both"/>
      </w:pPr>
      <w:r w:rsidRPr="00602B32">
        <w:t>Barnet has more than 100 care homes, with the highest number of residential beds in London,</w:t>
      </w:r>
      <w:r w:rsidRPr="00915363">
        <w:t xml:space="preserve"> leading to </w:t>
      </w:r>
      <w:r w:rsidRPr="007F0FD4">
        <w:rPr>
          <w:b/>
        </w:rPr>
        <w:t>a significant net import of residents with health needs</w:t>
      </w:r>
      <w:r w:rsidRPr="00915363">
        <w:t xml:space="preserve"> </w:t>
      </w:r>
      <w:r w:rsidRPr="007F0FD4">
        <w:rPr>
          <w:b/>
        </w:rPr>
        <w:t xml:space="preserve">moving to Barnet </w:t>
      </w:r>
      <w:r w:rsidRPr="00915363">
        <w:t>from other areas</w:t>
      </w:r>
      <w:r>
        <w:t>.</w:t>
      </w:r>
    </w:p>
    <w:p w:rsidR="00F16C54" w:rsidRPr="00915363" w:rsidRDefault="00F16C54" w:rsidP="008921BF">
      <w:pPr>
        <w:pStyle w:val="ListParagraph"/>
        <w:numPr>
          <w:ilvl w:val="0"/>
          <w:numId w:val="77"/>
        </w:numPr>
        <w:tabs>
          <w:tab w:val="left" w:pos="9072"/>
        </w:tabs>
        <w:jc w:val="both"/>
      </w:pPr>
      <w:r w:rsidRPr="00BD34B5">
        <w:rPr>
          <w:b/>
        </w:rPr>
        <w:t>Increasing levels of delayed</w:t>
      </w:r>
      <w:r w:rsidRPr="007F0FD4">
        <w:rPr>
          <w:b/>
        </w:rPr>
        <w:t xml:space="preserve"> discharges</w:t>
      </w:r>
      <w:r w:rsidRPr="00915363">
        <w:t>,</w:t>
      </w:r>
      <w:r>
        <w:t xml:space="preserve"> </w:t>
      </w:r>
      <w:r w:rsidRPr="00BD34B5">
        <w:rPr>
          <w:b/>
        </w:rPr>
        <w:t>place a</w:t>
      </w:r>
      <w:r w:rsidRPr="007F0FD4">
        <w:rPr>
          <w:b/>
        </w:rPr>
        <w:t>dded pressure on bed capacity and emergency admissions</w:t>
      </w:r>
      <w:r>
        <w:t>.</w:t>
      </w:r>
    </w:p>
    <w:p w:rsidR="00F16C54" w:rsidRPr="00915363" w:rsidRDefault="00F16C54" w:rsidP="008921BF">
      <w:pPr>
        <w:pStyle w:val="ListParagraph"/>
        <w:numPr>
          <w:ilvl w:val="0"/>
          <w:numId w:val="77"/>
        </w:numPr>
        <w:tabs>
          <w:tab w:val="left" w:pos="9072"/>
        </w:tabs>
        <w:jc w:val="both"/>
      </w:pPr>
      <w:r w:rsidRPr="00915363">
        <w:t xml:space="preserve">Need for the </w:t>
      </w:r>
      <w:r w:rsidRPr="007D2779">
        <w:rPr>
          <w:b/>
        </w:rPr>
        <w:t>development of high standard integrated out-of-hospital community services</w:t>
      </w:r>
      <w:r w:rsidRPr="00915363">
        <w:t>, with the ap</w:t>
      </w:r>
      <w:r>
        <w:t xml:space="preserve">propriate skills mix/capacity, </w:t>
      </w:r>
      <w:r w:rsidRPr="00915363">
        <w:t>available 24/7 to halt rising use of hospital care</w:t>
      </w:r>
      <w:r>
        <w:t>.</w:t>
      </w:r>
    </w:p>
    <w:p w:rsidR="00F16C54" w:rsidRPr="00915363" w:rsidRDefault="00F16C54" w:rsidP="008921BF">
      <w:pPr>
        <w:pStyle w:val="ListParagraph"/>
        <w:numPr>
          <w:ilvl w:val="0"/>
          <w:numId w:val="77"/>
        </w:numPr>
        <w:tabs>
          <w:tab w:val="left" w:pos="9072"/>
        </w:tabs>
        <w:jc w:val="both"/>
      </w:pPr>
      <w:r>
        <w:t xml:space="preserve">An </w:t>
      </w:r>
      <w:r w:rsidRPr="00BD34B5">
        <w:rPr>
          <w:b/>
        </w:rPr>
        <w:t>insufficient level of capacity outside of acute hospitals</w:t>
      </w:r>
      <w:r>
        <w:t xml:space="preserve"> is </w:t>
      </w:r>
      <w:r w:rsidRPr="00915363">
        <w:t xml:space="preserve">resulting in </w:t>
      </w:r>
      <w:r>
        <w:t xml:space="preserve">some </w:t>
      </w:r>
      <w:r w:rsidRPr="00915363">
        <w:t xml:space="preserve">patients </w:t>
      </w:r>
      <w:r>
        <w:t xml:space="preserve">having </w:t>
      </w:r>
      <w:r w:rsidRPr="00915363">
        <w:t>extended stay</w:t>
      </w:r>
      <w:r>
        <w:t>s</w:t>
      </w:r>
      <w:r w:rsidRPr="00915363">
        <w:t xml:space="preserve"> in acute</w:t>
      </w:r>
      <w:r>
        <w:t xml:space="preserve"> care.</w:t>
      </w:r>
    </w:p>
    <w:p w:rsidR="00F16C54" w:rsidRPr="00915363" w:rsidRDefault="00F16C54" w:rsidP="008921BF">
      <w:pPr>
        <w:pStyle w:val="ListParagraph"/>
        <w:numPr>
          <w:ilvl w:val="0"/>
          <w:numId w:val="77"/>
        </w:numPr>
        <w:tabs>
          <w:tab w:val="left" w:pos="9072"/>
        </w:tabs>
        <w:jc w:val="both"/>
      </w:pPr>
      <w:r w:rsidRPr="007F0FD4">
        <w:rPr>
          <w:b/>
        </w:rPr>
        <w:t>Increasing demand on urgent and emergency care</w:t>
      </w:r>
      <w:r w:rsidRPr="00915363">
        <w:t xml:space="preserve"> with Barnet A&amp;E activity recording an increase in 14/15 compared to 13/14</w:t>
      </w:r>
      <w:r>
        <w:t>.</w:t>
      </w:r>
    </w:p>
    <w:p w:rsidR="00F16C54" w:rsidRPr="00C53322" w:rsidRDefault="00F16C54" w:rsidP="008921BF">
      <w:pPr>
        <w:pStyle w:val="ListParagraph"/>
        <w:numPr>
          <w:ilvl w:val="0"/>
          <w:numId w:val="77"/>
        </w:numPr>
        <w:tabs>
          <w:tab w:val="left" w:pos="9072"/>
        </w:tabs>
        <w:jc w:val="both"/>
      </w:pPr>
      <w:r w:rsidRPr="007D2779">
        <w:rPr>
          <w:b/>
        </w:rPr>
        <w:t>Accident and Emergency (A&amp;E) patients waiting no longer than four hours from the time from booking in to either admissions to hospital or discharge</w:t>
      </w:r>
      <w:r w:rsidRPr="00C53322">
        <w:t>. Quarter 3 and Quarter 4 having missed the 95% national target (Q4 RFL 94.3%)</w:t>
      </w:r>
      <w:r>
        <w:t>.</w:t>
      </w:r>
    </w:p>
    <w:p w:rsidR="00F16C54" w:rsidRDefault="00F16C54" w:rsidP="008921BF">
      <w:pPr>
        <w:pStyle w:val="ListParagraph"/>
        <w:numPr>
          <w:ilvl w:val="0"/>
          <w:numId w:val="77"/>
        </w:numPr>
        <w:tabs>
          <w:tab w:val="left" w:pos="9072"/>
        </w:tabs>
        <w:jc w:val="both"/>
      </w:pPr>
      <w:r w:rsidRPr="00915363">
        <w:t>Limited capacity/inability to move patients onto rehabilitation pathways</w:t>
      </w:r>
      <w:r>
        <w:t>.</w:t>
      </w:r>
    </w:p>
    <w:p w:rsidR="00F16C54" w:rsidRDefault="00F16C54" w:rsidP="008921BF">
      <w:pPr>
        <w:pStyle w:val="ListParagraph"/>
        <w:numPr>
          <w:ilvl w:val="0"/>
          <w:numId w:val="77"/>
        </w:numPr>
        <w:tabs>
          <w:tab w:val="left" w:pos="9072"/>
        </w:tabs>
        <w:jc w:val="both"/>
      </w:pPr>
      <w:r w:rsidRPr="00915363">
        <w:t xml:space="preserve">Obesity growth in middle-age </w:t>
      </w:r>
      <w:r>
        <w:t xml:space="preserve">population (45-65) year olds places additional </w:t>
      </w:r>
      <w:r w:rsidRPr="00915363">
        <w:t>risk of</w:t>
      </w:r>
      <w:r>
        <w:t xml:space="preserve"> them</w:t>
      </w:r>
      <w:r w:rsidRPr="00915363">
        <w:t xml:space="preserve"> developing long-term conditions</w:t>
      </w:r>
      <w:r>
        <w:t>.</w:t>
      </w:r>
    </w:p>
    <w:p w:rsidR="00F16C54" w:rsidRDefault="00F16C54" w:rsidP="00F16C54">
      <w:r>
        <w:br w:type="page"/>
      </w:r>
    </w:p>
    <w:p w:rsidR="00F16C54" w:rsidRPr="00E7650E" w:rsidRDefault="00F16C54" w:rsidP="00F16C54">
      <w:pPr>
        <w:pStyle w:val="Heading2"/>
        <w:keepNext w:val="0"/>
        <w:keepLines w:val="0"/>
      </w:pPr>
      <w:bookmarkStart w:id="805" w:name="_Toc424218019"/>
      <w:bookmarkStart w:id="806" w:name="_Toc426723357"/>
      <w:bookmarkStart w:id="807" w:name="_Toc431225184"/>
      <w:r w:rsidRPr="00E7650E">
        <w:lastRenderedPageBreak/>
        <w:t xml:space="preserve">Barnet </w:t>
      </w:r>
      <w:r>
        <w:t>Clinical Commissioning Group (BCCG)</w:t>
      </w:r>
      <w:bookmarkEnd w:id="805"/>
      <w:bookmarkEnd w:id="806"/>
      <w:bookmarkEnd w:id="807"/>
    </w:p>
    <w:p w:rsidR="00F16C54" w:rsidRDefault="00F16C54" w:rsidP="00F16C54">
      <w:pPr>
        <w:tabs>
          <w:tab w:val="left" w:pos="9072"/>
        </w:tabs>
        <w:jc w:val="both"/>
      </w:pPr>
      <w:r w:rsidRPr="00915363">
        <w:t xml:space="preserve">Barnet Clinical </w:t>
      </w:r>
      <w:r>
        <w:t>Commissioning Group was authoris</w:t>
      </w:r>
      <w:r w:rsidRPr="00915363">
        <w:t xml:space="preserve">ed in April 2013 and has completed two years of operation. Barnet Clinical Commissioning Group is responsible for commissioning population-based general health care services for its registered population. It is made up of 67 GP practices. CCG governing body consists of 9 elected members (3 from each locality), 2 lay members, a secondary care consultant, a nurse, the Chief Officer and the </w:t>
      </w:r>
      <w:r>
        <w:t>F</w:t>
      </w:r>
      <w:r w:rsidRPr="00915363">
        <w:t>inancial Officer.</w:t>
      </w:r>
    </w:p>
    <w:p w:rsidR="00F16C54" w:rsidRPr="00915363" w:rsidRDefault="00F16C54" w:rsidP="00F16C54">
      <w:pPr>
        <w:tabs>
          <w:tab w:val="left" w:pos="9072"/>
        </w:tabs>
        <w:jc w:val="both"/>
      </w:pPr>
      <w:r w:rsidRPr="00723D68">
        <w:t>The healthcare system is facing the challenges of increasing demand and limited resources.</w:t>
      </w:r>
      <w:r w:rsidRPr="00915363">
        <w:t xml:space="preserve"> </w:t>
      </w:r>
      <w:r w:rsidR="00DD3A76">
        <w:t xml:space="preserve">Demand </w:t>
      </w:r>
      <w:r w:rsidR="00DD3A76" w:rsidRPr="00915363">
        <w:t>for</w:t>
      </w:r>
      <w:r w:rsidRPr="00915363">
        <w:t xml:space="preserve"> services will continue to grow fast</w:t>
      </w:r>
      <w:r w:rsidR="009850F5">
        <w:t xml:space="preserve">er than funding, meaning </w:t>
      </w:r>
      <w:r w:rsidR="00DD3A76">
        <w:t>that there</w:t>
      </w:r>
      <w:r w:rsidR="009850F5">
        <w:t xml:space="preserve"> is a need </w:t>
      </w:r>
      <w:r w:rsidRPr="00915363">
        <w:t xml:space="preserve">to innovate and transform the way </w:t>
      </w:r>
      <w:r w:rsidR="009850F5">
        <w:t>services are delivered</w:t>
      </w:r>
      <w:r w:rsidRPr="00915363">
        <w:t xml:space="preserve">, within the resources available, to ensure that </w:t>
      </w:r>
      <w:r w:rsidR="00DD3A76" w:rsidRPr="00915363">
        <w:t>patients,</w:t>
      </w:r>
      <w:r w:rsidR="00DD3A76">
        <w:t xml:space="preserve"> and </w:t>
      </w:r>
      <w:r w:rsidR="00DD3A76" w:rsidRPr="00915363">
        <w:t>their</w:t>
      </w:r>
      <w:r w:rsidRPr="00915363">
        <w:t xml:space="preserve"> needs, are always put first.</w:t>
      </w:r>
      <w:r w:rsidRPr="00915363">
        <w:rPr>
          <w:rStyle w:val="FootnoteReference"/>
        </w:rPr>
        <w:footnoteReference w:id="106"/>
      </w:r>
    </w:p>
    <w:p w:rsidR="00F16C54" w:rsidRPr="00915363" w:rsidRDefault="00F16C54" w:rsidP="00F16C54">
      <w:pPr>
        <w:pStyle w:val="Default"/>
        <w:tabs>
          <w:tab w:val="left" w:pos="9072"/>
        </w:tabs>
        <w:jc w:val="both"/>
        <w:rPr>
          <w:rFonts w:asciiTheme="minorHAnsi" w:eastAsiaTheme="minorEastAsia" w:hAnsiTheme="minorHAnsi" w:cstheme="minorBidi"/>
          <w:color w:val="auto"/>
          <w:sz w:val="22"/>
          <w:szCs w:val="22"/>
          <w:lang w:val="en-US" w:eastAsia="ja-JP"/>
        </w:rPr>
      </w:pPr>
      <w:r w:rsidRPr="00915363">
        <w:rPr>
          <w:rFonts w:asciiTheme="minorHAnsi" w:eastAsiaTheme="minorEastAsia" w:hAnsiTheme="minorHAnsi" w:cstheme="minorBidi"/>
          <w:color w:val="auto"/>
          <w:sz w:val="22"/>
          <w:szCs w:val="22"/>
          <w:lang w:val="en-US" w:eastAsia="ja-JP"/>
        </w:rPr>
        <w:t>B</w:t>
      </w:r>
      <w:r>
        <w:rPr>
          <w:rFonts w:asciiTheme="minorHAnsi" w:eastAsiaTheme="minorEastAsia" w:hAnsiTheme="minorHAnsi" w:cstheme="minorBidi"/>
          <w:color w:val="auto"/>
          <w:sz w:val="22"/>
          <w:szCs w:val="22"/>
          <w:lang w:val="en-US" w:eastAsia="ja-JP"/>
        </w:rPr>
        <w:t xml:space="preserve">arnet’s </w:t>
      </w:r>
      <w:r w:rsidRPr="00915363">
        <w:rPr>
          <w:rFonts w:asciiTheme="minorHAnsi" w:eastAsiaTheme="minorEastAsia" w:hAnsiTheme="minorHAnsi" w:cstheme="minorBidi"/>
          <w:color w:val="auto"/>
          <w:sz w:val="22"/>
          <w:szCs w:val="22"/>
          <w:lang w:val="en-US" w:eastAsia="ja-JP"/>
        </w:rPr>
        <w:t xml:space="preserve">CCG remains committed to </w:t>
      </w:r>
      <w:r w:rsidR="00DD3A76" w:rsidRPr="00915363">
        <w:rPr>
          <w:rFonts w:asciiTheme="minorHAnsi" w:eastAsiaTheme="minorEastAsia" w:hAnsiTheme="minorHAnsi" w:cstheme="minorBidi"/>
          <w:color w:val="auto"/>
          <w:sz w:val="22"/>
          <w:szCs w:val="22"/>
          <w:lang w:val="en-US" w:eastAsia="ja-JP"/>
        </w:rPr>
        <w:t>improvements</w:t>
      </w:r>
      <w:r w:rsidR="00DD3A76">
        <w:rPr>
          <w:rFonts w:asciiTheme="minorHAnsi" w:eastAsiaTheme="minorEastAsia" w:hAnsiTheme="minorHAnsi" w:cstheme="minorBidi"/>
          <w:color w:val="auto"/>
          <w:sz w:val="22"/>
          <w:szCs w:val="22"/>
          <w:lang w:val="en-US" w:eastAsia="ja-JP"/>
        </w:rPr>
        <w:t xml:space="preserve"> in</w:t>
      </w:r>
      <w:r>
        <w:rPr>
          <w:rFonts w:asciiTheme="minorHAnsi" w:eastAsiaTheme="minorEastAsia" w:hAnsiTheme="minorHAnsi" w:cstheme="minorBidi"/>
          <w:color w:val="auto"/>
          <w:sz w:val="22"/>
          <w:szCs w:val="22"/>
          <w:lang w:val="en-US" w:eastAsia="ja-JP"/>
        </w:rPr>
        <w:t xml:space="preserve"> </w:t>
      </w:r>
      <w:r w:rsidRPr="00915363">
        <w:rPr>
          <w:rFonts w:asciiTheme="minorHAnsi" w:eastAsiaTheme="minorEastAsia" w:hAnsiTheme="minorHAnsi" w:cstheme="minorBidi"/>
          <w:color w:val="auto"/>
          <w:sz w:val="22"/>
          <w:szCs w:val="22"/>
          <w:lang w:val="en-US" w:eastAsia="ja-JP"/>
        </w:rPr>
        <w:t xml:space="preserve">the health and </w:t>
      </w:r>
      <w:r>
        <w:rPr>
          <w:rFonts w:asciiTheme="minorHAnsi" w:eastAsiaTheme="minorEastAsia" w:hAnsiTheme="minorHAnsi" w:cstheme="minorBidi"/>
          <w:color w:val="auto"/>
          <w:sz w:val="22"/>
          <w:szCs w:val="22"/>
          <w:lang w:val="en-US" w:eastAsia="ja-JP"/>
        </w:rPr>
        <w:t>wellbeing</w:t>
      </w:r>
      <w:r w:rsidRPr="00915363">
        <w:rPr>
          <w:rFonts w:asciiTheme="minorHAnsi" w:eastAsiaTheme="minorEastAsia" w:hAnsiTheme="minorHAnsi" w:cstheme="minorBidi"/>
          <w:color w:val="auto"/>
          <w:sz w:val="22"/>
          <w:szCs w:val="22"/>
          <w:lang w:val="en-US" w:eastAsia="ja-JP"/>
        </w:rPr>
        <w:t xml:space="preserve"> of the local population by focusing on preventative services, reducing health inequalities, meeting of NHS Constitutional commitments and enabling the population to take respons</w:t>
      </w:r>
      <w:r>
        <w:rPr>
          <w:rFonts w:asciiTheme="minorHAnsi" w:eastAsiaTheme="minorEastAsia" w:hAnsiTheme="minorHAnsi" w:cstheme="minorBidi"/>
          <w:color w:val="auto"/>
          <w:sz w:val="22"/>
          <w:szCs w:val="22"/>
          <w:lang w:val="en-US" w:eastAsia="ja-JP"/>
        </w:rPr>
        <w:t xml:space="preserve">ibility for their own health. </w:t>
      </w:r>
    </w:p>
    <w:p w:rsidR="00F16C54" w:rsidRPr="00915363" w:rsidRDefault="00F16C54" w:rsidP="00F16C54">
      <w:pPr>
        <w:pStyle w:val="Heading2"/>
        <w:keepNext w:val="0"/>
        <w:keepLines w:val="0"/>
      </w:pPr>
      <w:bookmarkStart w:id="808" w:name="_Toc424218020"/>
      <w:bookmarkStart w:id="809" w:name="_Toc426723358"/>
      <w:bookmarkStart w:id="810" w:name="_Toc431225185"/>
      <w:r w:rsidRPr="00915363">
        <w:t xml:space="preserve">Health </w:t>
      </w:r>
      <w:r w:rsidR="0050457E">
        <w:t>I</w:t>
      </w:r>
      <w:r w:rsidRPr="00915363">
        <w:t xml:space="preserve">nequalities in </w:t>
      </w:r>
      <w:r>
        <w:t>B</w:t>
      </w:r>
      <w:r w:rsidRPr="00915363">
        <w:t>arnet</w:t>
      </w:r>
      <w:bookmarkEnd w:id="808"/>
      <w:bookmarkEnd w:id="809"/>
      <w:bookmarkEnd w:id="810"/>
    </w:p>
    <w:p w:rsidR="00F16C54" w:rsidRPr="00915363" w:rsidRDefault="00F16C54" w:rsidP="00F16C54">
      <w:pPr>
        <w:tabs>
          <w:tab w:val="left" w:pos="9072"/>
        </w:tabs>
        <w:jc w:val="both"/>
      </w:pPr>
      <w:r w:rsidRPr="00915363">
        <w:t xml:space="preserve">Health inequalities refer to the differences in health experiences and outcomes between individuals or groups </w:t>
      </w:r>
      <w:r>
        <w:t>where they are</w:t>
      </w:r>
      <w:r w:rsidRPr="00915363">
        <w:t xml:space="preserve"> avoidable and, therefore, not justifiable.</w:t>
      </w:r>
    </w:p>
    <w:p w:rsidR="00F16C54" w:rsidRPr="00915363" w:rsidRDefault="00F16C54" w:rsidP="00F16C54">
      <w:pPr>
        <w:tabs>
          <w:tab w:val="left" w:pos="9072"/>
        </w:tabs>
        <w:jc w:val="both"/>
      </w:pPr>
      <w:r w:rsidRPr="00511AB4">
        <w:t xml:space="preserve">Current </w:t>
      </w:r>
      <w:r w:rsidR="00DD3A76" w:rsidRPr="00511AB4">
        <w:t>evidence indicates</w:t>
      </w:r>
      <w:r w:rsidRPr="00511AB4">
        <w:t xml:space="preserve"> that inequalities in health persist and the gap in life expectancy between the most and least deprived people in England has not narrowed over time. </w:t>
      </w:r>
      <w:r>
        <w:t>In Barnet m</w:t>
      </w:r>
      <w:r w:rsidRPr="00511AB4">
        <w:t xml:space="preserve">ales in the most deprived areas </w:t>
      </w:r>
      <w:r w:rsidR="00DD3A76">
        <w:t xml:space="preserve">have </w:t>
      </w:r>
      <w:r w:rsidR="00DD3A76" w:rsidRPr="00511AB4">
        <w:t>a</w:t>
      </w:r>
      <w:r w:rsidRPr="00511AB4">
        <w:t xml:space="preserve"> life expectancy 9.1 years </w:t>
      </w:r>
      <w:r>
        <w:t>less</w:t>
      </w:r>
      <w:r w:rsidRPr="00511AB4">
        <w:t xml:space="preserve"> than those in the least deprived areas; </w:t>
      </w:r>
      <w:r w:rsidR="00DD3A76">
        <w:t xml:space="preserve">for </w:t>
      </w:r>
      <w:r w:rsidR="00DD3A76" w:rsidRPr="00511AB4">
        <w:t>females</w:t>
      </w:r>
      <w:r w:rsidRPr="00511AB4">
        <w:t xml:space="preserve"> the equivalent figure is 6.8 years.</w:t>
      </w:r>
    </w:p>
    <w:p w:rsidR="00F16C54" w:rsidRPr="00177B28" w:rsidRDefault="00F16C54" w:rsidP="00F16C54">
      <w:pPr>
        <w:tabs>
          <w:tab w:val="left" w:pos="9072"/>
        </w:tabs>
        <w:jc w:val="both"/>
      </w:pPr>
      <w:r w:rsidRPr="00177B28">
        <w:t xml:space="preserve">Whilst there are limitations in available evidence linking the differences in socio-economic inequalities and survival rates from cancer and </w:t>
      </w:r>
      <w:r w:rsidR="00DD3A76" w:rsidRPr="00177B28">
        <w:t>disease in</w:t>
      </w:r>
      <w:r w:rsidRPr="00177B28">
        <w:t xml:space="preserve"> general, it is clear from international studies and evidence that people from more deprived groups tend to</w:t>
      </w:r>
      <w:r>
        <w:rPr>
          <w:rStyle w:val="FootnoteReference"/>
        </w:rPr>
        <w:footnoteReference w:id="107"/>
      </w:r>
      <w:r w:rsidRPr="00177B28">
        <w:t>:</w:t>
      </w:r>
    </w:p>
    <w:p w:rsidR="00F16C54" w:rsidRPr="00177B28" w:rsidRDefault="00F16C54" w:rsidP="008921BF">
      <w:pPr>
        <w:pStyle w:val="ListParagraph"/>
        <w:numPr>
          <w:ilvl w:val="0"/>
          <w:numId w:val="85"/>
        </w:numPr>
        <w:tabs>
          <w:tab w:val="left" w:pos="9072"/>
        </w:tabs>
        <w:spacing w:after="180"/>
        <w:jc w:val="both"/>
      </w:pPr>
      <w:r w:rsidRPr="00177B28">
        <w:t>Have higher incidence of cancer;</w:t>
      </w:r>
    </w:p>
    <w:p w:rsidR="00F16C54" w:rsidRPr="00177B28" w:rsidRDefault="00F16C54" w:rsidP="008921BF">
      <w:pPr>
        <w:pStyle w:val="ListParagraph"/>
        <w:numPr>
          <w:ilvl w:val="0"/>
          <w:numId w:val="85"/>
        </w:numPr>
        <w:tabs>
          <w:tab w:val="left" w:pos="9072"/>
        </w:tabs>
        <w:spacing w:after="180"/>
        <w:jc w:val="both"/>
      </w:pPr>
      <w:r w:rsidRPr="00177B28">
        <w:t>Be diagnosed later; and</w:t>
      </w:r>
    </w:p>
    <w:p w:rsidR="00F16C54" w:rsidRPr="00177B28" w:rsidRDefault="00F16C54" w:rsidP="008921BF">
      <w:pPr>
        <w:pStyle w:val="ListParagraph"/>
        <w:numPr>
          <w:ilvl w:val="0"/>
          <w:numId w:val="85"/>
        </w:numPr>
        <w:tabs>
          <w:tab w:val="left" w:pos="9072"/>
        </w:tabs>
        <w:spacing w:after="180"/>
        <w:jc w:val="both"/>
      </w:pPr>
      <w:r w:rsidRPr="00177B28">
        <w:t>Have less treatment and have poorer outcomes.</w:t>
      </w:r>
    </w:p>
    <w:p w:rsidR="00F16C54" w:rsidRDefault="00F16C54" w:rsidP="00F16C54">
      <w:pPr>
        <w:pStyle w:val="Heading3"/>
        <w:keepNext w:val="0"/>
        <w:keepLines w:val="0"/>
        <w:spacing w:line="271" w:lineRule="auto"/>
      </w:pPr>
      <w:r w:rsidRPr="00915363">
        <w:t xml:space="preserve">Health </w:t>
      </w:r>
      <w:r w:rsidR="0050457E">
        <w:t>I</w:t>
      </w:r>
      <w:r w:rsidRPr="00915363">
        <w:t>nequalities in Barnet</w:t>
      </w:r>
    </w:p>
    <w:p w:rsidR="00F16C54" w:rsidRDefault="00F16C54" w:rsidP="00F16C54">
      <w:pPr>
        <w:tabs>
          <w:tab w:val="left" w:pos="9072"/>
        </w:tabs>
        <w:spacing w:after="180"/>
        <w:jc w:val="both"/>
      </w:pPr>
      <w:r>
        <w:t xml:space="preserve">Within Barnet, the groups that have been identified as experiencing the health </w:t>
      </w:r>
      <w:r w:rsidR="00DD3A76">
        <w:t>inequalities</w:t>
      </w:r>
      <w:r>
        <w:t xml:space="preserve"> are: </w:t>
      </w:r>
    </w:p>
    <w:p w:rsidR="00F16C54" w:rsidRPr="00511AB4" w:rsidRDefault="00F16C54" w:rsidP="008921BF">
      <w:pPr>
        <w:pStyle w:val="ListParagraph"/>
        <w:numPr>
          <w:ilvl w:val="0"/>
          <w:numId w:val="85"/>
        </w:numPr>
        <w:tabs>
          <w:tab w:val="left" w:pos="9072"/>
        </w:tabs>
        <w:spacing w:after="180"/>
        <w:jc w:val="both"/>
      </w:pPr>
      <w:r w:rsidRPr="00865F27">
        <w:t>Obesity and the related conditions for adults, children and young people</w:t>
      </w:r>
      <w:r w:rsidRPr="00511AB4">
        <w:t>;</w:t>
      </w:r>
    </w:p>
    <w:p w:rsidR="00F16C54" w:rsidRPr="00915363" w:rsidRDefault="00F16C54" w:rsidP="008921BF">
      <w:pPr>
        <w:pStyle w:val="ListParagraph"/>
        <w:numPr>
          <w:ilvl w:val="0"/>
          <w:numId w:val="76"/>
        </w:numPr>
        <w:tabs>
          <w:tab w:val="left" w:pos="9072"/>
        </w:tabs>
        <w:jc w:val="both"/>
      </w:pPr>
      <w:r w:rsidRPr="00915363">
        <w:t>Mental health and learning disability</w:t>
      </w:r>
      <w:r>
        <w:t>;</w:t>
      </w:r>
    </w:p>
    <w:p w:rsidR="00F16C54" w:rsidRPr="00915363" w:rsidRDefault="00F16C54" w:rsidP="008921BF">
      <w:pPr>
        <w:pStyle w:val="ListParagraph"/>
        <w:numPr>
          <w:ilvl w:val="0"/>
          <w:numId w:val="76"/>
        </w:numPr>
        <w:tabs>
          <w:tab w:val="left" w:pos="9072"/>
        </w:tabs>
        <w:jc w:val="both"/>
      </w:pPr>
      <w:r w:rsidRPr="00915363">
        <w:t>Long-term conditions</w:t>
      </w:r>
      <w:r>
        <w:t>;</w:t>
      </w:r>
    </w:p>
    <w:p w:rsidR="00F16C54" w:rsidRPr="00915363" w:rsidRDefault="00F16C54" w:rsidP="008921BF">
      <w:pPr>
        <w:pStyle w:val="ListParagraph"/>
        <w:numPr>
          <w:ilvl w:val="0"/>
          <w:numId w:val="76"/>
        </w:numPr>
        <w:tabs>
          <w:tab w:val="left" w:pos="9072"/>
        </w:tabs>
        <w:jc w:val="both"/>
      </w:pPr>
      <w:r w:rsidRPr="00915363">
        <w:t>Integrated care</w:t>
      </w:r>
      <w:r>
        <w:t>;</w:t>
      </w:r>
    </w:p>
    <w:p w:rsidR="00F16C54" w:rsidRPr="00915363" w:rsidRDefault="00F16C54" w:rsidP="008921BF">
      <w:pPr>
        <w:pStyle w:val="ListParagraph"/>
        <w:numPr>
          <w:ilvl w:val="0"/>
          <w:numId w:val="76"/>
        </w:numPr>
        <w:tabs>
          <w:tab w:val="left" w:pos="9072"/>
        </w:tabs>
        <w:jc w:val="both"/>
      </w:pPr>
      <w:r w:rsidRPr="00915363">
        <w:t>Primary care development</w:t>
      </w:r>
      <w:r>
        <w:t>;</w:t>
      </w:r>
    </w:p>
    <w:p w:rsidR="00F16C54" w:rsidRPr="00915363" w:rsidRDefault="00F16C54" w:rsidP="008921BF">
      <w:pPr>
        <w:pStyle w:val="ListParagraph"/>
        <w:numPr>
          <w:ilvl w:val="0"/>
          <w:numId w:val="76"/>
        </w:numPr>
        <w:tabs>
          <w:tab w:val="left" w:pos="9072"/>
        </w:tabs>
        <w:jc w:val="both"/>
      </w:pPr>
      <w:r w:rsidRPr="00915363">
        <w:t>Diabetes mellitus</w:t>
      </w:r>
      <w:r>
        <w:t>;</w:t>
      </w:r>
      <w:r w:rsidRPr="00915363">
        <w:t xml:space="preserve"> and </w:t>
      </w:r>
    </w:p>
    <w:p w:rsidR="00F16C54" w:rsidRPr="00915363" w:rsidRDefault="00F16C54" w:rsidP="008921BF">
      <w:pPr>
        <w:pStyle w:val="ListParagraph"/>
        <w:numPr>
          <w:ilvl w:val="0"/>
          <w:numId w:val="76"/>
        </w:numPr>
        <w:tabs>
          <w:tab w:val="left" w:pos="9072"/>
        </w:tabs>
        <w:jc w:val="both"/>
      </w:pPr>
      <w:r w:rsidRPr="00915363">
        <w:t>Conditions attributable to cold weather</w:t>
      </w:r>
      <w:r>
        <w:t>.</w:t>
      </w:r>
    </w:p>
    <w:p w:rsidR="00F16C54" w:rsidRPr="00915363" w:rsidRDefault="00F16C54" w:rsidP="00F16C54">
      <w:pPr>
        <w:pStyle w:val="Heading3"/>
        <w:keepNext w:val="0"/>
        <w:keepLines w:val="0"/>
        <w:spacing w:line="271" w:lineRule="auto"/>
      </w:pPr>
      <w:r>
        <w:t>Reducing Health Inequalities</w:t>
      </w:r>
    </w:p>
    <w:p w:rsidR="00F16C54" w:rsidRPr="00511AB4" w:rsidRDefault="00F16C54" w:rsidP="00F16C54">
      <w:pPr>
        <w:tabs>
          <w:tab w:val="left" w:pos="9072"/>
        </w:tabs>
        <w:jc w:val="both"/>
      </w:pPr>
      <w:r w:rsidRPr="00511AB4">
        <w:lastRenderedPageBreak/>
        <w:t>Fair Society, Healthy Lives proposed an approach of “proportionate universalism by which actions are focused on the needs of the most vulnerable groups. Healthy Lives proposed an approach of “proportionate universalism”</w:t>
      </w:r>
      <w:r>
        <w:t xml:space="preserve"> </w:t>
      </w:r>
      <w:r>
        <w:rPr>
          <w:rStyle w:val="FootnoteReference"/>
        </w:rPr>
        <w:footnoteReference w:id="108"/>
      </w:r>
      <w:r w:rsidRPr="00511AB4">
        <w:t xml:space="preserve"> by which actions to address health inequalities are universal, but with a scale and intensity proportionate to the level of disadvantage health and healthcare.</w:t>
      </w:r>
    </w:p>
    <w:p w:rsidR="00F16C54" w:rsidRPr="00915363" w:rsidRDefault="00F16C54" w:rsidP="00F16C54">
      <w:pPr>
        <w:pStyle w:val="Heading2"/>
        <w:keepNext w:val="0"/>
        <w:keepLines w:val="0"/>
      </w:pPr>
      <w:bookmarkStart w:id="811" w:name="_Toc424218021"/>
      <w:bookmarkStart w:id="812" w:name="_Toc426723359"/>
      <w:bookmarkStart w:id="813" w:name="_Toc431225186"/>
      <w:r>
        <w:t>Long T</w:t>
      </w:r>
      <w:r w:rsidRPr="00915363">
        <w:t>erm</w:t>
      </w:r>
      <w:r>
        <w:t xml:space="preserve"> Conditions and Integrated Care</w:t>
      </w:r>
      <w:bookmarkEnd w:id="811"/>
      <w:bookmarkEnd w:id="812"/>
      <w:bookmarkEnd w:id="813"/>
    </w:p>
    <w:p w:rsidR="00F16C54" w:rsidRPr="00915363" w:rsidRDefault="00F16C54" w:rsidP="00F16C54">
      <w:pPr>
        <w:tabs>
          <w:tab w:val="left" w:pos="9072"/>
        </w:tabs>
        <w:jc w:val="both"/>
      </w:pPr>
      <w:r w:rsidRPr="00915363">
        <w:t xml:space="preserve">The Health and Social Care Act, 2012 created a duty for Clinical Commissioning Groups, NHS England and Monitor to promote integrated services for patients between the NHS and social care (and other local services) where </w:t>
      </w:r>
      <w:r>
        <w:t xml:space="preserve">this </w:t>
      </w:r>
      <w:r w:rsidRPr="00915363">
        <w:t>would improve quality or reduce inequalities of access and outcome.</w:t>
      </w:r>
      <w:r w:rsidRPr="00915363">
        <w:rPr>
          <w:rStyle w:val="FootnoteReference"/>
        </w:rPr>
        <w:footnoteReference w:id="109"/>
      </w:r>
    </w:p>
    <w:p w:rsidR="00F16C54" w:rsidRPr="00915363" w:rsidRDefault="00F16C54" w:rsidP="00F16C54">
      <w:pPr>
        <w:tabs>
          <w:tab w:val="left" w:pos="9072"/>
        </w:tabs>
        <w:jc w:val="both"/>
      </w:pPr>
      <w:r w:rsidRPr="00915363">
        <w:t>The Act further introduced public health and health improvement responsibilities for local authorities, including the responsibilities for promoting partnership working through the Joint Health and Wellbeing Board.</w:t>
      </w:r>
    </w:p>
    <w:p w:rsidR="00F16C54" w:rsidRPr="00915363" w:rsidRDefault="00F16C54" w:rsidP="00F16C54">
      <w:pPr>
        <w:tabs>
          <w:tab w:val="left" w:pos="9072"/>
        </w:tabs>
        <w:jc w:val="both"/>
      </w:pPr>
      <w:r w:rsidRPr="00915363">
        <w:t>Barnet’s Integrated Care model reflects partnership working with the local authority designed to support local population throughout all stages of their lives, with a focus on older people and those with long-term conditions, with a view to the delivery of improved care coordination, supported early discharge from hospital, rapid response and promotion of self-care.</w:t>
      </w:r>
    </w:p>
    <w:p w:rsidR="00F16C54" w:rsidRPr="00915363" w:rsidRDefault="00F16C54" w:rsidP="00F16C54">
      <w:pPr>
        <w:pStyle w:val="Heading3"/>
        <w:keepNext w:val="0"/>
        <w:keepLines w:val="0"/>
        <w:spacing w:line="271" w:lineRule="auto"/>
      </w:pPr>
      <w:r>
        <w:t>Integrated Care</w:t>
      </w:r>
    </w:p>
    <w:p w:rsidR="00F16C54" w:rsidRPr="00065F73" w:rsidRDefault="00F16C54" w:rsidP="00F16C54">
      <w:pPr>
        <w:tabs>
          <w:tab w:val="left" w:pos="9072"/>
        </w:tabs>
        <w:spacing w:after="180"/>
        <w:jc w:val="both"/>
      </w:pPr>
      <w:r w:rsidRPr="00065F73">
        <w:t xml:space="preserve">Long term conditions are health conditions that last a year or longer, impact on a person's life, and may require on-going care and support. These include diabetes, chronic obstructive pulmonary disease, heart diseases and musculoskeletal disease. </w:t>
      </w:r>
    </w:p>
    <w:p w:rsidR="00F16C54" w:rsidRPr="00065F73" w:rsidRDefault="00F16C54" w:rsidP="00F16C54">
      <w:pPr>
        <w:tabs>
          <w:tab w:val="left" w:pos="9072"/>
        </w:tabs>
        <w:spacing w:after="180"/>
        <w:jc w:val="both"/>
      </w:pPr>
      <w:r w:rsidRPr="00065F73">
        <w:t xml:space="preserve">It is projected that by 2018 the number of people </w:t>
      </w:r>
      <w:r>
        <w:t xml:space="preserve">in the UK </w:t>
      </w:r>
      <w:r w:rsidRPr="00065F73">
        <w:t>with three or more long-term conditions is expected to rise to 2.9 million, compared to 1.9 million in 2008 (Department of Health 2012). Current evidence suggests that the number of conditions a patient has can be a greater determinant of a patient’s use of health services than the specific service (Barnett et al 2012).</w:t>
      </w:r>
    </w:p>
    <w:p w:rsidR="00F16C54" w:rsidRPr="00065F73" w:rsidRDefault="00F16C54" w:rsidP="00F16C54">
      <w:pPr>
        <w:tabs>
          <w:tab w:val="left" w:pos="9072"/>
        </w:tabs>
        <w:spacing w:after="180"/>
        <w:jc w:val="both"/>
      </w:pPr>
      <w:r w:rsidRPr="00065F73">
        <w:t>With the present levels of obesity and the estimated increases in the size of the population, the number of cases of diabetes is set to rise dramatically. Increasing prevalence of long term conditions, particularly diabetes, chronic cardiac conditions and dementia will severely stretch the emergency and hospital services unless better management in the community is achieved.</w:t>
      </w:r>
    </w:p>
    <w:p w:rsidR="00F16C54" w:rsidRPr="00915363" w:rsidRDefault="00F16C54" w:rsidP="00F16C54">
      <w:pPr>
        <w:tabs>
          <w:tab w:val="left" w:pos="9072"/>
        </w:tabs>
        <w:jc w:val="both"/>
        <w:rPr>
          <w:b/>
        </w:rPr>
      </w:pPr>
      <w:r w:rsidRPr="00065F73">
        <w:t>Many people with long term conditions are often at risk of deteriorating health, reduced wellbeing and lack of independence. This can lead to an increase in hospital admissions, more extensive involvement of health/social care and reduction in control of their own lives</w:t>
      </w:r>
    </w:p>
    <w:p w:rsidR="00F16C54" w:rsidRPr="00915363" w:rsidRDefault="00F16C54" w:rsidP="00F16C54">
      <w:pPr>
        <w:pStyle w:val="Heading2"/>
        <w:keepNext w:val="0"/>
        <w:keepLines w:val="0"/>
      </w:pPr>
      <w:bookmarkStart w:id="814" w:name="_Toc424218022"/>
      <w:bookmarkStart w:id="815" w:name="_Toc426723360"/>
      <w:bookmarkStart w:id="816" w:name="_Toc431225187"/>
      <w:r>
        <w:t>Hospital and Residential Care</w:t>
      </w:r>
      <w:bookmarkEnd w:id="814"/>
      <w:bookmarkEnd w:id="815"/>
      <w:bookmarkEnd w:id="816"/>
    </w:p>
    <w:p w:rsidR="00F16C54" w:rsidRDefault="00F16C54" w:rsidP="00F16C54">
      <w:pPr>
        <w:tabs>
          <w:tab w:val="left" w:pos="9072"/>
        </w:tabs>
        <w:jc w:val="both"/>
      </w:pPr>
      <w:r w:rsidRPr="00915363">
        <w:t xml:space="preserve">Barnet has the highest number of requests for emergency/urgent ambulance conveyance to hospital out of all London </w:t>
      </w:r>
      <w:r>
        <w:t>Borough</w:t>
      </w:r>
      <w:r w:rsidRPr="00915363">
        <w:t>s from care homes; a total of 1133 ambulance requests for conveyance were made within the first 6 months of 2013 of these calls 12% were not conveyed.</w:t>
      </w:r>
    </w:p>
    <w:p w:rsidR="00F16C54" w:rsidRPr="00915363" w:rsidRDefault="00F16C54" w:rsidP="00F16C54">
      <w:pPr>
        <w:tabs>
          <w:tab w:val="left" w:pos="9072"/>
        </w:tabs>
        <w:jc w:val="both"/>
      </w:pPr>
      <w:r w:rsidRPr="00915363">
        <w:lastRenderedPageBreak/>
        <w:t xml:space="preserve">Compared to other </w:t>
      </w:r>
      <w:r>
        <w:t>Borough</w:t>
      </w:r>
      <w:r w:rsidRPr="00915363">
        <w:t xml:space="preserve">s Barnet has a high proportion of care homes. There are 85 residential and 21 nursing homes in Barnet registered with the Care Quality Commission. In total, these homes provide approximately 2,800 beds for a range of older people and younger people with disabilities. </w:t>
      </w:r>
    </w:p>
    <w:p w:rsidR="00F16C54" w:rsidRDefault="00F16C54" w:rsidP="00F16C54">
      <w:pPr>
        <w:tabs>
          <w:tab w:val="left" w:pos="9072"/>
        </w:tabs>
        <w:autoSpaceDE w:val="0"/>
        <w:autoSpaceDN w:val="0"/>
        <w:adjustRightInd w:val="0"/>
        <w:spacing w:after="0" w:line="240" w:lineRule="auto"/>
        <w:jc w:val="both"/>
      </w:pPr>
      <w:r w:rsidRPr="00915363">
        <w:t xml:space="preserve">Barnet Clinical Commissioning Group and the London </w:t>
      </w:r>
      <w:r>
        <w:t>Borough</w:t>
      </w:r>
      <w:r w:rsidRPr="00915363">
        <w:t xml:space="preserve"> of Barnet have been working together to give greater numbers of people in Barnet, of all ages, the opportunity to live healthy, active lives; to help prevent avoidable illnesses, and to manage long term conditions more effectively. Barnet’s approach </w:t>
      </w:r>
      <w:r w:rsidR="00DD3A76">
        <w:t xml:space="preserve">focuses </w:t>
      </w:r>
      <w:r w:rsidR="00DD3A76" w:rsidRPr="00915363">
        <w:t>on</w:t>
      </w:r>
      <w:r w:rsidRPr="00915363">
        <w:t xml:space="preserve"> the </w:t>
      </w:r>
      <w:r>
        <w:t xml:space="preserve">65 and </w:t>
      </w:r>
      <w:r w:rsidR="00DD3A76">
        <w:t xml:space="preserve">over </w:t>
      </w:r>
      <w:r w:rsidR="00DD3A76" w:rsidRPr="00915363">
        <w:t>which</w:t>
      </w:r>
      <w:r w:rsidRPr="00915363">
        <w:t xml:space="preserve"> is set to </w:t>
      </w:r>
      <w:r w:rsidRPr="00511AB4">
        <w:t>rise by 21%</w:t>
      </w:r>
      <w:r w:rsidRPr="00915363">
        <w:t xml:space="preserve"> over the next 10 years. </w:t>
      </w:r>
    </w:p>
    <w:p w:rsidR="00F16C54" w:rsidRDefault="00F16C54" w:rsidP="00F16C54">
      <w:pPr>
        <w:tabs>
          <w:tab w:val="left" w:pos="9072"/>
        </w:tabs>
        <w:autoSpaceDE w:val="0"/>
        <w:autoSpaceDN w:val="0"/>
        <w:adjustRightInd w:val="0"/>
        <w:spacing w:after="0" w:line="240" w:lineRule="auto"/>
        <w:jc w:val="both"/>
      </w:pPr>
    </w:p>
    <w:p w:rsidR="00F16C54" w:rsidRDefault="00F16C54" w:rsidP="00F16C54">
      <w:pPr>
        <w:pStyle w:val="Caption"/>
      </w:pPr>
      <w:r>
        <w:t xml:space="preserve">Figure </w:t>
      </w:r>
      <w:fldSimple w:instr=" STYLEREF 1 \s ">
        <w:r w:rsidR="001663C2">
          <w:rPr>
            <w:noProof/>
          </w:rPr>
          <w:t>7</w:t>
        </w:r>
      </w:fldSimple>
      <w:r w:rsidR="00943DC2">
        <w:noBreakHyphen/>
      </w:r>
      <w:fldSimple w:instr=" SEQ Figure \* ARABIC \s 1 ">
        <w:r w:rsidR="001663C2">
          <w:rPr>
            <w:noProof/>
          </w:rPr>
          <w:t>1</w:t>
        </w:r>
      </w:fldSimple>
      <w:r>
        <w:t>: Inpatient Spend for those Aged 75+</w:t>
      </w:r>
    </w:p>
    <w:p w:rsidR="00F16C54" w:rsidRDefault="00F16C54" w:rsidP="00F16C54">
      <w:pPr>
        <w:tabs>
          <w:tab w:val="left" w:pos="9072"/>
        </w:tabs>
        <w:autoSpaceDE w:val="0"/>
        <w:autoSpaceDN w:val="0"/>
        <w:adjustRightInd w:val="0"/>
        <w:spacing w:after="0" w:line="240" w:lineRule="auto"/>
        <w:jc w:val="both"/>
      </w:pPr>
      <w:r>
        <w:rPr>
          <w:noProof/>
          <w:lang w:eastAsia="en-GB"/>
        </w:rPr>
        <w:drawing>
          <wp:inline distT="0" distB="0" distL="0" distR="0" wp14:anchorId="47E3A24A" wp14:editId="02D5DC1C">
            <wp:extent cx="5915025" cy="3486150"/>
            <wp:effectExtent l="0" t="0" r="9525" b="0"/>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extLst>
                        <a:ext uri="{28A0092B-C50C-407E-A947-70E740481C1C}">
                          <a14:useLocalDpi xmlns:a14="http://schemas.microsoft.com/office/drawing/2010/main" val="0"/>
                        </a:ext>
                      </a:extLst>
                    </a:blip>
                    <a:srcRect l="17182" t="18884" r="18426" b="17052"/>
                    <a:stretch/>
                  </pic:blipFill>
                  <pic:spPr bwMode="auto">
                    <a:xfrm>
                      <a:off x="0" y="0"/>
                      <a:ext cx="5915025" cy="3486150"/>
                    </a:xfrm>
                    <a:prstGeom prst="rect">
                      <a:avLst/>
                    </a:prstGeom>
                    <a:ln>
                      <a:noFill/>
                    </a:ln>
                    <a:extLst>
                      <a:ext uri="{53640926-AAD7-44D8-BBD7-CCE9431645EC}">
                        <a14:shadowObscured xmlns:a14="http://schemas.microsoft.com/office/drawing/2010/main"/>
                      </a:ext>
                    </a:extLst>
                  </pic:spPr>
                </pic:pic>
              </a:graphicData>
            </a:graphic>
          </wp:inline>
        </w:drawing>
      </w:r>
    </w:p>
    <w:p w:rsidR="00F16C54" w:rsidRDefault="00F16C54" w:rsidP="00F16C54">
      <w:pPr>
        <w:tabs>
          <w:tab w:val="left" w:pos="9072"/>
        </w:tabs>
        <w:autoSpaceDE w:val="0"/>
        <w:autoSpaceDN w:val="0"/>
        <w:adjustRightInd w:val="0"/>
        <w:spacing w:after="0" w:line="240" w:lineRule="auto"/>
        <w:jc w:val="both"/>
      </w:pPr>
    </w:p>
    <w:p w:rsidR="00F16C54" w:rsidRPr="00915363" w:rsidRDefault="00F16C54" w:rsidP="00F16C54">
      <w:pPr>
        <w:pStyle w:val="Heading2"/>
        <w:keepNext w:val="0"/>
        <w:keepLines w:val="0"/>
      </w:pPr>
      <w:bookmarkStart w:id="817" w:name="_Toc424218023"/>
      <w:bookmarkStart w:id="818" w:name="_Toc426723361"/>
      <w:bookmarkStart w:id="819" w:name="_Toc431225188"/>
      <w:r>
        <w:t>Emergency Admissions</w:t>
      </w:r>
      <w:bookmarkEnd w:id="817"/>
      <w:bookmarkEnd w:id="818"/>
      <w:bookmarkEnd w:id="819"/>
    </w:p>
    <w:p w:rsidR="00F16C54" w:rsidRDefault="00F16C54" w:rsidP="00F16C54">
      <w:pPr>
        <w:tabs>
          <w:tab w:val="left" w:pos="9072"/>
        </w:tabs>
        <w:autoSpaceDE w:val="0"/>
        <w:autoSpaceDN w:val="0"/>
        <w:adjustRightInd w:val="0"/>
        <w:spacing w:after="0" w:line="240" w:lineRule="auto"/>
        <w:jc w:val="both"/>
      </w:pPr>
      <w:r w:rsidRPr="00915363">
        <w:t>Emergency admissions account for more than 70% of hospital bed days</w:t>
      </w:r>
      <w:r>
        <w:rPr>
          <w:rStyle w:val="FootnoteReference"/>
        </w:rPr>
        <w:footnoteReference w:id="110"/>
      </w:r>
      <w:r>
        <w:t>.</w:t>
      </w:r>
      <w:r w:rsidRPr="00915363">
        <w:t xml:space="preserve"> Factors that have been associated with increased rates of admissions are age, social deprivation, morbidity levels, living in an urban area, ethnicity and environmental factors</w:t>
      </w:r>
      <w:r>
        <w:rPr>
          <w:rStyle w:val="FootnoteReference"/>
        </w:rPr>
        <w:footnoteReference w:id="111"/>
      </w:r>
      <w:r>
        <w:t>.</w:t>
      </w:r>
    </w:p>
    <w:p w:rsidR="00F16C54" w:rsidRDefault="00F16C54" w:rsidP="00F16C54">
      <w:pPr>
        <w:tabs>
          <w:tab w:val="left" w:pos="9072"/>
        </w:tabs>
        <w:autoSpaceDE w:val="0"/>
        <w:autoSpaceDN w:val="0"/>
        <w:adjustRightInd w:val="0"/>
        <w:spacing w:after="0" w:line="240" w:lineRule="auto"/>
        <w:jc w:val="both"/>
      </w:pPr>
    </w:p>
    <w:p w:rsidR="00F16C54" w:rsidRDefault="00F16C54" w:rsidP="00F16C54">
      <w:pPr>
        <w:tabs>
          <w:tab w:val="left" w:pos="9072"/>
        </w:tabs>
        <w:jc w:val="both"/>
      </w:pPr>
      <w:r w:rsidRPr="00915363">
        <w:t>Eighty per cent of emergency a</w:t>
      </w:r>
      <w:r>
        <w:t>dmissions, whose length of stay</w:t>
      </w:r>
      <w:r w:rsidRPr="00915363">
        <w:t xml:space="preserve"> exce</w:t>
      </w:r>
      <w:r>
        <w:t xml:space="preserve">eds two weeks, are aged over 65, </w:t>
      </w:r>
      <w:r w:rsidRPr="00915363">
        <w:t>providing further evidence that maintaining the focus on reducing the length may have the most potential for reducing use and cost of hospital beds</w:t>
      </w:r>
      <w:r>
        <w:rPr>
          <w:rStyle w:val="FootnoteReference"/>
        </w:rPr>
        <w:footnoteReference w:id="112"/>
      </w:r>
      <w:r>
        <w:t xml:space="preserve">. </w:t>
      </w:r>
    </w:p>
    <w:p w:rsidR="00F16C54" w:rsidRDefault="00F16C54" w:rsidP="00F16C54">
      <w:pPr>
        <w:tabs>
          <w:tab w:val="left" w:pos="9072"/>
        </w:tabs>
        <w:jc w:val="both"/>
      </w:pPr>
      <w:r>
        <w:t>Figure 7-2 shows the number of Emergency Admissions by age group</w:t>
      </w:r>
      <w:r w:rsidR="00DD3A76">
        <w:t>, by</w:t>
      </w:r>
      <w:r>
        <w:t xml:space="preserve"> hospital in Barnet. As can be seen over the period 2012-2015 the level of emergency admission has remained relatively stable over this period, with the Barnet and Chase Farm hospitals accounting for the largest portion of admissions.   </w:t>
      </w:r>
    </w:p>
    <w:p w:rsidR="00F16C54" w:rsidRPr="00D10156" w:rsidRDefault="00F16C54" w:rsidP="00F16C54">
      <w:pPr>
        <w:pStyle w:val="Caption"/>
        <w:rPr>
          <w:rFonts w:eastAsia="Times New Roman" w:cs="Arial"/>
          <w:lang w:eastAsia="en-GB"/>
        </w:rPr>
      </w:pPr>
      <w:r w:rsidRPr="00D10156">
        <w:lastRenderedPageBreak/>
        <w:t xml:space="preserve">Figure </w:t>
      </w:r>
      <w:fldSimple w:instr=" STYLEREF 1 \s ">
        <w:r w:rsidR="001663C2">
          <w:rPr>
            <w:noProof/>
          </w:rPr>
          <w:t>7</w:t>
        </w:r>
      </w:fldSimple>
      <w:r w:rsidR="00943DC2">
        <w:noBreakHyphen/>
      </w:r>
      <w:fldSimple w:instr=" SEQ Figure \* ARABIC \s 1 ">
        <w:r w:rsidR="001663C2">
          <w:rPr>
            <w:noProof/>
          </w:rPr>
          <w:t>2</w:t>
        </w:r>
      </w:fldSimple>
      <w:r w:rsidRPr="00D10156">
        <w:rPr>
          <w:rFonts w:eastAsia="Times New Roman" w:cs="Arial"/>
          <w:lang w:eastAsia="en-GB"/>
        </w:rPr>
        <w:t>: Barnet Emergency admissions Trend by Providers, 2012-2015</w:t>
      </w:r>
    </w:p>
    <w:p w:rsidR="00F16C54" w:rsidRDefault="00F16C54" w:rsidP="00374BA8">
      <w:pPr>
        <w:tabs>
          <w:tab w:val="left" w:pos="9072"/>
        </w:tabs>
        <w:ind w:hanging="284"/>
      </w:pPr>
      <w:r w:rsidRPr="00915363">
        <w:rPr>
          <w:noProof/>
          <w:lang w:eastAsia="en-GB"/>
        </w:rPr>
        <w:drawing>
          <wp:inline distT="0" distB="0" distL="0" distR="0" wp14:anchorId="6169CEE0" wp14:editId="333243C4">
            <wp:extent cx="6000750" cy="2314575"/>
            <wp:effectExtent l="0" t="0" r="19050" b="9525"/>
            <wp:docPr id="49160" name="Chart 491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p w:rsidR="00F16C54" w:rsidRDefault="00F16C54" w:rsidP="00F16C54">
      <w:pPr>
        <w:tabs>
          <w:tab w:val="left" w:pos="9072"/>
        </w:tabs>
        <w:jc w:val="both"/>
      </w:pPr>
      <w:r>
        <w:t>Figure 7-3 provides a breakdown of emergency admissions by age group for this same period. As can be seen, 48.9% of all admissions in 2014/15 were for people aged 65 or over, with people aged 85 or over accounting for 19.3% of admissions.  Interestingly, by five year age band, the second highest rate of admissions (9.5%) was for people aged 0-4 year old. This high level of admission amongst young children could identify an area of opportunity to identify and address future demand early on in life.</w:t>
      </w:r>
    </w:p>
    <w:p w:rsidR="00F16C54" w:rsidRPr="00915363" w:rsidRDefault="00F16C54" w:rsidP="00F16C54">
      <w:pPr>
        <w:pStyle w:val="Caption"/>
      </w:pPr>
      <w:r>
        <w:t xml:space="preserve">Figure </w:t>
      </w:r>
      <w:fldSimple w:instr=" STYLEREF 1 \s ">
        <w:r w:rsidR="001663C2">
          <w:rPr>
            <w:noProof/>
          </w:rPr>
          <w:t>7</w:t>
        </w:r>
      </w:fldSimple>
      <w:r w:rsidR="00943DC2">
        <w:noBreakHyphen/>
      </w:r>
      <w:fldSimple w:instr=" SEQ Figure \* ARABIC \s 1 ">
        <w:r w:rsidR="001663C2">
          <w:rPr>
            <w:noProof/>
          </w:rPr>
          <w:t>3</w:t>
        </w:r>
      </w:fldSimple>
      <w:r w:rsidRPr="00227445">
        <w:t>: Barnet Emergency Admissions - Royal Free Total activity by age, 2012-2015</w:t>
      </w:r>
    </w:p>
    <w:p w:rsidR="00F16C54" w:rsidRPr="00915363" w:rsidRDefault="00F16C54" w:rsidP="00F16C54">
      <w:pPr>
        <w:tabs>
          <w:tab w:val="left" w:pos="9072"/>
        </w:tabs>
        <w:spacing w:after="0" w:line="240" w:lineRule="auto"/>
        <w:jc w:val="center"/>
      </w:pPr>
      <w:r w:rsidRPr="00915363">
        <w:rPr>
          <w:noProof/>
          <w:lang w:eastAsia="en-GB"/>
        </w:rPr>
        <w:drawing>
          <wp:inline distT="0" distB="0" distL="0" distR="0" wp14:anchorId="2A5E7F43" wp14:editId="0644E4A4">
            <wp:extent cx="5650173" cy="2292824"/>
            <wp:effectExtent l="0" t="0" r="27305" b="12700"/>
            <wp:docPr id="49161" name="Chart 491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rsidR="00F16C54" w:rsidRPr="00915363" w:rsidRDefault="00F16C54" w:rsidP="00F16C54">
      <w:pPr>
        <w:tabs>
          <w:tab w:val="left" w:pos="9072"/>
        </w:tabs>
        <w:spacing w:after="0" w:line="240" w:lineRule="auto"/>
        <w:jc w:val="both"/>
        <w:rPr>
          <w:b/>
        </w:rPr>
      </w:pPr>
    </w:p>
    <w:p w:rsidR="00F16C54" w:rsidRPr="00915363" w:rsidRDefault="00F16C54" w:rsidP="00F16C54">
      <w:pPr>
        <w:tabs>
          <w:tab w:val="left" w:pos="9072"/>
        </w:tabs>
        <w:jc w:val="both"/>
      </w:pPr>
      <w:r w:rsidRPr="00915363">
        <w:t xml:space="preserve">Reducing avoidable emergency admissions improves the quality of life for people with long term and acute conditions and their families, as well as reducing pressures upon the resources of local hospitals. </w:t>
      </w:r>
    </w:p>
    <w:p w:rsidR="00F16C54" w:rsidRPr="00915363" w:rsidRDefault="0050457E" w:rsidP="00F16C54">
      <w:pPr>
        <w:pStyle w:val="Heading3"/>
        <w:keepNext w:val="0"/>
        <w:keepLines w:val="0"/>
        <w:spacing w:line="271" w:lineRule="auto"/>
      </w:pPr>
      <w:r>
        <w:t>Key P</w:t>
      </w:r>
      <w:r w:rsidR="00F16C54" w:rsidRPr="00915363">
        <w:t xml:space="preserve">ointers from </w:t>
      </w:r>
      <w:r>
        <w:t>E</w:t>
      </w:r>
      <w:r w:rsidR="00F16C54" w:rsidRPr="00915363">
        <w:t>vidence</w:t>
      </w:r>
      <w:r w:rsidR="00F16C54">
        <w:rPr>
          <w:rStyle w:val="FootnoteReference"/>
        </w:rPr>
        <w:footnoteReference w:id="113"/>
      </w:r>
      <w:r w:rsidR="00F16C54">
        <w:t xml:space="preserve"> </w:t>
      </w:r>
      <w:r w:rsidR="00F16C54">
        <w:rPr>
          <w:rStyle w:val="FootnoteReference"/>
        </w:rPr>
        <w:footnoteReference w:id="114"/>
      </w:r>
    </w:p>
    <w:p w:rsidR="00F16C54" w:rsidRPr="00915363" w:rsidRDefault="00F16C54" w:rsidP="00F16C54">
      <w:pPr>
        <w:tabs>
          <w:tab w:val="left" w:pos="9072"/>
        </w:tabs>
        <w:spacing w:after="0" w:line="240" w:lineRule="auto"/>
        <w:jc w:val="both"/>
        <w:rPr>
          <w:b/>
        </w:rPr>
      </w:pPr>
    </w:p>
    <w:p w:rsidR="00F16C54" w:rsidRPr="00915363" w:rsidRDefault="00F16C54" w:rsidP="008921BF">
      <w:pPr>
        <w:pStyle w:val="ListParagraph"/>
        <w:numPr>
          <w:ilvl w:val="0"/>
          <w:numId w:val="83"/>
        </w:numPr>
        <w:tabs>
          <w:tab w:val="left" w:pos="9072"/>
        </w:tabs>
        <w:spacing w:after="0" w:line="240" w:lineRule="auto"/>
        <w:jc w:val="both"/>
      </w:pPr>
      <w:r w:rsidRPr="00915363">
        <w:t xml:space="preserve">Early supported discharge planning has been shown to enable people to return home earlier, remain at home in the long term and regain their independence in activities of daily living </w:t>
      </w:r>
    </w:p>
    <w:p w:rsidR="00F16C54" w:rsidRPr="00915363" w:rsidRDefault="00F16C54" w:rsidP="008921BF">
      <w:pPr>
        <w:pStyle w:val="ListParagraph"/>
        <w:numPr>
          <w:ilvl w:val="0"/>
          <w:numId w:val="83"/>
        </w:numPr>
        <w:tabs>
          <w:tab w:val="left" w:pos="9072"/>
        </w:tabs>
        <w:spacing w:after="0" w:line="240" w:lineRule="auto"/>
        <w:jc w:val="both"/>
      </w:pPr>
      <w:r w:rsidRPr="00915363">
        <w:lastRenderedPageBreak/>
        <w:t>An agreed discharge process that includes timescales and protocols for assessment and decision-making for different agencies to work together</w:t>
      </w:r>
    </w:p>
    <w:p w:rsidR="00F16C54" w:rsidRPr="00915363" w:rsidRDefault="00F16C54" w:rsidP="008921BF">
      <w:pPr>
        <w:pStyle w:val="ListParagraph"/>
        <w:numPr>
          <w:ilvl w:val="0"/>
          <w:numId w:val="83"/>
        </w:numPr>
        <w:tabs>
          <w:tab w:val="left" w:pos="9072"/>
        </w:tabs>
        <w:spacing w:after="0" w:line="240" w:lineRule="auto"/>
        <w:jc w:val="both"/>
      </w:pPr>
      <w:r w:rsidRPr="00915363">
        <w:t>Ensuring patients with existing community services are discharged as soon as possible with care re-started</w:t>
      </w:r>
    </w:p>
    <w:p w:rsidR="00F16C54" w:rsidRPr="00915363" w:rsidRDefault="00F16C54" w:rsidP="008921BF">
      <w:pPr>
        <w:pStyle w:val="ListParagraph"/>
        <w:numPr>
          <w:ilvl w:val="0"/>
          <w:numId w:val="83"/>
        </w:numPr>
        <w:tabs>
          <w:tab w:val="left" w:pos="9072"/>
        </w:tabs>
        <w:spacing w:after="0" w:line="240" w:lineRule="auto"/>
        <w:jc w:val="both"/>
      </w:pPr>
      <w:r w:rsidRPr="00915363">
        <w:t>Rehabilitation to ensure people do not become dependent or disabled in hospital</w:t>
      </w:r>
    </w:p>
    <w:p w:rsidR="00F16C54" w:rsidRPr="00915363" w:rsidRDefault="00F16C54" w:rsidP="008921BF">
      <w:pPr>
        <w:pStyle w:val="ListParagraph"/>
        <w:numPr>
          <w:ilvl w:val="0"/>
          <w:numId w:val="83"/>
        </w:numPr>
        <w:tabs>
          <w:tab w:val="left" w:pos="9072"/>
        </w:tabs>
        <w:spacing w:after="0" w:line="240" w:lineRule="auto"/>
        <w:jc w:val="both"/>
      </w:pPr>
      <w:r w:rsidRPr="00915363">
        <w:t>Supporting capacity in integrated locality teams to ensure patients are discharged to alternative supports</w:t>
      </w:r>
    </w:p>
    <w:p w:rsidR="00F16C54" w:rsidRPr="00915363" w:rsidRDefault="00F16C54" w:rsidP="00F16C54">
      <w:pPr>
        <w:pStyle w:val="Heading2"/>
        <w:keepNext w:val="0"/>
        <w:keepLines w:val="0"/>
        <w:rPr>
          <w:rFonts w:eastAsia="Calibri"/>
        </w:rPr>
      </w:pPr>
      <w:bookmarkStart w:id="820" w:name="_Toc424218024"/>
      <w:bookmarkStart w:id="821" w:name="_Toc426723362"/>
      <w:bookmarkStart w:id="822" w:name="_Toc431225189"/>
      <w:r w:rsidRPr="00915363">
        <w:rPr>
          <w:rFonts w:eastAsia="Calibri"/>
        </w:rPr>
        <w:t>Frail and Elderly</w:t>
      </w:r>
      <w:bookmarkEnd w:id="820"/>
      <w:bookmarkEnd w:id="821"/>
      <w:bookmarkEnd w:id="822"/>
    </w:p>
    <w:p w:rsidR="00F16C54" w:rsidRDefault="00F16C54" w:rsidP="00F16C54">
      <w:pPr>
        <w:tabs>
          <w:tab w:val="left" w:pos="9072"/>
        </w:tabs>
        <w:spacing w:after="0"/>
        <w:jc w:val="both"/>
      </w:pPr>
      <w:r w:rsidRPr="00915363">
        <w:t xml:space="preserve">Barnet is projected to have some of the strongest growth in elderly residents out of all the London </w:t>
      </w:r>
      <w:r>
        <w:t>Borough</w:t>
      </w:r>
      <w:r w:rsidRPr="00915363">
        <w:t xml:space="preserve">s over the next five to ten years. Frail and elderly residents within the </w:t>
      </w:r>
      <w:r>
        <w:t>Borough</w:t>
      </w:r>
      <w:r w:rsidRPr="00915363">
        <w:t xml:space="preserve"> are often at risk of deteriorating health, reduced well</w:t>
      </w:r>
      <w:r>
        <w:t>being and lack of independence.</w:t>
      </w:r>
    </w:p>
    <w:p w:rsidR="00F16C54" w:rsidRDefault="00F16C54" w:rsidP="00F16C54">
      <w:pPr>
        <w:tabs>
          <w:tab w:val="left" w:pos="9072"/>
        </w:tabs>
        <w:spacing w:after="0"/>
        <w:jc w:val="both"/>
      </w:pPr>
    </w:p>
    <w:p w:rsidR="00F16C54" w:rsidRPr="00915363" w:rsidRDefault="00F16C54" w:rsidP="00F16C54">
      <w:pPr>
        <w:tabs>
          <w:tab w:val="left" w:pos="9072"/>
        </w:tabs>
        <w:spacing w:after="0"/>
        <w:jc w:val="both"/>
      </w:pPr>
      <w:r w:rsidRPr="00915363">
        <w:t>The older population is more likely to suffer from chronic and long-term conditions and is also more likely to suffer from falls and fractures. At present there are an estimated 20,359 people aged 65 or over with a limiting long term illness. The Projecting Older People Population Information (POPPI) system projects these figures to increase by more than 20% over the next ten years.</w:t>
      </w:r>
    </w:p>
    <w:p w:rsidR="00F16C54" w:rsidRPr="00915363" w:rsidRDefault="00F16C54" w:rsidP="00F16C54">
      <w:pPr>
        <w:tabs>
          <w:tab w:val="left" w:pos="9072"/>
        </w:tabs>
        <w:spacing w:after="0"/>
        <w:jc w:val="both"/>
      </w:pPr>
    </w:p>
    <w:p w:rsidR="00F16C54" w:rsidRPr="00915363" w:rsidRDefault="00F16C54" w:rsidP="00F16C54">
      <w:pPr>
        <w:widowControl w:val="0"/>
        <w:tabs>
          <w:tab w:val="left" w:pos="9072"/>
        </w:tabs>
        <w:autoSpaceDE w:val="0"/>
        <w:autoSpaceDN w:val="0"/>
        <w:adjustRightInd w:val="0"/>
        <w:spacing w:after="240"/>
        <w:jc w:val="both"/>
      </w:pPr>
      <w:r w:rsidRPr="00511AB4">
        <w:t>Over the next five years, there are predicted to be 3,250 more residents aged over 65 (+7.4%) and 783 more residents aged over 85 (+11.3%). Both of these increases are above the average growth rate (5.5%).</w:t>
      </w:r>
      <w:r w:rsidRPr="00915363">
        <w:t xml:space="preserve">  </w:t>
      </w:r>
    </w:p>
    <w:p w:rsidR="00F16C54" w:rsidRDefault="00F16C54" w:rsidP="00F16C54">
      <w:pPr>
        <w:pStyle w:val="Caption"/>
        <w:jc w:val="left"/>
        <w:rPr>
          <w:rFonts w:eastAsia="Calibri" w:cs="Times New Roman"/>
        </w:rPr>
      </w:pPr>
      <w:r>
        <w:t xml:space="preserve">Figure </w:t>
      </w:r>
      <w:fldSimple w:instr=" STYLEREF 1 \s ">
        <w:r w:rsidR="001663C2">
          <w:rPr>
            <w:noProof/>
          </w:rPr>
          <w:t>7</w:t>
        </w:r>
      </w:fldSimple>
      <w:r w:rsidR="00943DC2">
        <w:noBreakHyphen/>
      </w:r>
      <w:fldSimple w:instr=" SEQ Figure \* ARABIC \s 1 ">
        <w:r w:rsidR="001663C2">
          <w:rPr>
            <w:noProof/>
          </w:rPr>
          <w:t>4</w:t>
        </w:r>
      </w:fldSimple>
      <w:r w:rsidRPr="00227445">
        <w:rPr>
          <w:rFonts w:eastAsia="Calibri" w:cs="Times New Roman"/>
        </w:rPr>
        <w:t>: Projected Increases in the number of people with a Long Term Condition</w:t>
      </w:r>
    </w:p>
    <w:p w:rsidR="00F16C54" w:rsidRPr="00C35A9A" w:rsidRDefault="00F16C54" w:rsidP="00F16C54">
      <w:pPr>
        <w:pStyle w:val="Caption"/>
        <w:jc w:val="left"/>
        <w:rPr>
          <w:rFonts w:eastAsia="Calibri" w:cs="Times New Roman"/>
          <w:b w:val="0"/>
        </w:rPr>
      </w:pPr>
      <w:r>
        <w:rPr>
          <w:noProof/>
          <w:lang w:eastAsia="en-GB"/>
        </w:rPr>
        <w:drawing>
          <wp:inline distT="0" distB="0" distL="0" distR="0" wp14:anchorId="1C041D01" wp14:editId="64D97665">
            <wp:extent cx="5731510" cy="2573126"/>
            <wp:effectExtent l="0" t="0" r="21590" b="17780"/>
            <wp:docPr id="4108" name="Chart 410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r w:rsidRPr="00CC5F80">
        <w:rPr>
          <w:rFonts w:eastAsia="Calibri" w:cs="Times New Roman"/>
          <w:b w:val="0"/>
        </w:rPr>
        <w:t xml:space="preserve">Source: </w:t>
      </w:r>
      <w:r w:rsidR="00CB67F3" w:rsidRPr="00CB67F3">
        <w:rPr>
          <w:rFonts w:eastAsia="Calibri" w:cs="Arial"/>
          <w:b w:val="0"/>
        </w:rPr>
        <w:t>Department of Health</w:t>
      </w:r>
      <w:r w:rsidRPr="00CB67F3">
        <w:rPr>
          <w:rFonts w:eastAsia="Calibri" w:cs="Times New Roman"/>
          <w:b w:val="0"/>
        </w:rPr>
        <w:t>,</w:t>
      </w:r>
      <w:r w:rsidRPr="00CC5F80">
        <w:rPr>
          <w:rFonts w:eastAsia="Calibri" w:cs="Times New Roman"/>
          <w:b w:val="0"/>
        </w:rPr>
        <w:t xml:space="preserve"> </w:t>
      </w:r>
      <w:r w:rsidR="00CB67F3" w:rsidRPr="00CB67F3">
        <w:rPr>
          <w:b w:val="0"/>
        </w:rPr>
        <w:t>Projecting Older People Population Information (</w:t>
      </w:r>
      <w:r w:rsidRPr="00CB67F3">
        <w:rPr>
          <w:rFonts w:eastAsia="Calibri" w:cs="Times New Roman"/>
          <w:b w:val="0"/>
        </w:rPr>
        <w:t>POPPI</w:t>
      </w:r>
      <w:r w:rsidR="00CB67F3">
        <w:rPr>
          <w:rFonts w:eastAsia="Calibri" w:cs="Times New Roman"/>
          <w:b w:val="0"/>
        </w:rPr>
        <w:t>)</w:t>
      </w:r>
    </w:p>
    <w:p w:rsidR="00F16C54" w:rsidRDefault="00F16C54" w:rsidP="00F16C54">
      <w:pPr>
        <w:pStyle w:val="Heading3"/>
        <w:keepNext w:val="0"/>
        <w:keepLines w:val="0"/>
        <w:spacing w:line="271" w:lineRule="auto"/>
        <w:rPr>
          <w:rFonts w:eastAsia="Calibri"/>
        </w:rPr>
      </w:pPr>
      <w:r>
        <w:rPr>
          <w:rFonts w:eastAsia="Calibri"/>
        </w:rPr>
        <w:t>Key Issues</w:t>
      </w:r>
    </w:p>
    <w:p w:rsidR="00F16C54" w:rsidRPr="00915363" w:rsidRDefault="00F16C54" w:rsidP="00F16C54">
      <w:pPr>
        <w:tabs>
          <w:tab w:val="left" w:pos="9072"/>
        </w:tabs>
        <w:jc w:val="both"/>
        <w:rPr>
          <w:rFonts w:eastAsia="Calibri" w:cs="Times New Roman"/>
        </w:rPr>
      </w:pPr>
      <w:r w:rsidRPr="00915363">
        <w:rPr>
          <w:rFonts w:eastAsia="Calibri" w:cs="Times New Roman"/>
        </w:rPr>
        <w:t xml:space="preserve">In the light of the anticipated pressure, </w:t>
      </w:r>
      <w:r w:rsidR="00702B67">
        <w:rPr>
          <w:rFonts w:eastAsia="Calibri" w:cs="Times New Roman"/>
        </w:rPr>
        <w:t xml:space="preserve">there is </w:t>
      </w:r>
      <w:r w:rsidRPr="00915363">
        <w:rPr>
          <w:rFonts w:eastAsia="Calibri" w:cs="Times New Roman"/>
        </w:rPr>
        <w:t>a greate</w:t>
      </w:r>
      <w:r w:rsidR="00702B67">
        <w:rPr>
          <w:rFonts w:eastAsia="Calibri" w:cs="Times New Roman"/>
        </w:rPr>
        <w:t>r need to proactively manage the</w:t>
      </w:r>
      <w:r w:rsidRPr="00915363">
        <w:rPr>
          <w:rFonts w:eastAsia="Calibri" w:cs="Times New Roman"/>
        </w:rPr>
        <w:t xml:space="preserve"> health and social care response as the elderly experience greater difficulties have been identified to allow for development of initiatives that will address the following health and social care </w:t>
      </w:r>
      <w:r w:rsidR="00DD3A76" w:rsidRPr="00915363">
        <w:rPr>
          <w:rFonts w:eastAsia="Calibri" w:cs="Times New Roman"/>
        </w:rPr>
        <w:t>needs</w:t>
      </w:r>
      <w:r>
        <w:rPr>
          <w:rStyle w:val="FootnoteReference"/>
          <w:rFonts w:eastAsia="Calibri" w:cs="Times New Roman"/>
        </w:rPr>
        <w:footnoteReference w:id="115"/>
      </w:r>
      <w:r w:rsidRPr="00915363">
        <w:rPr>
          <w:rFonts w:eastAsia="Calibri" w:cs="Times New Roman"/>
        </w:rPr>
        <w:t xml:space="preserve">: </w:t>
      </w:r>
    </w:p>
    <w:p w:rsidR="00F16C54" w:rsidRPr="00915363" w:rsidRDefault="00F16C54" w:rsidP="008921BF">
      <w:pPr>
        <w:numPr>
          <w:ilvl w:val="0"/>
          <w:numId w:val="79"/>
        </w:numPr>
        <w:tabs>
          <w:tab w:val="left" w:pos="9072"/>
        </w:tabs>
        <w:contextualSpacing/>
        <w:rPr>
          <w:rFonts w:eastAsia="Calibri" w:cs="Times New Roman"/>
        </w:rPr>
      </w:pPr>
      <w:r w:rsidRPr="00915363">
        <w:rPr>
          <w:rFonts w:eastAsia="Calibri" w:cs="Times New Roman"/>
        </w:rPr>
        <w:t>Not being able to manage a mobility activity on their own</w:t>
      </w:r>
    </w:p>
    <w:p w:rsidR="00F16C54" w:rsidRPr="00915363" w:rsidRDefault="00F16C54" w:rsidP="008921BF">
      <w:pPr>
        <w:numPr>
          <w:ilvl w:val="0"/>
          <w:numId w:val="79"/>
        </w:numPr>
        <w:tabs>
          <w:tab w:val="left" w:pos="9072"/>
        </w:tabs>
        <w:contextualSpacing/>
        <w:rPr>
          <w:rFonts w:eastAsia="Calibri" w:cs="Times New Roman"/>
        </w:rPr>
      </w:pPr>
      <w:r w:rsidRPr="00915363">
        <w:rPr>
          <w:rFonts w:eastAsia="Calibri" w:cs="Times New Roman"/>
        </w:rPr>
        <w:t>Unable to manage good self-care activity on their own</w:t>
      </w:r>
    </w:p>
    <w:p w:rsidR="00F16C54" w:rsidRPr="00915363" w:rsidRDefault="00F16C54" w:rsidP="008921BF">
      <w:pPr>
        <w:numPr>
          <w:ilvl w:val="0"/>
          <w:numId w:val="79"/>
        </w:numPr>
        <w:tabs>
          <w:tab w:val="left" w:pos="9072"/>
        </w:tabs>
        <w:contextualSpacing/>
        <w:rPr>
          <w:rFonts w:eastAsia="Calibri" w:cs="Times New Roman"/>
        </w:rPr>
      </w:pPr>
      <w:r w:rsidRPr="00915363">
        <w:rPr>
          <w:rFonts w:eastAsia="Calibri" w:cs="Times New Roman"/>
        </w:rPr>
        <w:lastRenderedPageBreak/>
        <w:t xml:space="preserve">Struggling to manage and or complete a domestic tasks </w:t>
      </w:r>
    </w:p>
    <w:p w:rsidR="00F16C54" w:rsidRPr="00915363" w:rsidRDefault="00F16C54" w:rsidP="008921BF">
      <w:pPr>
        <w:numPr>
          <w:ilvl w:val="0"/>
          <w:numId w:val="79"/>
        </w:numPr>
        <w:tabs>
          <w:tab w:val="left" w:pos="9072"/>
        </w:tabs>
        <w:contextualSpacing/>
        <w:rPr>
          <w:rFonts w:eastAsia="Calibri" w:cs="Times New Roman"/>
        </w:rPr>
      </w:pPr>
      <w:r w:rsidRPr="00915363">
        <w:rPr>
          <w:rFonts w:eastAsia="Calibri" w:cs="Times New Roman"/>
        </w:rPr>
        <w:t>Having a known long term condition/ illness</w:t>
      </w:r>
    </w:p>
    <w:p w:rsidR="00F16C54" w:rsidRPr="00915363" w:rsidRDefault="00F16C54" w:rsidP="008921BF">
      <w:pPr>
        <w:numPr>
          <w:ilvl w:val="0"/>
          <w:numId w:val="79"/>
        </w:numPr>
        <w:tabs>
          <w:tab w:val="left" w:pos="9072"/>
        </w:tabs>
        <w:contextualSpacing/>
        <w:rPr>
          <w:rFonts w:eastAsia="Calibri" w:cs="Times New Roman"/>
        </w:rPr>
      </w:pPr>
      <w:r w:rsidRPr="00915363">
        <w:rPr>
          <w:rFonts w:eastAsia="Calibri" w:cs="Times New Roman"/>
        </w:rPr>
        <w:t>Having a fall within the last 12 months;</w:t>
      </w:r>
    </w:p>
    <w:p w:rsidR="00F16C54" w:rsidRPr="00915363" w:rsidRDefault="00F16C54" w:rsidP="00F16C54">
      <w:pPr>
        <w:pStyle w:val="Heading2"/>
        <w:keepNext w:val="0"/>
        <w:keepLines w:val="0"/>
        <w:rPr>
          <w:rFonts w:eastAsia="Calibri"/>
        </w:rPr>
      </w:pPr>
      <w:bookmarkStart w:id="823" w:name="_Toc424218025"/>
      <w:bookmarkStart w:id="824" w:name="_Toc426723363"/>
      <w:bookmarkStart w:id="825" w:name="_Toc431225190"/>
      <w:r w:rsidRPr="00915363">
        <w:rPr>
          <w:rFonts w:eastAsia="Calibri"/>
        </w:rPr>
        <w:t>Falls and Fractures</w:t>
      </w:r>
      <w:bookmarkEnd w:id="823"/>
      <w:bookmarkEnd w:id="824"/>
      <w:bookmarkEnd w:id="825"/>
      <w:r w:rsidRPr="00915363">
        <w:rPr>
          <w:rFonts w:eastAsia="Calibri"/>
        </w:rPr>
        <w:t xml:space="preserve"> </w:t>
      </w:r>
    </w:p>
    <w:p w:rsidR="00F16C54" w:rsidRPr="00915363" w:rsidRDefault="00F16C54" w:rsidP="00F16C54">
      <w:pPr>
        <w:tabs>
          <w:tab w:val="left" w:pos="9072"/>
        </w:tabs>
        <w:spacing w:after="0"/>
        <w:jc w:val="both"/>
        <w:rPr>
          <w:rFonts w:eastAsia="Calibri" w:cs="Times New Roman"/>
        </w:rPr>
      </w:pPr>
      <w:r w:rsidRPr="00915363">
        <w:rPr>
          <w:rFonts w:eastAsia="Calibri" w:cs="Times New Roman"/>
        </w:rPr>
        <w:t>National Institute for Health and Care Excellence (NICE) guidelines (2013) recommend that older people should be asked routinely whether they have fallen in the past year, and those who report recurrent falls to be offered a multifactorial falls risks assessment and individualized intervention.</w:t>
      </w:r>
    </w:p>
    <w:p w:rsidR="00F16C54" w:rsidRPr="00915363" w:rsidRDefault="00F16C54" w:rsidP="00F16C54">
      <w:pPr>
        <w:tabs>
          <w:tab w:val="left" w:pos="9072"/>
        </w:tabs>
        <w:spacing w:after="0"/>
        <w:jc w:val="both"/>
        <w:rPr>
          <w:rFonts w:eastAsia="Calibri" w:cs="Times New Roman"/>
        </w:rPr>
      </w:pPr>
    </w:p>
    <w:p w:rsidR="00F16C54" w:rsidRPr="00915363" w:rsidRDefault="00F16C54" w:rsidP="00F16C54">
      <w:pPr>
        <w:tabs>
          <w:tab w:val="left" w:pos="9072"/>
        </w:tabs>
        <w:spacing w:after="0"/>
        <w:jc w:val="both"/>
        <w:rPr>
          <w:rFonts w:eastAsia="Calibri" w:cs="Times New Roman"/>
        </w:rPr>
      </w:pPr>
      <w:r w:rsidRPr="00915363">
        <w:rPr>
          <w:rFonts w:eastAsia="Calibri" w:cs="Times New Roman"/>
        </w:rPr>
        <w:t>Identifying older people who are at risk of falls and setting up of fracture prevention services for older people have been found to reduce hospital admissions and the need for social care, including admissions to a care home (Department of Health 2009).</w:t>
      </w:r>
    </w:p>
    <w:p w:rsidR="00F16C54" w:rsidRPr="00915363" w:rsidRDefault="00F16C54" w:rsidP="00F16C54">
      <w:pPr>
        <w:tabs>
          <w:tab w:val="left" w:pos="9072"/>
        </w:tabs>
        <w:spacing w:after="0"/>
        <w:jc w:val="both"/>
        <w:rPr>
          <w:rFonts w:eastAsia="Calibri" w:cs="Times New Roman"/>
          <w:i/>
        </w:rPr>
      </w:pPr>
    </w:p>
    <w:p w:rsidR="00F16C54" w:rsidRPr="00915363" w:rsidRDefault="00F16C54" w:rsidP="00F16C54">
      <w:pPr>
        <w:tabs>
          <w:tab w:val="left" w:pos="9072"/>
        </w:tabs>
        <w:autoSpaceDE w:val="0"/>
        <w:autoSpaceDN w:val="0"/>
        <w:adjustRightInd w:val="0"/>
        <w:spacing w:after="0" w:line="240" w:lineRule="auto"/>
        <w:jc w:val="both"/>
        <w:rPr>
          <w:rFonts w:eastAsia="Calibri" w:cs="Arial"/>
        </w:rPr>
      </w:pPr>
      <w:r w:rsidRPr="00915363">
        <w:rPr>
          <w:rFonts w:eastAsia="Calibri" w:cs="Arial"/>
        </w:rPr>
        <w:t>Since 2010, there has been an estimated 13,146 people that have suffered a fall within Barnet’s elderly population and this is projected to increase by 22% by 2020</w:t>
      </w:r>
      <w:r w:rsidR="00046B75">
        <w:rPr>
          <w:rFonts w:eastAsia="Calibri" w:cs="Arial"/>
        </w:rPr>
        <w:t xml:space="preserve"> in line with the projected population growth.</w:t>
      </w:r>
      <w:r w:rsidRPr="00915363">
        <w:rPr>
          <w:rFonts w:eastAsia="Calibri" w:cs="Arial"/>
        </w:rPr>
        <w:t xml:space="preserve">  From this cohort, the number of people that have been admitted to hospital due to a fall is 1,065, which again, is expected to rise by 20% by 2020.</w:t>
      </w:r>
    </w:p>
    <w:p w:rsidR="00F16C54" w:rsidRPr="00915363" w:rsidRDefault="00F16C54" w:rsidP="00F16C54">
      <w:pPr>
        <w:tabs>
          <w:tab w:val="left" w:pos="9072"/>
        </w:tabs>
        <w:autoSpaceDE w:val="0"/>
        <w:autoSpaceDN w:val="0"/>
        <w:adjustRightInd w:val="0"/>
        <w:spacing w:after="0" w:line="240" w:lineRule="auto"/>
        <w:jc w:val="both"/>
        <w:rPr>
          <w:rFonts w:eastAsia="Calibri" w:cs="Arial"/>
        </w:rPr>
      </w:pPr>
    </w:p>
    <w:p w:rsidR="00F16C54" w:rsidRPr="00915363" w:rsidRDefault="00F16C54" w:rsidP="00F16C54">
      <w:pPr>
        <w:tabs>
          <w:tab w:val="left" w:pos="9072"/>
        </w:tabs>
        <w:autoSpaceDE w:val="0"/>
        <w:autoSpaceDN w:val="0"/>
        <w:adjustRightInd w:val="0"/>
        <w:spacing w:after="0" w:line="240" w:lineRule="auto"/>
        <w:jc w:val="both"/>
        <w:rPr>
          <w:rFonts w:eastAsia="Calibri" w:cs="Arial"/>
        </w:rPr>
      </w:pPr>
      <w:r w:rsidRPr="00915363">
        <w:rPr>
          <w:rFonts w:eastAsia="Calibri" w:cs="Arial"/>
        </w:rPr>
        <w:t xml:space="preserve">Consequences of falls in this group have a significant impact </w:t>
      </w:r>
      <w:r>
        <w:rPr>
          <w:rFonts w:eastAsia="Calibri" w:cs="Arial"/>
        </w:rPr>
        <w:t>on</w:t>
      </w:r>
      <w:r w:rsidRPr="00915363">
        <w:rPr>
          <w:rFonts w:eastAsia="Calibri" w:cs="Arial"/>
        </w:rPr>
        <w:t xml:space="preserve"> health and social care resources. It can lead to required support at home, or even admission to a care home, right through to major hip surgery, in patient care in acute or rehabilitation settings.</w:t>
      </w:r>
    </w:p>
    <w:p w:rsidR="00F16C54" w:rsidRPr="00915363" w:rsidRDefault="00F16C54" w:rsidP="00F16C54">
      <w:pPr>
        <w:tabs>
          <w:tab w:val="left" w:pos="9072"/>
        </w:tabs>
        <w:autoSpaceDE w:val="0"/>
        <w:autoSpaceDN w:val="0"/>
        <w:adjustRightInd w:val="0"/>
        <w:spacing w:after="0" w:line="240" w:lineRule="auto"/>
        <w:jc w:val="both"/>
        <w:rPr>
          <w:rFonts w:eastAsia="Calibri" w:cs="Arial"/>
        </w:rPr>
      </w:pPr>
    </w:p>
    <w:p w:rsidR="00F16C54" w:rsidRPr="00915363" w:rsidRDefault="00F16C54" w:rsidP="00F16C54">
      <w:pPr>
        <w:tabs>
          <w:tab w:val="left" w:pos="9072"/>
        </w:tabs>
        <w:autoSpaceDE w:val="0"/>
        <w:autoSpaceDN w:val="0"/>
        <w:adjustRightInd w:val="0"/>
        <w:spacing w:after="0" w:line="240" w:lineRule="auto"/>
        <w:jc w:val="both"/>
        <w:rPr>
          <w:rFonts w:eastAsia="Calibri" w:cs="Arial"/>
        </w:rPr>
      </w:pPr>
      <w:r>
        <w:rPr>
          <w:rFonts w:eastAsia="Calibri" w:cs="Arial"/>
        </w:rPr>
        <w:t>U</w:t>
      </w:r>
      <w:r w:rsidRPr="00915363">
        <w:rPr>
          <w:rFonts w:eastAsia="Calibri" w:cs="Arial"/>
        </w:rPr>
        <w:t xml:space="preserve">sing the London Ambulance Service (LAS) </w:t>
      </w:r>
      <w:r w:rsidR="00DD3A76" w:rsidRPr="00915363">
        <w:rPr>
          <w:rFonts w:eastAsia="Calibri" w:cs="Arial"/>
        </w:rPr>
        <w:t>data,</w:t>
      </w:r>
      <w:r w:rsidR="00DD3A76">
        <w:rPr>
          <w:rFonts w:eastAsia="Calibri" w:cs="Arial"/>
        </w:rPr>
        <w:t xml:space="preserve"> to</w:t>
      </w:r>
      <w:r>
        <w:rPr>
          <w:rFonts w:eastAsia="Calibri" w:cs="Arial"/>
        </w:rPr>
        <w:t xml:space="preserve"> </w:t>
      </w:r>
      <w:r w:rsidRPr="00915363">
        <w:rPr>
          <w:rFonts w:eastAsia="Calibri" w:cs="Arial"/>
        </w:rPr>
        <w:t>look at the number of attendances for falls</w:t>
      </w:r>
      <w:r>
        <w:rPr>
          <w:rFonts w:eastAsia="Calibri" w:cs="Arial"/>
        </w:rPr>
        <w:t xml:space="preserve">, </w:t>
      </w:r>
      <w:r w:rsidR="00DD3A76">
        <w:rPr>
          <w:rFonts w:eastAsia="Calibri" w:cs="Arial"/>
        </w:rPr>
        <w:t xml:space="preserve">in </w:t>
      </w:r>
      <w:r w:rsidR="00DD3A76" w:rsidRPr="00915363">
        <w:rPr>
          <w:rFonts w:eastAsia="Calibri" w:cs="Arial"/>
        </w:rPr>
        <w:t>2009</w:t>
      </w:r>
      <w:r w:rsidRPr="00915363">
        <w:rPr>
          <w:rFonts w:eastAsia="Calibri" w:cs="Arial"/>
        </w:rPr>
        <w:t>,</w:t>
      </w:r>
      <w:r>
        <w:rPr>
          <w:rFonts w:eastAsia="Calibri" w:cs="Arial"/>
        </w:rPr>
        <w:t xml:space="preserve"> there </w:t>
      </w:r>
      <w:r w:rsidR="00DD3A76">
        <w:rPr>
          <w:rFonts w:eastAsia="Calibri" w:cs="Arial"/>
        </w:rPr>
        <w:t xml:space="preserve">were </w:t>
      </w:r>
      <w:r w:rsidR="00DD3A76" w:rsidRPr="00915363">
        <w:rPr>
          <w:rFonts w:eastAsia="Calibri" w:cs="Arial"/>
        </w:rPr>
        <w:t>3,700</w:t>
      </w:r>
      <w:r w:rsidRPr="00915363">
        <w:rPr>
          <w:rFonts w:eastAsia="Calibri" w:cs="Arial"/>
        </w:rPr>
        <w:t xml:space="preserve"> falls in over 65 year olds in Barnet. This represented 24% of LAS incidences </w:t>
      </w:r>
      <w:r w:rsidR="00DD3A76">
        <w:rPr>
          <w:rFonts w:eastAsia="Calibri" w:cs="Arial"/>
        </w:rPr>
        <w:t xml:space="preserve">which </w:t>
      </w:r>
      <w:r w:rsidR="00DD3A76" w:rsidRPr="00915363">
        <w:rPr>
          <w:rFonts w:eastAsia="Calibri" w:cs="Arial"/>
        </w:rPr>
        <w:t>is</w:t>
      </w:r>
      <w:r w:rsidRPr="00915363">
        <w:rPr>
          <w:rFonts w:eastAsia="Calibri" w:cs="Arial"/>
        </w:rPr>
        <w:t xml:space="preserve"> a 36% </w:t>
      </w:r>
      <w:r w:rsidR="00DD3A76">
        <w:rPr>
          <w:rFonts w:eastAsia="Calibri" w:cs="Arial"/>
        </w:rPr>
        <w:t>increase</w:t>
      </w:r>
      <w:r w:rsidR="00DD3A76" w:rsidRPr="00915363">
        <w:rPr>
          <w:rFonts w:eastAsia="Calibri" w:cs="Arial"/>
        </w:rPr>
        <w:t xml:space="preserve"> since</w:t>
      </w:r>
      <w:r w:rsidRPr="00915363">
        <w:rPr>
          <w:rFonts w:eastAsia="Calibri" w:cs="Arial"/>
        </w:rPr>
        <w:t xml:space="preserve"> 2005. </w:t>
      </w:r>
    </w:p>
    <w:p w:rsidR="00F16C54" w:rsidRPr="00915363" w:rsidRDefault="00F16C54" w:rsidP="00F16C54">
      <w:pPr>
        <w:tabs>
          <w:tab w:val="left" w:pos="9072"/>
        </w:tabs>
        <w:autoSpaceDE w:val="0"/>
        <w:autoSpaceDN w:val="0"/>
        <w:adjustRightInd w:val="0"/>
        <w:spacing w:after="0" w:line="240" w:lineRule="auto"/>
        <w:jc w:val="both"/>
        <w:rPr>
          <w:rFonts w:eastAsia="Calibri" w:cs="Arial"/>
        </w:rPr>
      </w:pPr>
    </w:p>
    <w:p w:rsidR="00F16C54" w:rsidRDefault="00F16C54" w:rsidP="0050457E">
      <w:pPr>
        <w:spacing w:after="0" w:line="240" w:lineRule="auto"/>
        <w:jc w:val="both"/>
        <w:rPr>
          <w:rFonts w:eastAsia="Calibri" w:cs="Arial"/>
        </w:rPr>
      </w:pPr>
      <w:r>
        <w:rPr>
          <w:rFonts w:eastAsia="Calibri" w:cs="Arial"/>
        </w:rPr>
        <w:t>I</w:t>
      </w:r>
      <w:r w:rsidRPr="00915363">
        <w:rPr>
          <w:rFonts w:eastAsia="Calibri" w:cs="Arial"/>
        </w:rPr>
        <w:t xml:space="preserve">t is difficult to accurately determine </w:t>
      </w:r>
      <w:r w:rsidR="00DD3A76" w:rsidRPr="00915363">
        <w:rPr>
          <w:rFonts w:eastAsia="Calibri" w:cs="Arial"/>
        </w:rPr>
        <w:t xml:space="preserve">the </w:t>
      </w:r>
      <w:r w:rsidR="00DD3A76">
        <w:rPr>
          <w:rFonts w:eastAsia="Calibri" w:cs="Arial"/>
        </w:rPr>
        <w:t>prevalence</w:t>
      </w:r>
      <w:r>
        <w:rPr>
          <w:rFonts w:eastAsia="Calibri" w:cs="Arial"/>
        </w:rPr>
        <w:t xml:space="preserve"> </w:t>
      </w:r>
      <w:r w:rsidR="00DD3A76">
        <w:rPr>
          <w:rFonts w:eastAsia="Calibri" w:cs="Arial"/>
        </w:rPr>
        <w:t xml:space="preserve">of </w:t>
      </w:r>
      <w:r w:rsidR="00DD3A76" w:rsidRPr="00915363">
        <w:rPr>
          <w:rFonts w:eastAsia="Calibri" w:cs="Arial"/>
        </w:rPr>
        <w:t>falls</w:t>
      </w:r>
      <w:r>
        <w:rPr>
          <w:rFonts w:eastAsia="Calibri" w:cs="Arial"/>
        </w:rPr>
        <w:t xml:space="preserve"> in </w:t>
      </w:r>
      <w:r w:rsidR="00DD3A76">
        <w:rPr>
          <w:rFonts w:eastAsia="Calibri" w:cs="Arial"/>
        </w:rPr>
        <w:t>Barnet;</w:t>
      </w:r>
      <w:r>
        <w:rPr>
          <w:rFonts w:eastAsia="Calibri" w:cs="Arial"/>
        </w:rPr>
        <w:t xml:space="preserve"> however</w:t>
      </w:r>
      <w:r w:rsidR="00DD3A76">
        <w:rPr>
          <w:rFonts w:eastAsia="Calibri" w:cs="Arial"/>
        </w:rPr>
        <w:t xml:space="preserve">, </w:t>
      </w:r>
      <w:r w:rsidR="00DD3A76" w:rsidRPr="00915363">
        <w:rPr>
          <w:rFonts w:eastAsia="Calibri" w:cs="Arial"/>
        </w:rPr>
        <w:t>by</w:t>
      </w:r>
      <w:r w:rsidR="00046B75">
        <w:rPr>
          <w:rFonts w:eastAsia="Calibri" w:cs="Arial"/>
        </w:rPr>
        <w:t xml:space="preserve"> using estimates from</w:t>
      </w:r>
      <w:r w:rsidRPr="00915363">
        <w:rPr>
          <w:rFonts w:eastAsia="Calibri" w:cs="Arial"/>
        </w:rPr>
        <w:t xml:space="preserve"> the number of</w:t>
      </w:r>
      <w:r w:rsidR="00EA5799">
        <w:rPr>
          <w:rFonts w:eastAsia="Calibri" w:cs="Arial"/>
        </w:rPr>
        <w:t xml:space="preserve"> falls and their consequence, it </w:t>
      </w:r>
      <w:r w:rsidR="00DD3A76">
        <w:rPr>
          <w:rFonts w:eastAsia="Calibri" w:cs="Arial"/>
        </w:rPr>
        <w:t>is</w:t>
      </w:r>
      <w:r w:rsidR="00EA5799">
        <w:rPr>
          <w:rFonts w:eastAsia="Calibri" w:cs="Arial"/>
        </w:rPr>
        <w:t xml:space="preserve"> possible to put together </w:t>
      </w:r>
      <w:r w:rsidRPr="00915363">
        <w:rPr>
          <w:rFonts w:eastAsia="Calibri" w:cs="Arial"/>
        </w:rPr>
        <w:t>the</w:t>
      </w:r>
      <w:r>
        <w:rPr>
          <w:rFonts w:eastAsia="Calibri" w:cs="Arial"/>
        </w:rPr>
        <w:t xml:space="preserve"> following figures in Table 7-1 below. </w:t>
      </w:r>
    </w:p>
    <w:p w:rsidR="00F16C54" w:rsidRPr="00915363" w:rsidRDefault="00F16C54" w:rsidP="00F16C54">
      <w:pPr>
        <w:tabs>
          <w:tab w:val="left" w:pos="9072"/>
        </w:tabs>
        <w:autoSpaceDE w:val="0"/>
        <w:autoSpaceDN w:val="0"/>
        <w:adjustRightInd w:val="0"/>
        <w:spacing w:after="0" w:line="240" w:lineRule="auto"/>
        <w:jc w:val="both"/>
        <w:rPr>
          <w:rFonts w:eastAsia="Calibri" w:cs="Arial"/>
        </w:rPr>
      </w:pPr>
    </w:p>
    <w:p w:rsidR="00F16C54" w:rsidRPr="00915363" w:rsidRDefault="00F16C54" w:rsidP="00F16C54">
      <w:pPr>
        <w:pStyle w:val="Caption"/>
        <w:rPr>
          <w:rFonts w:eastAsia="Calibri" w:cs="Arial"/>
        </w:rPr>
      </w:pPr>
      <w:r>
        <w:t xml:space="preserve">Table </w:t>
      </w:r>
      <w:fldSimple w:instr=" STYLEREF 1 \s ">
        <w:r w:rsidR="001663C2">
          <w:rPr>
            <w:noProof/>
          </w:rPr>
          <w:t>7</w:t>
        </w:r>
      </w:fldSimple>
      <w:r>
        <w:noBreakHyphen/>
      </w:r>
      <w:fldSimple w:instr=" SEQ Table \* ARABIC \s 1 ">
        <w:r w:rsidR="001663C2">
          <w:rPr>
            <w:noProof/>
          </w:rPr>
          <w:t>1</w:t>
        </w:r>
      </w:fldSimple>
      <w:r>
        <w:t>: Prevalence of Falls, Barnet</w:t>
      </w:r>
    </w:p>
    <w:tbl>
      <w:tblPr>
        <w:tblStyle w:val="TableGrid"/>
        <w:tblW w:w="0" w:type="auto"/>
        <w:tblLook w:val="04A0" w:firstRow="1" w:lastRow="0" w:firstColumn="1" w:lastColumn="0" w:noHBand="0" w:noVBand="1"/>
      </w:tblPr>
      <w:tblGrid>
        <w:gridCol w:w="3080"/>
        <w:gridCol w:w="3081"/>
        <w:gridCol w:w="3081"/>
      </w:tblGrid>
      <w:tr w:rsidR="00F16C54" w:rsidRPr="00915363" w:rsidTr="00E50C61">
        <w:tc>
          <w:tcPr>
            <w:tcW w:w="3080" w:type="dxa"/>
            <w:shd w:val="clear" w:color="auto" w:fill="BFBFBF" w:themeFill="background1" w:themeFillShade="BF"/>
          </w:tcPr>
          <w:p w:rsidR="00F16C54" w:rsidRPr="00227445" w:rsidRDefault="00F16C54" w:rsidP="00E50C61">
            <w:pPr>
              <w:tabs>
                <w:tab w:val="left" w:pos="9072"/>
              </w:tabs>
              <w:jc w:val="center"/>
              <w:rPr>
                <w:rFonts w:eastAsia="Calibri"/>
                <w:b/>
              </w:rPr>
            </w:pPr>
          </w:p>
        </w:tc>
        <w:tc>
          <w:tcPr>
            <w:tcW w:w="6162" w:type="dxa"/>
            <w:gridSpan w:val="2"/>
            <w:shd w:val="clear" w:color="auto" w:fill="BFBFBF" w:themeFill="background1" w:themeFillShade="BF"/>
          </w:tcPr>
          <w:p w:rsidR="00F16C54" w:rsidRPr="00227445" w:rsidRDefault="00046B75" w:rsidP="00046B75">
            <w:pPr>
              <w:tabs>
                <w:tab w:val="left" w:pos="9072"/>
              </w:tabs>
              <w:jc w:val="center"/>
              <w:rPr>
                <w:rFonts w:eastAsia="Calibri"/>
                <w:b/>
              </w:rPr>
            </w:pPr>
            <w:r>
              <w:rPr>
                <w:rFonts w:eastAsia="Calibri"/>
                <w:b/>
              </w:rPr>
              <w:t>Estimates for Barnet</w:t>
            </w:r>
          </w:p>
        </w:tc>
      </w:tr>
      <w:tr w:rsidR="00F16C54" w:rsidRPr="00915363" w:rsidTr="00E50C61">
        <w:tc>
          <w:tcPr>
            <w:tcW w:w="3080" w:type="dxa"/>
            <w:shd w:val="clear" w:color="auto" w:fill="BFBFBF" w:themeFill="background1" w:themeFillShade="BF"/>
          </w:tcPr>
          <w:p w:rsidR="00F16C54" w:rsidRPr="00227445" w:rsidRDefault="00F16C54" w:rsidP="00E50C61">
            <w:pPr>
              <w:tabs>
                <w:tab w:val="left" w:pos="9072"/>
              </w:tabs>
              <w:jc w:val="center"/>
              <w:rPr>
                <w:rFonts w:eastAsia="Calibri"/>
                <w:b/>
              </w:rPr>
            </w:pPr>
          </w:p>
        </w:tc>
        <w:tc>
          <w:tcPr>
            <w:tcW w:w="3081" w:type="dxa"/>
            <w:shd w:val="clear" w:color="auto" w:fill="BFBFBF" w:themeFill="background1" w:themeFillShade="BF"/>
          </w:tcPr>
          <w:p w:rsidR="00F16C54" w:rsidRPr="00227445" w:rsidRDefault="00F16C54" w:rsidP="00E50C61">
            <w:pPr>
              <w:tabs>
                <w:tab w:val="left" w:pos="9072"/>
              </w:tabs>
              <w:jc w:val="center"/>
              <w:rPr>
                <w:rFonts w:eastAsia="Calibri"/>
                <w:b/>
              </w:rPr>
            </w:pPr>
            <w:r w:rsidRPr="00227445">
              <w:rPr>
                <w:rFonts w:eastAsia="Calibri"/>
                <w:b/>
              </w:rPr>
              <w:t>No. of people</w:t>
            </w:r>
          </w:p>
        </w:tc>
        <w:tc>
          <w:tcPr>
            <w:tcW w:w="3081" w:type="dxa"/>
            <w:shd w:val="clear" w:color="auto" w:fill="BFBFBF" w:themeFill="background1" w:themeFillShade="BF"/>
          </w:tcPr>
          <w:p w:rsidR="00F16C54" w:rsidRPr="00227445" w:rsidRDefault="00F16C54" w:rsidP="00E50C61">
            <w:pPr>
              <w:tabs>
                <w:tab w:val="left" w:pos="9072"/>
              </w:tabs>
              <w:jc w:val="center"/>
              <w:rPr>
                <w:rFonts w:eastAsia="Calibri"/>
                <w:b/>
              </w:rPr>
            </w:pPr>
            <w:r w:rsidRPr="00227445">
              <w:rPr>
                <w:rFonts w:eastAsia="Calibri"/>
                <w:b/>
              </w:rPr>
              <w:t>Proportion of those falling</w:t>
            </w:r>
          </w:p>
        </w:tc>
      </w:tr>
      <w:tr w:rsidR="00F16C54" w:rsidRPr="00915363" w:rsidTr="00E50C61">
        <w:tc>
          <w:tcPr>
            <w:tcW w:w="3080" w:type="dxa"/>
          </w:tcPr>
          <w:p w:rsidR="00F16C54" w:rsidRPr="00915363" w:rsidRDefault="00F16C54" w:rsidP="00E50C61">
            <w:pPr>
              <w:tabs>
                <w:tab w:val="left" w:pos="9072"/>
              </w:tabs>
              <w:rPr>
                <w:rFonts w:eastAsia="Calibri"/>
              </w:rPr>
            </w:pPr>
            <w:r w:rsidRPr="00915363">
              <w:rPr>
                <w:rFonts w:eastAsia="Calibri"/>
              </w:rPr>
              <w:t>Fall each year</w:t>
            </w:r>
          </w:p>
        </w:tc>
        <w:tc>
          <w:tcPr>
            <w:tcW w:w="3081" w:type="dxa"/>
          </w:tcPr>
          <w:p w:rsidR="00F16C54" w:rsidRPr="00915363" w:rsidRDefault="00F16C54" w:rsidP="00E50C61">
            <w:pPr>
              <w:tabs>
                <w:tab w:val="left" w:pos="9072"/>
              </w:tabs>
              <w:jc w:val="center"/>
              <w:rPr>
                <w:rFonts w:eastAsia="Calibri"/>
              </w:rPr>
            </w:pPr>
            <w:r w:rsidRPr="00915363">
              <w:rPr>
                <w:rFonts w:eastAsia="Calibri"/>
              </w:rPr>
              <w:t>18,083</w:t>
            </w:r>
          </w:p>
        </w:tc>
        <w:tc>
          <w:tcPr>
            <w:tcW w:w="3081" w:type="dxa"/>
          </w:tcPr>
          <w:p w:rsidR="00F16C54" w:rsidRPr="00915363" w:rsidRDefault="00F16C54" w:rsidP="00E50C61">
            <w:pPr>
              <w:tabs>
                <w:tab w:val="left" w:pos="9072"/>
              </w:tabs>
              <w:jc w:val="center"/>
              <w:rPr>
                <w:rFonts w:eastAsia="Calibri"/>
              </w:rPr>
            </w:pPr>
          </w:p>
        </w:tc>
      </w:tr>
      <w:tr w:rsidR="00F16C54" w:rsidRPr="00915363" w:rsidTr="00E50C61">
        <w:tc>
          <w:tcPr>
            <w:tcW w:w="3080" w:type="dxa"/>
          </w:tcPr>
          <w:p w:rsidR="00F16C54" w:rsidRPr="00915363" w:rsidRDefault="00F16C54" w:rsidP="00E50C61">
            <w:pPr>
              <w:tabs>
                <w:tab w:val="left" w:pos="9072"/>
              </w:tabs>
              <w:rPr>
                <w:rFonts w:eastAsia="Calibri"/>
              </w:rPr>
            </w:pPr>
            <w:r w:rsidRPr="00915363">
              <w:rPr>
                <w:rFonts w:eastAsia="Calibri"/>
              </w:rPr>
              <w:t>Fall twice a year</w:t>
            </w:r>
          </w:p>
        </w:tc>
        <w:tc>
          <w:tcPr>
            <w:tcW w:w="3081" w:type="dxa"/>
          </w:tcPr>
          <w:p w:rsidR="00F16C54" w:rsidRPr="00915363" w:rsidRDefault="00F16C54" w:rsidP="00E50C61">
            <w:pPr>
              <w:tabs>
                <w:tab w:val="left" w:pos="9072"/>
              </w:tabs>
              <w:jc w:val="center"/>
              <w:rPr>
                <w:rFonts w:eastAsia="Calibri"/>
              </w:rPr>
            </w:pPr>
            <w:r w:rsidRPr="00915363">
              <w:rPr>
                <w:rFonts w:eastAsia="Calibri"/>
              </w:rPr>
              <w:t>7,817</w:t>
            </w:r>
          </w:p>
        </w:tc>
        <w:tc>
          <w:tcPr>
            <w:tcW w:w="3081" w:type="dxa"/>
          </w:tcPr>
          <w:p w:rsidR="00F16C54" w:rsidRPr="00915363" w:rsidRDefault="00F16C54" w:rsidP="00E50C61">
            <w:pPr>
              <w:tabs>
                <w:tab w:val="left" w:pos="9072"/>
              </w:tabs>
              <w:jc w:val="center"/>
              <w:rPr>
                <w:rFonts w:eastAsia="Calibri"/>
              </w:rPr>
            </w:pPr>
            <w:r w:rsidRPr="00915363">
              <w:rPr>
                <w:rFonts w:eastAsia="Calibri"/>
              </w:rPr>
              <w:t>43%</w:t>
            </w:r>
          </w:p>
        </w:tc>
      </w:tr>
      <w:tr w:rsidR="00F16C54" w:rsidRPr="00915363" w:rsidTr="00E50C61">
        <w:tc>
          <w:tcPr>
            <w:tcW w:w="3080" w:type="dxa"/>
          </w:tcPr>
          <w:p w:rsidR="00F16C54" w:rsidRPr="00915363" w:rsidRDefault="00F16C54" w:rsidP="00E50C61">
            <w:pPr>
              <w:tabs>
                <w:tab w:val="left" w:pos="9072"/>
              </w:tabs>
              <w:rPr>
                <w:rFonts w:eastAsia="Calibri"/>
              </w:rPr>
            </w:pPr>
            <w:r w:rsidRPr="00915363">
              <w:rPr>
                <w:rFonts w:eastAsia="Calibri"/>
              </w:rPr>
              <w:t>Attend A&amp;E</w:t>
            </w:r>
          </w:p>
        </w:tc>
        <w:tc>
          <w:tcPr>
            <w:tcW w:w="3081" w:type="dxa"/>
          </w:tcPr>
          <w:p w:rsidR="00F16C54" w:rsidRPr="00915363" w:rsidRDefault="00F16C54" w:rsidP="00E50C61">
            <w:pPr>
              <w:tabs>
                <w:tab w:val="left" w:pos="9072"/>
              </w:tabs>
              <w:jc w:val="center"/>
              <w:rPr>
                <w:rFonts w:eastAsia="Calibri"/>
              </w:rPr>
            </w:pPr>
            <w:r w:rsidRPr="00915363">
              <w:rPr>
                <w:rFonts w:eastAsia="Calibri"/>
              </w:rPr>
              <w:t>2,567</w:t>
            </w:r>
          </w:p>
        </w:tc>
        <w:tc>
          <w:tcPr>
            <w:tcW w:w="3081" w:type="dxa"/>
          </w:tcPr>
          <w:p w:rsidR="00F16C54" w:rsidRPr="00915363" w:rsidRDefault="00F16C54" w:rsidP="00E50C61">
            <w:pPr>
              <w:tabs>
                <w:tab w:val="left" w:pos="9072"/>
              </w:tabs>
              <w:jc w:val="center"/>
              <w:rPr>
                <w:rFonts w:eastAsia="Calibri"/>
              </w:rPr>
            </w:pPr>
            <w:r w:rsidRPr="00915363">
              <w:rPr>
                <w:rFonts w:eastAsia="Calibri"/>
              </w:rPr>
              <w:t>14%</w:t>
            </w:r>
          </w:p>
        </w:tc>
      </w:tr>
      <w:tr w:rsidR="00F16C54" w:rsidRPr="00915363" w:rsidTr="00E50C61">
        <w:tc>
          <w:tcPr>
            <w:tcW w:w="3080" w:type="dxa"/>
          </w:tcPr>
          <w:p w:rsidR="00F16C54" w:rsidRPr="00915363" w:rsidRDefault="00F16C54" w:rsidP="00E50C61">
            <w:pPr>
              <w:tabs>
                <w:tab w:val="left" w:pos="9072"/>
              </w:tabs>
              <w:rPr>
                <w:rFonts w:eastAsia="Calibri"/>
              </w:rPr>
            </w:pPr>
            <w:r w:rsidRPr="00915363">
              <w:rPr>
                <w:rFonts w:eastAsia="Calibri"/>
              </w:rPr>
              <w:t xml:space="preserve">Call an ambulance </w:t>
            </w:r>
          </w:p>
        </w:tc>
        <w:tc>
          <w:tcPr>
            <w:tcW w:w="3081" w:type="dxa"/>
          </w:tcPr>
          <w:p w:rsidR="00F16C54" w:rsidRPr="00915363" w:rsidRDefault="00F16C54" w:rsidP="00E50C61">
            <w:pPr>
              <w:tabs>
                <w:tab w:val="left" w:pos="9072"/>
              </w:tabs>
              <w:jc w:val="center"/>
              <w:rPr>
                <w:rFonts w:eastAsia="Calibri"/>
              </w:rPr>
            </w:pPr>
            <w:r w:rsidRPr="00915363">
              <w:rPr>
                <w:rFonts w:eastAsia="Calibri"/>
              </w:rPr>
              <w:t>2,567</w:t>
            </w:r>
          </w:p>
        </w:tc>
        <w:tc>
          <w:tcPr>
            <w:tcW w:w="3081" w:type="dxa"/>
          </w:tcPr>
          <w:p w:rsidR="00F16C54" w:rsidRPr="00915363" w:rsidRDefault="00F16C54" w:rsidP="00E50C61">
            <w:pPr>
              <w:tabs>
                <w:tab w:val="left" w:pos="9072"/>
              </w:tabs>
              <w:jc w:val="center"/>
              <w:rPr>
                <w:rFonts w:eastAsia="Calibri"/>
              </w:rPr>
            </w:pPr>
            <w:r w:rsidRPr="00915363">
              <w:rPr>
                <w:rFonts w:eastAsia="Calibri"/>
              </w:rPr>
              <w:t>14%</w:t>
            </w:r>
          </w:p>
        </w:tc>
      </w:tr>
      <w:tr w:rsidR="00F16C54" w:rsidRPr="00915363" w:rsidTr="00E50C61">
        <w:tc>
          <w:tcPr>
            <w:tcW w:w="3080" w:type="dxa"/>
          </w:tcPr>
          <w:p w:rsidR="00F16C54" w:rsidRPr="00915363" w:rsidRDefault="00F16C54" w:rsidP="00E50C61">
            <w:pPr>
              <w:tabs>
                <w:tab w:val="left" w:pos="9072"/>
              </w:tabs>
              <w:rPr>
                <w:rFonts w:eastAsia="Calibri"/>
              </w:rPr>
            </w:pPr>
            <w:r w:rsidRPr="00915363">
              <w:rPr>
                <w:rFonts w:eastAsia="Calibri"/>
              </w:rPr>
              <w:t>Sustain a fracture</w:t>
            </w:r>
          </w:p>
        </w:tc>
        <w:tc>
          <w:tcPr>
            <w:tcW w:w="3081" w:type="dxa"/>
          </w:tcPr>
          <w:p w:rsidR="00F16C54" w:rsidRPr="00915363" w:rsidRDefault="00F16C54" w:rsidP="00E50C61">
            <w:pPr>
              <w:tabs>
                <w:tab w:val="left" w:pos="9072"/>
              </w:tabs>
              <w:jc w:val="center"/>
              <w:rPr>
                <w:rFonts w:eastAsia="Calibri"/>
              </w:rPr>
            </w:pPr>
            <w:r w:rsidRPr="00915363">
              <w:rPr>
                <w:rFonts w:eastAsia="Calibri"/>
              </w:rPr>
              <w:t>1,283</w:t>
            </w:r>
          </w:p>
        </w:tc>
        <w:tc>
          <w:tcPr>
            <w:tcW w:w="3081" w:type="dxa"/>
          </w:tcPr>
          <w:p w:rsidR="00F16C54" w:rsidRPr="00915363" w:rsidRDefault="00F16C54" w:rsidP="00E50C61">
            <w:pPr>
              <w:tabs>
                <w:tab w:val="left" w:pos="9072"/>
              </w:tabs>
              <w:jc w:val="center"/>
              <w:rPr>
                <w:rFonts w:eastAsia="Calibri"/>
              </w:rPr>
            </w:pPr>
            <w:r w:rsidRPr="00915363">
              <w:rPr>
                <w:rFonts w:eastAsia="Calibri"/>
              </w:rPr>
              <w:t>7%</w:t>
            </w:r>
          </w:p>
        </w:tc>
      </w:tr>
      <w:tr w:rsidR="00F16C54" w:rsidRPr="00915363" w:rsidTr="00E50C61">
        <w:tc>
          <w:tcPr>
            <w:tcW w:w="3080" w:type="dxa"/>
          </w:tcPr>
          <w:p w:rsidR="00F16C54" w:rsidRPr="00915363" w:rsidRDefault="00F16C54" w:rsidP="00E50C61">
            <w:pPr>
              <w:tabs>
                <w:tab w:val="left" w:pos="9072"/>
              </w:tabs>
              <w:rPr>
                <w:rFonts w:eastAsia="Calibri"/>
              </w:rPr>
            </w:pPr>
            <w:r w:rsidRPr="00915363">
              <w:rPr>
                <w:rFonts w:eastAsia="Calibri"/>
              </w:rPr>
              <w:t xml:space="preserve">Sustain  fracture to hip </w:t>
            </w:r>
          </w:p>
        </w:tc>
        <w:tc>
          <w:tcPr>
            <w:tcW w:w="3081" w:type="dxa"/>
          </w:tcPr>
          <w:p w:rsidR="00F16C54" w:rsidRPr="00915363" w:rsidRDefault="00F16C54" w:rsidP="00E50C61">
            <w:pPr>
              <w:tabs>
                <w:tab w:val="left" w:pos="9072"/>
              </w:tabs>
              <w:jc w:val="center"/>
              <w:rPr>
                <w:rFonts w:eastAsia="Calibri"/>
              </w:rPr>
            </w:pPr>
            <w:r w:rsidRPr="00915363">
              <w:rPr>
                <w:rFonts w:eastAsia="Calibri"/>
              </w:rPr>
              <w:t>420</w:t>
            </w:r>
          </w:p>
        </w:tc>
        <w:tc>
          <w:tcPr>
            <w:tcW w:w="3081" w:type="dxa"/>
          </w:tcPr>
          <w:p w:rsidR="00F16C54" w:rsidRPr="00915363" w:rsidRDefault="00F16C54" w:rsidP="00E50C61">
            <w:pPr>
              <w:tabs>
                <w:tab w:val="left" w:pos="9072"/>
              </w:tabs>
              <w:jc w:val="center"/>
              <w:rPr>
                <w:rFonts w:eastAsia="Calibri"/>
              </w:rPr>
            </w:pPr>
            <w:r w:rsidRPr="00915363">
              <w:rPr>
                <w:rFonts w:eastAsia="Calibri"/>
              </w:rPr>
              <w:t>2%</w:t>
            </w:r>
          </w:p>
        </w:tc>
      </w:tr>
    </w:tbl>
    <w:p w:rsidR="00F16C54" w:rsidRPr="00915363" w:rsidRDefault="00F16C54" w:rsidP="00F16C54">
      <w:pPr>
        <w:tabs>
          <w:tab w:val="left" w:pos="9072"/>
        </w:tabs>
        <w:autoSpaceDE w:val="0"/>
        <w:autoSpaceDN w:val="0"/>
        <w:adjustRightInd w:val="0"/>
        <w:spacing w:after="0" w:line="240" w:lineRule="auto"/>
        <w:rPr>
          <w:rFonts w:eastAsia="Calibri" w:cs="Arial"/>
        </w:rPr>
      </w:pPr>
      <w:r w:rsidRPr="00915363">
        <w:rPr>
          <w:rFonts w:eastAsia="Calibri" w:cs="Arial"/>
        </w:rPr>
        <w:t xml:space="preserve">Source: Falls &amp; fractures: effective interventions in health &amp; social care, </w:t>
      </w:r>
      <w:r w:rsidR="00CB67F3">
        <w:rPr>
          <w:rFonts w:eastAsia="Calibri" w:cs="Arial"/>
        </w:rPr>
        <w:t>Department of Health</w:t>
      </w:r>
      <w:r w:rsidRPr="00915363">
        <w:rPr>
          <w:rFonts w:eastAsia="Calibri" w:cs="Arial"/>
        </w:rPr>
        <w:t xml:space="preserve"> July 2009.</w:t>
      </w:r>
    </w:p>
    <w:p w:rsidR="00F16C54" w:rsidRPr="00915363" w:rsidRDefault="00F16C54" w:rsidP="00F16C54">
      <w:pPr>
        <w:pStyle w:val="Heading2"/>
        <w:keepNext w:val="0"/>
        <w:keepLines w:val="0"/>
      </w:pPr>
      <w:bookmarkStart w:id="826" w:name="_Toc424218026"/>
      <w:bookmarkStart w:id="827" w:name="_Toc426723364"/>
      <w:bookmarkStart w:id="828" w:name="_Toc431225191"/>
      <w:r w:rsidRPr="00915363">
        <w:t>Better Care Fund (2013)</w:t>
      </w:r>
      <w:bookmarkEnd w:id="826"/>
      <w:bookmarkEnd w:id="827"/>
      <w:bookmarkEnd w:id="828"/>
    </w:p>
    <w:p w:rsidR="00F16C54" w:rsidRPr="00915363" w:rsidRDefault="00F16C54" w:rsidP="00F16C54">
      <w:pPr>
        <w:tabs>
          <w:tab w:val="left" w:pos="9072"/>
        </w:tabs>
        <w:spacing w:after="0" w:line="240" w:lineRule="auto"/>
        <w:jc w:val="both"/>
      </w:pPr>
      <w:r>
        <w:t xml:space="preserve">The Better Care Fund (BCF) </w:t>
      </w:r>
      <w:r w:rsidRPr="00915363">
        <w:t xml:space="preserve">comprises </w:t>
      </w:r>
      <w:r>
        <w:t>a</w:t>
      </w:r>
      <w:r w:rsidRPr="00915363">
        <w:t xml:space="preserve"> pooled budget for health and social care services, shared between the NHS and local authorities, to deliver better outcomes and greater efficiencies through more integrated services</w:t>
      </w:r>
      <w:r>
        <w:t xml:space="preserve"> for older and disabled people.</w:t>
      </w:r>
    </w:p>
    <w:p w:rsidR="00F16C54" w:rsidRDefault="00F16C54" w:rsidP="00F16C54">
      <w:pPr>
        <w:tabs>
          <w:tab w:val="left" w:pos="9072"/>
        </w:tabs>
        <w:spacing w:after="0" w:line="240" w:lineRule="auto"/>
        <w:jc w:val="both"/>
      </w:pPr>
    </w:p>
    <w:p w:rsidR="00F16C54" w:rsidRPr="00915363" w:rsidRDefault="00F16C54" w:rsidP="00F16C54">
      <w:pPr>
        <w:tabs>
          <w:tab w:val="left" w:pos="9072"/>
        </w:tabs>
        <w:spacing w:before="240"/>
        <w:jc w:val="both"/>
      </w:pPr>
      <w:r>
        <w:lastRenderedPageBreak/>
        <w:t>The BCF presents an</w:t>
      </w:r>
      <w:r w:rsidRPr="00915363">
        <w:t xml:space="preserve"> opportunity to bring resources together in support of health and social care integration, to address immediate pressures on services. Guidance makes clear that</w:t>
      </w:r>
      <w:r>
        <w:t xml:space="preserve"> the</w:t>
      </w:r>
      <w:r w:rsidRPr="00915363">
        <w:t xml:space="preserve"> BCF is expected to deliver a substantial shift of activity and resources from hospital to the community, to be measured by 15% reduction in “hospital emergency admission”</w:t>
      </w:r>
      <w:r w:rsidRPr="0074576E">
        <w:footnoteReference w:id="116"/>
      </w:r>
      <w:r>
        <w:t>.</w:t>
      </w:r>
      <w:r w:rsidRPr="00915363">
        <w:t xml:space="preserve"> </w:t>
      </w:r>
    </w:p>
    <w:p w:rsidR="00F16C54" w:rsidRPr="00915363" w:rsidRDefault="00F16C54" w:rsidP="00F16C54">
      <w:pPr>
        <w:tabs>
          <w:tab w:val="left" w:pos="9072"/>
        </w:tabs>
        <w:spacing w:before="240"/>
        <w:jc w:val="both"/>
      </w:pPr>
      <w:r w:rsidRPr="00227445">
        <w:t>The BCF Plan</w:t>
      </w:r>
      <w:r w:rsidRPr="00915363">
        <w:t xml:space="preserve"> provides a framework for targeting investment in a holistic, integrated model, </w:t>
      </w:r>
      <w:r>
        <w:t xml:space="preserve">to drive and quicken the pace in shifting </w:t>
      </w:r>
      <w:r w:rsidRPr="00915363">
        <w:t xml:space="preserve">  the balance of care and activity over time from hospital and long-term residential care</w:t>
      </w:r>
      <w:r>
        <w:t xml:space="preserve"> to the community</w:t>
      </w:r>
      <w:r w:rsidRPr="00915363">
        <w:t>.</w:t>
      </w:r>
    </w:p>
    <w:p w:rsidR="00F16C54" w:rsidRPr="00915363" w:rsidRDefault="00F16C54" w:rsidP="00F16C54">
      <w:pPr>
        <w:tabs>
          <w:tab w:val="left" w:pos="9072"/>
        </w:tabs>
        <w:spacing w:before="240"/>
        <w:jc w:val="both"/>
      </w:pPr>
      <w:r w:rsidRPr="00915363">
        <w:t xml:space="preserve">A comprehensive analysis of risks and mitigating actions / contingency plan has been developed as part of the BCF. The core </w:t>
      </w:r>
      <w:r>
        <w:t xml:space="preserve">challenge is </w:t>
      </w:r>
      <w:r w:rsidRPr="00915363">
        <w:t xml:space="preserve">the financial position of the Barnet health economy, so significant emphasis will be </w:t>
      </w:r>
      <w:r>
        <w:t xml:space="preserve">placed </w:t>
      </w:r>
      <w:r w:rsidR="00DD3A76">
        <w:t>on the</w:t>
      </w:r>
      <w:r>
        <w:t xml:space="preserve"> </w:t>
      </w:r>
      <w:r w:rsidRPr="00915363">
        <w:t xml:space="preserve">delivery of targets related to </w:t>
      </w:r>
      <w:r w:rsidR="00DD3A76" w:rsidRPr="00915363">
        <w:t>reducing non</w:t>
      </w:r>
      <w:r w:rsidRPr="00915363">
        <w:t>-elective emergency admissions.</w:t>
      </w:r>
      <w:r>
        <w:t xml:space="preserve"> Target </w:t>
      </w:r>
      <w:r w:rsidR="00DD3A76">
        <w:t xml:space="preserve">progress </w:t>
      </w:r>
      <w:r w:rsidR="00DD3A76" w:rsidRPr="00915363">
        <w:t>must</w:t>
      </w:r>
      <w:r w:rsidRPr="00915363">
        <w:t xml:space="preserve"> be </w:t>
      </w:r>
      <w:r w:rsidR="00DD3A76">
        <w:t xml:space="preserve">considered </w:t>
      </w:r>
      <w:r w:rsidR="00DD3A76" w:rsidRPr="00915363">
        <w:t>in</w:t>
      </w:r>
      <w:r w:rsidRPr="00915363">
        <w:t xml:space="preserve"> the context of an anticipated funding gap in Health and Social Care </w:t>
      </w:r>
      <w:r>
        <w:t xml:space="preserve">which </w:t>
      </w:r>
      <w:r w:rsidR="00DD3A76">
        <w:t xml:space="preserve">could </w:t>
      </w:r>
      <w:r w:rsidR="00DD3A76" w:rsidRPr="00915363">
        <w:t>manifest</w:t>
      </w:r>
      <w:r w:rsidRPr="00915363">
        <w:t xml:space="preserve"> itself as cost pressures within organisations </w:t>
      </w:r>
      <w:r w:rsidR="00DD3A76">
        <w:t>leading</w:t>
      </w:r>
      <w:r>
        <w:t xml:space="preserve"> to a risk of </w:t>
      </w:r>
      <w:r w:rsidRPr="00915363">
        <w:t xml:space="preserve">potential reduced services. </w:t>
      </w:r>
    </w:p>
    <w:p w:rsidR="00F16C54" w:rsidRPr="00915363" w:rsidRDefault="00F16C54" w:rsidP="00F16C54">
      <w:pPr>
        <w:pStyle w:val="Heading2"/>
        <w:keepNext w:val="0"/>
        <w:keepLines w:val="0"/>
        <w:spacing w:before="0" w:line="240" w:lineRule="auto"/>
      </w:pPr>
      <w:bookmarkStart w:id="829" w:name="_Toc424218027"/>
      <w:bookmarkStart w:id="830" w:name="_Toc426723365"/>
      <w:bookmarkStart w:id="831" w:name="_Toc431225192"/>
      <w:r>
        <w:t>Minor Ailments Scheme</w:t>
      </w:r>
      <w:bookmarkEnd w:id="829"/>
      <w:bookmarkEnd w:id="830"/>
      <w:bookmarkEnd w:id="831"/>
    </w:p>
    <w:p w:rsidR="00F16C54" w:rsidRPr="00915363" w:rsidRDefault="00F16C54" w:rsidP="00F16C54">
      <w:pPr>
        <w:tabs>
          <w:tab w:val="left" w:pos="9072"/>
        </w:tabs>
        <w:spacing w:after="0" w:line="240" w:lineRule="auto"/>
        <w:jc w:val="both"/>
      </w:pPr>
      <w:r>
        <w:t>I</w:t>
      </w:r>
      <w:r w:rsidRPr="00915363">
        <w:t>n addition to General Practice</w:t>
      </w:r>
      <w:r>
        <w:t>,</w:t>
      </w:r>
      <w:r w:rsidRPr="00915363">
        <w:t xml:space="preserve"> Primary Care includes pharmacists and a range of other provisions. The scheme enables patients to access minor ailment advice and treatment from </w:t>
      </w:r>
      <w:r>
        <w:t>e</w:t>
      </w:r>
      <w:r w:rsidRPr="00915363">
        <w:t xml:space="preserve">ight pharmacies </w:t>
      </w:r>
      <w:r>
        <w:t xml:space="preserve">that </w:t>
      </w:r>
      <w:r w:rsidRPr="00915363">
        <w:t xml:space="preserve">are part of the scheme. The three most common reasons for people attending </w:t>
      </w:r>
      <w:r>
        <w:t xml:space="preserve">the eight pharmacies in connection with </w:t>
      </w:r>
      <w:r w:rsidRPr="00915363">
        <w:t>the minor ailments sche</w:t>
      </w:r>
      <w:r>
        <w:t>me were hay</w:t>
      </w:r>
      <w:r w:rsidRPr="00915363">
        <w:t xml:space="preserve"> fever, threadworm and fever. </w:t>
      </w:r>
      <w:r w:rsidR="00DD3A76" w:rsidRPr="00915363">
        <w:t xml:space="preserve">The pilot is to be extended to the </w:t>
      </w:r>
      <w:r w:rsidR="00DD3A76">
        <w:t xml:space="preserve">pharmacies at the </w:t>
      </w:r>
      <w:r w:rsidR="00DD3A76" w:rsidRPr="00915363">
        <w:t xml:space="preserve">3 local hospital sites, with the aim of providing a viable alternative </w:t>
      </w:r>
      <w:r w:rsidR="00DD3A76">
        <w:t xml:space="preserve">to </w:t>
      </w:r>
      <w:r w:rsidR="00DD3A76" w:rsidRPr="00915363">
        <w:t>attending the walk</w:t>
      </w:r>
      <w:r w:rsidR="00DD3A76">
        <w:t xml:space="preserve"> </w:t>
      </w:r>
      <w:r w:rsidR="00DD3A76" w:rsidRPr="00915363">
        <w:t>in centre or Urgent Care Centre for minor ailment advice/treatment</w:t>
      </w:r>
      <w:r w:rsidR="00DD3A76">
        <w:t>.</w:t>
      </w:r>
    </w:p>
    <w:p w:rsidR="00F16C54" w:rsidRPr="00915363" w:rsidRDefault="00F16C54" w:rsidP="00F16C54">
      <w:pPr>
        <w:pStyle w:val="Heading2"/>
        <w:keepNext w:val="0"/>
        <w:keepLines w:val="0"/>
      </w:pPr>
      <w:bookmarkStart w:id="832" w:name="_Toc424218028"/>
      <w:bookmarkStart w:id="833" w:name="_Toc426723366"/>
      <w:bookmarkStart w:id="834" w:name="_Toc431225193"/>
      <w:r>
        <w:t>Medicines Management Strategy</w:t>
      </w:r>
      <w:bookmarkEnd w:id="832"/>
      <w:bookmarkEnd w:id="833"/>
      <w:bookmarkEnd w:id="834"/>
    </w:p>
    <w:p w:rsidR="00F16C54" w:rsidRPr="00915363" w:rsidRDefault="00F16C54" w:rsidP="00F16C54">
      <w:pPr>
        <w:tabs>
          <w:tab w:val="left" w:pos="9072"/>
        </w:tabs>
        <w:spacing w:after="0" w:line="240" w:lineRule="auto"/>
        <w:jc w:val="both"/>
      </w:pPr>
      <w:r w:rsidRPr="00915363">
        <w:t>It is estimated that between one-third and one-half of medication prescribed for long-term conditions is not taken as reco</w:t>
      </w:r>
      <w:r>
        <w:t xml:space="preserve">mmended </w:t>
      </w:r>
      <w:r>
        <w:rPr>
          <w:rStyle w:val="FootnoteReference"/>
        </w:rPr>
        <w:footnoteReference w:id="117"/>
      </w:r>
      <w:r>
        <w:t xml:space="preserve"> and</w:t>
      </w:r>
      <w:r w:rsidRPr="00915363">
        <w:t xml:space="preserve"> around 7% of hospital admissions have been </w:t>
      </w:r>
      <w:r>
        <w:rPr>
          <w:rStyle w:val="FootnoteReference"/>
        </w:rPr>
        <w:footnoteReference w:id="118"/>
      </w:r>
      <w:r w:rsidRPr="00915363">
        <w:t>associated with adverse drug reactions</w:t>
      </w:r>
      <w:r>
        <w:rPr>
          <w:rStyle w:val="FootnoteReference"/>
        </w:rPr>
        <w:footnoteReference w:id="119"/>
      </w:r>
      <w:r>
        <w:t xml:space="preserve"> .</w:t>
      </w:r>
    </w:p>
    <w:p w:rsidR="00F16C54" w:rsidRPr="00915363" w:rsidRDefault="00F16C54" w:rsidP="00F16C54">
      <w:pPr>
        <w:pStyle w:val="Heading3"/>
        <w:keepNext w:val="0"/>
        <w:keepLines w:val="0"/>
        <w:spacing w:line="271" w:lineRule="auto"/>
        <w:rPr>
          <w:rFonts w:eastAsiaTheme="minorEastAsia"/>
          <w:lang w:val="en-US" w:eastAsia="ja-JP"/>
        </w:rPr>
      </w:pPr>
      <w:r w:rsidRPr="00915363">
        <w:rPr>
          <w:rFonts w:eastAsiaTheme="minorEastAsia"/>
          <w:lang w:val="en-US" w:eastAsia="ja-JP"/>
        </w:rPr>
        <w:t>Referral Management</w:t>
      </w:r>
    </w:p>
    <w:p w:rsidR="00F16C54" w:rsidRDefault="00F16C54" w:rsidP="00F16C54">
      <w:pPr>
        <w:tabs>
          <w:tab w:val="left" w:pos="9072"/>
        </w:tabs>
        <w:spacing w:after="0" w:line="240" w:lineRule="auto"/>
        <w:jc w:val="both"/>
      </w:pPr>
      <w:r w:rsidRPr="00915363">
        <w:rPr>
          <w:rFonts w:eastAsia="Times New Roman" w:cs="Arial"/>
          <w:color w:val="242424"/>
          <w:lang w:eastAsia="en-GB"/>
        </w:rPr>
        <w:t>Referral management is a system by which GP referrals to community or secondary care services are reviewed by a peer in order to ensure that the correct referral pathway is being used. New pathways are being developed to enable care closer to home, to improve the patient experience and to deliver better value for money within the NHS</w:t>
      </w:r>
      <w:r w:rsidRPr="00915363">
        <w:t>.</w:t>
      </w:r>
    </w:p>
    <w:p w:rsidR="00F16C54" w:rsidRPr="00915363" w:rsidRDefault="00F16C54" w:rsidP="00F16C54">
      <w:pPr>
        <w:tabs>
          <w:tab w:val="left" w:pos="9072"/>
        </w:tabs>
        <w:spacing w:after="0" w:line="240" w:lineRule="auto"/>
        <w:jc w:val="both"/>
      </w:pPr>
    </w:p>
    <w:p w:rsidR="00F16C54" w:rsidRDefault="00F16C54" w:rsidP="00F16C54">
      <w:pPr>
        <w:tabs>
          <w:tab w:val="left" w:pos="9072"/>
        </w:tabs>
        <w:jc w:val="both"/>
      </w:pPr>
      <w:r w:rsidRPr="00952D55">
        <w:t>The Referral Management Service (RMS)</w:t>
      </w:r>
      <w:r w:rsidRPr="00915363">
        <w:t xml:space="preserve"> in Barnet is provided by </w:t>
      </w:r>
      <w:proofErr w:type="spellStart"/>
      <w:r w:rsidRPr="00915363">
        <w:t>Barndoc</w:t>
      </w:r>
      <w:proofErr w:type="spellEnd"/>
      <w:r w:rsidRPr="00915363">
        <w:t xml:space="preserve"> Healthcare Limited and was set up in June 2010 </w:t>
      </w:r>
      <w:r>
        <w:t xml:space="preserve">against the backdrop of a </w:t>
      </w:r>
      <w:r w:rsidRPr="00915363">
        <w:t xml:space="preserve">changing commissioning landscape at </w:t>
      </w:r>
      <w:r w:rsidR="00DD3A76">
        <w:t xml:space="preserve">a </w:t>
      </w:r>
      <w:r w:rsidR="00DD3A76" w:rsidRPr="00915363">
        <w:t>time</w:t>
      </w:r>
      <w:r w:rsidRPr="00915363">
        <w:t xml:space="preserve"> </w:t>
      </w:r>
      <w:r>
        <w:t xml:space="preserve">of </w:t>
      </w:r>
      <w:r w:rsidRPr="00915363">
        <w:t xml:space="preserve">growth in community or interface services.  </w:t>
      </w:r>
      <w:r>
        <w:t xml:space="preserve">The RMS </w:t>
      </w:r>
      <w:r w:rsidRPr="00915363">
        <w:t xml:space="preserve"> purpose </w:t>
      </w:r>
      <w:r>
        <w:t xml:space="preserve">was to </w:t>
      </w:r>
      <w:r w:rsidRPr="00915363">
        <w:t>provid</w:t>
      </w:r>
      <w:r>
        <w:t>e</w:t>
      </w:r>
      <w:r w:rsidRPr="00915363">
        <w:t xml:space="preserve"> the then PCT with a greater understanding of referral patterns, the clinical symptoms requiring the referral, as well as acting as a central point from which referrals could be directed to the most appropriate services</w:t>
      </w:r>
      <w:r>
        <w:t>.</w:t>
      </w:r>
      <w:r w:rsidRPr="00915363">
        <w:t xml:space="preserve"> The</w:t>
      </w:r>
      <w:r>
        <w:t xml:space="preserve"> RMS </w:t>
      </w:r>
      <w:r w:rsidRPr="00915363">
        <w:t>process approximately 7</w:t>
      </w:r>
      <w:r>
        <w:t>,</w:t>
      </w:r>
      <w:r w:rsidRPr="00915363">
        <w:t>000 GP initiated referrals each month</w:t>
      </w:r>
      <w:r>
        <w:t>,</w:t>
      </w:r>
      <w:r w:rsidRPr="00915363">
        <w:t xml:space="preserve"> the majority of which are triaged by a team of local GPs.  </w:t>
      </w:r>
    </w:p>
    <w:p w:rsidR="00F16C54" w:rsidRPr="00915363" w:rsidRDefault="00F16C54" w:rsidP="00F16C54">
      <w:pPr>
        <w:tabs>
          <w:tab w:val="left" w:pos="9072"/>
        </w:tabs>
        <w:jc w:val="both"/>
      </w:pPr>
      <w:r>
        <w:lastRenderedPageBreak/>
        <w:t>Further work is needed to review the current</w:t>
      </w:r>
      <w:r w:rsidRPr="00915363">
        <w:t xml:space="preserve"> referral manage</w:t>
      </w:r>
      <w:r>
        <w:t>ment service to develop the understanding of referral patterns.</w:t>
      </w:r>
    </w:p>
    <w:p w:rsidR="00F16C54" w:rsidRPr="00915363" w:rsidRDefault="00F16C54" w:rsidP="00F16C54">
      <w:pPr>
        <w:pStyle w:val="Heading2"/>
        <w:keepNext w:val="0"/>
        <w:keepLines w:val="0"/>
      </w:pPr>
      <w:bookmarkStart w:id="835" w:name="_Toc424218029"/>
      <w:bookmarkStart w:id="836" w:name="_Toc426723367"/>
      <w:bookmarkStart w:id="837" w:name="_Toc431225194"/>
      <w:r w:rsidRPr="00915363">
        <w:t>Urgent (unscheduled) and Emergency Care</w:t>
      </w:r>
      <w:bookmarkEnd w:id="835"/>
      <w:bookmarkEnd w:id="836"/>
      <w:bookmarkEnd w:id="837"/>
    </w:p>
    <w:p w:rsidR="00F16C54" w:rsidRPr="00915363" w:rsidRDefault="00F16C54" w:rsidP="00F16C54">
      <w:pPr>
        <w:tabs>
          <w:tab w:val="left" w:pos="9072"/>
        </w:tabs>
        <w:jc w:val="both"/>
      </w:pPr>
      <w:r>
        <w:t>“</w:t>
      </w:r>
      <w:r w:rsidRPr="00915363">
        <w:t>Unscheduled care can be defined as</w:t>
      </w:r>
      <w:r>
        <w:t>:</w:t>
      </w:r>
      <w:r w:rsidRPr="00915363">
        <w:t xml:space="preserve"> health and/or social care which cannot be reasonably foreseen or planned in advance of contact with relevant professional. It follows that such demand can occur any time and that services to meet this demand must be available 24 hours a day</w:t>
      </w:r>
      <w:r>
        <w:t>,</w:t>
      </w:r>
      <w:r w:rsidRPr="00915363">
        <w:t xml:space="preserve"> seven days a week.”(A guide to good practice: Unscheduled care and Emergency Care Services).</w:t>
      </w:r>
    </w:p>
    <w:p w:rsidR="00F16C54" w:rsidRPr="00915363" w:rsidRDefault="00F16C54" w:rsidP="00F16C54">
      <w:pPr>
        <w:tabs>
          <w:tab w:val="left" w:pos="9072"/>
        </w:tabs>
        <w:jc w:val="both"/>
      </w:pPr>
      <w:r w:rsidRPr="00915363">
        <w:t xml:space="preserve">A range of urgent and emergency care services are available </w:t>
      </w:r>
      <w:r w:rsidR="00DD3A76">
        <w:t xml:space="preserve">through </w:t>
      </w:r>
      <w:r w:rsidR="00DD3A76" w:rsidRPr="00915363">
        <w:t>Barnet</w:t>
      </w:r>
      <w:r w:rsidRPr="00915363">
        <w:t xml:space="preserve"> Urgent &amp; Emergency Care</w:t>
      </w:r>
      <w:r w:rsidRPr="00915363">
        <w:rPr>
          <w:b/>
        </w:rPr>
        <w:t xml:space="preserve"> </w:t>
      </w:r>
      <w:r w:rsidRPr="00915363">
        <w:t xml:space="preserve">Services </w:t>
      </w:r>
      <w:r>
        <w:t xml:space="preserve">and </w:t>
      </w:r>
      <w:r w:rsidR="00DD3A76" w:rsidRPr="00915363">
        <w:t>comprise the</w:t>
      </w:r>
      <w:r w:rsidRPr="00915363">
        <w:t xml:space="preserve"> following:</w:t>
      </w:r>
    </w:p>
    <w:p w:rsidR="00F16C54" w:rsidRPr="00915363" w:rsidRDefault="00F16C54" w:rsidP="008921BF">
      <w:pPr>
        <w:pStyle w:val="ListParagraph"/>
        <w:numPr>
          <w:ilvl w:val="0"/>
          <w:numId w:val="80"/>
        </w:numPr>
        <w:tabs>
          <w:tab w:val="left" w:pos="9072"/>
        </w:tabs>
        <w:jc w:val="both"/>
      </w:pPr>
      <w:r w:rsidRPr="00915363">
        <w:t>Barnet Hospital A&amp;E (24hrs; UCC 8pm to 10pm</w:t>
      </w:r>
    </w:p>
    <w:p w:rsidR="00F16C54" w:rsidRPr="00915363" w:rsidRDefault="00F16C54" w:rsidP="008921BF">
      <w:pPr>
        <w:pStyle w:val="ListParagraph"/>
        <w:numPr>
          <w:ilvl w:val="0"/>
          <w:numId w:val="80"/>
        </w:numPr>
        <w:tabs>
          <w:tab w:val="left" w:pos="9072"/>
        </w:tabs>
        <w:jc w:val="both"/>
      </w:pPr>
      <w:r w:rsidRPr="00915363">
        <w:t>Edgware Walk in Centre (7am – 10pm)</w:t>
      </w:r>
    </w:p>
    <w:p w:rsidR="00F16C54" w:rsidRPr="00915363" w:rsidRDefault="00F16C54" w:rsidP="008921BF">
      <w:pPr>
        <w:pStyle w:val="ListParagraph"/>
        <w:numPr>
          <w:ilvl w:val="0"/>
          <w:numId w:val="80"/>
        </w:numPr>
        <w:tabs>
          <w:tab w:val="left" w:pos="9072"/>
        </w:tabs>
        <w:jc w:val="both"/>
      </w:pPr>
      <w:r w:rsidRPr="00915363">
        <w:t>Cricklewood Walk in Centre (8am – 8pm)</w:t>
      </w:r>
    </w:p>
    <w:p w:rsidR="00F16C54" w:rsidRPr="00915363" w:rsidRDefault="00F16C54" w:rsidP="008921BF">
      <w:pPr>
        <w:pStyle w:val="ListParagraph"/>
        <w:numPr>
          <w:ilvl w:val="0"/>
          <w:numId w:val="80"/>
        </w:numPr>
        <w:tabs>
          <w:tab w:val="left" w:pos="9072"/>
        </w:tabs>
        <w:jc w:val="both"/>
      </w:pPr>
      <w:r w:rsidRPr="00915363">
        <w:t>Royal Free Hospital A&amp;E (24nhs); UCC 8pm to 10 pm</w:t>
      </w:r>
    </w:p>
    <w:p w:rsidR="00F16C54" w:rsidRPr="00915363" w:rsidRDefault="00F16C54" w:rsidP="008921BF">
      <w:pPr>
        <w:pStyle w:val="ListParagraph"/>
        <w:numPr>
          <w:ilvl w:val="0"/>
          <w:numId w:val="80"/>
        </w:numPr>
        <w:tabs>
          <w:tab w:val="left" w:pos="9072"/>
        </w:tabs>
        <w:jc w:val="both"/>
      </w:pPr>
      <w:r w:rsidRPr="00915363">
        <w:t>GP OOH (6:30pm to 8am); Telephone assessment, Base visits, Home visits</w:t>
      </w:r>
    </w:p>
    <w:p w:rsidR="00F16C54" w:rsidRPr="00915363" w:rsidRDefault="00F16C54" w:rsidP="008921BF">
      <w:pPr>
        <w:pStyle w:val="ListParagraph"/>
        <w:numPr>
          <w:ilvl w:val="0"/>
          <w:numId w:val="80"/>
        </w:numPr>
        <w:tabs>
          <w:tab w:val="left" w:pos="9072"/>
        </w:tabs>
        <w:jc w:val="both"/>
      </w:pPr>
      <w:r w:rsidRPr="00915363">
        <w:t>Finchley Walk in Centre 7am – 10pm</w:t>
      </w:r>
    </w:p>
    <w:p w:rsidR="00F16C54" w:rsidRPr="00915363" w:rsidRDefault="00F16C54" w:rsidP="008921BF">
      <w:pPr>
        <w:pStyle w:val="ListParagraph"/>
        <w:numPr>
          <w:ilvl w:val="0"/>
          <w:numId w:val="80"/>
        </w:numPr>
        <w:tabs>
          <w:tab w:val="left" w:pos="9072"/>
        </w:tabs>
        <w:jc w:val="both"/>
      </w:pPr>
      <w:r w:rsidRPr="00915363">
        <w:t>GP OOH base (6:30 to 11pm)</w:t>
      </w:r>
    </w:p>
    <w:p w:rsidR="00F16C54" w:rsidRPr="00915363" w:rsidRDefault="00F16C54" w:rsidP="008921BF">
      <w:pPr>
        <w:pStyle w:val="ListParagraph"/>
        <w:numPr>
          <w:ilvl w:val="0"/>
          <w:numId w:val="80"/>
        </w:numPr>
        <w:tabs>
          <w:tab w:val="left" w:pos="9072"/>
        </w:tabs>
        <w:jc w:val="both"/>
      </w:pPr>
      <w:r w:rsidRPr="00915363">
        <w:t>NHS 111 (24 hours)</w:t>
      </w:r>
    </w:p>
    <w:p w:rsidR="00F16C54" w:rsidRPr="00915363" w:rsidRDefault="00F16C54" w:rsidP="008921BF">
      <w:pPr>
        <w:pStyle w:val="ListParagraph"/>
        <w:numPr>
          <w:ilvl w:val="0"/>
          <w:numId w:val="80"/>
        </w:numPr>
        <w:tabs>
          <w:tab w:val="left" w:pos="9072"/>
        </w:tabs>
        <w:jc w:val="both"/>
      </w:pPr>
      <w:r w:rsidRPr="00915363">
        <w:t xml:space="preserve">London </w:t>
      </w:r>
      <w:r>
        <w:t>A</w:t>
      </w:r>
      <w:r w:rsidRPr="00915363">
        <w:t>mbulance Service (24hrs)</w:t>
      </w:r>
    </w:p>
    <w:p w:rsidR="00F16C54" w:rsidRPr="00915363" w:rsidRDefault="00F16C54" w:rsidP="00F16C54">
      <w:pPr>
        <w:pStyle w:val="Heading2"/>
        <w:keepNext w:val="0"/>
        <w:keepLines w:val="0"/>
      </w:pPr>
      <w:bookmarkStart w:id="838" w:name="_Toc424218030"/>
      <w:bookmarkStart w:id="839" w:name="_Toc426723368"/>
      <w:bookmarkStart w:id="840" w:name="_Toc431225195"/>
      <w:r w:rsidRPr="00915363">
        <w:t>Barnet A</w:t>
      </w:r>
      <w:r>
        <w:t xml:space="preserve">ccident and </w:t>
      </w:r>
      <w:r w:rsidR="00DD3A76">
        <w:t xml:space="preserve">Emergency </w:t>
      </w:r>
      <w:r w:rsidR="00DD3A76" w:rsidRPr="00915363">
        <w:t>Summary</w:t>
      </w:r>
      <w:r w:rsidRPr="00915363">
        <w:t xml:space="preserve"> Key facts and figures:</w:t>
      </w:r>
      <w:bookmarkEnd w:id="838"/>
      <w:bookmarkEnd w:id="839"/>
      <w:bookmarkEnd w:id="840"/>
    </w:p>
    <w:p w:rsidR="00F16C54" w:rsidRPr="00915363" w:rsidRDefault="00F16C54" w:rsidP="008921BF">
      <w:pPr>
        <w:pStyle w:val="ListParagraph"/>
        <w:numPr>
          <w:ilvl w:val="0"/>
          <w:numId w:val="81"/>
        </w:numPr>
        <w:tabs>
          <w:tab w:val="left" w:pos="9072"/>
        </w:tabs>
        <w:jc w:val="both"/>
      </w:pPr>
      <w:r>
        <w:t xml:space="preserve">The </w:t>
      </w:r>
      <w:r w:rsidRPr="00915363">
        <w:t>A&amp;E waiting times target of 95% of patients waiting no longer than four hours continues to present a challenge</w:t>
      </w:r>
    </w:p>
    <w:p w:rsidR="00F16C54" w:rsidRPr="00915363" w:rsidRDefault="00F16C54" w:rsidP="008921BF">
      <w:pPr>
        <w:pStyle w:val="ListParagraph"/>
        <w:numPr>
          <w:ilvl w:val="0"/>
          <w:numId w:val="81"/>
        </w:numPr>
        <w:tabs>
          <w:tab w:val="left" w:pos="9072"/>
        </w:tabs>
        <w:jc w:val="both"/>
      </w:pPr>
      <w:r w:rsidRPr="00915363">
        <w:t xml:space="preserve">Barnet A&amp;E activity recorded an increase in 2014/15 compared to </w:t>
      </w:r>
      <w:r>
        <w:t>20</w:t>
      </w:r>
      <w:r w:rsidRPr="00915363">
        <w:t>13/14</w:t>
      </w:r>
    </w:p>
    <w:p w:rsidR="00F16C54" w:rsidRPr="00915363" w:rsidRDefault="00F16C54" w:rsidP="008921BF">
      <w:pPr>
        <w:pStyle w:val="ListParagraph"/>
        <w:numPr>
          <w:ilvl w:val="0"/>
          <w:numId w:val="81"/>
        </w:numPr>
        <w:tabs>
          <w:tab w:val="left" w:pos="9072"/>
        </w:tabs>
        <w:jc w:val="both"/>
      </w:pPr>
      <w:r w:rsidRPr="00915363">
        <w:t>Concurrent increase in activity in Barnet Walk in centres in 2014/15 compared to 2013/14</w:t>
      </w:r>
    </w:p>
    <w:p w:rsidR="00F16C54" w:rsidRPr="00915363" w:rsidRDefault="00F16C54" w:rsidP="008921BF">
      <w:pPr>
        <w:pStyle w:val="ListParagraph"/>
        <w:numPr>
          <w:ilvl w:val="0"/>
          <w:numId w:val="81"/>
        </w:numPr>
        <w:tabs>
          <w:tab w:val="left" w:pos="9072"/>
        </w:tabs>
        <w:jc w:val="both"/>
      </w:pPr>
      <w:r w:rsidRPr="00915363">
        <w:t>In 2014/15 around 48% of the total Barnet A&amp;E activity was at Barnet Hospital, and 23% at the Royal Free London NHS Trust.</w:t>
      </w:r>
    </w:p>
    <w:p w:rsidR="00F16C54" w:rsidRPr="00915363" w:rsidRDefault="00F16C54" w:rsidP="008921BF">
      <w:pPr>
        <w:pStyle w:val="ListParagraph"/>
        <w:numPr>
          <w:ilvl w:val="0"/>
          <w:numId w:val="81"/>
        </w:numPr>
        <w:tabs>
          <w:tab w:val="left" w:pos="9072"/>
        </w:tabs>
        <w:jc w:val="both"/>
      </w:pPr>
      <w:proofErr w:type="spellStart"/>
      <w:r w:rsidRPr="00915363">
        <w:t>Moorfield</w:t>
      </w:r>
      <w:proofErr w:type="spellEnd"/>
      <w:r w:rsidRPr="00915363">
        <w:t xml:space="preserve"> Eye hospital saw an increase in Barnet activity in 2014/15</w:t>
      </w:r>
    </w:p>
    <w:p w:rsidR="00F16C54" w:rsidRPr="00915363" w:rsidRDefault="00F16C54" w:rsidP="00F16C54">
      <w:pPr>
        <w:tabs>
          <w:tab w:val="left" w:pos="9072"/>
        </w:tabs>
        <w:jc w:val="both"/>
        <w:rPr>
          <w:b/>
        </w:rPr>
      </w:pPr>
      <w:r w:rsidRPr="00915363">
        <w:rPr>
          <w:b/>
        </w:rPr>
        <w:t>A&amp;E Treatment: Patient Profile 2014/15</w:t>
      </w:r>
    </w:p>
    <w:p w:rsidR="00F16C54" w:rsidRPr="00915363" w:rsidRDefault="00F16C54" w:rsidP="008921BF">
      <w:pPr>
        <w:pStyle w:val="ListParagraph"/>
        <w:numPr>
          <w:ilvl w:val="0"/>
          <w:numId w:val="82"/>
        </w:numPr>
        <w:tabs>
          <w:tab w:val="left" w:pos="9072"/>
        </w:tabs>
        <w:jc w:val="both"/>
        <w:rPr>
          <w:b/>
        </w:rPr>
      </w:pPr>
      <w:r w:rsidRPr="00915363">
        <w:t>55% of A&amp;E attendances were discharged and 28% admitted</w:t>
      </w:r>
    </w:p>
    <w:p w:rsidR="00F16C54" w:rsidRPr="00915363" w:rsidRDefault="00F16C54" w:rsidP="008921BF">
      <w:pPr>
        <w:pStyle w:val="ListParagraph"/>
        <w:numPr>
          <w:ilvl w:val="0"/>
          <w:numId w:val="82"/>
        </w:numPr>
        <w:tabs>
          <w:tab w:val="left" w:pos="9072"/>
        </w:tabs>
        <w:jc w:val="both"/>
        <w:rPr>
          <w:b/>
        </w:rPr>
      </w:pPr>
      <w:r w:rsidRPr="00915363">
        <w:t>50% of admissions related to patients of 60+</w:t>
      </w:r>
    </w:p>
    <w:p w:rsidR="00F16C54" w:rsidRPr="00915363" w:rsidRDefault="00F16C54" w:rsidP="008921BF">
      <w:pPr>
        <w:pStyle w:val="ListParagraph"/>
        <w:numPr>
          <w:ilvl w:val="0"/>
          <w:numId w:val="82"/>
        </w:numPr>
        <w:tabs>
          <w:tab w:val="left" w:pos="9072"/>
        </w:tabs>
        <w:jc w:val="both"/>
        <w:rPr>
          <w:b/>
        </w:rPr>
      </w:pPr>
      <w:r w:rsidRPr="00915363">
        <w:t>Largest users of A&amp;E were 0-9 and 20-39yrs</w:t>
      </w:r>
    </w:p>
    <w:p w:rsidR="00F16C54" w:rsidRPr="00915363" w:rsidRDefault="00F16C54" w:rsidP="008921BF">
      <w:pPr>
        <w:pStyle w:val="ListParagraph"/>
        <w:numPr>
          <w:ilvl w:val="0"/>
          <w:numId w:val="82"/>
        </w:numPr>
        <w:tabs>
          <w:tab w:val="left" w:pos="9072"/>
        </w:tabs>
        <w:jc w:val="both"/>
        <w:rPr>
          <w:b/>
        </w:rPr>
      </w:pPr>
      <w:r w:rsidRPr="00915363">
        <w:t>Around 9% of attendances to A&amp;E had no investigation and no significant treatment</w:t>
      </w:r>
    </w:p>
    <w:p w:rsidR="00F16C54" w:rsidRPr="00915363" w:rsidRDefault="00F16C54" w:rsidP="008921BF">
      <w:pPr>
        <w:pStyle w:val="ListParagraph"/>
        <w:numPr>
          <w:ilvl w:val="0"/>
          <w:numId w:val="82"/>
        </w:numPr>
        <w:tabs>
          <w:tab w:val="left" w:pos="9072"/>
        </w:tabs>
        <w:jc w:val="both"/>
        <w:rPr>
          <w:b/>
        </w:rPr>
      </w:pPr>
      <w:r w:rsidRPr="00915363">
        <w:t>Majority of patients discharged with no treatment and advice and guidance were aged 20-39yrs</w:t>
      </w:r>
    </w:p>
    <w:p w:rsidR="00F16C54" w:rsidRPr="00915363" w:rsidRDefault="00F16C54" w:rsidP="008921BF">
      <w:pPr>
        <w:pStyle w:val="ListParagraph"/>
        <w:numPr>
          <w:ilvl w:val="0"/>
          <w:numId w:val="82"/>
        </w:numPr>
        <w:tabs>
          <w:tab w:val="left" w:pos="9072"/>
        </w:tabs>
        <w:jc w:val="both"/>
        <w:rPr>
          <w:b/>
        </w:rPr>
      </w:pPr>
      <w:r w:rsidRPr="00915363">
        <w:t>35% of patients received investigation with category 1 treatment</w:t>
      </w:r>
    </w:p>
    <w:p w:rsidR="00F16C54" w:rsidRPr="00915363" w:rsidRDefault="00F16C54" w:rsidP="008921BF">
      <w:pPr>
        <w:pStyle w:val="ListParagraph"/>
        <w:numPr>
          <w:ilvl w:val="0"/>
          <w:numId w:val="82"/>
        </w:numPr>
        <w:tabs>
          <w:tab w:val="left" w:pos="9072"/>
        </w:tabs>
        <w:jc w:val="both"/>
        <w:rPr>
          <w:b/>
        </w:rPr>
      </w:pPr>
      <w:r w:rsidRPr="00915363">
        <w:t>62% from Walk-in-centres received no treatment and advice and guidance only</w:t>
      </w:r>
    </w:p>
    <w:p w:rsidR="00F16C54" w:rsidRDefault="00F16C54" w:rsidP="00F16C54">
      <w:pPr>
        <w:pStyle w:val="Heading2"/>
        <w:keepNext w:val="0"/>
        <w:keepLines w:val="0"/>
      </w:pPr>
      <w:bookmarkStart w:id="841" w:name="_Toc424218031"/>
      <w:bookmarkStart w:id="842" w:name="_Toc426723369"/>
      <w:bookmarkStart w:id="843" w:name="_Toc431225196"/>
      <w:r w:rsidRPr="00915363">
        <w:t>Delayed Transfer of Care (</w:t>
      </w:r>
      <w:proofErr w:type="spellStart"/>
      <w:r w:rsidRPr="00915363">
        <w:t>DToC</w:t>
      </w:r>
      <w:proofErr w:type="spellEnd"/>
      <w:r w:rsidRPr="00915363">
        <w:t>)</w:t>
      </w:r>
      <w:bookmarkEnd w:id="841"/>
      <w:bookmarkEnd w:id="842"/>
      <w:bookmarkEnd w:id="843"/>
    </w:p>
    <w:p w:rsidR="00F16C54" w:rsidRPr="00915363" w:rsidRDefault="00F16C54" w:rsidP="00F16C54">
      <w:pPr>
        <w:tabs>
          <w:tab w:val="left" w:pos="9072"/>
        </w:tabs>
        <w:jc w:val="both"/>
      </w:pPr>
      <w:r w:rsidRPr="00915363">
        <w:t>A delayed transfer of care is experienced by an inpatient in hospital</w:t>
      </w:r>
      <w:r>
        <w:t xml:space="preserve"> when they are </w:t>
      </w:r>
      <w:r w:rsidRPr="00915363">
        <w:t xml:space="preserve"> ready to move on to the next stage of care, but </w:t>
      </w:r>
      <w:r>
        <w:t xml:space="preserve">are </w:t>
      </w:r>
      <w:r w:rsidRPr="00915363">
        <w:t xml:space="preserve">unable to do </w:t>
      </w:r>
      <w:r>
        <w:t xml:space="preserve">because </w:t>
      </w:r>
      <w:r w:rsidRPr="00915363">
        <w:t xml:space="preserve">social or health related arrangements </w:t>
      </w:r>
      <w:r>
        <w:t xml:space="preserve">are </w:t>
      </w:r>
      <w:r w:rsidRPr="00915363">
        <w:t>not in place</w:t>
      </w:r>
      <w:r>
        <w:t xml:space="preserve"> to enable the discharge</w:t>
      </w:r>
      <w:r w:rsidRPr="00915363">
        <w:t>. Department of Health defines a delayed transfer of care (</w:t>
      </w:r>
      <w:proofErr w:type="spellStart"/>
      <w:r w:rsidRPr="00915363">
        <w:t>DToC</w:t>
      </w:r>
      <w:proofErr w:type="spellEnd"/>
      <w:r w:rsidRPr="00915363">
        <w:t xml:space="preserve">), </w:t>
      </w:r>
      <w:r w:rsidRPr="00915363">
        <w:lastRenderedPageBreak/>
        <w:t>also known as a delayed discharge as “occurring when a patient is ready for transfer from a general and acute hospital bed, b</w:t>
      </w:r>
      <w:r>
        <w:t>ut still occupying such a bed.”</w:t>
      </w:r>
    </w:p>
    <w:p w:rsidR="00F16C54" w:rsidRDefault="00F16C54" w:rsidP="00F16C54">
      <w:pPr>
        <w:jc w:val="both"/>
      </w:pPr>
      <w:r w:rsidRPr="00971563">
        <w:t xml:space="preserve">Figure 7-5 shows the number of </w:t>
      </w:r>
      <w:proofErr w:type="spellStart"/>
      <w:r w:rsidRPr="00971563">
        <w:t>DToC</w:t>
      </w:r>
      <w:proofErr w:type="spellEnd"/>
      <w:r w:rsidRPr="00971563">
        <w:t xml:space="preserve"> within Barnet for the period April 2012 – May 2015. Although there has been some significant fluctuation in the number of </w:t>
      </w:r>
      <w:proofErr w:type="spellStart"/>
      <w:r w:rsidRPr="00971563">
        <w:t>DToC</w:t>
      </w:r>
      <w:proofErr w:type="spellEnd"/>
      <w:r w:rsidRPr="00971563">
        <w:t xml:space="preserve"> days, overall during this 38 month period there has been a downward trend in the number of lost days</w:t>
      </w:r>
      <w:r>
        <w:t xml:space="preserve"> due to </w:t>
      </w:r>
      <w:proofErr w:type="spellStart"/>
      <w:r>
        <w:t>DToC</w:t>
      </w:r>
      <w:proofErr w:type="spellEnd"/>
      <w:r w:rsidRPr="00971563">
        <w:t xml:space="preserve">.  </w:t>
      </w:r>
    </w:p>
    <w:p w:rsidR="00F16C54" w:rsidRDefault="00F16C54" w:rsidP="00F16C54">
      <w:pPr>
        <w:pStyle w:val="Caption"/>
      </w:pPr>
      <w:r>
        <w:t xml:space="preserve">Figure </w:t>
      </w:r>
      <w:fldSimple w:instr=" STYLEREF 1 \s ">
        <w:r w:rsidR="001663C2">
          <w:rPr>
            <w:noProof/>
          </w:rPr>
          <w:t>7</w:t>
        </w:r>
      </w:fldSimple>
      <w:r w:rsidR="00943DC2">
        <w:noBreakHyphen/>
      </w:r>
      <w:fldSimple w:instr=" SEQ Figure \* ARABIC \s 1 ">
        <w:r w:rsidR="001663C2">
          <w:rPr>
            <w:noProof/>
          </w:rPr>
          <w:t>5</w:t>
        </w:r>
      </w:fldSimple>
      <w:r>
        <w:t>: Delayed Transfer of Care in Barnet (Lost Days each month), April 12 – May 15</w:t>
      </w:r>
    </w:p>
    <w:p w:rsidR="00F16C54" w:rsidRPr="006D0719" w:rsidRDefault="00F16C54" w:rsidP="00F16C54">
      <w:pPr>
        <w:spacing w:after="0" w:line="240" w:lineRule="auto"/>
        <w:jc w:val="center"/>
      </w:pPr>
      <w:r>
        <w:rPr>
          <w:noProof/>
          <w:lang w:eastAsia="en-GB"/>
        </w:rPr>
        <w:drawing>
          <wp:inline distT="0" distB="0" distL="0" distR="0" wp14:anchorId="059FE207" wp14:editId="61AED825">
            <wp:extent cx="5867400" cy="2276475"/>
            <wp:effectExtent l="0" t="0" r="19050" b="9525"/>
            <wp:docPr id="43013" name="Chart 430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p w:rsidR="00F16C54" w:rsidRDefault="00F16C54" w:rsidP="00F16C54">
      <w:pPr>
        <w:jc w:val="both"/>
      </w:pPr>
      <w:r>
        <w:t>Source: NHS England</w:t>
      </w:r>
    </w:p>
    <w:p w:rsidR="00F16C54" w:rsidRDefault="00F16C54" w:rsidP="00F16C54">
      <w:pPr>
        <w:jc w:val="both"/>
      </w:pPr>
      <w:r>
        <w:t>However, over this 38 month period, the split of the responsibility for delays has shifted away from the NHS towards Adult Social Care. At April 2012 Adult Social Care’s portion of delays stood at 22.9%, by May 2015 it had risen to 47.1% of delays, with a high of 65.1% in April 2015. Further research is needed to identify the driving factors behind this change.</w:t>
      </w:r>
    </w:p>
    <w:p w:rsidR="00F16C54" w:rsidRDefault="00F16C54" w:rsidP="00F16C54">
      <w:pPr>
        <w:pStyle w:val="Caption"/>
      </w:pPr>
      <w:r>
        <w:t xml:space="preserve">Figure </w:t>
      </w:r>
      <w:fldSimple w:instr=" STYLEREF 1 \s ">
        <w:r w:rsidR="001663C2">
          <w:rPr>
            <w:noProof/>
          </w:rPr>
          <w:t>7</w:t>
        </w:r>
      </w:fldSimple>
      <w:r w:rsidR="00943DC2">
        <w:noBreakHyphen/>
      </w:r>
      <w:fldSimple w:instr=" SEQ Figure \* ARABIC \s 1 ">
        <w:r w:rsidR="001663C2">
          <w:rPr>
            <w:noProof/>
          </w:rPr>
          <w:t>6</w:t>
        </w:r>
      </w:fldSimple>
      <w:r>
        <w:t>: % of Barnet Delays by Organisation, April 2012 – May 2015</w:t>
      </w:r>
    </w:p>
    <w:p w:rsidR="00F16C54" w:rsidRDefault="00F16C54" w:rsidP="00F16C54">
      <w:pPr>
        <w:spacing w:after="0" w:line="240" w:lineRule="auto"/>
      </w:pPr>
      <w:r>
        <w:rPr>
          <w:noProof/>
          <w:lang w:eastAsia="en-GB"/>
        </w:rPr>
        <w:drawing>
          <wp:inline distT="0" distB="0" distL="0" distR="0" wp14:anchorId="0BA6E6BA" wp14:editId="1CEE1489">
            <wp:extent cx="6166884" cy="2456121"/>
            <wp:effectExtent l="0" t="0" r="24765" b="20955"/>
            <wp:docPr id="43014" name="Chart 430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rsidR="00F16C54" w:rsidRDefault="00F16C54" w:rsidP="00F16C54">
      <w:pPr>
        <w:spacing w:after="0" w:line="240" w:lineRule="auto"/>
        <w:jc w:val="both"/>
      </w:pPr>
      <w:r>
        <w:t>Source: NHS England</w:t>
      </w:r>
    </w:p>
    <w:p w:rsidR="00F16C54" w:rsidRPr="00915363" w:rsidRDefault="0050457E" w:rsidP="00F16C54">
      <w:pPr>
        <w:pStyle w:val="Heading3"/>
        <w:keepNext w:val="0"/>
        <w:keepLines w:val="0"/>
        <w:spacing w:line="271" w:lineRule="auto"/>
      </w:pPr>
      <w:r>
        <w:t>Factors Attributable to D</w:t>
      </w:r>
      <w:r w:rsidR="00F16C54" w:rsidRPr="00915363">
        <w:t xml:space="preserve">elayed </w:t>
      </w:r>
      <w:r>
        <w:t>Discharge from H</w:t>
      </w:r>
      <w:r w:rsidR="00F16C54" w:rsidRPr="00915363">
        <w:t>ospital in Barnet</w:t>
      </w:r>
    </w:p>
    <w:p w:rsidR="00F16C54" w:rsidRPr="00915363" w:rsidRDefault="00F16C54" w:rsidP="008921BF">
      <w:pPr>
        <w:pStyle w:val="ListParagraph"/>
        <w:numPr>
          <w:ilvl w:val="0"/>
          <w:numId w:val="84"/>
        </w:numPr>
        <w:tabs>
          <w:tab w:val="left" w:pos="9072"/>
        </w:tabs>
        <w:jc w:val="both"/>
      </w:pPr>
      <w:r w:rsidRPr="00915363">
        <w:t>Increased complexities and needs of ageing population and demands on local urgent, community system</w:t>
      </w:r>
      <w:r>
        <w:t xml:space="preserve">; </w:t>
      </w:r>
    </w:p>
    <w:p w:rsidR="00F16C54" w:rsidRPr="00915363" w:rsidRDefault="00F16C54" w:rsidP="008921BF">
      <w:pPr>
        <w:pStyle w:val="ListParagraph"/>
        <w:numPr>
          <w:ilvl w:val="0"/>
          <w:numId w:val="84"/>
        </w:numPr>
        <w:tabs>
          <w:tab w:val="left" w:pos="9072"/>
        </w:tabs>
        <w:jc w:val="both"/>
      </w:pPr>
      <w:r w:rsidRPr="00915363">
        <w:lastRenderedPageBreak/>
        <w:t>Complexity of patients and increased demand for social care and health input and impact on productivity;</w:t>
      </w:r>
    </w:p>
    <w:p w:rsidR="00F16C54" w:rsidRPr="00915363" w:rsidRDefault="00F16C54" w:rsidP="008921BF">
      <w:pPr>
        <w:pStyle w:val="ListParagraph"/>
        <w:numPr>
          <w:ilvl w:val="0"/>
          <w:numId w:val="84"/>
        </w:numPr>
        <w:tabs>
          <w:tab w:val="left" w:pos="9072"/>
        </w:tabs>
        <w:jc w:val="both"/>
      </w:pPr>
      <w:r w:rsidRPr="00915363">
        <w:t>Increased number of frail and elderly patients moving into Barnet from other local authorities and CCGS and impact on hospital admissions;</w:t>
      </w:r>
      <w:r>
        <w:tab/>
      </w:r>
    </w:p>
    <w:p w:rsidR="00F16C54" w:rsidRPr="00915363" w:rsidRDefault="00F16C54" w:rsidP="008921BF">
      <w:pPr>
        <w:pStyle w:val="ListParagraph"/>
        <w:numPr>
          <w:ilvl w:val="0"/>
          <w:numId w:val="84"/>
        </w:numPr>
        <w:tabs>
          <w:tab w:val="left" w:pos="9072"/>
        </w:tabs>
        <w:jc w:val="both"/>
      </w:pPr>
      <w:r w:rsidRPr="00915363">
        <w:t>Increasing complexity of supporting patients with multiple long-term conditions, to remain at home and increasing quantum of support and provider capacity to meet rising demand;</w:t>
      </w:r>
    </w:p>
    <w:p w:rsidR="00F16C54" w:rsidRPr="00915363" w:rsidRDefault="00F16C54" w:rsidP="008921BF">
      <w:pPr>
        <w:pStyle w:val="ListParagraph"/>
        <w:numPr>
          <w:ilvl w:val="0"/>
          <w:numId w:val="84"/>
        </w:numPr>
        <w:tabs>
          <w:tab w:val="left" w:pos="9072"/>
        </w:tabs>
        <w:jc w:val="both"/>
      </w:pPr>
      <w:r w:rsidRPr="00915363">
        <w:t>Increasing need to provide care to patients who require complex packages of social care and health and related financial pressures</w:t>
      </w:r>
      <w:r>
        <w:t>;</w:t>
      </w:r>
    </w:p>
    <w:p w:rsidR="00F16C54" w:rsidRPr="00915363" w:rsidRDefault="00F16C54" w:rsidP="008921BF">
      <w:pPr>
        <w:pStyle w:val="ListParagraph"/>
        <w:numPr>
          <w:ilvl w:val="0"/>
          <w:numId w:val="84"/>
        </w:numPr>
        <w:tabs>
          <w:tab w:val="left" w:pos="9072"/>
        </w:tabs>
        <w:jc w:val="both"/>
      </w:pPr>
      <w:r w:rsidRPr="00915363">
        <w:t>Impact on providers having the capacity to support</w:t>
      </w:r>
      <w:r>
        <w:t xml:space="preserve"> the lower needs and prevention; </w:t>
      </w:r>
    </w:p>
    <w:p w:rsidR="00F16C54" w:rsidRPr="00915363" w:rsidRDefault="00F16C54" w:rsidP="008921BF">
      <w:pPr>
        <w:pStyle w:val="ListParagraph"/>
        <w:numPr>
          <w:ilvl w:val="0"/>
          <w:numId w:val="84"/>
        </w:numPr>
        <w:tabs>
          <w:tab w:val="left" w:pos="9072"/>
        </w:tabs>
        <w:jc w:val="both"/>
      </w:pPr>
      <w:r w:rsidRPr="00915363">
        <w:t>Increasing number of people surviving major trauma and needing lifelong care and support</w:t>
      </w:r>
      <w:r>
        <w:t>;</w:t>
      </w:r>
    </w:p>
    <w:p w:rsidR="00F16C54" w:rsidRPr="00915363" w:rsidRDefault="00F16C54" w:rsidP="008921BF">
      <w:pPr>
        <w:pStyle w:val="ListParagraph"/>
        <w:numPr>
          <w:ilvl w:val="0"/>
          <w:numId w:val="84"/>
        </w:numPr>
        <w:tabs>
          <w:tab w:val="left" w:pos="9072"/>
        </w:tabs>
        <w:jc w:val="both"/>
      </w:pPr>
      <w:r w:rsidRPr="00915363">
        <w:t>Impact of delayed discharges within the current system of unscheduled care</w:t>
      </w:r>
      <w:r>
        <w:t>; and</w:t>
      </w:r>
    </w:p>
    <w:p w:rsidR="00F16C54" w:rsidRPr="00915363" w:rsidRDefault="00F16C54" w:rsidP="008921BF">
      <w:pPr>
        <w:pStyle w:val="ListParagraph"/>
        <w:numPr>
          <w:ilvl w:val="0"/>
          <w:numId w:val="84"/>
        </w:numPr>
        <w:tabs>
          <w:tab w:val="left" w:pos="9072"/>
        </w:tabs>
        <w:jc w:val="both"/>
      </w:pPr>
      <w:r w:rsidRPr="00915363">
        <w:t>Care homes capacity issues</w:t>
      </w:r>
      <w:r>
        <w:t>.</w:t>
      </w:r>
    </w:p>
    <w:p w:rsidR="00F16C54" w:rsidRPr="00915363" w:rsidRDefault="00F16C54" w:rsidP="00F16C54">
      <w:pPr>
        <w:pStyle w:val="Heading2"/>
        <w:keepNext w:val="0"/>
        <w:keepLines w:val="0"/>
      </w:pPr>
      <w:bookmarkStart w:id="844" w:name="_Toc424218032"/>
      <w:bookmarkStart w:id="845" w:name="_Toc426723370"/>
      <w:bookmarkStart w:id="846" w:name="_Toc431225197"/>
      <w:r w:rsidRPr="00915363">
        <w:t>Mental Health</w:t>
      </w:r>
      <w:bookmarkEnd w:id="844"/>
      <w:bookmarkEnd w:id="845"/>
      <w:bookmarkEnd w:id="846"/>
      <w:r w:rsidRPr="00915363">
        <w:t xml:space="preserve"> </w:t>
      </w:r>
    </w:p>
    <w:p w:rsidR="00F16C54" w:rsidRPr="00915363" w:rsidRDefault="00F16C54" w:rsidP="00F16C54">
      <w:pPr>
        <w:shd w:val="clear" w:color="auto" w:fill="FFFFFF"/>
        <w:tabs>
          <w:tab w:val="left" w:pos="9072"/>
        </w:tabs>
        <w:spacing w:before="60" w:after="216" w:line="360" w:lineRule="atLeast"/>
        <w:jc w:val="both"/>
      </w:pPr>
      <w:r w:rsidRPr="00915363">
        <w:t>Mental ill health is reported to be the single largest cause of disability in the UK, with at least one in four people predicted to experience a mental health problem at some point in their life and one in six adults have a mental health problem at any one time</w:t>
      </w:r>
      <w:r w:rsidRPr="00E57656">
        <w:rPr>
          <w:vertAlign w:val="superscript"/>
        </w:rPr>
        <w:footnoteReference w:id="120"/>
      </w:r>
      <w:r w:rsidR="00E57656">
        <w:t xml:space="preserve">. </w:t>
      </w:r>
      <w:r w:rsidRPr="00915363">
        <w:t>Mental Health is high on the government’s agenda, with a published National Strategy for Mental Health ‘No Health without Mental Health’, setting out a cross government approach with a focus on</w:t>
      </w:r>
      <w:r>
        <w:t xml:space="preserve"> better</w:t>
      </w:r>
      <w:r w:rsidRPr="00915363">
        <w:t xml:space="preserve"> outcomes for people with a mental illness.</w:t>
      </w:r>
    </w:p>
    <w:p w:rsidR="00F16C54" w:rsidRPr="00915363" w:rsidRDefault="00F16C54" w:rsidP="00F16C54">
      <w:pPr>
        <w:pStyle w:val="Heading3"/>
        <w:keepNext w:val="0"/>
        <w:keepLines w:val="0"/>
        <w:spacing w:line="271" w:lineRule="auto"/>
      </w:pPr>
      <w:r w:rsidRPr="00915363">
        <w:t xml:space="preserve">Mental Health in Barnet </w:t>
      </w:r>
    </w:p>
    <w:p w:rsidR="00F16C54" w:rsidRPr="00915363" w:rsidRDefault="00F16C54" w:rsidP="00F16C54">
      <w:pPr>
        <w:tabs>
          <w:tab w:val="left" w:pos="9072"/>
        </w:tabs>
        <w:jc w:val="both"/>
      </w:pPr>
      <w:r w:rsidRPr="00915363">
        <w:t xml:space="preserve">The prevalence of mental illness in Barnet is higher than the England average and has slightly increased over the past 5 years at a similar rate to that of England Risk factors for poor mental health. There has been a concurrent increase in national and regional prevalence in mental illness reflecting significant increases compared to those observed between the 2008/09 and 2011/12. </w:t>
      </w:r>
    </w:p>
    <w:p w:rsidR="00F16C54" w:rsidRPr="00915363" w:rsidRDefault="00F16C54" w:rsidP="00F16C54">
      <w:pPr>
        <w:tabs>
          <w:tab w:val="left" w:pos="9072"/>
        </w:tabs>
        <w:jc w:val="both"/>
      </w:pPr>
      <w:r w:rsidRPr="00915363">
        <w:t>Deaths rates from suicide and undetermined injury in Barnet</w:t>
      </w:r>
      <w:r>
        <w:t xml:space="preserve"> are </w:t>
      </w:r>
      <w:r w:rsidRPr="00915363">
        <w:t xml:space="preserve"> almost three times higher in men than in women</w:t>
      </w:r>
      <w:r>
        <w:t xml:space="preserve">; </w:t>
      </w:r>
      <w:r w:rsidRPr="00915363">
        <w:t>, although there has been a reported moderate decline in rate of mortality due to suicide and undetermined injury among men and a slight decline in the rate among women</w:t>
      </w:r>
      <w:r w:rsidRPr="00915363">
        <w:rPr>
          <w:rStyle w:val="FootnoteReference"/>
        </w:rPr>
        <w:footnoteReference w:id="121"/>
      </w:r>
      <w:r w:rsidRPr="00915363">
        <w:t xml:space="preserve">. </w:t>
      </w:r>
    </w:p>
    <w:p w:rsidR="00F16C54" w:rsidRPr="00915363" w:rsidRDefault="00F16C54" w:rsidP="00F16C54">
      <w:pPr>
        <w:tabs>
          <w:tab w:val="left" w:pos="9072"/>
        </w:tabs>
        <w:jc w:val="both"/>
      </w:pPr>
      <w:r w:rsidRPr="00915363">
        <w:t xml:space="preserve">The </w:t>
      </w:r>
      <w:r>
        <w:t xml:space="preserve">Barnet </w:t>
      </w:r>
      <w:r w:rsidRPr="00915363">
        <w:t>rates of people reporting low levels of mental wellbeing or high levels of anxiety</w:t>
      </w:r>
      <w:r>
        <w:t xml:space="preserve"> </w:t>
      </w:r>
      <w:r w:rsidR="00DD3A76">
        <w:t xml:space="preserve">are </w:t>
      </w:r>
      <w:r w:rsidR="00DD3A76" w:rsidRPr="00915363">
        <w:t>higher</w:t>
      </w:r>
      <w:r w:rsidRPr="00915363">
        <w:t xml:space="preserve"> than the England average but slightly lower than the average for London. </w:t>
      </w:r>
    </w:p>
    <w:p w:rsidR="00F16C54" w:rsidRPr="00915363" w:rsidRDefault="00F16C54" w:rsidP="00F16C54">
      <w:pPr>
        <w:shd w:val="clear" w:color="auto" w:fill="FFFFFF"/>
        <w:tabs>
          <w:tab w:val="left" w:pos="9072"/>
        </w:tabs>
        <w:spacing w:before="60" w:after="216" w:line="360" w:lineRule="atLeast"/>
        <w:jc w:val="both"/>
      </w:pPr>
      <w:r>
        <w:t>The e</w:t>
      </w:r>
      <w:r w:rsidRPr="00915363">
        <w:t>vidence-base indicates that people with learning disability demonstrate the complete spectrum of mental health problems, with higher prevalence than found in thos</w:t>
      </w:r>
      <w:r w:rsidR="00007BA9">
        <w:t>e without learning disabilities</w:t>
      </w:r>
      <w:r w:rsidRPr="00915363">
        <w:rPr>
          <w:vertAlign w:val="superscript"/>
        </w:rPr>
        <w:footnoteReference w:id="122"/>
      </w:r>
      <w:r w:rsidR="00007BA9">
        <w:t xml:space="preserve">. </w:t>
      </w:r>
      <w:r w:rsidRPr="00915363">
        <w:t xml:space="preserve">2014 Barnet Community Mental Health Profiles are now available at: </w:t>
      </w:r>
      <w:hyperlink r:id="rId166" w:history="1">
        <w:r w:rsidR="0050457E" w:rsidRPr="005F31AA">
          <w:rPr>
            <w:rStyle w:val="Hyperlink"/>
          </w:rPr>
          <w:t>http://fingertips.phe.org.uk/profiles-group/mental-health/profiles/cmhp</w:t>
        </w:r>
      </w:hyperlink>
      <w:r w:rsidRPr="00915363">
        <w:t>.</w:t>
      </w:r>
    </w:p>
    <w:p w:rsidR="00F16C54" w:rsidRPr="00915363" w:rsidRDefault="00F16C54" w:rsidP="00F16C54">
      <w:pPr>
        <w:pStyle w:val="Heading3"/>
        <w:keepNext w:val="0"/>
        <w:keepLines w:val="0"/>
        <w:spacing w:line="271" w:lineRule="auto"/>
      </w:pPr>
      <w:r w:rsidRPr="00915363">
        <w:t>Adults Mental Health Services</w:t>
      </w:r>
    </w:p>
    <w:p w:rsidR="00F16C54" w:rsidRPr="00915363" w:rsidRDefault="00F16C54" w:rsidP="00F16C54">
      <w:pPr>
        <w:tabs>
          <w:tab w:val="left" w:pos="9072"/>
        </w:tabs>
        <w:jc w:val="both"/>
      </w:pPr>
      <w:r w:rsidRPr="00915363">
        <w:lastRenderedPageBreak/>
        <w:t xml:space="preserve">The Community Mental Health Teams provide an assessment and care planning service to people with serious mental health difficulties. There are multi-disciplinary teams comprising of psychiatrists, nurses, occupational therapists, social workers and administrators working together in the community. Each team has the same functions of care management and assessment. </w:t>
      </w:r>
    </w:p>
    <w:p w:rsidR="00F16C54" w:rsidRPr="00915363" w:rsidRDefault="00F16C54" w:rsidP="00F16C54">
      <w:pPr>
        <w:tabs>
          <w:tab w:val="left" w:pos="9072"/>
        </w:tabs>
        <w:jc w:val="both"/>
      </w:pPr>
      <w:r w:rsidRPr="00915363">
        <w:t>The Community Mental Health Team (CMHT) refers directly to Children’s Services if in the course of their work they have any child protection or safeguarding concerns</w:t>
      </w:r>
      <w:r>
        <w:t xml:space="preserve"> in connection with</w:t>
      </w:r>
      <w:r w:rsidRPr="00915363">
        <w:t>. Parental Mental Health</w:t>
      </w:r>
      <w:r>
        <w:t xml:space="preserve"> issues</w:t>
      </w:r>
      <w:r w:rsidRPr="00915363">
        <w:t xml:space="preserve">. Patients are offered a service based on assessed need. This may or may not be under the Care Programme Approach (CPA). </w:t>
      </w:r>
    </w:p>
    <w:p w:rsidR="00F16C54" w:rsidRPr="00915363" w:rsidRDefault="00F16C54" w:rsidP="00F16C54">
      <w:pPr>
        <w:tabs>
          <w:tab w:val="left" w:pos="9072"/>
        </w:tabs>
        <w:jc w:val="both"/>
      </w:pPr>
      <w:r w:rsidRPr="00915363">
        <w:t>The care plan is managed by a care coordinator, who is usual</w:t>
      </w:r>
      <w:r>
        <w:t xml:space="preserve">ly a nurse or social worker. </w:t>
      </w:r>
      <w:r w:rsidRPr="00915363">
        <w:t xml:space="preserve">There is an out of hour’s service, accessed through the Emergency Duty Team (EDT).  Mental Health Workers routinely record whether there is a child in the family or in contact with the adult. </w:t>
      </w:r>
    </w:p>
    <w:p w:rsidR="00F16C54" w:rsidRPr="00915363" w:rsidRDefault="00F16C54" w:rsidP="00F16C54">
      <w:pPr>
        <w:pStyle w:val="Heading3"/>
      </w:pPr>
      <w:r w:rsidRPr="00915363">
        <w:t>Mental Health and Learning Disabilities</w:t>
      </w:r>
    </w:p>
    <w:p w:rsidR="00F16C54" w:rsidRPr="00915363" w:rsidRDefault="00F16C54" w:rsidP="00F16C54">
      <w:pPr>
        <w:tabs>
          <w:tab w:val="left" w:pos="9072"/>
        </w:tabs>
      </w:pPr>
      <w:r w:rsidRPr="00915363">
        <w:rPr>
          <w:b/>
          <w:bCs/>
        </w:rPr>
        <w:t xml:space="preserve">The Winterbourne Concordat </w:t>
      </w:r>
      <w:r w:rsidRPr="00915363">
        <w:t xml:space="preserve">set a target for registers to be developed, with reviews and personalised care planning to be in place for all clients meeting the Winterbourne View Criteria by 1 June 2014. </w:t>
      </w:r>
    </w:p>
    <w:p w:rsidR="00F16C54" w:rsidRPr="00915363" w:rsidRDefault="00F16C54" w:rsidP="00F16C54">
      <w:pPr>
        <w:tabs>
          <w:tab w:val="left" w:pos="9072"/>
        </w:tabs>
      </w:pPr>
      <w:r w:rsidRPr="00915363">
        <w:t>T</w:t>
      </w:r>
      <w:r>
        <w:t xml:space="preserve">he Concordat also required </w:t>
      </w:r>
      <w:r w:rsidRPr="00915363">
        <w:t>health care commissioners to review all current hospital placements, and to provide appropriate support to everyone inappropriately placed in hospital (assessment &amp; treatment) to move to community-based support as quickly as possible as and no later than 1 June 2014</w:t>
      </w:r>
    </w:p>
    <w:p w:rsidR="00F16C54" w:rsidRDefault="00F16C54" w:rsidP="00F16C54">
      <w:pPr>
        <w:pStyle w:val="Heading3"/>
        <w:keepNext w:val="0"/>
        <w:keepLines w:val="0"/>
        <w:spacing w:line="271" w:lineRule="auto"/>
      </w:pPr>
      <w:r>
        <w:t>New Service Developments</w:t>
      </w:r>
    </w:p>
    <w:p w:rsidR="00F16C54" w:rsidRPr="00915363" w:rsidRDefault="00F16C54" w:rsidP="00F16C54">
      <w:pPr>
        <w:pStyle w:val="Heading4"/>
        <w:keepNext w:val="0"/>
        <w:keepLines w:val="0"/>
      </w:pPr>
      <w:r w:rsidRPr="00915363">
        <w:t>Rapid Assessment, Interface and Discharge (RAID) for Barnet and Chase Farm Hospital</w:t>
      </w:r>
    </w:p>
    <w:p w:rsidR="00F16C54" w:rsidRPr="00915363" w:rsidRDefault="00F16C54" w:rsidP="00F16C54">
      <w:pPr>
        <w:tabs>
          <w:tab w:val="left" w:pos="9072"/>
        </w:tabs>
        <w:jc w:val="both"/>
      </w:pPr>
      <w:r w:rsidRPr="00915363">
        <w:t>RAID service became fully operational in 2014 and represents a partnership arrangement between Barnet and Chase Farm Hospital NHS Trust and Barnet, Enfield and Haringey Mental Health NHS Trust.</w:t>
      </w:r>
    </w:p>
    <w:p w:rsidR="00F16C54" w:rsidRPr="00915363" w:rsidRDefault="00F16C54" w:rsidP="00F16C54">
      <w:pPr>
        <w:tabs>
          <w:tab w:val="left" w:pos="9072"/>
        </w:tabs>
        <w:jc w:val="both"/>
      </w:pPr>
      <w:r>
        <w:t xml:space="preserve">The </w:t>
      </w:r>
      <w:r w:rsidRPr="00915363">
        <w:t xml:space="preserve">Mental Health Trust provides mental health assessments and liaison </w:t>
      </w:r>
      <w:r>
        <w:t xml:space="preserve">for </w:t>
      </w:r>
      <w:r w:rsidRPr="00915363">
        <w:t>A</w:t>
      </w:r>
      <w:r>
        <w:t xml:space="preserve"> &amp; </w:t>
      </w:r>
      <w:r w:rsidRPr="00915363">
        <w:t>E and acute wards in Barnet General Hospital.</w:t>
      </w:r>
    </w:p>
    <w:p w:rsidR="00F16C54" w:rsidRPr="00915363" w:rsidRDefault="00F16C54" w:rsidP="00F16C54">
      <w:pPr>
        <w:tabs>
          <w:tab w:val="left" w:pos="9072"/>
        </w:tabs>
        <w:jc w:val="both"/>
      </w:pPr>
      <w:r w:rsidRPr="00915363">
        <w:t>The service operates between 9am-9pm and expected to improve patient experience and outcomes by reducing A&amp;E waits, ensuring that patients with mental health conditions receive appropriate assessment and support, integrating mental and physical health care and reducing length of stays on acute wards.</w:t>
      </w:r>
    </w:p>
    <w:p w:rsidR="00F16C54" w:rsidRPr="00915363" w:rsidRDefault="00F16C54" w:rsidP="00F16C54">
      <w:pPr>
        <w:tabs>
          <w:tab w:val="left" w:pos="9072"/>
        </w:tabs>
        <w:jc w:val="both"/>
      </w:pPr>
      <w:r w:rsidRPr="00915363">
        <w:t>The service is subject to a formal evaluation in order to determine options for delivering t</w:t>
      </w:r>
      <w:r>
        <w:t>he service on a long-term basis.</w:t>
      </w:r>
    </w:p>
    <w:p w:rsidR="00F16C54" w:rsidRPr="00915363" w:rsidRDefault="00F16C54" w:rsidP="00F16C54">
      <w:pPr>
        <w:pStyle w:val="Heading4"/>
        <w:keepNext w:val="0"/>
        <w:keepLines w:val="0"/>
      </w:pPr>
      <w:r>
        <w:t>Dementia Redesign</w:t>
      </w:r>
    </w:p>
    <w:p w:rsidR="00F16C54" w:rsidRPr="00915363" w:rsidRDefault="00F16C54" w:rsidP="00F16C54">
      <w:pPr>
        <w:tabs>
          <w:tab w:val="left" w:pos="9072"/>
        </w:tabs>
        <w:jc w:val="both"/>
      </w:pPr>
      <w:r>
        <w:t xml:space="preserve">A </w:t>
      </w:r>
      <w:r w:rsidRPr="00915363">
        <w:t xml:space="preserve">Memory Assessment Service is currently under development to increase capacity and to work alongside an Alzheimer’s Society Dementia Advisor. This will increase access to support for patients and ensure that carers receive comprehensive information and advice at the point of diagnosis, and have on-going support as needed. Four dementia cafes are now operating across the </w:t>
      </w:r>
      <w:r>
        <w:t>Borough</w:t>
      </w:r>
      <w:r w:rsidRPr="00915363">
        <w:t xml:space="preserve"> with attendance growing every month.</w:t>
      </w:r>
    </w:p>
    <w:p w:rsidR="00F16C54" w:rsidRPr="00915363" w:rsidRDefault="00F16C54" w:rsidP="00F16C54">
      <w:pPr>
        <w:pStyle w:val="Heading3"/>
      </w:pPr>
      <w:r w:rsidRPr="00915363">
        <w:lastRenderedPageBreak/>
        <w:t>Expected Outcomes:</w:t>
      </w:r>
    </w:p>
    <w:p w:rsidR="00F16C54" w:rsidRPr="00915363" w:rsidRDefault="00F16C54" w:rsidP="008921BF">
      <w:pPr>
        <w:pStyle w:val="ListParagraph"/>
        <w:numPr>
          <w:ilvl w:val="0"/>
          <w:numId w:val="78"/>
        </w:numPr>
        <w:tabs>
          <w:tab w:val="left" w:pos="9072"/>
        </w:tabs>
        <w:jc w:val="both"/>
      </w:pPr>
      <w:r w:rsidRPr="00915363">
        <w:t xml:space="preserve">Increase in the number of patients receiving psychological therapies to 10% of those assessed as having depression or anxiety disorders </w:t>
      </w:r>
    </w:p>
    <w:p w:rsidR="00F16C54" w:rsidRPr="00915363" w:rsidRDefault="00F16C54" w:rsidP="008921BF">
      <w:pPr>
        <w:pStyle w:val="ListParagraph"/>
        <w:numPr>
          <w:ilvl w:val="0"/>
          <w:numId w:val="78"/>
        </w:numPr>
        <w:tabs>
          <w:tab w:val="left" w:pos="9072"/>
        </w:tabs>
        <w:jc w:val="both"/>
      </w:pPr>
      <w:r w:rsidRPr="00915363">
        <w:t>Early intervention in Psychosis services</w:t>
      </w:r>
    </w:p>
    <w:p w:rsidR="00F16C54" w:rsidRPr="00915363" w:rsidRDefault="00F16C54" w:rsidP="008921BF">
      <w:pPr>
        <w:pStyle w:val="ListParagraph"/>
        <w:numPr>
          <w:ilvl w:val="0"/>
          <w:numId w:val="78"/>
        </w:numPr>
        <w:tabs>
          <w:tab w:val="left" w:pos="9072"/>
        </w:tabs>
        <w:jc w:val="both"/>
      </w:pPr>
      <w:r w:rsidRPr="00915363">
        <w:t>Suicide prevention: 100% of psychiatric in-patients on CPA followed up within 7 days of discharge</w:t>
      </w:r>
    </w:p>
    <w:p w:rsidR="00F16C54" w:rsidRPr="00915363" w:rsidRDefault="00F16C54" w:rsidP="008921BF">
      <w:pPr>
        <w:pStyle w:val="ListParagraph"/>
        <w:numPr>
          <w:ilvl w:val="0"/>
          <w:numId w:val="78"/>
        </w:numPr>
        <w:tabs>
          <w:tab w:val="left" w:pos="9072"/>
        </w:tabs>
        <w:jc w:val="both"/>
      </w:pPr>
      <w:r w:rsidRPr="00915363">
        <w:t>Improving Access to Psychological Therapies: 6000 people receiving IAPT treatment by 2014/15</w:t>
      </w:r>
    </w:p>
    <w:p w:rsidR="00F16C54" w:rsidRPr="00915363" w:rsidRDefault="00F16C54" w:rsidP="008921BF">
      <w:pPr>
        <w:pStyle w:val="ListParagraph"/>
        <w:numPr>
          <w:ilvl w:val="0"/>
          <w:numId w:val="78"/>
        </w:numPr>
        <w:tabs>
          <w:tab w:val="left" w:pos="9072"/>
        </w:tabs>
        <w:jc w:val="both"/>
      </w:pPr>
      <w:r w:rsidRPr="00915363">
        <w:t>Year on year increase based on the 2009/10 baseline of people with a learning disability and those with mental health illness who have received an annual health check</w:t>
      </w:r>
    </w:p>
    <w:p w:rsidR="00F16C54" w:rsidRPr="00915363" w:rsidRDefault="00F16C54" w:rsidP="008921BF">
      <w:pPr>
        <w:pStyle w:val="ListParagraph"/>
        <w:numPr>
          <w:ilvl w:val="0"/>
          <w:numId w:val="78"/>
        </w:numPr>
        <w:tabs>
          <w:tab w:val="left" w:pos="9072"/>
        </w:tabs>
        <w:jc w:val="both"/>
      </w:pPr>
      <w:r w:rsidRPr="00915363">
        <w:t>Increase by 11% the number of people with long term mental health problems and people with a learning disability in regular paid employment by 2014/15.</w:t>
      </w:r>
    </w:p>
    <w:p w:rsidR="00502967" w:rsidRDefault="00502967" w:rsidP="00227445">
      <w:pPr>
        <w:rPr>
          <w:rFonts w:asciiTheme="majorHAnsi" w:eastAsiaTheme="majorEastAsia" w:hAnsiTheme="majorHAnsi" w:cstheme="majorBidi"/>
          <w:b/>
          <w:bCs/>
          <w:color w:val="365F91" w:themeColor="accent1" w:themeShade="BF"/>
          <w:sz w:val="28"/>
          <w:szCs w:val="28"/>
        </w:rPr>
      </w:pPr>
      <w:r>
        <w:br w:type="page"/>
      </w:r>
    </w:p>
    <w:p w:rsidR="00282E35" w:rsidRPr="00FC7A04" w:rsidRDefault="00F9212D" w:rsidP="00282E35">
      <w:pPr>
        <w:pStyle w:val="Heading1"/>
        <w:keepNext w:val="0"/>
        <w:keepLines w:val="0"/>
        <w:contextualSpacing/>
      </w:pPr>
      <w:bookmarkStart w:id="847" w:name="_Toc424113508"/>
      <w:bookmarkStart w:id="848" w:name="_Toc424123564"/>
      <w:bookmarkStart w:id="849" w:name="_Toc424123729"/>
      <w:bookmarkStart w:id="850" w:name="_Toc424123889"/>
      <w:bookmarkStart w:id="851" w:name="_Toc424124041"/>
      <w:bookmarkStart w:id="852" w:name="_Toc424124188"/>
      <w:bookmarkStart w:id="853" w:name="_Toc424124335"/>
      <w:bookmarkStart w:id="854" w:name="_Toc424133504"/>
      <w:bookmarkStart w:id="855" w:name="_Toc431225198"/>
      <w:bookmarkEnd w:id="847"/>
      <w:bookmarkEnd w:id="848"/>
      <w:bookmarkEnd w:id="849"/>
      <w:bookmarkEnd w:id="850"/>
      <w:bookmarkEnd w:id="851"/>
      <w:bookmarkEnd w:id="852"/>
      <w:bookmarkEnd w:id="853"/>
      <w:bookmarkEnd w:id="854"/>
      <w:r w:rsidRPr="00FC7A04">
        <w:lastRenderedPageBreak/>
        <w:t>Children and Young People</w:t>
      </w:r>
      <w:bookmarkStart w:id="856" w:name="_Toc426723371"/>
      <w:bookmarkEnd w:id="855"/>
      <w:r w:rsidR="00282E35" w:rsidRPr="00282E35">
        <w:t xml:space="preserve"> </w:t>
      </w:r>
      <w:bookmarkEnd w:id="856"/>
    </w:p>
    <w:bookmarkStart w:id="857" w:name="_Toc426723372"/>
    <w:bookmarkStart w:id="858" w:name="_Toc431225199"/>
    <w:p w:rsidR="00282E35" w:rsidRPr="004869B8" w:rsidRDefault="00282E35" w:rsidP="00282E35">
      <w:pPr>
        <w:pStyle w:val="Heading2"/>
        <w:keepNext w:val="0"/>
        <w:keepLines w:val="0"/>
      </w:pPr>
      <w:r>
        <w:rPr>
          <w:noProof/>
          <w:lang w:eastAsia="en-GB"/>
        </w:rPr>
        <mc:AlternateContent>
          <mc:Choice Requires="wps">
            <w:drawing>
              <wp:anchor distT="0" distB="0" distL="114300" distR="114300" simplePos="0" relativeHeight="251824128" behindDoc="1" locked="0" layoutInCell="1" allowOverlap="1" wp14:anchorId="749690A0" wp14:editId="4F37478E">
                <wp:simplePos x="0" y="0"/>
                <wp:positionH relativeFrom="column">
                  <wp:posOffset>-95693</wp:posOffset>
                </wp:positionH>
                <wp:positionV relativeFrom="paragraph">
                  <wp:posOffset>47048</wp:posOffset>
                </wp:positionV>
                <wp:extent cx="6038850" cy="3370521"/>
                <wp:effectExtent l="0" t="0" r="0" b="1905"/>
                <wp:wrapNone/>
                <wp:docPr id="49165" name="Rectangle 49165"/>
                <wp:cNvGraphicFramePr/>
                <a:graphic xmlns:a="http://schemas.openxmlformats.org/drawingml/2006/main">
                  <a:graphicData uri="http://schemas.microsoft.com/office/word/2010/wordprocessingShape">
                    <wps:wsp>
                      <wps:cNvSpPr/>
                      <wps:spPr>
                        <a:xfrm>
                          <a:off x="0" y="0"/>
                          <a:ext cx="6038850" cy="3370521"/>
                        </a:xfrm>
                        <a:prstGeom prst="rect">
                          <a:avLst/>
                        </a:prstGeom>
                        <a:solidFill>
                          <a:srgbClr val="4F81BD">
                            <a:lumMod val="20000"/>
                            <a:lumOff val="80000"/>
                            <a:alpha val="7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9165" o:spid="_x0000_s1026" style="position:absolute;margin-left:-7.55pt;margin-top:3.7pt;width:475.5pt;height:265.4pt;z-index:-25149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" fillcolor="#dce6f2" stroked="f" strokeweight="2pt">
                <v:fill opacity="46003f"/>
              </v:rect>
            </w:pict>
          </mc:Fallback>
        </mc:AlternateContent>
      </w:r>
      <w:r w:rsidRPr="004869B8">
        <w:t>Key Facts</w:t>
      </w:r>
      <w:bookmarkEnd w:id="857"/>
      <w:bookmarkEnd w:id="858"/>
      <w:r w:rsidRPr="004869B8">
        <w:t xml:space="preserve"> </w:t>
      </w:r>
    </w:p>
    <w:p w:rsidR="00282E35" w:rsidRPr="00B1135D" w:rsidRDefault="00282E35" w:rsidP="008921BF">
      <w:pPr>
        <w:pStyle w:val="ListParagraph"/>
        <w:numPr>
          <w:ilvl w:val="0"/>
          <w:numId w:val="93"/>
        </w:numPr>
        <w:spacing w:after="0" w:line="240" w:lineRule="auto"/>
        <w:jc w:val="both"/>
        <w:rPr>
          <w:rFonts w:cs="Arial"/>
          <w:lang w:eastAsia="en-GB"/>
        </w:rPr>
      </w:pPr>
      <w:r w:rsidRPr="00B1135D">
        <w:rPr>
          <w:rFonts w:cs="Arial"/>
          <w:lang w:eastAsia="en-GB"/>
        </w:rPr>
        <w:t xml:space="preserve">The </w:t>
      </w:r>
      <w:r>
        <w:rPr>
          <w:rFonts w:cs="Arial"/>
          <w:lang w:eastAsia="en-GB"/>
        </w:rPr>
        <w:t>Borough</w:t>
      </w:r>
      <w:r w:rsidRPr="00B1135D">
        <w:rPr>
          <w:rFonts w:cs="Arial"/>
          <w:lang w:eastAsia="en-GB"/>
        </w:rPr>
        <w:t xml:space="preserve">’s population of 93,590 children and young people aged 0 – 19 remains the second largest in London and this group accounts for one quarter of the overall </w:t>
      </w:r>
      <w:r>
        <w:rPr>
          <w:rFonts w:cs="Arial"/>
          <w:lang w:eastAsia="en-GB"/>
        </w:rPr>
        <w:t>Borough</w:t>
      </w:r>
      <w:r w:rsidRPr="00B1135D">
        <w:rPr>
          <w:rFonts w:cs="Arial"/>
          <w:lang w:eastAsia="en-GB"/>
        </w:rPr>
        <w:t xml:space="preserve">’s population. </w:t>
      </w:r>
    </w:p>
    <w:p w:rsidR="00282E35" w:rsidRPr="00B1135D" w:rsidRDefault="00282E35" w:rsidP="008921BF">
      <w:pPr>
        <w:pStyle w:val="ListParagraph"/>
        <w:numPr>
          <w:ilvl w:val="0"/>
          <w:numId w:val="93"/>
        </w:numPr>
        <w:spacing w:after="0" w:line="288" w:lineRule="auto"/>
        <w:jc w:val="both"/>
        <w:rPr>
          <w:rFonts w:cs="Arial"/>
          <w:lang w:eastAsia="en-GB"/>
        </w:rPr>
      </w:pPr>
      <w:r>
        <w:rPr>
          <w:rFonts w:cs="Arial"/>
          <w:lang w:eastAsia="en-GB"/>
        </w:rPr>
        <w:t>The population of children and young people in Barnet</w:t>
      </w:r>
      <w:r w:rsidRPr="00B1135D">
        <w:rPr>
          <w:rFonts w:cs="Arial"/>
          <w:lang w:eastAsia="en-GB"/>
        </w:rPr>
        <w:t xml:space="preserve"> is estimated to grow by 6% between 2015 and 2020 when it will </w:t>
      </w:r>
      <w:r>
        <w:rPr>
          <w:rFonts w:cs="Arial"/>
          <w:lang w:eastAsia="en-GB"/>
        </w:rPr>
        <w:t>reach</w:t>
      </w:r>
      <w:r w:rsidRPr="00B1135D">
        <w:rPr>
          <w:rFonts w:cs="Arial"/>
          <w:lang w:eastAsia="en-GB"/>
        </w:rPr>
        <w:t xml:space="preserve"> 98,914</w:t>
      </w:r>
      <w:r>
        <w:rPr>
          <w:rFonts w:cs="Arial"/>
          <w:lang w:eastAsia="en-GB"/>
        </w:rPr>
        <w:t>.</w:t>
      </w:r>
      <w:r w:rsidRPr="00B1135D">
        <w:rPr>
          <w:rFonts w:cs="Arial"/>
          <w:lang w:eastAsia="en-GB"/>
        </w:rPr>
        <w:t xml:space="preserve"> </w:t>
      </w:r>
      <w:r>
        <w:rPr>
          <w:rFonts w:cs="Arial"/>
          <w:lang w:eastAsia="en-GB"/>
        </w:rPr>
        <w:t xml:space="preserve">Barnet will continue to be the Borough with the </w:t>
      </w:r>
      <w:r w:rsidRPr="00B1135D">
        <w:rPr>
          <w:rFonts w:cs="Arial"/>
          <w:lang w:eastAsia="en-GB"/>
        </w:rPr>
        <w:t>second highest</w:t>
      </w:r>
      <w:r>
        <w:rPr>
          <w:rFonts w:cs="Arial"/>
          <w:lang w:eastAsia="en-GB"/>
        </w:rPr>
        <w:t xml:space="preserve"> population of children and young people</w:t>
      </w:r>
      <w:r w:rsidRPr="00B1135D">
        <w:rPr>
          <w:rFonts w:cs="Arial"/>
          <w:lang w:eastAsia="en-GB"/>
        </w:rPr>
        <w:t xml:space="preserve"> </w:t>
      </w:r>
      <w:r>
        <w:rPr>
          <w:rFonts w:cs="Arial"/>
          <w:lang w:eastAsia="en-GB"/>
        </w:rPr>
        <w:t>in London.</w:t>
      </w:r>
    </w:p>
    <w:p w:rsidR="00282E35" w:rsidRPr="00B1135D" w:rsidRDefault="00282E35" w:rsidP="008921BF">
      <w:pPr>
        <w:pStyle w:val="ListParagraph"/>
        <w:numPr>
          <w:ilvl w:val="0"/>
          <w:numId w:val="93"/>
        </w:numPr>
        <w:spacing w:after="0" w:line="288" w:lineRule="auto"/>
        <w:jc w:val="both"/>
        <w:rPr>
          <w:rFonts w:eastAsia="Times New Roman" w:cs="Arial"/>
          <w:lang w:eastAsia="en-GB"/>
        </w:rPr>
      </w:pPr>
      <w:r w:rsidRPr="00B1135D">
        <w:rPr>
          <w:rFonts w:eastAsia="Times New Roman" w:cs="Arial"/>
          <w:lang w:eastAsia="en-GB"/>
        </w:rPr>
        <w:t>In 2015 Golders Green will have the highest population of children and young people of any ward in Barnet at 6,218, followed by Colindale with 6,055 children. However</w:t>
      </w:r>
      <w:r>
        <w:rPr>
          <w:rFonts w:eastAsia="Times New Roman" w:cs="Arial"/>
          <w:lang w:eastAsia="en-GB"/>
        </w:rPr>
        <w:t>,</w:t>
      </w:r>
      <w:r w:rsidRPr="00B1135D">
        <w:rPr>
          <w:rFonts w:eastAsia="Times New Roman" w:cs="Arial"/>
          <w:lang w:eastAsia="en-GB"/>
        </w:rPr>
        <w:t xml:space="preserve"> projections suggest that by 2025</w:t>
      </w:r>
      <w:r>
        <w:rPr>
          <w:rFonts w:eastAsia="Times New Roman" w:cs="Arial"/>
          <w:lang w:eastAsia="en-GB"/>
        </w:rPr>
        <w:t>, the population of children and young people in</w:t>
      </w:r>
      <w:r w:rsidRPr="00B1135D">
        <w:rPr>
          <w:rFonts w:eastAsia="Times New Roman" w:cs="Arial"/>
          <w:lang w:eastAsia="en-GB"/>
        </w:rPr>
        <w:t xml:space="preserve"> Colindale</w:t>
      </w:r>
      <w:r>
        <w:rPr>
          <w:rFonts w:eastAsia="Times New Roman" w:cs="Arial"/>
          <w:lang w:eastAsia="en-GB"/>
        </w:rPr>
        <w:t xml:space="preserve"> </w:t>
      </w:r>
      <w:r w:rsidRPr="00B1135D">
        <w:rPr>
          <w:rFonts w:eastAsia="Times New Roman" w:cs="Arial"/>
          <w:lang w:eastAsia="en-GB"/>
        </w:rPr>
        <w:t>will be the highest of any ward.</w:t>
      </w:r>
    </w:p>
    <w:p w:rsidR="00282E35" w:rsidRDefault="00282E35" w:rsidP="008921BF">
      <w:pPr>
        <w:pStyle w:val="ListParagraph"/>
        <w:numPr>
          <w:ilvl w:val="0"/>
          <w:numId w:val="94"/>
        </w:numPr>
        <w:spacing w:after="0" w:line="240" w:lineRule="auto"/>
        <w:ind w:right="-24"/>
        <w:jc w:val="both"/>
        <w:rPr>
          <w:rFonts w:eastAsia="Times New Roman" w:cs="Arial"/>
          <w:lang w:eastAsia="en-GB"/>
        </w:rPr>
      </w:pPr>
      <w:r w:rsidRPr="00B1135D">
        <w:rPr>
          <w:rFonts w:eastAsia="Times New Roman" w:cs="Arial"/>
          <w:lang w:eastAsia="en-GB"/>
        </w:rPr>
        <w:t>There are more children from all Black and Minority Ethnic groups in the 0</w:t>
      </w:r>
      <w:r>
        <w:rPr>
          <w:rFonts w:eastAsia="Times New Roman" w:cs="Arial"/>
          <w:lang w:eastAsia="en-GB"/>
        </w:rPr>
        <w:t xml:space="preserve"> </w:t>
      </w:r>
      <w:r w:rsidRPr="00B1135D">
        <w:rPr>
          <w:rFonts w:eastAsia="Times New Roman" w:cs="Arial"/>
          <w:lang w:eastAsia="en-GB"/>
        </w:rPr>
        <w:t>– 9 age group, than there are White children.  Children and young people in the 10 – 19 age groups are predominantly White. This demonstrates a more diverse population shift in terms of ethnicity.</w:t>
      </w:r>
      <w:r w:rsidRPr="00F07391">
        <w:rPr>
          <w:rFonts w:eastAsia="Times New Roman" w:cs="Arial"/>
          <w:lang w:eastAsia="en-GB"/>
        </w:rPr>
        <w:t xml:space="preserve"> </w:t>
      </w:r>
      <w:r>
        <w:rPr>
          <w:rFonts w:eastAsia="Times New Roman" w:cs="Arial"/>
          <w:lang w:eastAsia="en-GB"/>
        </w:rPr>
        <w:t>Colindale, Burnt Oak, and West Hendon have populat</w:t>
      </w:r>
      <w:r w:rsidR="008E07E1">
        <w:rPr>
          <w:rFonts w:eastAsia="Times New Roman" w:cs="Arial"/>
          <w:lang w:eastAsia="en-GB"/>
        </w:rPr>
        <w:t>io</w:t>
      </w:r>
      <w:r w:rsidR="00C52374">
        <w:rPr>
          <w:rFonts w:eastAsia="Times New Roman" w:cs="Arial"/>
          <w:lang w:eastAsia="en-GB"/>
        </w:rPr>
        <w:t>ns that are more than 50% Black, Asian and</w:t>
      </w:r>
      <w:r w:rsidR="008E07E1">
        <w:rPr>
          <w:rFonts w:eastAsia="Times New Roman" w:cs="Arial"/>
          <w:lang w:eastAsia="en-GB"/>
        </w:rPr>
        <w:t xml:space="preserve"> Minority ethnic</w:t>
      </w:r>
      <w:r>
        <w:rPr>
          <w:rFonts w:eastAsia="Times New Roman" w:cs="Arial"/>
          <w:lang w:eastAsia="en-GB"/>
        </w:rPr>
        <w:t xml:space="preserve"> background. Over 50% of all 0-4 year olds in Barnet are from a B</w:t>
      </w:r>
      <w:r w:rsidR="00C52374">
        <w:rPr>
          <w:rFonts w:eastAsia="Times New Roman" w:cs="Arial"/>
          <w:lang w:eastAsia="en-GB"/>
        </w:rPr>
        <w:t>lack, Asian and</w:t>
      </w:r>
      <w:r w:rsidR="008E07E1">
        <w:rPr>
          <w:rFonts w:eastAsia="Times New Roman" w:cs="Arial"/>
          <w:lang w:eastAsia="en-GB"/>
        </w:rPr>
        <w:t xml:space="preserve"> Minority ethnic </w:t>
      </w:r>
      <w:r>
        <w:rPr>
          <w:rFonts w:eastAsia="Times New Roman" w:cs="Arial"/>
          <w:lang w:eastAsia="en-GB"/>
        </w:rPr>
        <w:t>background and this is forecast to increase.</w:t>
      </w:r>
    </w:p>
    <w:p w:rsidR="00282E35" w:rsidRPr="004869B8" w:rsidRDefault="00282E35" w:rsidP="00282E35">
      <w:pPr>
        <w:pStyle w:val="Heading2"/>
        <w:keepNext w:val="0"/>
        <w:keepLines w:val="0"/>
        <w:jc w:val="both"/>
      </w:pPr>
      <w:bookmarkStart w:id="859" w:name="_Toc426723373"/>
      <w:bookmarkStart w:id="860" w:name="_Toc431225200"/>
      <w:r w:rsidRPr="004869B8">
        <w:t xml:space="preserve">Strategic </w:t>
      </w:r>
      <w:r w:rsidR="002D4909">
        <w:t>N</w:t>
      </w:r>
      <w:r w:rsidRPr="004869B8">
        <w:t>eeds</w:t>
      </w:r>
      <w:bookmarkEnd w:id="859"/>
      <w:bookmarkEnd w:id="860"/>
    </w:p>
    <w:p w:rsidR="00282E35" w:rsidRDefault="00282E35" w:rsidP="008921BF">
      <w:pPr>
        <w:pStyle w:val="ListParagraph"/>
        <w:numPr>
          <w:ilvl w:val="0"/>
          <w:numId w:val="94"/>
        </w:numPr>
        <w:spacing w:after="0" w:line="240" w:lineRule="auto"/>
        <w:ind w:right="-24"/>
        <w:jc w:val="both"/>
        <w:rPr>
          <w:rFonts w:eastAsia="Times New Roman" w:cs="Arial"/>
          <w:lang w:eastAsia="en-GB"/>
        </w:rPr>
      </w:pPr>
      <w:r w:rsidRPr="00FE76BA">
        <w:rPr>
          <w:rFonts w:cs="Arial"/>
          <w:b/>
        </w:rPr>
        <w:t>The high rates of population growth for children</w:t>
      </w:r>
      <w:r w:rsidRPr="00FE76BA">
        <w:rPr>
          <w:rFonts w:cs="Arial"/>
        </w:rPr>
        <w:t xml:space="preserve"> </w:t>
      </w:r>
      <w:r w:rsidRPr="00FE76BA">
        <w:rPr>
          <w:rFonts w:cs="Arial"/>
          <w:b/>
        </w:rPr>
        <w:t>and young people (CYP)</w:t>
      </w:r>
      <w:r w:rsidRPr="00FE76BA">
        <w:rPr>
          <w:rFonts w:cs="Arial"/>
        </w:rPr>
        <w:t xml:space="preserve"> will occur in wards with planned development works and </w:t>
      </w:r>
      <w:r w:rsidRPr="00FE76BA">
        <w:rPr>
          <w:rFonts w:eastAsia="Times New Roman" w:cs="Arial"/>
          <w:b/>
          <w:lang w:eastAsia="en-GB"/>
        </w:rPr>
        <w:t>are predominantly in the west</w:t>
      </w:r>
      <w:r w:rsidRPr="00FE76BA">
        <w:rPr>
          <w:rFonts w:eastAsia="Times New Roman" w:cs="Arial"/>
          <w:lang w:eastAsia="en-GB"/>
        </w:rPr>
        <w:t xml:space="preserve"> of the </w:t>
      </w:r>
      <w:r>
        <w:rPr>
          <w:rFonts w:eastAsia="Times New Roman" w:cs="Arial"/>
          <w:lang w:eastAsia="en-GB"/>
        </w:rPr>
        <w:t>Borough</w:t>
      </w:r>
      <w:r w:rsidRPr="00FE76BA">
        <w:rPr>
          <w:rFonts w:eastAsia="Times New Roman" w:cs="Arial"/>
          <w:lang w:eastAsia="en-GB"/>
        </w:rPr>
        <w:t xml:space="preserve">. The growth of CYP combined with </w:t>
      </w:r>
      <w:r w:rsidRPr="00FE76BA">
        <w:rPr>
          <w:rFonts w:eastAsia="Times New Roman" w:cs="Arial"/>
          <w:b/>
          <w:lang w:eastAsia="en-GB"/>
        </w:rPr>
        <w:t>benefit cuts will place significant pressure on the demand for services</w:t>
      </w:r>
      <w:r w:rsidRPr="00FE76BA">
        <w:rPr>
          <w:rFonts w:eastAsia="Times New Roman" w:cs="Arial"/>
          <w:lang w:eastAsia="en-GB"/>
        </w:rPr>
        <w:t xml:space="preserve"> from children’s social care and specialist resources from other agencies (notably health). </w:t>
      </w:r>
    </w:p>
    <w:p w:rsidR="00282E35" w:rsidRPr="00FE76BA" w:rsidRDefault="00282E35" w:rsidP="008921BF">
      <w:pPr>
        <w:pStyle w:val="ListParagraph"/>
        <w:numPr>
          <w:ilvl w:val="0"/>
          <w:numId w:val="94"/>
        </w:numPr>
        <w:spacing w:after="0" w:line="240" w:lineRule="auto"/>
        <w:ind w:right="-24"/>
        <w:jc w:val="both"/>
        <w:rPr>
          <w:rFonts w:eastAsia="Times New Roman" w:cs="Arial"/>
          <w:lang w:eastAsia="en-GB"/>
        </w:rPr>
      </w:pPr>
      <w:r w:rsidRPr="00FE76BA">
        <w:rPr>
          <w:rFonts w:eastAsia="Times New Roman" w:cs="Arial"/>
          <w:lang w:eastAsia="en-GB"/>
        </w:rPr>
        <w:t>Domestic violence, parental mental ill health and parental substance abuse (toxic trio) are the most common and consistent contributory factors in referrals into social care</w:t>
      </w:r>
      <w:r w:rsidRPr="00FE76BA">
        <w:rPr>
          <w:rFonts w:eastAsia="Times New Roman" w:cs="Arial"/>
          <w:b/>
          <w:lang w:eastAsia="en-GB"/>
        </w:rPr>
        <w:t xml:space="preserve">. Effective </w:t>
      </w:r>
      <w:r>
        <w:rPr>
          <w:rFonts w:eastAsia="Times New Roman" w:cs="Arial"/>
          <w:b/>
          <w:lang w:eastAsia="en-GB"/>
        </w:rPr>
        <w:t xml:space="preserve">prevention and </w:t>
      </w:r>
      <w:r w:rsidRPr="00FE76BA">
        <w:rPr>
          <w:rFonts w:eastAsia="Times New Roman" w:cs="Arial"/>
          <w:b/>
          <w:lang w:eastAsia="en-GB"/>
        </w:rPr>
        <w:t>early intervention could help to reduce impact on CYP and their families</w:t>
      </w:r>
      <w:r w:rsidRPr="00FE76BA">
        <w:rPr>
          <w:rFonts w:eastAsia="Times New Roman" w:cs="Arial"/>
          <w:lang w:eastAsia="en-GB"/>
        </w:rPr>
        <w:t xml:space="preserve"> and referrals to children’s social care and other specialist services within health and criminal justice system</w:t>
      </w:r>
      <w:r>
        <w:rPr>
          <w:rFonts w:eastAsia="Times New Roman" w:cs="Arial"/>
          <w:lang w:eastAsia="en-GB"/>
        </w:rPr>
        <w:t>.</w:t>
      </w:r>
    </w:p>
    <w:p w:rsidR="00282E35" w:rsidRDefault="00282E35" w:rsidP="008921BF">
      <w:pPr>
        <w:pStyle w:val="ListParagraph"/>
        <w:numPr>
          <w:ilvl w:val="0"/>
          <w:numId w:val="94"/>
        </w:numPr>
        <w:spacing w:after="0" w:line="240" w:lineRule="auto"/>
        <w:ind w:right="-24"/>
        <w:jc w:val="both"/>
        <w:rPr>
          <w:rFonts w:eastAsia="Times New Roman" w:cs="Arial"/>
          <w:lang w:eastAsia="en-GB"/>
        </w:rPr>
      </w:pPr>
      <w:r w:rsidRPr="0085713D">
        <w:rPr>
          <w:rFonts w:eastAsia="Times New Roman" w:cs="Arial"/>
          <w:b/>
          <w:lang w:eastAsia="en-GB"/>
        </w:rPr>
        <w:t>Child poverty is entrenched in specific areas of Barnet</w:t>
      </w:r>
      <w:r>
        <w:rPr>
          <w:rFonts w:eastAsia="Times New Roman" w:cs="Arial"/>
          <w:b/>
          <w:lang w:eastAsia="en-GB"/>
        </w:rPr>
        <w:t xml:space="preserve"> (notably</w:t>
      </w:r>
      <w:r w:rsidR="00BD0630">
        <w:rPr>
          <w:rFonts w:eastAsia="Times New Roman" w:cs="Arial"/>
          <w:b/>
          <w:lang w:eastAsia="en-GB"/>
        </w:rPr>
        <w:t xml:space="preserve"> in the</w:t>
      </w:r>
      <w:r>
        <w:rPr>
          <w:rFonts w:eastAsia="Times New Roman" w:cs="Arial"/>
          <w:b/>
          <w:lang w:eastAsia="en-GB"/>
        </w:rPr>
        <w:t xml:space="preserve"> west).</w:t>
      </w:r>
      <w:r>
        <w:rPr>
          <w:rFonts w:eastAsia="Times New Roman" w:cs="Arial"/>
          <w:lang w:eastAsia="en-GB"/>
        </w:rPr>
        <w:t xml:space="preserve">Targeted multi-agency, locality-based interventions could better support families. </w:t>
      </w:r>
    </w:p>
    <w:p w:rsidR="00282E35" w:rsidRDefault="00282E35" w:rsidP="008921BF">
      <w:pPr>
        <w:pStyle w:val="ListParagraph"/>
        <w:numPr>
          <w:ilvl w:val="0"/>
          <w:numId w:val="94"/>
        </w:numPr>
        <w:spacing w:after="0" w:line="240" w:lineRule="auto"/>
        <w:ind w:right="-24"/>
        <w:jc w:val="both"/>
        <w:rPr>
          <w:rFonts w:eastAsia="Times New Roman" w:cs="Arial"/>
          <w:lang w:eastAsia="en-GB"/>
        </w:rPr>
      </w:pPr>
      <w:r w:rsidRPr="0085713D">
        <w:rPr>
          <w:rFonts w:eastAsia="Times New Roman" w:cs="Arial"/>
          <w:b/>
          <w:lang w:eastAsia="en-GB"/>
        </w:rPr>
        <w:t>The You</w:t>
      </w:r>
      <w:r>
        <w:rPr>
          <w:rFonts w:eastAsia="Times New Roman" w:cs="Arial"/>
          <w:b/>
          <w:lang w:eastAsia="en-GB"/>
        </w:rPr>
        <w:t>ng Carers Act and Children and F</w:t>
      </w:r>
      <w:r w:rsidRPr="0085713D">
        <w:rPr>
          <w:rFonts w:eastAsia="Times New Roman" w:cs="Arial"/>
          <w:b/>
          <w:lang w:eastAsia="en-GB"/>
        </w:rPr>
        <w:t>amilies Act 2014</w:t>
      </w:r>
      <w:r>
        <w:rPr>
          <w:rFonts w:eastAsia="Times New Roman" w:cs="Arial"/>
          <w:lang w:eastAsia="en-GB"/>
        </w:rPr>
        <w:t xml:space="preserve"> represent</w:t>
      </w:r>
      <w:r w:rsidR="00BD0630">
        <w:rPr>
          <w:rFonts w:eastAsia="Times New Roman" w:cs="Arial"/>
          <w:lang w:eastAsia="en-GB"/>
        </w:rPr>
        <w:t>s a</w:t>
      </w:r>
      <w:r>
        <w:rPr>
          <w:rFonts w:eastAsia="Times New Roman" w:cs="Arial"/>
          <w:lang w:eastAsia="en-GB"/>
        </w:rPr>
        <w:t xml:space="preserve"> significant reform of care and support to children and young </w:t>
      </w:r>
      <w:r w:rsidRPr="00480BEC">
        <w:rPr>
          <w:rFonts w:eastAsia="Times New Roman" w:cs="Arial"/>
          <w:lang w:eastAsia="en-GB"/>
        </w:rPr>
        <w:t>people with special educational needs and disabilities, and those caring for others.</w:t>
      </w:r>
      <w:r>
        <w:rPr>
          <w:rFonts w:eastAsia="Times New Roman" w:cs="Arial"/>
          <w:lang w:eastAsia="en-GB"/>
        </w:rPr>
        <w:t xml:space="preserve"> It is expected to raise the expectations of parents and carers. </w:t>
      </w:r>
      <w:r w:rsidRPr="00480BEC">
        <w:rPr>
          <w:rFonts w:eastAsia="Times New Roman" w:cs="Arial"/>
          <w:lang w:eastAsia="en-GB"/>
        </w:rPr>
        <w:t xml:space="preserve">This </w:t>
      </w:r>
      <w:r w:rsidRPr="0085713D">
        <w:rPr>
          <w:rFonts w:eastAsia="Times New Roman" w:cs="Arial"/>
          <w:b/>
          <w:lang w:eastAsia="en-GB"/>
        </w:rPr>
        <w:t>will represent a challenge to the L</w:t>
      </w:r>
      <w:r>
        <w:rPr>
          <w:rFonts w:eastAsia="Times New Roman" w:cs="Arial"/>
          <w:b/>
          <w:lang w:eastAsia="en-GB"/>
        </w:rPr>
        <w:t>ocal Authority</w:t>
      </w:r>
      <w:r w:rsidRPr="004869B8">
        <w:rPr>
          <w:rFonts w:eastAsia="Times New Roman" w:cs="Arial"/>
          <w:b/>
          <w:lang w:eastAsia="en-GB"/>
        </w:rPr>
        <w:t xml:space="preserve"> and partner agencies.</w:t>
      </w:r>
    </w:p>
    <w:p w:rsidR="00282E35" w:rsidRPr="000A6558" w:rsidRDefault="00282E35" w:rsidP="008921BF">
      <w:pPr>
        <w:pStyle w:val="ListParagraph"/>
        <w:numPr>
          <w:ilvl w:val="0"/>
          <w:numId w:val="94"/>
        </w:numPr>
        <w:spacing w:after="0" w:line="240" w:lineRule="auto"/>
        <w:ind w:right="-24"/>
        <w:jc w:val="both"/>
        <w:rPr>
          <w:rFonts w:eastAsia="Times New Roman" w:cs="Arial"/>
          <w:lang w:eastAsia="en-GB"/>
        </w:rPr>
      </w:pPr>
      <w:r w:rsidRPr="00FA72F1">
        <w:rPr>
          <w:rFonts w:eastAsia="Times New Roman" w:cs="Arial"/>
          <w:lang w:eastAsia="en-GB"/>
        </w:rPr>
        <w:t xml:space="preserve">The number of post-16 pupils </w:t>
      </w:r>
      <w:r w:rsidR="00881CC4">
        <w:rPr>
          <w:rFonts w:eastAsia="Times New Roman" w:cs="Arial"/>
          <w:lang w:eastAsia="en-GB"/>
        </w:rPr>
        <w:t xml:space="preserve">remaining </w:t>
      </w:r>
      <w:r w:rsidRPr="00FA72F1">
        <w:rPr>
          <w:rFonts w:eastAsia="Times New Roman" w:cs="Arial"/>
          <w:lang w:eastAsia="en-GB"/>
        </w:rPr>
        <w:t xml:space="preserve">in special schools is </w:t>
      </w:r>
      <w:r w:rsidR="00DD3A76" w:rsidRPr="00FA72F1">
        <w:rPr>
          <w:rFonts w:eastAsia="Times New Roman" w:cs="Arial"/>
          <w:lang w:eastAsia="en-GB"/>
        </w:rPr>
        <w:t xml:space="preserve">causing </w:t>
      </w:r>
      <w:r w:rsidR="00DD3A76" w:rsidRPr="0085713D">
        <w:rPr>
          <w:rFonts w:eastAsia="Times New Roman" w:cs="Arial"/>
          <w:b/>
          <w:lang w:eastAsia="en-GB"/>
        </w:rPr>
        <w:t>pressure</w:t>
      </w:r>
      <w:r w:rsidRPr="0085713D">
        <w:rPr>
          <w:rFonts w:eastAsia="Times New Roman" w:cs="Arial"/>
          <w:b/>
          <w:lang w:eastAsia="en-GB"/>
        </w:rPr>
        <w:t xml:space="preserve"> on the availability of places for admission of younger pupils. </w:t>
      </w:r>
    </w:p>
    <w:p w:rsidR="00282E35" w:rsidRPr="00255393" w:rsidRDefault="00282E35" w:rsidP="008921BF">
      <w:pPr>
        <w:pStyle w:val="ListParagraph"/>
        <w:numPr>
          <w:ilvl w:val="0"/>
          <w:numId w:val="94"/>
        </w:numPr>
        <w:spacing w:after="0" w:line="240" w:lineRule="auto"/>
        <w:ind w:right="-24"/>
        <w:jc w:val="both"/>
        <w:rPr>
          <w:rFonts w:eastAsia="Times New Roman" w:cs="Arial"/>
          <w:lang w:eastAsia="en-GB"/>
        </w:rPr>
      </w:pPr>
      <w:r>
        <w:rPr>
          <w:rFonts w:eastAsia="Times New Roman" w:cs="Arial"/>
          <w:lang w:eastAsia="en-GB"/>
        </w:rPr>
        <w:t xml:space="preserve">Overall, all </w:t>
      </w:r>
      <w:r w:rsidRPr="008B7D34">
        <w:rPr>
          <w:rFonts w:eastAsia="Times New Roman" w:cs="Arial"/>
          <w:b/>
          <w:lang w:eastAsia="en-GB"/>
        </w:rPr>
        <w:t xml:space="preserve">children in Barnet achieve good levels of educational attainment </w:t>
      </w:r>
      <w:r w:rsidRPr="00EF4B54">
        <w:rPr>
          <w:rFonts w:eastAsia="Times New Roman" w:cs="Arial"/>
          <w:lang w:eastAsia="en-GB"/>
        </w:rPr>
        <w:t>a</w:t>
      </w:r>
      <w:r>
        <w:rPr>
          <w:rFonts w:eastAsia="Times New Roman" w:cs="Arial"/>
          <w:lang w:eastAsia="en-GB"/>
        </w:rPr>
        <w:t>gainst statistical neighbours and national averages. However</w:t>
      </w:r>
      <w:r w:rsidR="00BD0630">
        <w:rPr>
          <w:rFonts w:eastAsia="Times New Roman" w:cs="Arial"/>
          <w:lang w:eastAsia="en-GB"/>
        </w:rPr>
        <w:t>,</w:t>
      </w:r>
      <w:r>
        <w:rPr>
          <w:rFonts w:eastAsia="Times New Roman" w:cs="Arial"/>
          <w:lang w:eastAsia="en-GB"/>
        </w:rPr>
        <w:t xml:space="preserve"> </w:t>
      </w:r>
      <w:r w:rsidRPr="008B7D34">
        <w:rPr>
          <w:rFonts w:eastAsia="Times New Roman" w:cs="Arial"/>
          <w:b/>
          <w:lang w:eastAsia="en-GB"/>
        </w:rPr>
        <w:t xml:space="preserve">the attainment for disadvantaged groups against their peers in Barnet has widened </w:t>
      </w:r>
      <w:r w:rsidRPr="00EF4B54">
        <w:rPr>
          <w:rFonts w:eastAsia="Times New Roman" w:cs="Arial"/>
          <w:lang w:eastAsia="en-GB"/>
        </w:rPr>
        <w:t>c</w:t>
      </w:r>
      <w:r>
        <w:rPr>
          <w:rFonts w:eastAsia="Times New Roman" w:cs="Arial"/>
          <w:lang w:eastAsia="en-GB"/>
        </w:rPr>
        <w:t>ompared to the London gap. Data shows the gap is wider for black boys in Barnet.</w:t>
      </w:r>
    </w:p>
    <w:p w:rsidR="00282E35" w:rsidRDefault="00282E35" w:rsidP="008921BF">
      <w:pPr>
        <w:pStyle w:val="ListParagraph"/>
        <w:numPr>
          <w:ilvl w:val="0"/>
          <w:numId w:val="94"/>
        </w:numPr>
        <w:spacing w:after="0" w:line="240" w:lineRule="auto"/>
        <w:ind w:right="-24"/>
        <w:jc w:val="both"/>
        <w:rPr>
          <w:rFonts w:eastAsia="Times New Roman" w:cs="Arial"/>
          <w:lang w:eastAsia="en-GB"/>
        </w:rPr>
      </w:pPr>
      <w:r w:rsidRPr="004920C9">
        <w:rPr>
          <w:rFonts w:eastAsia="Times New Roman" w:cs="Arial"/>
          <w:b/>
          <w:lang w:eastAsia="en-GB"/>
        </w:rPr>
        <w:t>Neglect</w:t>
      </w:r>
      <w:r>
        <w:rPr>
          <w:rFonts w:eastAsia="Times New Roman" w:cs="Arial"/>
          <w:lang w:eastAsia="en-GB"/>
        </w:rPr>
        <w:t xml:space="preserve"> is the primary reason for children and young people to have a child protection plan.</w:t>
      </w:r>
    </w:p>
    <w:p w:rsidR="00282E35" w:rsidRDefault="00282E35" w:rsidP="008921BF">
      <w:pPr>
        <w:pStyle w:val="ListParagraph"/>
        <w:numPr>
          <w:ilvl w:val="0"/>
          <w:numId w:val="94"/>
        </w:numPr>
        <w:spacing w:after="0" w:line="240" w:lineRule="auto"/>
        <w:ind w:right="-24"/>
        <w:jc w:val="both"/>
        <w:rPr>
          <w:rFonts w:eastAsia="Times New Roman" w:cs="Arial"/>
          <w:lang w:eastAsia="en-GB"/>
        </w:rPr>
      </w:pPr>
      <w:r w:rsidRPr="00B1135D">
        <w:rPr>
          <w:rFonts w:cs="Arial"/>
          <w:kern w:val="24"/>
        </w:rPr>
        <w:t xml:space="preserve">The </w:t>
      </w:r>
      <w:r w:rsidRPr="00191DB0">
        <w:rPr>
          <w:rFonts w:cs="Arial"/>
          <w:b/>
          <w:kern w:val="24"/>
        </w:rPr>
        <w:t xml:space="preserve">rate of re-offending is decreasing </w:t>
      </w:r>
      <w:r w:rsidRPr="00B1135D">
        <w:rPr>
          <w:rFonts w:cs="Arial"/>
          <w:kern w:val="24"/>
        </w:rPr>
        <w:t xml:space="preserve">however; there has been </w:t>
      </w:r>
      <w:r w:rsidRPr="00191DB0">
        <w:rPr>
          <w:rFonts w:cs="Arial"/>
          <w:b/>
          <w:kern w:val="24"/>
        </w:rPr>
        <w:t>an increase in the seriousness</w:t>
      </w:r>
      <w:r w:rsidRPr="00B1135D">
        <w:rPr>
          <w:rFonts w:cs="Arial"/>
          <w:kern w:val="24"/>
        </w:rPr>
        <w:t xml:space="preserve"> of offending by a small proportion of young people </w:t>
      </w:r>
      <w:r>
        <w:rPr>
          <w:rFonts w:cs="Arial"/>
          <w:kern w:val="24"/>
        </w:rPr>
        <w:t xml:space="preserve">who are </w:t>
      </w:r>
      <w:r w:rsidRPr="00191DB0">
        <w:rPr>
          <w:rFonts w:cs="Arial"/>
          <w:b/>
          <w:kern w:val="24"/>
        </w:rPr>
        <w:t>associated with gangs.</w:t>
      </w:r>
    </w:p>
    <w:p w:rsidR="00282E35" w:rsidRPr="00100A26" w:rsidRDefault="00282E35" w:rsidP="008921BF">
      <w:pPr>
        <w:pStyle w:val="ListParagraph"/>
        <w:numPr>
          <w:ilvl w:val="0"/>
          <w:numId w:val="94"/>
        </w:numPr>
        <w:spacing w:after="0" w:line="240" w:lineRule="auto"/>
        <w:ind w:right="-24"/>
        <w:jc w:val="both"/>
        <w:rPr>
          <w:rFonts w:eastAsia="Times New Roman" w:cs="Arial"/>
          <w:lang w:eastAsia="en-GB"/>
        </w:rPr>
      </w:pPr>
      <w:r w:rsidRPr="009A5F3D">
        <w:t xml:space="preserve">65% of known cases of child sexual exploitation (CSE) in Barnet are females in their teenage years, 35% are male.  </w:t>
      </w:r>
      <w:r w:rsidRPr="009A5F3D">
        <w:rPr>
          <w:b/>
        </w:rPr>
        <w:t>The pattern of CSE in Barnet is wide and varied</w:t>
      </w:r>
      <w:r w:rsidRPr="009A5F3D">
        <w:t xml:space="preserve">. Key characteristics </w:t>
      </w:r>
      <w:r w:rsidRPr="009A5F3D">
        <w:lastRenderedPageBreak/>
        <w:t>have been youth violence or gang related activity</w:t>
      </w:r>
      <w:r>
        <w:t xml:space="preserve"> and</w:t>
      </w:r>
      <w:r w:rsidR="00BD0630">
        <w:t xml:space="preserve">, </w:t>
      </w:r>
      <w:r w:rsidRPr="009A5F3D">
        <w:t xml:space="preserve">male adults ‘talking’ to young females and </w:t>
      </w:r>
      <w:r w:rsidRPr="00100A26">
        <w:t>boys through the internet. There is a strong correlation between children who go missing and those known to be victims and or at risk of CSE.</w:t>
      </w:r>
    </w:p>
    <w:p w:rsidR="00282E35" w:rsidRPr="00100A26" w:rsidRDefault="00282E35" w:rsidP="008921BF">
      <w:pPr>
        <w:pStyle w:val="ListParagraph"/>
        <w:numPr>
          <w:ilvl w:val="0"/>
          <w:numId w:val="94"/>
        </w:numPr>
        <w:spacing w:after="0" w:line="240" w:lineRule="auto"/>
        <w:ind w:right="-24"/>
        <w:jc w:val="both"/>
        <w:rPr>
          <w:rFonts w:eastAsia="Times New Roman" w:cs="Arial"/>
          <w:lang w:eastAsia="en-GB"/>
        </w:rPr>
      </w:pPr>
      <w:r w:rsidRPr="00100A26">
        <w:rPr>
          <w:rFonts w:eastAsia="Times New Roman" w:cs="Arial"/>
          <w:lang w:eastAsia="en-GB"/>
        </w:rPr>
        <w:t xml:space="preserve">The </w:t>
      </w:r>
      <w:r w:rsidRPr="00100A26">
        <w:rPr>
          <w:rFonts w:eastAsia="Times New Roman" w:cs="Arial"/>
          <w:b/>
          <w:lang w:eastAsia="en-GB"/>
        </w:rPr>
        <w:t xml:space="preserve">numbers of </w:t>
      </w:r>
      <w:r>
        <w:rPr>
          <w:rFonts w:eastAsia="Times New Roman" w:cs="Arial"/>
          <w:b/>
          <w:lang w:eastAsia="en-GB"/>
        </w:rPr>
        <w:t>c</w:t>
      </w:r>
      <w:r w:rsidRPr="00100A26">
        <w:rPr>
          <w:rFonts w:eastAsia="Times New Roman" w:cs="Arial"/>
          <w:b/>
          <w:lang w:eastAsia="en-GB"/>
        </w:rPr>
        <w:t>hildren in Barnet that go missing have remained fairly consistent</w:t>
      </w:r>
      <w:r w:rsidR="00BD0630">
        <w:rPr>
          <w:rFonts w:eastAsia="Times New Roman" w:cs="Arial"/>
          <w:lang w:eastAsia="en-GB"/>
        </w:rPr>
        <w:t xml:space="preserve"> throughout 2014/15 averaging five</w:t>
      </w:r>
      <w:r w:rsidRPr="00100A26">
        <w:rPr>
          <w:rFonts w:eastAsia="Times New Roman" w:cs="Arial"/>
          <w:lang w:eastAsia="en-GB"/>
        </w:rPr>
        <w:t xml:space="preserve"> or less children per month. This requires resources which can assess, collate and analyse information provided by the young people who go missing to determine what interventions are required to mitigate against this.</w:t>
      </w:r>
    </w:p>
    <w:p w:rsidR="00282E35" w:rsidRPr="00D76647" w:rsidRDefault="00282E35" w:rsidP="00282E35">
      <w:pPr>
        <w:spacing w:after="0" w:line="240" w:lineRule="auto"/>
        <w:ind w:right="-24"/>
        <w:jc w:val="both"/>
        <w:rPr>
          <w:rFonts w:eastAsia="Times New Roman" w:cs="Arial"/>
          <w:lang w:eastAsia="en-GB"/>
        </w:rPr>
      </w:pPr>
    </w:p>
    <w:p w:rsidR="00282E35" w:rsidRPr="00EA1B56" w:rsidRDefault="00282E35" w:rsidP="00282E35">
      <w:pPr>
        <w:pStyle w:val="Heading2"/>
        <w:keepNext w:val="0"/>
        <w:keepLines w:val="0"/>
        <w:jc w:val="both"/>
        <w:rPr>
          <w:rFonts w:eastAsia="Times New Roman" w:cs="Arial"/>
          <w:lang w:eastAsia="en-GB"/>
        </w:rPr>
      </w:pPr>
      <w:bookmarkStart w:id="861" w:name="_Toc426723374"/>
      <w:bookmarkStart w:id="862" w:name="_Toc431225201"/>
      <w:r w:rsidRPr="00EA1B56">
        <w:rPr>
          <w:lang w:eastAsia="en-GB"/>
        </w:rPr>
        <w:t>Demography</w:t>
      </w:r>
      <w:bookmarkEnd w:id="861"/>
      <w:bookmarkEnd w:id="862"/>
    </w:p>
    <w:p w:rsidR="00282E35" w:rsidRDefault="00282E35" w:rsidP="00282E35">
      <w:pPr>
        <w:pStyle w:val="Heading3"/>
        <w:keepNext w:val="0"/>
        <w:keepLines w:val="0"/>
        <w:spacing w:line="271" w:lineRule="auto"/>
        <w:jc w:val="both"/>
        <w:rPr>
          <w:lang w:eastAsia="en-GB"/>
        </w:rPr>
      </w:pPr>
      <w:r w:rsidRPr="008F1374">
        <w:rPr>
          <w:lang w:eastAsia="en-GB"/>
        </w:rPr>
        <w:t>Overview - Population</w:t>
      </w:r>
      <w:r>
        <w:rPr>
          <w:lang w:eastAsia="en-GB"/>
        </w:rPr>
        <w:t xml:space="preserve"> Growth</w:t>
      </w:r>
    </w:p>
    <w:p w:rsidR="00282E35" w:rsidRPr="00282E35" w:rsidRDefault="00282E35" w:rsidP="00282E35">
      <w:pPr>
        <w:tabs>
          <w:tab w:val="left" w:pos="9072"/>
        </w:tabs>
        <w:jc w:val="both"/>
      </w:pPr>
      <w:r w:rsidRPr="00282E35">
        <w:t>The children and young people population in Barnet will increase</w:t>
      </w:r>
      <w:r w:rsidR="00BD0630">
        <w:t xml:space="preserve"> by</w:t>
      </w:r>
      <w:r w:rsidRPr="00282E35">
        <w:t xml:space="preserve"> 2.91% between 2011 and 2015. From 2011 – 2020, the population is projected to increase by 8.76%. The population is also estimated to grow by 6% between 2015 and 2020 when it will be 98,914, with Barnet continuing to have the second highest children and young people’s population of all London Boroughs. Year on year growth consistently projects a higher proportion of males than females in the 0-19 age range.</w:t>
      </w:r>
    </w:p>
    <w:p w:rsidR="00282E35" w:rsidRPr="002D4909" w:rsidRDefault="00282E35" w:rsidP="002D4909">
      <w:pPr>
        <w:pStyle w:val="Heading3"/>
        <w:rPr>
          <w:rFonts w:eastAsia="Times New Roman"/>
          <w:lang w:eastAsia="en-GB"/>
        </w:rPr>
      </w:pPr>
      <w:r w:rsidRPr="002D4909">
        <w:rPr>
          <w:rFonts w:eastAsia="Times New Roman"/>
          <w:lang w:eastAsia="en-GB"/>
        </w:rPr>
        <w:t>Age Bands in Wards for 2015</w:t>
      </w:r>
    </w:p>
    <w:p w:rsidR="00282E35" w:rsidRPr="00282E35" w:rsidRDefault="00282E35" w:rsidP="00282E35">
      <w:pPr>
        <w:tabs>
          <w:tab w:val="left" w:pos="9072"/>
        </w:tabs>
        <w:jc w:val="both"/>
      </w:pPr>
      <w:r w:rsidRPr="00282E35">
        <w:t>In 2015, the largest population of children and young people aged 0-19 years are in the wards to the west of the Borough: Golders Green with 6,218; Colindale with 6,055; Burnt Oak with 5,457 and Mill Hill with 5,501. High Barnet has the least number of children with 3,451.</w:t>
      </w:r>
      <w:r>
        <w:t xml:space="preserve"> </w:t>
      </w:r>
      <w:r w:rsidRPr="00282E35">
        <w:t xml:space="preserve">The wards with the highest number of 0-4 year olds are Colindale with 2,005; Golders Green with 1,712; Hendon with 1,626 and Childs Hill with 1,499. Golders Green has the highest number of children in the 5 – 14 age groups and Mill Hill has the highest proportion of 15 – 19 year olds. </w:t>
      </w:r>
    </w:p>
    <w:p w:rsidR="00282E35" w:rsidRPr="00756F9A" w:rsidRDefault="00282E35" w:rsidP="00282E35">
      <w:pPr>
        <w:pStyle w:val="Heading2"/>
        <w:keepNext w:val="0"/>
        <w:keepLines w:val="0"/>
        <w:jc w:val="both"/>
        <w:rPr>
          <w:rFonts w:eastAsia="Times New Roman"/>
          <w:lang w:eastAsia="en-GB"/>
        </w:rPr>
      </w:pPr>
      <w:bookmarkStart w:id="863" w:name="_Toc426723375"/>
      <w:bookmarkStart w:id="864" w:name="_Toc431225202"/>
      <w:r w:rsidRPr="00756F9A">
        <w:rPr>
          <w:rFonts w:eastAsia="Times New Roman"/>
          <w:lang w:eastAsia="en-GB"/>
        </w:rPr>
        <w:t>Early Years</w:t>
      </w:r>
      <w:bookmarkEnd w:id="863"/>
      <w:bookmarkEnd w:id="864"/>
    </w:p>
    <w:p w:rsidR="00282E35" w:rsidRPr="005B559C" w:rsidRDefault="00282E35" w:rsidP="00282E35">
      <w:pPr>
        <w:pStyle w:val="Heading3"/>
        <w:keepNext w:val="0"/>
        <w:keepLines w:val="0"/>
        <w:spacing w:line="271" w:lineRule="auto"/>
        <w:jc w:val="both"/>
      </w:pPr>
      <w:r w:rsidRPr="002F44CB">
        <w:rPr>
          <w:rFonts w:eastAsia="Times New Roman"/>
          <w:lang w:eastAsia="en-GB"/>
        </w:rPr>
        <w:t>Early Years Demographics by locality</w:t>
      </w:r>
    </w:p>
    <w:p w:rsidR="00282E35" w:rsidRDefault="00282E35" w:rsidP="00282E35">
      <w:pPr>
        <w:pStyle w:val="Heading3"/>
        <w:keepNext w:val="0"/>
        <w:keepLines w:val="0"/>
        <w:spacing w:line="271" w:lineRule="auto"/>
        <w:jc w:val="both"/>
      </w:pPr>
      <w:r w:rsidRPr="00DC39DA">
        <w:t xml:space="preserve">Deprivation </w:t>
      </w:r>
      <w:r>
        <w:t>0-5 years</w:t>
      </w:r>
    </w:p>
    <w:p w:rsidR="00282E35" w:rsidRPr="00C577B6" w:rsidRDefault="00282E35" w:rsidP="00282E35">
      <w:pPr>
        <w:pStyle w:val="NoSpacing"/>
        <w:jc w:val="both"/>
        <w:rPr>
          <w:lang w:val="en"/>
        </w:rPr>
      </w:pPr>
      <w:r w:rsidRPr="00282E35">
        <w:rPr>
          <w:rFonts w:cstheme="minorBidi"/>
          <w:sz w:val="22"/>
          <w:szCs w:val="22"/>
        </w:rPr>
        <w:t>Whilst Barnet is generally an affluent Borough, approximately 16% of children under five live in the 30% most deprived Local Super Output Areas</w:t>
      </w:r>
      <w:r w:rsidR="00EA4AAE">
        <w:rPr>
          <w:rFonts w:cstheme="minorBidi"/>
          <w:sz w:val="22"/>
          <w:szCs w:val="22"/>
        </w:rPr>
        <w:t xml:space="preserve"> (LSOAs</w:t>
      </w:r>
      <w:r w:rsidR="00DD3A76">
        <w:rPr>
          <w:rFonts w:cstheme="minorBidi"/>
          <w:sz w:val="22"/>
          <w:szCs w:val="22"/>
        </w:rPr>
        <w:t>)</w:t>
      </w:r>
      <w:r w:rsidRPr="00EA4AAE">
        <w:rPr>
          <w:rStyle w:val="FootnoteReference"/>
          <w:lang w:val="en"/>
        </w:rPr>
        <w:footnoteReference w:id="123"/>
      </w:r>
      <w:r w:rsidR="00EA4AAE">
        <w:rPr>
          <w:rFonts w:cstheme="minorBidi"/>
          <w:sz w:val="22"/>
          <w:szCs w:val="22"/>
        </w:rPr>
        <w:t xml:space="preserve">. </w:t>
      </w:r>
      <w:r w:rsidRPr="00282E35">
        <w:rPr>
          <w:rFonts w:cstheme="minorBidi"/>
          <w:sz w:val="22"/>
          <w:szCs w:val="22"/>
        </w:rPr>
        <w:t xml:space="preserve">19% of children under five (5,000 children) live in low income families, defined as those in receipt of Child Tax Credit and either on benefits (Income Support or Jobseekers allowance) or earning less than 60% of median </w:t>
      </w:r>
      <w:r w:rsidR="00EA4AAE">
        <w:rPr>
          <w:rFonts w:cstheme="minorBidi"/>
          <w:sz w:val="22"/>
          <w:szCs w:val="22"/>
        </w:rPr>
        <w:t xml:space="preserve">the </w:t>
      </w:r>
      <w:r w:rsidRPr="00282E35">
        <w:rPr>
          <w:rFonts w:cstheme="minorBidi"/>
          <w:sz w:val="22"/>
          <w:szCs w:val="22"/>
        </w:rPr>
        <w:t>income</w:t>
      </w:r>
      <w:r w:rsidRPr="00B1135D">
        <w:rPr>
          <w:rStyle w:val="FootnoteReference"/>
          <w:lang w:val="en"/>
        </w:rPr>
        <w:footnoteReference w:id="124"/>
      </w:r>
      <w:r w:rsidR="00EA4AAE">
        <w:rPr>
          <w:rFonts w:cstheme="minorBidi"/>
          <w:sz w:val="22"/>
          <w:szCs w:val="22"/>
        </w:rPr>
        <w:t xml:space="preserve">. </w:t>
      </w:r>
    </w:p>
    <w:p w:rsidR="00282E35" w:rsidRDefault="00282E35" w:rsidP="00282E35">
      <w:pPr>
        <w:pStyle w:val="Heading3"/>
        <w:keepNext w:val="0"/>
        <w:keepLines w:val="0"/>
        <w:spacing w:line="271" w:lineRule="auto"/>
      </w:pPr>
      <w:r>
        <w:t>Lone parents 0-5 years</w:t>
      </w:r>
    </w:p>
    <w:p w:rsidR="00282E35" w:rsidRPr="00306732" w:rsidRDefault="00282E35" w:rsidP="00282E35">
      <w:pPr>
        <w:pStyle w:val="NoSpacing"/>
        <w:jc w:val="both"/>
        <w:rPr>
          <w:sz w:val="22"/>
          <w:szCs w:val="22"/>
        </w:rPr>
      </w:pPr>
      <w:r w:rsidRPr="00306732">
        <w:rPr>
          <w:sz w:val="22"/>
          <w:szCs w:val="22"/>
        </w:rPr>
        <w:t xml:space="preserve">Whilst there are high concentrations of lone parents in Barnet’s deprived LSOAs, it should be noted that there are also high concentrations of lone parents in the </w:t>
      </w:r>
      <w:r>
        <w:rPr>
          <w:sz w:val="22"/>
          <w:szCs w:val="22"/>
        </w:rPr>
        <w:t>Borough</w:t>
      </w:r>
      <w:r w:rsidRPr="00306732">
        <w:rPr>
          <w:sz w:val="22"/>
          <w:szCs w:val="22"/>
        </w:rPr>
        <w:t xml:space="preserve">’s more affluent LSOAs. </w:t>
      </w:r>
    </w:p>
    <w:p w:rsidR="00282E35" w:rsidRPr="00306732" w:rsidRDefault="00282E35" w:rsidP="00282E35">
      <w:pPr>
        <w:pStyle w:val="NoSpacing"/>
        <w:rPr>
          <w:b/>
          <w:sz w:val="22"/>
          <w:szCs w:val="22"/>
        </w:rPr>
      </w:pPr>
    </w:p>
    <w:p w:rsidR="00282E35" w:rsidRPr="00306732" w:rsidRDefault="00282E35" w:rsidP="00282E35">
      <w:pPr>
        <w:pStyle w:val="NoSpacing"/>
        <w:jc w:val="both"/>
        <w:rPr>
          <w:sz w:val="22"/>
          <w:szCs w:val="22"/>
        </w:rPr>
      </w:pPr>
      <w:r w:rsidRPr="00306732">
        <w:rPr>
          <w:b/>
          <w:sz w:val="22"/>
          <w:szCs w:val="22"/>
        </w:rPr>
        <w:t xml:space="preserve">Central / East Locality: </w:t>
      </w:r>
      <w:r w:rsidRPr="00306732">
        <w:rPr>
          <w:sz w:val="22"/>
          <w:szCs w:val="22"/>
        </w:rPr>
        <w:t xml:space="preserve">Within the locality, there are five LSOAs that have a relatively high number of lone parent household (over 80 households per LSOA). Four of the LSOAs are deprived with IMD scores ranging between 19%-26%. </w:t>
      </w:r>
    </w:p>
    <w:p w:rsidR="00282E35" w:rsidRDefault="00282E35" w:rsidP="00282E35">
      <w:pPr>
        <w:pStyle w:val="NoSpacing"/>
        <w:rPr>
          <w:sz w:val="22"/>
          <w:szCs w:val="22"/>
        </w:rPr>
      </w:pPr>
    </w:p>
    <w:p w:rsidR="00E67ABC" w:rsidRDefault="00E67ABC" w:rsidP="00282E35">
      <w:pPr>
        <w:pStyle w:val="NoSpacing"/>
        <w:rPr>
          <w:sz w:val="22"/>
          <w:szCs w:val="22"/>
        </w:rPr>
      </w:pPr>
    </w:p>
    <w:p w:rsidR="00E67ABC" w:rsidRDefault="00E67ABC" w:rsidP="00282E35">
      <w:pPr>
        <w:pStyle w:val="NoSpacing"/>
        <w:rPr>
          <w:sz w:val="22"/>
          <w:szCs w:val="22"/>
        </w:rPr>
      </w:pPr>
    </w:p>
    <w:p w:rsidR="00E67ABC" w:rsidRDefault="00E67ABC" w:rsidP="00282E35">
      <w:pPr>
        <w:pStyle w:val="NoSpacing"/>
        <w:rPr>
          <w:sz w:val="22"/>
          <w:szCs w:val="22"/>
        </w:rPr>
      </w:pPr>
    </w:p>
    <w:p w:rsidR="00E67ABC" w:rsidRPr="00306732" w:rsidRDefault="00E67ABC" w:rsidP="00282E35">
      <w:pPr>
        <w:pStyle w:val="NoSpacing"/>
        <w:rPr>
          <w:sz w:val="22"/>
          <w:szCs w:val="22"/>
        </w:rPr>
      </w:pPr>
    </w:p>
    <w:p w:rsidR="00282E35" w:rsidRPr="00306732" w:rsidRDefault="00282E35" w:rsidP="00282E35">
      <w:pPr>
        <w:pStyle w:val="Caption"/>
        <w:rPr>
          <w:szCs w:val="22"/>
        </w:rPr>
      </w:pPr>
      <w:r w:rsidRPr="00306732">
        <w:rPr>
          <w:szCs w:val="22"/>
        </w:rPr>
        <w:lastRenderedPageBreak/>
        <w:t xml:space="preserve">Table </w:t>
      </w:r>
      <w:r>
        <w:rPr>
          <w:szCs w:val="22"/>
        </w:rPr>
        <w:fldChar w:fldCharType="begin"/>
      </w:r>
      <w:r>
        <w:rPr>
          <w:szCs w:val="22"/>
        </w:rPr>
        <w:instrText xml:space="preserve"> STYLEREF 1 \s </w:instrText>
      </w:r>
      <w:r>
        <w:rPr>
          <w:szCs w:val="22"/>
        </w:rPr>
        <w:fldChar w:fldCharType="separate"/>
      </w:r>
      <w:r w:rsidR="001663C2">
        <w:rPr>
          <w:noProof/>
          <w:szCs w:val="22"/>
        </w:rPr>
        <w:t>8</w:t>
      </w:r>
      <w:r>
        <w:rPr>
          <w:szCs w:val="22"/>
        </w:rPr>
        <w:fldChar w:fldCharType="end"/>
      </w:r>
      <w:r>
        <w:rPr>
          <w:szCs w:val="22"/>
        </w:rPr>
        <w:noBreakHyphen/>
      </w:r>
      <w:r>
        <w:rPr>
          <w:szCs w:val="22"/>
        </w:rPr>
        <w:fldChar w:fldCharType="begin"/>
      </w:r>
      <w:r>
        <w:rPr>
          <w:szCs w:val="22"/>
        </w:rPr>
        <w:instrText xml:space="preserve"> SEQ Table \* ARABIC \s 1 </w:instrText>
      </w:r>
      <w:r>
        <w:rPr>
          <w:szCs w:val="22"/>
        </w:rPr>
        <w:fldChar w:fldCharType="separate"/>
      </w:r>
      <w:r w:rsidR="001663C2">
        <w:rPr>
          <w:noProof/>
          <w:szCs w:val="22"/>
        </w:rPr>
        <w:t>1</w:t>
      </w:r>
      <w:r>
        <w:rPr>
          <w:szCs w:val="22"/>
        </w:rPr>
        <w:fldChar w:fldCharType="end"/>
      </w:r>
      <w:r w:rsidRPr="00306732">
        <w:rPr>
          <w:szCs w:val="22"/>
        </w:rPr>
        <w:t>: Lone Parent Households by LSOA, Central/East Locality</w:t>
      </w:r>
    </w:p>
    <w:tbl>
      <w:tblPr>
        <w:tblStyle w:val="TableGrid"/>
        <w:tblW w:w="9309" w:type="dxa"/>
        <w:jc w:val="center"/>
        <w:tblInd w:w="392" w:type="dxa"/>
        <w:tblLook w:val="04A0" w:firstRow="1" w:lastRow="0" w:firstColumn="1" w:lastColumn="0" w:noHBand="0" w:noVBand="1"/>
      </w:tblPr>
      <w:tblGrid>
        <w:gridCol w:w="1407"/>
        <w:gridCol w:w="1749"/>
        <w:gridCol w:w="1427"/>
        <w:gridCol w:w="1379"/>
        <w:gridCol w:w="801"/>
        <w:gridCol w:w="2546"/>
      </w:tblGrid>
      <w:tr w:rsidR="00282E35" w:rsidRPr="00306732" w:rsidTr="00E50C61">
        <w:trPr>
          <w:jc w:val="center"/>
        </w:trPr>
        <w:tc>
          <w:tcPr>
            <w:tcW w:w="1417" w:type="dxa"/>
            <w:shd w:val="clear" w:color="auto" w:fill="FF0000"/>
            <w:vAlign w:val="center"/>
          </w:tcPr>
          <w:p w:rsidR="00282E35" w:rsidRPr="00306732" w:rsidRDefault="00282E35" w:rsidP="00E50C61">
            <w:pPr>
              <w:jc w:val="center"/>
            </w:pPr>
            <w:r w:rsidRPr="00306732">
              <w:t>LSOA</w:t>
            </w:r>
          </w:p>
        </w:tc>
        <w:tc>
          <w:tcPr>
            <w:tcW w:w="1776" w:type="dxa"/>
            <w:shd w:val="clear" w:color="auto" w:fill="FF0000"/>
            <w:vAlign w:val="center"/>
          </w:tcPr>
          <w:p w:rsidR="00282E35" w:rsidRPr="00306732" w:rsidRDefault="00DD3A76" w:rsidP="00EA4AAE">
            <w:pPr>
              <w:jc w:val="center"/>
            </w:pPr>
            <w:r w:rsidRPr="00306732">
              <w:t>C</w:t>
            </w:r>
            <w:r>
              <w:t>hildren’s</w:t>
            </w:r>
            <w:r w:rsidR="00EA4AAE">
              <w:t xml:space="preserve"> Centre </w:t>
            </w:r>
            <w:r w:rsidR="00282E35" w:rsidRPr="00306732">
              <w:t>Reach</w:t>
            </w:r>
          </w:p>
        </w:tc>
        <w:tc>
          <w:tcPr>
            <w:tcW w:w="1317" w:type="dxa"/>
            <w:shd w:val="clear" w:color="auto" w:fill="FF0000"/>
            <w:vAlign w:val="center"/>
          </w:tcPr>
          <w:p w:rsidR="00282E35" w:rsidRPr="00306732" w:rsidRDefault="00282E35" w:rsidP="00E50C61">
            <w:pPr>
              <w:jc w:val="center"/>
            </w:pPr>
            <w:r w:rsidRPr="00306732">
              <w:t>Locality</w:t>
            </w:r>
          </w:p>
        </w:tc>
        <w:tc>
          <w:tcPr>
            <w:tcW w:w="1383" w:type="dxa"/>
            <w:shd w:val="clear" w:color="auto" w:fill="FF0000"/>
            <w:vAlign w:val="center"/>
          </w:tcPr>
          <w:p w:rsidR="00282E35" w:rsidRPr="00306732" w:rsidRDefault="00282E35" w:rsidP="00E50C61">
            <w:pPr>
              <w:jc w:val="center"/>
            </w:pPr>
            <w:r w:rsidRPr="00306732">
              <w:t>Ward</w:t>
            </w:r>
          </w:p>
        </w:tc>
        <w:tc>
          <w:tcPr>
            <w:tcW w:w="806" w:type="dxa"/>
            <w:shd w:val="clear" w:color="auto" w:fill="FF0000"/>
            <w:vAlign w:val="center"/>
          </w:tcPr>
          <w:p w:rsidR="00282E35" w:rsidRPr="00306732" w:rsidRDefault="00282E35" w:rsidP="00E50C61">
            <w:pPr>
              <w:jc w:val="center"/>
            </w:pPr>
            <w:r w:rsidRPr="00306732">
              <w:t>IMD score</w:t>
            </w:r>
          </w:p>
        </w:tc>
        <w:tc>
          <w:tcPr>
            <w:tcW w:w="2610" w:type="dxa"/>
            <w:shd w:val="clear" w:color="auto" w:fill="FF0000"/>
            <w:vAlign w:val="center"/>
          </w:tcPr>
          <w:p w:rsidR="00282E35" w:rsidRPr="00306732" w:rsidRDefault="00282E35" w:rsidP="00E50C61">
            <w:pPr>
              <w:jc w:val="center"/>
            </w:pPr>
            <w:r w:rsidRPr="00306732">
              <w:t>Lone parent households with dependent children</w:t>
            </w:r>
          </w:p>
        </w:tc>
      </w:tr>
      <w:tr w:rsidR="00282E35" w:rsidRPr="00306732" w:rsidTr="00E50C61">
        <w:trPr>
          <w:jc w:val="center"/>
        </w:trPr>
        <w:tc>
          <w:tcPr>
            <w:tcW w:w="1417" w:type="dxa"/>
          </w:tcPr>
          <w:p w:rsidR="00282E35" w:rsidRPr="00306732" w:rsidRDefault="00282E35" w:rsidP="00E50C61">
            <w:pPr>
              <w:jc w:val="center"/>
            </w:pPr>
            <w:r w:rsidRPr="00306732">
              <w:t>E01000163</w:t>
            </w:r>
          </w:p>
        </w:tc>
        <w:tc>
          <w:tcPr>
            <w:tcW w:w="1776" w:type="dxa"/>
          </w:tcPr>
          <w:p w:rsidR="00282E35" w:rsidRPr="00306732" w:rsidRDefault="00282E35" w:rsidP="00E50C61">
            <w:pPr>
              <w:jc w:val="center"/>
            </w:pPr>
            <w:r w:rsidRPr="00306732">
              <w:t>Coppetts Wood</w:t>
            </w:r>
          </w:p>
        </w:tc>
        <w:tc>
          <w:tcPr>
            <w:tcW w:w="1317" w:type="dxa"/>
          </w:tcPr>
          <w:p w:rsidR="00282E35" w:rsidRPr="00306732" w:rsidRDefault="00282E35" w:rsidP="00E50C61">
            <w:pPr>
              <w:jc w:val="center"/>
            </w:pPr>
            <w:r w:rsidRPr="00306732">
              <w:rPr>
                <w:rFonts w:ascii="Arial" w:hAnsi="Arial" w:cs="Arial"/>
              </w:rPr>
              <w:t>Central/East</w:t>
            </w:r>
          </w:p>
        </w:tc>
        <w:tc>
          <w:tcPr>
            <w:tcW w:w="1383" w:type="dxa"/>
          </w:tcPr>
          <w:p w:rsidR="00282E35" w:rsidRPr="00306732" w:rsidRDefault="00282E35" w:rsidP="00E50C61">
            <w:pPr>
              <w:jc w:val="center"/>
            </w:pPr>
            <w:r w:rsidRPr="00306732">
              <w:t>Coppetts</w:t>
            </w:r>
          </w:p>
        </w:tc>
        <w:tc>
          <w:tcPr>
            <w:tcW w:w="806" w:type="dxa"/>
          </w:tcPr>
          <w:p w:rsidR="00282E35" w:rsidRPr="00306732" w:rsidRDefault="00282E35" w:rsidP="00E50C61">
            <w:pPr>
              <w:jc w:val="center"/>
            </w:pPr>
            <w:r w:rsidRPr="00306732">
              <w:t>26%</w:t>
            </w:r>
          </w:p>
        </w:tc>
        <w:tc>
          <w:tcPr>
            <w:tcW w:w="2610" w:type="dxa"/>
          </w:tcPr>
          <w:p w:rsidR="00282E35" w:rsidRPr="00306732" w:rsidRDefault="00282E35" w:rsidP="00E50C61">
            <w:pPr>
              <w:jc w:val="center"/>
            </w:pPr>
            <w:r w:rsidRPr="00306732">
              <w:t>102</w:t>
            </w:r>
          </w:p>
        </w:tc>
      </w:tr>
      <w:tr w:rsidR="00282E35" w:rsidRPr="00306732" w:rsidTr="00E50C61">
        <w:trPr>
          <w:jc w:val="center"/>
        </w:trPr>
        <w:tc>
          <w:tcPr>
            <w:tcW w:w="1417" w:type="dxa"/>
          </w:tcPr>
          <w:p w:rsidR="00282E35" w:rsidRPr="00306732" w:rsidRDefault="00282E35" w:rsidP="00E50C61">
            <w:pPr>
              <w:jc w:val="center"/>
            </w:pPr>
            <w:r w:rsidRPr="00306732">
              <w:t>E01000315</w:t>
            </w:r>
          </w:p>
        </w:tc>
        <w:tc>
          <w:tcPr>
            <w:tcW w:w="1776" w:type="dxa"/>
          </w:tcPr>
          <w:p w:rsidR="00282E35" w:rsidRPr="00306732" w:rsidRDefault="00282E35" w:rsidP="00E50C61">
            <w:pPr>
              <w:jc w:val="center"/>
            </w:pPr>
            <w:r w:rsidRPr="00306732">
              <w:t>Coppetts Wood</w:t>
            </w:r>
          </w:p>
        </w:tc>
        <w:tc>
          <w:tcPr>
            <w:tcW w:w="1317" w:type="dxa"/>
          </w:tcPr>
          <w:p w:rsidR="00282E35" w:rsidRPr="00306732" w:rsidRDefault="00282E35" w:rsidP="00E50C61">
            <w:pPr>
              <w:jc w:val="center"/>
            </w:pPr>
            <w:r w:rsidRPr="00306732">
              <w:rPr>
                <w:rFonts w:ascii="Arial" w:hAnsi="Arial" w:cs="Arial"/>
              </w:rPr>
              <w:t>Central/East</w:t>
            </w:r>
          </w:p>
        </w:tc>
        <w:tc>
          <w:tcPr>
            <w:tcW w:w="1383" w:type="dxa"/>
          </w:tcPr>
          <w:p w:rsidR="00282E35" w:rsidRPr="00306732" w:rsidRDefault="00282E35" w:rsidP="00E50C61">
            <w:pPr>
              <w:jc w:val="center"/>
            </w:pPr>
            <w:r w:rsidRPr="00306732">
              <w:t>Woodhouse</w:t>
            </w:r>
          </w:p>
        </w:tc>
        <w:tc>
          <w:tcPr>
            <w:tcW w:w="806" w:type="dxa"/>
          </w:tcPr>
          <w:p w:rsidR="00282E35" w:rsidRPr="00306732" w:rsidRDefault="00282E35" w:rsidP="00E50C61">
            <w:pPr>
              <w:jc w:val="center"/>
            </w:pPr>
            <w:r w:rsidRPr="00306732">
              <w:t>23%</w:t>
            </w:r>
          </w:p>
        </w:tc>
        <w:tc>
          <w:tcPr>
            <w:tcW w:w="2610" w:type="dxa"/>
          </w:tcPr>
          <w:p w:rsidR="00282E35" w:rsidRPr="00306732" w:rsidRDefault="00282E35" w:rsidP="00E50C61">
            <w:pPr>
              <w:jc w:val="center"/>
            </w:pPr>
            <w:r w:rsidRPr="00306732">
              <w:t>116</w:t>
            </w:r>
          </w:p>
        </w:tc>
      </w:tr>
      <w:tr w:rsidR="00282E35" w:rsidRPr="00306732" w:rsidTr="00E50C61">
        <w:trPr>
          <w:jc w:val="center"/>
        </w:trPr>
        <w:tc>
          <w:tcPr>
            <w:tcW w:w="1417" w:type="dxa"/>
          </w:tcPr>
          <w:p w:rsidR="00282E35" w:rsidRPr="006C0830" w:rsidRDefault="00282E35" w:rsidP="00E50C61">
            <w:pPr>
              <w:jc w:val="center"/>
            </w:pPr>
            <w:r w:rsidRPr="003A687F">
              <w:rPr>
                <w:rFonts w:cs="Arial"/>
              </w:rPr>
              <w:t>E01000171</w:t>
            </w:r>
          </w:p>
        </w:tc>
        <w:tc>
          <w:tcPr>
            <w:tcW w:w="1776" w:type="dxa"/>
          </w:tcPr>
          <w:p w:rsidR="00282E35" w:rsidRPr="006C0830" w:rsidRDefault="00282E35" w:rsidP="00E50C61">
            <w:pPr>
              <w:jc w:val="center"/>
            </w:pPr>
            <w:r w:rsidRPr="003A687F">
              <w:rPr>
                <w:rFonts w:cs="Arial"/>
              </w:rPr>
              <w:t>St Margaret’s</w:t>
            </w:r>
          </w:p>
        </w:tc>
        <w:tc>
          <w:tcPr>
            <w:tcW w:w="1317" w:type="dxa"/>
          </w:tcPr>
          <w:p w:rsidR="00282E35" w:rsidRPr="006C0830" w:rsidRDefault="00282E35" w:rsidP="00E50C61">
            <w:pPr>
              <w:jc w:val="center"/>
            </w:pPr>
            <w:r w:rsidRPr="003A687F">
              <w:rPr>
                <w:rFonts w:cs="Arial"/>
              </w:rPr>
              <w:t>Central/East</w:t>
            </w:r>
          </w:p>
        </w:tc>
        <w:tc>
          <w:tcPr>
            <w:tcW w:w="1383" w:type="dxa"/>
          </w:tcPr>
          <w:p w:rsidR="00282E35" w:rsidRPr="006C0830" w:rsidRDefault="00282E35" w:rsidP="00E50C61">
            <w:pPr>
              <w:jc w:val="center"/>
            </w:pPr>
            <w:r w:rsidRPr="006C0830">
              <w:t>East Barnet</w:t>
            </w:r>
          </w:p>
        </w:tc>
        <w:tc>
          <w:tcPr>
            <w:tcW w:w="806" w:type="dxa"/>
          </w:tcPr>
          <w:p w:rsidR="00282E35" w:rsidRPr="003A687F" w:rsidRDefault="00282E35" w:rsidP="00E50C61">
            <w:pPr>
              <w:jc w:val="center"/>
            </w:pPr>
            <w:r w:rsidRPr="006C0830">
              <w:t>49%</w:t>
            </w:r>
          </w:p>
        </w:tc>
        <w:tc>
          <w:tcPr>
            <w:tcW w:w="2610" w:type="dxa"/>
          </w:tcPr>
          <w:p w:rsidR="00282E35" w:rsidRPr="003A687F" w:rsidRDefault="00282E35" w:rsidP="00E50C61">
            <w:pPr>
              <w:jc w:val="center"/>
            </w:pPr>
            <w:r w:rsidRPr="006C0830">
              <w:t>121</w:t>
            </w:r>
          </w:p>
        </w:tc>
      </w:tr>
      <w:tr w:rsidR="00282E35" w:rsidRPr="00306732" w:rsidTr="00E50C61">
        <w:trPr>
          <w:jc w:val="center"/>
        </w:trPr>
        <w:tc>
          <w:tcPr>
            <w:tcW w:w="1417" w:type="dxa"/>
          </w:tcPr>
          <w:p w:rsidR="00282E35" w:rsidRPr="006C0830" w:rsidRDefault="00282E35" w:rsidP="00E50C61">
            <w:pPr>
              <w:jc w:val="center"/>
            </w:pPr>
            <w:r w:rsidRPr="003A687F">
              <w:rPr>
                <w:rFonts w:cs="Arial"/>
              </w:rPr>
              <w:t>E01000289</w:t>
            </w:r>
          </w:p>
        </w:tc>
        <w:tc>
          <w:tcPr>
            <w:tcW w:w="1776" w:type="dxa"/>
          </w:tcPr>
          <w:p w:rsidR="00282E35" w:rsidRPr="006C0830" w:rsidRDefault="00282E35" w:rsidP="00E50C61">
            <w:pPr>
              <w:jc w:val="center"/>
            </w:pPr>
            <w:r w:rsidRPr="006C0830">
              <w:t>Underhill</w:t>
            </w:r>
          </w:p>
        </w:tc>
        <w:tc>
          <w:tcPr>
            <w:tcW w:w="1317" w:type="dxa"/>
          </w:tcPr>
          <w:p w:rsidR="00282E35" w:rsidRPr="006C0830" w:rsidRDefault="00282E35" w:rsidP="00E50C61">
            <w:pPr>
              <w:jc w:val="center"/>
            </w:pPr>
            <w:r w:rsidRPr="003A687F">
              <w:rPr>
                <w:rFonts w:cs="Arial"/>
              </w:rPr>
              <w:t>Central/East</w:t>
            </w:r>
          </w:p>
        </w:tc>
        <w:tc>
          <w:tcPr>
            <w:tcW w:w="1383" w:type="dxa"/>
          </w:tcPr>
          <w:p w:rsidR="00282E35" w:rsidRPr="006C0830" w:rsidRDefault="00282E35" w:rsidP="00E50C61">
            <w:pPr>
              <w:jc w:val="center"/>
            </w:pPr>
            <w:r w:rsidRPr="006C0830">
              <w:t>Underhill</w:t>
            </w:r>
          </w:p>
        </w:tc>
        <w:tc>
          <w:tcPr>
            <w:tcW w:w="806" w:type="dxa"/>
          </w:tcPr>
          <w:p w:rsidR="00282E35" w:rsidRPr="003A687F" w:rsidRDefault="00282E35" w:rsidP="00E50C61">
            <w:pPr>
              <w:jc w:val="center"/>
            </w:pPr>
            <w:r w:rsidRPr="006C0830">
              <w:t>19%</w:t>
            </w:r>
          </w:p>
        </w:tc>
        <w:tc>
          <w:tcPr>
            <w:tcW w:w="2610" w:type="dxa"/>
          </w:tcPr>
          <w:p w:rsidR="00282E35" w:rsidRPr="003A687F" w:rsidRDefault="00282E35" w:rsidP="00E50C61">
            <w:pPr>
              <w:jc w:val="center"/>
            </w:pPr>
            <w:r w:rsidRPr="006C0830">
              <w:t>118</w:t>
            </w:r>
          </w:p>
        </w:tc>
      </w:tr>
      <w:tr w:rsidR="00282E35" w:rsidRPr="00306732" w:rsidTr="00E50C61">
        <w:trPr>
          <w:jc w:val="center"/>
        </w:trPr>
        <w:tc>
          <w:tcPr>
            <w:tcW w:w="1417" w:type="dxa"/>
          </w:tcPr>
          <w:p w:rsidR="00282E35" w:rsidRPr="006C0830" w:rsidRDefault="00282E35" w:rsidP="00E50C61">
            <w:pPr>
              <w:jc w:val="center"/>
            </w:pPr>
            <w:r w:rsidRPr="003A687F">
              <w:rPr>
                <w:rFonts w:cs="Arial"/>
              </w:rPr>
              <w:t>E01000291</w:t>
            </w:r>
          </w:p>
        </w:tc>
        <w:tc>
          <w:tcPr>
            <w:tcW w:w="1776" w:type="dxa"/>
          </w:tcPr>
          <w:p w:rsidR="00282E35" w:rsidRPr="006C0830" w:rsidRDefault="00282E35" w:rsidP="00E50C61">
            <w:pPr>
              <w:jc w:val="center"/>
            </w:pPr>
            <w:r w:rsidRPr="006C0830">
              <w:t>Underhill</w:t>
            </w:r>
          </w:p>
        </w:tc>
        <w:tc>
          <w:tcPr>
            <w:tcW w:w="1317" w:type="dxa"/>
          </w:tcPr>
          <w:p w:rsidR="00282E35" w:rsidRPr="006C0830" w:rsidRDefault="00282E35" w:rsidP="00E50C61">
            <w:pPr>
              <w:jc w:val="center"/>
            </w:pPr>
            <w:r w:rsidRPr="003A687F">
              <w:rPr>
                <w:rFonts w:cs="Arial"/>
              </w:rPr>
              <w:t>Central/East</w:t>
            </w:r>
          </w:p>
        </w:tc>
        <w:tc>
          <w:tcPr>
            <w:tcW w:w="1383" w:type="dxa"/>
          </w:tcPr>
          <w:p w:rsidR="00282E35" w:rsidRPr="006C0830" w:rsidRDefault="00282E35" w:rsidP="00E50C61">
            <w:pPr>
              <w:jc w:val="center"/>
            </w:pPr>
            <w:r w:rsidRPr="006C0830">
              <w:t>Underhill</w:t>
            </w:r>
          </w:p>
        </w:tc>
        <w:tc>
          <w:tcPr>
            <w:tcW w:w="806" w:type="dxa"/>
          </w:tcPr>
          <w:p w:rsidR="00282E35" w:rsidRPr="003A687F" w:rsidRDefault="00282E35" w:rsidP="00E50C61">
            <w:pPr>
              <w:jc w:val="center"/>
            </w:pPr>
            <w:r w:rsidRPr="006C0830">
              <w:t>26%</w:t>
            </w:r>
          </w:p>
        </w:tc>
        <w:tc>
          <w:tcPr>
            <w:tcW w:w="2610" w:type="dxa"/>
          </w:tcPr>
          <w:p w:rsidR="00282E35" w:rsidRPr="003A687F" w:rsidRDefault="00282E35" w:rsidP="00E50C61">
            <w:pPr>
              <w:jc w:val="center"/>
            </w:pPr>
            <w:r w:rsidRPr="006C0830">
              <w:t>107</w:t>
            </w:r>
          </w:p>
        </w:tc>
      </w:tr>
    </w:tbl>
    <w:p w:rsidR="00282E35" w:rsidRPr="00306732" w:rsidRDefault="00282E35" w:rsidP="00282E35">
      <w:pPr>
        <w:spacing w:after="0" w:line="240" w:lineRule="auto"/>
        <w:rPr>
          <w:rFonts w:cs="Arial"/>
          <w:b/>
        </w:rPr>
      </w:pPr>
    </w:p>
    <w:p w:rsidR="00282E35" w:rsidRPr="00306732" w:rsidRDefault="00282E35" w:rsidP="00282E35">
      <w:pPr>
        <w:spacing w:after="0" w:line="240" w:lineRule="auto"/>
        <w:jc w:val="both"/>
        <w:rPr>
          <w:rFonts w:cs="Arial"/>
        </w:rPr>
      </w:pPr>
      <w:r w:rsidRPr="00306732">
        <w:rPr>
          <w:rFonts w:cs="Arial"/>
          <w:b/>
        </w:rPr>
        <w:t xml:space="preserve">West Locality: </w:t>
      </w:r>
      <w:r w:rsidRPr="00306732">
        <w:rPr>
          <w:rFonts w:cs="Arial"/>
        </w:rPr>
        <w:t xml:space="preserve">the locality contains the three LSOAs with the highest number of lone parents in the </w:t>
      </w:r>
      <w:r>
        <w:rPr>
          <w:rFonts w:cs="Arial"/>
        </w:rPr>
        <w:t>Borough</w:t>
      </w:r>
      <w:r w:rsidRPr="00306732">
        <w:rPr>
          <w:rFonts w:cs="Arial"/>
        </w:rPr>
        <w:t xml:space="preserve">. These are deprived LSOAs with IMD scores of 12%-19%. </w:t>
      </w:r>
    </w:p>
    <w:p w:rsidR="00282E35" w:rsidRPr="00306732" w:rsidRDefault="00282E35" w:rsidP="00282E35">
      <w:pPr>
        <w:spacing w:after="0" w:line="240" w:lineRule="auto"/>
        <w:rPr>
          <w:rFonts w:cs="Arial"/>
        </w:rPr>
      </w:pPr>
    </w:p>
    <w:p w:rsidR="00282E35" w:rsidRPr="00306732" w:rsidRDefault="00282E35" w:rsidP="00282E35">
      <w:pPr>
        <w:pStyle w:val="Caption"/>
        <w:rPr>
          <w:rFonts w:cs="Arial"/>
          <w:szCs w:val="22"/>
        </w:rPr>
      </w:pPr>
      <w:r w:rsidRPr="00306732">
        <w:rPr>
          <w:szCs w:val="22"/>
        </w:rPr>
        <w:t xml:space="preserve">Table </w:t>
      </w:r>
      <w:r>
        <w:rPr>
          <w:szCs w:val="22"/>
        </w:rPr>
        <w:fldChar w:fldCharType="begin"/>
      </w:r>
      <w:r>
        <w:rPr>
          <w:szCs w:val="22"/>
        </w:rPr>
        <w:instrText xml:space="preserve"> STYLEREF 1 \s </w:instrText>
      </w:r>
      <w:r>
        <w:rPr>
          <w:szCs w:val="22"/>
        </w:rPr>
        <w:fldChar w:fldCharType="separate"/>
      </w:r>
      <w:r w:rsidR="001663C2">
        <w:rPr>
          <w:noProof/>
          <w:szCs w:val="22"/>
        </w:rPr>
        <w:t>8</w:t>
      </w:r>
      <w:r>
        <w:rPr>
          <w:szCs w:val="22"/>
        </w:rPr>
        <w:fldChar w:fldCharType="end"/>
      </w:r>
      <w:r>
        <w:rPr>
          <w:szCs w:val="22"/>
        </w:rPr>
        <w:noBreakHyphen/>
      </w:r>
      <w:r>
        <w:rPr>
          <w:szCs w:val="22"/>
        </w:rPr>
        <w:fldChar w:fldCharType="begin"/>
      </w:r>
      <w:r>
        <w:rPr>
          <w:szCs w:val="22"/>
        </w:rPr>
        <w:instrText xml:space="preserve"> SEQ Table \* ARABIC \s 1 </w:instrText>
      </w:r>
      <w:r>
        <w:rPr>
          <w:szCs w:val="22"/>
        </w:rPr>
        <w:fldChar w:fldCharType="separate"/>
      </w:r>
      <w:r w:rsidR="001663C2">
        <w:rPr>
          <w:noProof/>
          <w:szCs w:val="22"/>
        </w:rPr>
        <w:t>2</w:t>
      </w:r>
      <w:r>
        <w:rPr>
          <w:szCs w:val="22"/>
        </w:rPr>
        <w:fldChar w:fldCharType="end"/>
      </w:r>
      <w:r w:rsidRPr="00306732">
        <w:rPr>
          <w:szCs w:val="22"/>
        </w:rPr>
        <w:t>: Lone Parent Households by LSOA, West Locality</w:t>
      </w:r>
    </w:p>
    <w:tbl>
      <w:tblPr>
        <w:tblStyle w:val="TableGrid"/>
        <w:tblW w:w="9166" w:type="dxa"/>
        <w:jc w:val="center"/>
        <w:tblInd w:w="959" w:type="dxa"/>
        <w:tblLook w:val="04A0" w:firstRow="1" w:lastRow="0" w:firstColumn="1" w:lastColumn="0" w:noHBand="0" w:noVBand="1"/>
      </w:tblPr>
      <w:tblGrid>
        <w:gridCol w:w="1346"/>
        <w:gridCol w:w="1701"/>
        <w:gridCol w:w="1429"/>
        <w:gridCol w:w="1406"/>
        <w:gridCol w:w="851"/>
        <w:gridCol w:w="2433"/>
      </w:tblGrid>
      <w:tr w:rsidR="00282E35" w:rsidRPr="00306732" w:rsidTr="00EA4AAE">
        <w:trPr>
          <w:jc w:val="center"/>
        </w:trPr>
        <w:tc>
          <w:tcPr>
            <w:tcW w:w="1346" w:type="dxa"/>
            <w:shd w:val="clear" w:color="auto" w:fill="008000"/>
            <w:vAlign w:val="center"/>
          </w:tcPr>
          <w:p w:rsidR="00282E35" w:rsidRPr="00306732" w:rsidRDefault="00282E35" w:rsidP="00E50C61">
            <w:pPr>
              <w:jc w:val="center"/>
            </w:pPr>
            <w:r w:rsidRPr="00306732">
              <w:t>LSOA</w:t>
            </w:r>
          </w:p>
        </w:tc>
        <w:tc>
          <w:tcPr>
            <w:tcW w:w="1701" w:type="dxa"/>
            <w:shd w:val="clear" w:color="auto" w:fill="008000"/>
            <w:vAlign w:val="center"/>
          </w:tcPr>
          <w:p w:rsidR="00282E35" w:rsidRPr="00306732" w:rsidRDefault="00282E35" w:rsidP="00EA4AAE">
            <w:pPr>
              <w:jc w:val="center"/>
            </w:pPr>
            <w:r w:rsidRPr="00306732">
              <w:t>C</w:t>
            </w:r>
            <w:r w:rsidR="00EA4AAE">
              <w:t xml:space="preserve">hildren’s Centre </w:t>
            </w:r>
            <w:r w:rsidRPr="00306732">
              <w:t>Reach</w:t>
            </w:r>
          </w:p>
        </w:tc>
        <w:tc>
          <w:tcPr>
            <w:tcW w:w="1429" w:type="dxa"/>
            <w:shd w:val="clear" w:color="auto" w:fill="008000"/>
            <w:vAlign w:val="center"/>
          </w:tcPr>
          <w:p w:rsidR="00282E35" w:rsidRPr="00306732" w:rsidRDefault="00282E35" w:rsidP="00E50C61">
            <w:pPr>
              <w:jc w:val="center"/>
            </w:pPr>
            <w:r w:rsidRPr="00306732">
              <w:t>Locality</w:t>
            </w:r>
          </w:p>
        </w:tc>
        <w:tc>
          <w:tcPr>
            <w:tcW w:w="1406" w:type="dxa"/>
            <w:shd w:val="clear" w:color="auto" w:fill="008000"/>
            <w:vAlign w:val="center"/>
          </w:tcPr>
          <w:p w:rsidR="00282E35" w:rsidRPr="00306732" w:rsidRDefault="00282E35" w:rsidP="00E50C61">
            <w:pPr>
              <w:jc w:val="center"/>
            </w:pPr>
            <w:r w:rsidRPr="00306732">
              <w:t>Ward</w:t>
            </w:r>
          </w:p>
        </w:tc>
        <w:tc>
          <w:tcPr>
            <w:tcW w:w="851" w:type="dxa"/>
            <w:shd w:val="clear" w:color="auto" w:fill="008000"/>
            <w:vAlign w:val="center"/>
          </w:tcPr>
          <w:p w:rsidR="00282E35" w:rsidRPr="00306732" w:rsidRDefault="00282E35" w:rsidP="00E50C61">
            <w:pPr>
              <w:jc w:val="center"/>
            </w:pPr>
            <w:r w:rsidRPr="00306732">
              <w:t>IMD score</w:t>
            </w:r>
          </w:p>
        </w:tc>
        <w:tc>
          <w:tcPr>
            <w:tcW w:w="2433" w:type="dxa"/>
            <w:shd w:val="clear" w:color="auto" w:fill="008000"/>
            <w:vAlign w:val="center"/>
          </w:tcPr>
          <w:p w:rsidR="00282E35" w:rsidRPr="00306732" w:rsidRDefault="00282E35" w:rsidP="00E50C61">
            <w:pPr>
              <w:jc w:val="center"/>
            </w:pPr>
            <w:r w:rsidRPr="00306732">
              <w:t>Lone parent households with dependent children</w:t>
            </w:r>
          </w:p>
        </w:tc>
      </w:tr>
      <w:tr w:rsidR="00282E35" w:rsidRPr="00306732" w:rsidTr="00EA4AAE">
        <w:trPr>
          <w:jc w:val="center"/>
        </w:trPr>
        <w:tc>
          <w:tcPr>
            <w:tcW w:w="1346" w:type="dxa"/>
          </w:tcPr>
          <w:p w:rsidR="00282E35" w:rsidRPr="006C0830" w:rsidRDefault="00282E35" w:rsidP="00E50C61">
            <w:pPr>
              <w:jc w:val="center"/>
            </w:pPr>
            <w:r w:rsidRPr="003A687F">
              <w:rPr>
                <w:rFonts w:cs="Arial"/>
              </w:rPr>
              <w:t>E01000189</w:t>
            </w:r>
          </w:p>
        </w:tc>
        <w:tc>
          <w:tcPr>
            <w:tcW w:w="1701" w:type="dxa"/>
          </w:tcPr>
          <w:p w:rsidR="00282E35" w:rsidRPr="00306732" w:rsidRDefault="00282E35" w:rsidP="00E50C61">
            <w:pPr>
              <w:jc w:val="center"/>
            </w:pPr>
            <w:proofErr w:type="spellStart"/>
            <w:r w:rsidRPr="00306732">
              <w:t>Stonegrove</w:t>
            </w:r>
            <w:proofErr w:type="spellEnd"/>
          </w:p>
        </w:tc>
        <w:tc>
          <w:tcPr>
            <w:tcW w:w="1429" w:type="dxa"/>
          </w:tcPr>
          <w:p w:rsidR="00282E35" w:rsidRPr="00306732" w:rsidRDefault="00282E35" w:rsidP="00E50C61">
            <w:pPr>
              <w:jc w:val="center"/>
            </w:pPr>
            <w:r w:rsidRPr="00306732">
              <w:t>West</w:t>
            </w:r>
          </w:p>
        </w:tc>
        <w:tc>
          <w:tcPr>
            <w:tcW w:w="1406" w:type="dxa"/>
          </w:tcPr>
          <w:p w:rsidR="00282E35" w:rsidRPr="00306732" w:rsidRDefault="00282E35" w:rsidP="00E50C61">
            <w:pPr>
              <w:jc w:val="center"/>
            </w:pPr>
            <w:r w:rsidRPr="00306732">
              <w:t>Edgware</w:t>
            </w:r>
          </w:p>
        </w:tc>
        <w:tc>
          <w:tcPr>
            <w:tcW w:w="851" w:type="dxa"/>
          </w:tcPr>
          <w:p w:rsidR="00282E35" w:rsidRPr="00306732" w:rsidRDefault="00282E35" w:rsidP="00E50C61">
            <w:pPr>
              <w:jc w:val="center"/>
            </w:pPr>
            <w:r w:rsidRPr="00306732">
              <w:t>12%</w:t>
            </w:r>
          </w:p>
        </w:tc>
        <w:tc>
          <w:tcPr>
            <w:tcW w:w="2433" w:type="dxa"/>
          </w:tcPr>
          <w:p w:rsidR="00282E35" w:rsidRPr="00306732" w:rsidRDefault="00282E35" w:rsidP="00E50C61">
            <w:pPr>
              <w:jc w:val="center"/>
            </w:pPr>
            <w:r w:rsidRPr="00306732">
              <w:t>169</w:t>
            </w:r>
          </w:p>
        </w:tc>
      </w:tr>
      <w:tr w:rsidR="00282E35" w:rsidRPr="00306732" w:rsidTr="00EA4AAE">
        <w:trPr>
          <w:jc w:val="center"/>
        </w:trPr>
        <w:tc>
          <w:tcPr>
            <w:tcW w:w="1346" w:type="dxa"/>
          </w:tcPr>
          <w:p w:rsidR="00282E35" w:rsidRPr="00306732" w:rsidRDefault="00282E35" w:rsidP="00E50C61">
            <w:pPr>
              <w:jc w:val="center"/>
            </w:pPr>
            <w:r w:rsidRPr="00306732">
              <w:t>E01000125</w:t>
            </w:r>
          </w:p>
        </w:tc>
        <w:tc>
          <w:tcPr>
            <w:tcW w:w="1701" w:type="dxa"/>
          </w:tcPr>
          <w:p w:rsidR="00282E35" w:rsidRPr="00306732" w:rsidRDefault="00282E35" w:rsidP="00E50C61">
            <w:pPr>
              <w:jc w:val="center"/>
            </w:pPr>
            <w:proofErr w:type="spellStart"/>
            <w:r w:rsidRPr="00306732">
              <w:t>Barnfield</w:t>
            </w:r>
            <w:proofErr w:type="spellEnd"/>
          </w:p>
        </w:tc>
        <w:tc>
          <w:tcPr>
            <w:tcW w:w="1429" w:type="dxa"/>
          </w:tcPr>
          <w:p w:rsidR="00282E35" w:rsidRPr="00306732" w:rsidRDefault="00282E35" w:rsidP="00E50C61">
            <w:pPr>
              <w:jc w:val="center"/>
            </w:pPr>
            <w:r w:rsidRPr="00306732">
              <w:t>West</w:t>
            </w:r>
          </w:p>
        </w:tc>
        <w:tc>
          <w:tcPr>
            <w:tcW w:w="1406" w:type="dxa"/>
          </w:tcPr>
          <w:p w:rsidR="00282E35" w:rsidRPr="00306732" w:rsidRDefault="00282E35" w:rsidP="00E50C61">
            <w:pPr>
              <w:jc w:val="center"/>
            </w:pPr>
            <w:r w:rsidRPr="00306732">
              <w:t>Burnt Oak</w:t>
            </w:r>
          </w:p>
        </w:tc>
        <w:tc>
          <w:tcPr>
            <w:tcW w:w="851" w:type="dxa"/>
          </w:tcPr>
          <w:p w:rsidR="00282E35" w:rsidRPr="00306732" w:rsidRDefault="00282E35" w:rsidP="00E50C61">
            <w:pPr>
              <w:jc w:val="center"/>
            </w:pPr>
            <w:r w:rsidRPr="00306732">
              <w:t>18%</w:t>
            </w:r>
          </w:p>
        </w:tc>
        <w:tc>
          <w:tcPr>
            <w:tcW w:w="2433" w:type="dxa"/>
          </w:tcPr>
          <w:p w:rsidR="00282E35" w:rsidRPr="00306732" w:rsidRDefault="00282E35" w:rsidP="00E50C61">
            <w:pPr>
              <w:jc w:val="center"/>
            </w:pPr>
            <w:r w:rsidRPr="00306732">
              <w:t>134</w:t>
            </w:r>
          </w:p>
        </w:tc>
      </w:tr>
      <w:tr w:rsidR="00282E35" w:rsidRPr="00306732" w:rsidTr="00EA4AAE">
        <w:trPr>
          <w:jc w:val="center"/>
        </w:trPr>
        <w:tc>
          <w:tcPr>
            <w:tcW w:w="1346" w:type="dxa"/>
          </w:tcPr>
          <w:p w:rsidR="00282E35" w:rsidRPr="00306732" w:rsidRDefault="00282E35" w:rsidP="00E50C61">
            <w:pPr>
              <w:jc w:val="center"/>
            </w:pPr>
            <w:r w:rsidRPr="00306732">
              <w:t>E01000152</w:t>
            </w:r>
          </w:p>
        </w:tc>
        <w:tc>
          <w:tcPr>
            <w:tcW w:w="1701" w:type="dxa"/>
          </w:tcPr>
          <w:p w:rsidR="00282E35" w:rsidRPr="00306732" w:rsidRDefault="00282E35" w:rsidP="00E50C61">
            <w:pPr>
              <w:jc w:val="center"/>
            </w:pPr>
            <w:proofErr w:type="spellStart"/>
            <w:r w:rsidRPr="00306732">
              <w:t>Wingfield</w:t>
            </w:r>
            <w:proofErr w:type="spellEnd"/>
          </w:p>
        </w:tc>
        <w:tc>
          <w:tcPr>
            <w:tcW w:w="1429" w:type="dxa"/>
          </w:tcPr>
          <w:p w:rsidR="00282E35" w:rsidRPr="00306732" w:rsidRDefault="00282E35" w:rsidP="00E50C61">
            <w:pPr>
              <w:jc w:val="center"/>
            </w:pPr>
            <w:r w:rsidRPr="00306732">
              <w:t>West</w:t>
            </w:r>
          </w:p>
        </w:tc>
        <w:tc>
          <w:tcPr>
            <w:tcW w:w="1406" w:type="dxa"/>
          </w:tcPr>
          <w:p w:rsidR="00282E35" w:rsidRPr="00306732" w:rsidRDefault="00282E35" w:rsidP="00E50C61">
            <w:pPr>
              <w:jc w:val="center"/>
            </w:pPr>
            <w:r w:rsidRPr="00306732">
              <w:t>Colindale</w:t>
            </w:r>
          </w:p>
        </w:tc>
        <w:tc>
          <w:tcPr>
            <w:tcW w:w="851" w:type="dxa"/>
          </w:tcPr>
          <w:p w:rsidR="00282E35" w:rsidRPr="00306732" w:rsidRDefault="00282E35" w:rsidP="00E50C61">
            <w:pPr>
              <w:jc w:val="center"/>
            </w:pPr>
            <w:r w:rsidRPr="00306732">
              <w:t>19%</w:t>
            </w:r>
          </w:p>
        </w:tc>
        <w:tc>
          <w:tcPr>
            <w:tcW w:w="2433" w:type="dxa"/>
          </w:tcPr>
          <w:p w:rsidR="00282E35" w:rsidRPr="00306732" w:rsidRDefault="00282E35" w:rsidP="00E50C61">
            <w:pPr>
              <w:jc w:val="center"/>
            </w:pPr>
            <w:r w:rsidRPr="00306732">
              <w:t>153</w:t>
            </w:r>
          </w:p>
        </w:tc>
      </w:tr>
    </w:tbl>
    <w:p w:rsidR="00282E35" w:rsidRPr="00306732" w:rsidRDefault="00282E35" w:rsidP="00282E35">
      <w:pPr>
        <w:pStyle w:val="NoSpacing"/>
        <w:rPr>
          <w:b/>
          <w:sz w:val="22"/>
          <w:szCs w:val="22"/>
        </w:rPr>
      </w:pPr>
    </w:p>
    <w:p w:rsidR="00282E35" w:rsidRPr="00306732" w:rsidRDefault="00282E35" w:rsidP="00282E35">
      <w:pPr>
        <w:pStyle w:val="NoSpacing"/>
        <w:jc w:val="both"/>
        <w:rPr>
          <w:sz w:val="22"/>
          <w:szCs w:val="22"/>
        </w:rPr>
      </w:pPr>
      <w:r w:rsidRPr="00306732">
        <w:rPr>
          <w:b/>
          <w:sz w:val="22"/>
          <w:szCs w:val="22"/>
        </w:rPr>
        <w:t xml:space="preserve">South locality: </w:t>
      </w:r>
      <w:r w:rsidR="00EA4AAE">
        <w:rPr>
          <w:sz w:val="22"/>
          <w:szCs w:val="22"/>
        </w:rPr>
        <w:t>Within the locality, there are six</w:t>
      </w:r>
      <w:r w:rsidRPr="00306732">
        <w:rPr>
          <w:sz w:val="22"/>
          <w:szCs w:val="22"/>
        </w:rPr>
        <w:t xml:space="preserve"> LSOAs that have a relatively high number of lone parent household. With the exception of </w:t>
      </w:r>
      <w:r w:rsidR="00EA4AAE">
        <w:rPr>
          <w:sz w:val="22"/>
          <w:szCs w:val="22"/>
        </w:rPr>
        <w:t>one</w:t>
      </w:r>
      <w:r w:rsidRPr="00306732">
        <w:rPr>
          <w:sz w:val="22"/>
          <w:szCs w:val="22"/>
        </w:rPr>
        <w:t xml:space="preserve"> LSOA within Childs Hill ward, </w:t>
      </w:r>
      <w:r w:rsidR="00EA4AAE">
        <w:rPr>
          <w:sz w:val="22"/>
          <w:szCs w:val="22"/>
        </w:rPr>
        <w:t>five</w:t>
      </w:r>
      <w:r w:rsidRPr="00306732">
        <w:rPr>
          <w:sz w:val="22"/>
          <w:szCs w:val="22"/>
        </w:rPr>
        <w:t xml:space="preserve"> LSOAs are deprived with IMD scores ranging between 17% - 27%. The two most deprived LSOAs within the south locality are also LSAOs with high numbers of lone parent households. </w:t>
      </w:r>
    </w:p>
    <w:p w:rsidR="00282E35" w:rsidRDefault="00282E35" w:rsidP="00282E35">
      <w:pPr>
        <w:pStyle w:val="NoSpacing"/>
      </w:pPr>
    </w:p>
    <w:p w:rsidR="00282E35" w:rsidRDefault="00282E35" w:rsidP="00282E35">
      <w:pPr>
        <w:pStyle w:val="Caption"/>
      </w:pPr>
      <w:r>
        <w:t xml:space="preserve">Table </w:t>
      </w:r>
      <w:fldSimple w:instr=" STYLEREF 1 \s ">
        <w:r w:rsidR="001663C2">
          <w:rPr>
            <w:noProof/>
          </w:rPr>
          <w:t>8</w:t>
        </w:r>
      </w:fldSimple>
      <w:r>
        <w:noBreakHyphen/>
      </w:r>
      <w:fldSimple w:instr=" SEQ Table \* ARABIC \s 1 ">
        <w:r w:rsidR="001663C2">
          <w:rPr>
            <w:noProof/>
          </w:rPr>
          <w:t>3</w:t>
        </w:r>
      </w:fldSimple>
      <w:r>
        <w:t>: Lone Parent Households by LSOA, South Locality</w:t>
      </w:r>
    </w:p>
    <w:tbl>
      <w:tblPr>
        <w:tblStyle w:val="TableGrid"/>
        <w:tblW w:w="8812" w:type="dxa"/>
        <w:jc w:val="center"/>
        <w:tblInd w:w="746" w:type="dxa"/>
        <w:tblLook w:val="04A0" w:firstRow="1" w:lastRow="0" w:firstColumn="1" w:lastColumn="0" w:noHBand="0" w:noVBand="1"/>
      </w:tblPr>
      <w:tblGrid>
        <w:gridCol w:w="1429"/>
        <w:gridCol w:w="1178"/>
        <w:gridCol w:w="898"/>
        <w:gridCol w:w="1650"/>
        <w:gridCol w:w="995"/>
        <w:gridCol w:w="2662"/>
      </w:tblGrid>
      <w:tr w:rsidR="00282E35" w:rsidTr="00EE4904">
        <w:trPr>
          <w:jc w:val="center"/>
        </w:trPr>
        <w:tc>
          <w:tcPr>
            <w:tcW w:w="1429" w:type="dxa"/>
            <w:shd w:val="clear" w:color="auto" w:fill="0066FF"/>
            <w:vAlign w:val="center"/>
          </w:tcPr>
          <w:p w:rsidR="00282E35" w:rsidRPr="000E68E3" w:rsidRDefault="00282E35" w:rsidP="00E50C61">
            <w:pPr>
              <w:jc w:val="center"/>
            </w:pPr>
            <w:r w:rsidRPr="000E68E3">
              <w:t>LSOA</w:t>
            </w:r>
          </w:p>
        </w:tc>
        <w:tc>
          <w:tcPr>
            <w:tcW w:w="1178" w:type="dxa"/>
            <w:shd w:val="clear" w:color="auto" w:fill="0066FF"/>
            <w:vAlign w:val="center"/>
          </w:tcPr>
          <w:p w:rsidR="00282E35" w:rsidRPr="000E68E3" w:rsidRDefault="00282E35" w:rsidP="00E50C61">
            <w:pPr>
              <w:jc w:val="center"/>
            </w:pPr>
            <w:r w:rsidRPr="000E68E3">
              <w:t>CC Reach</w:t>
            </w:r>
          </w:p>
        </w:tc>
        <w:tc>
          <w:tcPr>
            <w:tcW w:w="898" w:type="dxa"/>
            <w:shd w:val="clear" w:color="auto" w:fill="0066FF"/>
            <w:vAlign w:val="center"/>
          </w:tcPr>
          <w:p w:rsidR="00282E35" w:rsidRPr="000E68E3" w:rsidRDefault="00282E35" w:rsidP="00E50C61">
            <w:pPr>
              <w:jc w:val="center"/>
            </w:pPr>
            <w:r w:rsidRPr="000E68E3">
              <w:t>Locality</w:t>
            </w:r>
          </w:p>
        </w:tc>
        <w:tc>
          <w:tcPr>
            <w:tcW w:w="1650" w:type="dxa"/>
            <w:shd w:val="clear" w:color="auto" w:fill="0066FF"/>
            <w:vAlign w:val="center"/>
          </w:tcPr>
          <w:p w:rsidR="00282E35" w:rsidRPr="000E68E3" w:rsidRDefault="00282E35" w:rsidP="00E50C61">
            <w:pPr>
              <w:jc w:val="center"/>
            </w:pPr>
            <w:r w:rsidRPr="000E68E3">
              <w:t>Ward</w:t>
            </w:r>
          </w:p>
        </w:tc>
        <w:tc>
          <w:tcPr>
            <w:tcW w:w="995" w:type="dxa"/>
            <w:shd w:val="clear" w:color="auto" w:fill="0066FF"/>
            <w:vAlign w:val="center"/>
          </w:tcPr>
          <w:p w:rsidR="00282E35" w:rsidRPr="000E68E3" w:rsidRDefault="00282E35" w:rsidP="00E50C61">
            <w:pPr>
              <w:jc w:val="center"/>
            </w:pPr>
            <w:r w:rsidRPr="000E68E3">
              <w:t>IMD score</w:t>
            </w:r>
          </w:p>
        </w:tc>
        <w:tc>
          <w:tcPr>
            <w:tcW w:w="2662" w:type="dxa"/>
            <w:shd w:val="clear" w:color="auto" w:fill="0066FF"/>
            <w:vAlign w:val="center"/>
          </w:tcPr>
          <w:p w:rsidR="00282E35" w:rsidRPr="000E68E3" w:rsidRDefault="00282E35" w:rsidP="00E50C61">
            <w:pPr>
              <w:jc w:val="center"/>
            </w:pPr>
            <w:r w:rsidRPr="000E68E3">
              <w:t>Lone parent households with dependent children</w:t>
            </w:r>
          </w:p>
        </w:tc>
      </w:tr>
      <w:tr w:rsidR="00282E35" w:rsidTr="00EE4904">
        <w:trPr>
          <w:jc w:val="center"/>
        </w:trPr>
        <w:tc>
          <w:tcPr>
            <w:tcW w:w="1429" w:type="dxa"/>
          </w:tcPr>
          <w:p w:rsidR="00282E35" w:rsidRDefault="00282E35" w:rsidP="00E50C61">
            <w:pPr>
              <w:jc w:val="center"/>
            </w:pPr>
            <w:r w:rsidRPr="009060A7">
              <w:t>E01000245</w:t>
            </w:r>
          </w:p>
        </w:tc>
        <w:tc>
          <w:tcPr>
            <w:tcW w:w="1178" w:type="dxa"/>
          </w:tcPr>
          <w:p w:rsidR="00282E35" w:rsidRDefault="00282E35" w:rsidP="00E50C61">
            <w:pPr>
              <w:jc w:val="center"/>
            </w:pPr>
            <w:r w:rsidRPr="009060A7">
              <w:t>Bell Lane</w:t>
            </w:r>
          </w:p>
        </w:tc>
        <w:tc>
          <w:tcPr>
            <w:tcW w:w="898" w:type="dxa"/>
          </w:tcPr>
          <w:p w:rsidR="00282E35" w:rsidRDefault="00282E35" w:rsidP="00E50C61">
            <w:pPr>
              <w:jc w:val="center"/>
            </w:pPr>
            <w:r w:rsidRPr="009060A7">
              <w:t>South</w:t>
            </w:r>
          </w:p>
        </w:tc>
        <w:tc>
          <w:tcPr>
            <w:tcW w:w="1650" w:type="dxa"/>
          </w:tcPr>
          <w:p w:rsidR="00282E35" w:rsidRDefault="00282E35" w:rsidP="00E50C61">
            <w:pPr>
              <w:jc w:val="center"/>
            </w:pPr>
            <w:r>
              <w:t>Hendon</w:t>
            </w:r>
          </w:p>
        </w:tc>
        <w:tc>
          <w:tcPr>
            <w:tcW w:w="995" w:type="dxa"/>
          </w:tcPr>
          <w:p w:rsidR="00282E35" w:rsidRDefault="00282E35" w:rsidP="00E50C61">
            <w:pPr>
              <w:jc w:val="center"/>
            </w:pPr>
            <w:r>
              <w:t>23%</w:t>
            </w:r>
          </w:p>
        </w:tc>
        <w:tc>
          <w:tcPr>
            <w:tcW w:w="2662" w:type="dxa"/>
          </w:tcPr>
          <w:p w:rsidR="00282E35" w:rsidRDefault="00282E35" w:rsidP="00E50C61">
            <w:pPr>
              <w:jc w:val="center"/>
            </w:pPr>
            <w:r>
              <w:t>80</w:t>
            </w:r>
          </w:p>
        </w:tc>
      </w:tr>
      <w:tr w:rsidR="00282E35" w:rsidTr="00EE4904">
        <w:trPr>
          <w:jc w:val="center"/>
        </w:trPr>
        <w:tc>
          <w:tcPr>
            <w:tcW w:w="1429" w:type="dxa"/>
          </w:tcPr>
          <w:p w:rsidR="00282E35" w:rsidRDefault="00282E35" w:rsidP="00E50C61">
            <w:pPr>
              <w:jc w:val="center"/>
            </w:pPr>
            <w:r w:rsidRPr="009060A7">
              <w:t>E01000137</w:t>
            </w:r>
          </w:p>
        </w:tc>
        <w:tc>
          <w:tcPr>
            <w:tcW w:w="1178" w:type="dxa"/>
          </w:tcPr>
          <w:p w:rsidR="00282E35" w:rsidRDefault="00282E35" w:rsidP="00E50C61">
            <w:pPr>
              <w:jc w:val="center"/>
            </w:pPr>
            <w:r w:rsidRPr="009060A7">
              <w:t>Childs Hill</w:t>
            </w:r>
          </w:p>
        </w:tc>
        <w:tc>
          <w:tcPr>
            <w:tcW w:w="898" w:type="dxa"/>
          </w:tcPr>
          <w:p w:rsidR="00282E35" w:rsidRDefault="00282E35" w:rsidP="00E50C61">
            <w:pPr>
              <w:jc w:val="center"/>
            </w:pPr>
            <w:r w:rsidRPr="009060A7">
              <w:t>South</w:t>
            </w:r>
          </w:p>
        </w:tc>
        <w:tc>
          <w:tcPr>
            <w:tcW w:w="1650" w:type="dxa"/>
          </w:tcPr>
          <w:p w:rsidR="00282E35" w:rsidRDefault="00282E35" w:rsidP="00E50C61">
            <w:pPr>
              <w:jc w:val="center"/>
            </w:pPr>
            <w:r w:rsidRPr="009060A7">
              <w:t>Childs Hill</w:t>
            </w:r>
          </w:p>
        </w:tc>
        <w:tc>
          <w:tcPr>
            <w:tcW w:w="995" w:type="dxa"/>
          </w:tcPr>
          <w:p w:rsidR="00282E35" w:rsidRDefault="00282E35" w:rsidP="00E50C61">
            <w:pPr>
              <w:jc w:val="center"/>
            </w:pPr>
            <w:r>
              <w:t>24%</w:t>
            </w:r>
          </w:p>
        </w:tc>
        <w:tc>
          <w:tcPr>
            <w:tcW w:w="2662" w:type="dxa"/>
          </w:tcPr>
          <w:p w:rsidR="00282E35" w:rsidRDefault="00282E35" w:rsidP="00E50C61">
            <w:pPr>
              <w:jc w:val="center"/>
            </w:pPr>
            <w:r>
              <w:t>93</w:t>
            </w:r>
          </w:p>
        </w:tc>
      </w:tr>
      <w:tr w:rsidR="00282E35" w:rsidTr="00EE4904">
        <w:trPr>
          <w:jc w:val="center"/>
        </w:trPr>
        <w:tc>
          <w:tcPr>
            <w:tcW w:w="1429" w:type="dxa"/>
          </w:tcPr>
          <w:p w:rsidR="00282E35" w:rsidRDefault="00282E35" w:rsidP="00E50C61">
            <w:pPr>
              <w:jc w:val="center"/>
            </w:pPr>
            <w:r w:rsidRPr="009060A7">
              <w:t>E01000141</w:t>
            </w:r>
          </w:p>
        </w:tc>
        <w:tc>
          <w:tcPr>
            <w:tcW w:w="1178" w:type="dxa"/>
          </w:tcPr>
          <w:p w:rsidR="00282E35" w:rsidRDefault="00282E35" w:rsidP="00E50C61">
            <w:pPr>
              <w:jc w:val="center"/>
            </w:pPr>
            <w:r w:rsidRPr="009060A7">
              <w:t>Childs Hill</w:t>
            </w:r>
          </w:p>
        </w:tc>
        <w:tc>
          <w:tcPr>
            <w:tcW w:w="898" w:type="dxa"/>
          </w:tcPr>
          <w:p w:rsidR="00282E35" w:rsidRDefault="00282E35" w:rsidP="00E50C61">
            <w:pPr>
              <w:jc w:val="center"/>
            </w:pPr>
            <w:r w:rsidRPr="009060A7">
              <w:t>South</w:t>
            </w:r>
          </w:p>
        </w:tc>
        <w:tc>
          <w:tcPr>
            <w:tcW w:w="1650" w:type="dxa"/>
          </w:tcPr>
          <w:p w:rsidR="00282E35" w:rsidRDefault="00282E35" w:rsidP="00E50C61">
            <w:pPr>
              <w:jc w:val="center"/>
            </w:pPr>
            <w:r w:rsidRPr="009060A7">
              <w:t>Childs Hill</w:t>
            </w:r>
          </w:p>
        </w:tc>
        <w:tc>
          <w:tcPr>
            <w:tcW w:w="995" w:type="dxa"/>
          </w:tcPr>
          <w:p w:rsidR="00282E35" w:rsidRDefault="00282E35" w:rsidP="00E50C61">
            <w:pPr>
              <w:jc w:val="center"/>
            </w:pPr>
            <w:r>
              <w:t>27%</w:t>
            </w:r>
          </w:p>
        </w:tc>
        <w:tc>
          <w:tcPr>
            <w:tcW w:w="2662" w:type="dxa"/>
          </w:tcPr>
          <w:p w:rsidR="00282E35" w:rsidRDefault="00282E35" w:rsidP="00E50C61">
            <w:pPr>
              <w:jc w:val="center"/>
            </w:pPr>
            <w:r>
              <w:t>98</w:t>
            </w:r>
          </w:p>
        </w:tc>
      </w:tr>
      <w:tr w:rsidR="00282E35" w:rsidTr="00EE4904">
        <w:trPr>
          <w:jc w:val="center"/>
        </w:trPr>
        <w:tc>
          <w:tcPr>
            <w:tcW w:w="1429" w:type="dxa"/>
          </w:tcPr>
          <w:p w:rsidR="00282E35" w:rsidRDefault="00282E35" w:rsidP="00E50C61">
            <w:pPr>
              <w:jc w:val="center"/>
            </w:pPr>
            <w:r w:rsidRPr="009060A7">
              <w:t>E01000142</w:t>
            </w:r>
          </w:p>
        </w:tc>
        <w:tc>
          <w:tcPr>
            <w:tcW w:w="1178" w:type="dxa"/>
          </w:tcPr>
          <w:p w:rsidR="00282E35" w:rsidRDefault="00282E35" w:rsidP="00E50C61">
            <w:pPr>
              <w:jc w:val="center"/>
            </w:pPr>
            <w:r w:rsidRPr="009060A7">
              <w:t>Childs Hill</w:t>
            </w:r>
          </w:p>
        </w:tc>
        <w:tc>
          <w:tcPr>
            <w:tcW w:w="898" w:type="dxa"/>
          </w:tcPr>
          <w:p w:rsidR="00282E35" w:rsidRDefault="00282E35" w:rsidP="00E50C61">
            <w:pPr>
              <w:jc w:val="center"/>
            </w:pPr>
            <w:r w:rsidRPr="009060A7">
              <w:t>South</w:t>
            </w:r>
          </w:p>
        </w:tc>
        <w:tc>
          <w:tcPr>
            <w:tcW w:w="1650" w:type="dxa"/>
          </w:tcPr>
          <w:p w:rsidR="00282E35" w:rsidRDefault="00282E35" w:rsidP="00E50C61">
            <w:pPr>
              <w:jc w:val="center"/>
            </w:pPr>
            <w:r w:rsidRPr="009060A7">
              <w:t>Childs Hill</w:t>
            </w:r>
          </w:p>
        </w:tc>
        <w:tc>
          <w:tcPr>
            <w:tcW w:w="995" w:type="dxa"/>
          </w:tcPr>
          <w:p w:rsidR="00282E35" w:rsidRDefault="00282E35" w:rsidP="00E50C61">
            <w:pPr>
              <w:jc w:val="center"/>
            </w:pPr>
            <w:r>
              <w:t>42%</w:t>
            </w:r>
          </w:p>
        </w:tc>
        <w:tc>
          <w:tcPr>
            <w:tcW w:w="2662" w:type="dxa"/>
          </w:tcPr>
          <w:p w:rsidR="00282E35" w:rsidRDefault="00282E35" w:rsidP="00E50C61">
            <w:pPr>
              <w:jc w:val="center"/>
            </w:pPr>
            <w:r>
              <w:t>87</w:t>
            </w:r>
          </w:p>
        </w:tc>
      </w:tr>
      <w:tr w:rsidR="00282E35" w:rsidTr="00EE4904">
        <w:trPr>
          <w:jc w:val="center"/>
        </w:trPr>
        <w:tc>
          <w:tcPr>
            <w:tcW w:w="1429" w:type="dxa"/>
          </w:tcPr>
          <w:p w:rsidR="00282E35" w:rsidRDefault="00282E35" w:rsidP="00E50C61">
            <w:pPr>
              <w:jc w:val="center"/>
            </w:pPr>
            <w:r w:rsidRPr="009060A7">
              <w:t>E01000221</w:t>
            </w:r>
          </w:p>
        </w:tc>
        <w:tc>
          <w:tcPr>
            <w:tcW w:w="1178" w:type="dxa"/>
          </w:tcPr>
          <w:p w:rsidR="00282E35" w:rsidRDefault="00282E35" w:rsidP="00E50C61">
            <w:pPr>
              <w:jc w:val="center"/>
            </w:pPr>
            <w:proofErr w:type="spellStart"/>
            <w:r w:rsidRPr="009060A7">
              <w:t>Parkfield</w:t>
            </w:r>
            <w:proofErr w:type="spellEnd"/>
          </w:p>
        </w:tc>
        <w:tc>
          <w:tcPr>
            <w:tcW w:w="898" w:type="dxa"/>
          </w:tcPr>
          <w:p w:rsidR="00282E35" w:rsidRDefault="00282E35" w:rsidP="00E50C61">
            <w:pPr>
              <w:jc w:val="center"/>
            </w:pPr>
            <w:r w:rsidRPr="009060A7">
              <w:t>South</w:t>
            </w:r>
          </w:p>
        </w:tc>
        <w:tc>
          <w:tcPr>
            <w:tcW w:w="1650" w:type="dxa"/>
          </w:tcPr>
          <w:p w:rsidR="00282E35" w:rsidRDefault="00282E35" w:rsidP="00E50C61">
            <w:pPr>
              <w:jc w:val="center"/>
            </w:pPr>
            <w:r>
              <w:t>Golders Green</w:t>
            </w:r>
          </w:p>
        </w:tc>
        <w:tc>
          <w:tcPr>
            <w:tcW w:w="995" w:type="dxa"/>
          </w:tcPr>
          <w:p w:rsidR="00282E35" w:rsidRDefault="00282E35" w:rsidP="00E50C61">
            <w:pPr>
              <w:jc w:val="center"/>
            </w:pPr>
            <w:r>
              <w:t>17%</w:t>
            </w:r>
          </w:p>
        </w:tc>
        <w:tc>
          <w:tcPr>
            <w:tcW w:w="2662" w:type="dxa"/>
          </w:tcPr>
          <w:p w:rsidR="00282E35" w:rsidRDefault="00282E35" w:rsidP="00E50C61">
            <w:pPr>
              <w:jc w:val="center"/>
            </w:pPr>
            <w:r>
              <w:t>81</w:t>
            </w:r>
          </w:p>
        </w:tc>
      </w:tr>
      <w:tr w:rsidR="00282E35" w:rsidTr="00EE4904">
        <w:trPr>
          <w:jc w:val="center"/>
        </w:trPr>
        <w:tc>
          <w:tcPr>
            <w:tcW w:w="1429" w:type="dxa"/>
          </w:tcPr>
          <w:p w:rsidR="00282E35" w:rsidRDefault="00282E35" w:rsidP="00E50C61">
            <w:pPr>
              <w:jc w:val="center"/>
            </w:pPr>
            <w:r w:rsidRPr="009060A7">
              <w:t>E01000308</w:t>
            </w:r>
          </w:p>
        </w:tc>
        <w:tc>
          <w:tcPr>
            <w:tcW w:w="1178" w:type="dxa"/>
          </w:tcPr>
          <w:p w:rsidR="00282E35" w:rsidRDefault="00282E35" w:rsidP="00E50C61">
            <w:pPr>
              <w:jc w:val="center"/>
            </w:pPr>
            <w:r w:rsidRPr="009060A7">
              <w:t>The Hyde</w:t>
            </w:r>
          </w:p>
        </w:tc>
        <w:tc>
          <w:tcPr>
            <w:tcW w:w="898" w:type="dxa"/>
          </w:tcPr>
          <w:p w:rsidR="00282E35" w:rsidRDefault="00282E35" w:rsidP="00E50C61">
            <w:pPr>
              <w:jc w:val="center"/>
            </w:pPr>
            <w:r w:rsidRPr="009060A7">
              <w:t>South</w:t>
            </w:r>
          </w:p>
        </w:tc>
        <w:tc>
          <w:tcPr>
            <w:tcW w:w="1650" w:type="dxa"/>
          </w:tcPr>
          <w:p w:rsidR="00282E35" w:rsidRDefault="00282E35" w:rsidP="00E50C61">
            <w:pPr>
              <w:jc w:val="center"/>
            </w:pPr>
            <w:r>
              <w:t>West Hendon</w:t>
            </w:r>
          </w:p>
        </w:tc>
        <w:tc>
          <w:tcPr>
            <w:tcW w:w="995" w:type="dxa"/>
          </w:tcPr>
          <w:p w:rsidR="00282E35" w:rsidRDefault="00282E35" w:rsidP="00E50C61">
            <w:pPr>
              <w:jc w:val="center"/>
            </w:pPr>
            <w:r>
              <w:t>17%</w:t>
            </w:r>
          </w:p>
        </w:tc>
        <w:tc>
          <w:tcPr>
            <w:tcW w:w="2662" w:type="dxa"/>
          </w:tcPr>
          <w:p w:rsidR="00282E35" w:rsidRDefault="00282E35" w:rsidP="00E50C61">
            <w:pPr>
              <w:jc w:val="center"/>
            </w:pPr>
            <w:r>
              <w:t>96</w:t>
            </w:r>
          </w:p>
        </w:tc>
      </w:tr>
    </w:tbl>
    <w:p w:rsidR="00282E35" w:rsidRDefault="00282E35" w:rsidP="00282E35">
      <w:pPr>
        <w:pStyle w:val="NoSpacing"/>
      </w:pPr>
    </w:p>
    <w:p w:rsidR="00282E35" w:rsidRPr="00DC39DA" w:rsidRDefault="00282E35" w:rsidP="00282E35">
      <w:pPr>
        <w:pStyle w:val="Heading3"/>
        <w:keepNext w:val="0"/>
        <w:keepLines w:val="0"/>
        <w:spacing w:line="271" w:lineRule="auto"/>
      </w:pPr>
      <w:r w:rsidRPr="00DC39DA">
        <w:t>Ethnicity</w:t>
      </w:r>
      <w:r>
        <w:t xml:space="preserve"> 0-5 years</w:t>
      </w:r>
    </w:p>
    <w:p w:rsidR="00282E35" w:rsidRDefault="00282E35" w:rsidP="00282E35">
      <w:pPr>
        <w:jc w:val="both"/>
        <w:rPr>
          <w:rFonts w:cs="Arial"/>
        </w:rPr>
      </w:pPr>
      <w:r w:rsidRPr="00F60F74">
        <w:rPr>
          <w:rFonts w:cs="Arial"/>
        </w:rPr>
        <w:t>Barnet has 24 LSOAs with relatively high estimated number of B</w:t>
      </w:r>
      <w:r w:rsidR="00C52374">
        <w:rPr>
          <w:rFonts w:cs="Arial"/>
        </w:rPr>
        <w:t xml:space="preserve">lack, Asian and Minority Ethnic </w:t>
      </w:r>
      <w:r w:rsidRPr="00F60F74">
        <w:rPr>
          <w:rFonts w:cs="Arial"/>
        </w:rPr>
        <w:t xml:space="preserve">children under five (over 90 households per LSOA). The West locality contains 17 of the LSOAs with high concentration of </w:t>
      </w:r>
      <w:r w:rsidR="00C52374" w:rsidRPr="00F60F74">
        <w:rPr>
          <w:rFonts w:cs="Arial"/>
        </w:rPr>
        <w:t>B</w:t>
      </w:r>
      <w:r w:rsidR="00C52374">
        <w:rPr>
          <w:rFonts w:cs="Arial"/>
        </w:rPr>
        <w:t>lack, Asian and Minority Ethnic</w:t>
      </w:r>
      <w:r w:rsidRPr="00F60F74">
        <w:rPr>
          <w:rFonts w:cs="Arial"/>
        </w:rPr>
        <w:t xml:space="preserve"> households with children under </w:t>
      </w:r>
      <w:r>
        <w:rPr>
          <w:rFonts w:cs="Arial"/>
        </w:rPr>
        <w:t>five</w:t>
      </w:r>
      <w:r w:rsidRPr="00F60F74">
        <w:rPr>
          <w:rFonts w:cs="Arial"/>
        </w:rPr>
        <w:t xml:space="preserve">. It should be noted that there are high numbers of </w:t>
      </w:r>
      <w:r w:rsidR="00C52374" w:rsidRPr="00F60F74">
        <w:rPr>
          <w:rFonts w:cs="Arial"/>
        </w:rPr>
        <w:t>B</w:t>
      </w:r>
      <w:r w:rsidR="00C52374">
        <w:rPr>
          <w:rFonts w:cs="Arial"/>
        </w:rPr>
        <w:t xml:space="preserve">lack, Asian and Minority Ethnic </w:t>
      </w:r>
      <w:r w:rsidRPr="00F60F74">
        <w:rPr>
          <w:rFonts w:cs="Arial"/>
        </w:rPr>
        <w:t xml:space="preserve">children in the wards of Burnt Oak and Colindale, which have pockets of deprivation. The </w:t>
      </w:r>
      <w:r w:rsidR="00EA4AAE">
        <w:rPr>
          <w:rFonts w:cs="Arial"/>
        </w:rPr>
        <w:t>Central/East locality has only two</w:t>
      </w:r>
      <w:r w:rsidRPr="00F60F74">
        <w:rPr>
          <w:rFonts w:cs="Arial"/>
        </w:rPr>
        <w:t xml:space="preserve"> LSOAs with high number of </w:t>
      </w:r>
      <w:r w:rsidR="00C52374" w:rsidRPr="00F60F74">
        <w:rPr>
          <w:rFonts w:cs="Arial"/>
        </w:rPr>
        <w:t>B</w:t>
      </w:r>
      <w:r w:rsidR="00C52374">
        <w:rPr>
          <w:rFonts w:cs="Arial"/>
        </w:rPr>
        <w:t xml:space="preserve">lack, Asian and Minority Ethnic </w:t>
      </w:r>
      <w:r w:rsidRPr="00F60F74">
        <w:rPr>
          <w:rFonts w:cs="Arial"/>
        </w:rPr>
        <w:t xml:space="preserve">households with </w:t>
      </w:r>
      <w:r>
        <w:rPr>
          <w:rFonts w:cs="Arial"/>
        </w:rPr>
        <w:t xml:space="preserve">children </w:t>
      </w:r>
      <w:r w:rsidRPr="00F60F74">
        <w:rPr>
          <w:rFonts w:cs="Arial"/>
        </w:rPr>
        <w:t xml:space="preserve">under </w:t>
      </w:r>
      <w:r>
        <w:rPr>
          <w:rFonts w:cs="Arial"/>
        </w:rPr>
        <w:t>five</w:t>
      </w:r>
      <w:r w:rsidRPr="00F60F74">
        <w:rPr>
          <w:rFonts w:cs="Arial"/>
        </w:rPr>
        <w:t xml:space="preserve">, however, these are not deprived LSOAs. </w:t>
      </w:r>
    </w:p>
    <w:p w:rsidR="00282E35" w:rsidRPr="00362A69" w:rsidRDefault="00282E35" w:rsidP="00282E35">
      <w:pPr>
        <w:pStyle w:val="Heading3"/>
        <w:keepNext w:val="0"/>
        <w:keepLines w:val="0"/>
        <w:spacing w:line="271" w:lineRule="auto"/>
      </w:pPr>
      <w:r>
        <w:t>Children In Need (CIN) and Children Subject of a Child Protection Plan (CP) aged 0-5 years.</w:t>
      </w:r>
    </w:p>
    <w:p w:rsidR="00282E35" w:rsidRDefault="00282E35" w:rsidP="00282E35">
      <w:pPr>
        <w:pStyle w:val="NoSpacing"/>
        <w:jc w:val="both"/>
        <w:rPr>
          <w:sz w:val="22"/>
          <w:szCs w:val="22"/>
        </w:rPr>
      </w:pPr>
      <w:r w:rsidRPr="003A687F">
        <w:rPr>
          <w:sz w:val="22"/>
          <w:szCs w:val="22"/>
        </w:rPr>
        <w:t xml:space="preserve">The tables below demonstrate that there is a higher number of </w:t>
      </w:r>
      <w:r w:rsidR="00DD3A76" w:rsidRPr="003A687F">
        <w:rPr>
          <w:sz w:val="22"/>
          <w:szCs w:val="22"/>
        </w:rPr>
        <w:t>under-fives</w:t>
      </w:r>
      <w:r w:rsidRPr="003A687F">
        <w:rPr>
          <w:sz w:val="22"/>
          <w:szCs w:val="22"/>
        </w:rPr>
        <w:t xml:space="preserve"> on a child protection plan in the West locality, despite this locality currently containing the smallest number of </w:t>
      </w:r>
      <w:r w:rsidR="00DD3A76" w:rsidRPr="003A687F">
        <w:rPr>
          <w:sz w:val="22"/>
          <w:szCs w:val="22"/>
        </w:rPr>
        <w:t>under-fives</w:t>
      </w:r>
      <w:r w:rsidRPr="003A687F">
        <w:rPr>
          <w:sz w:val="22"/>
          <w:szCs w:val="22"/>
        </w:rPr>
        <w:t xml:space="preserve"> overall. </w:t>
      </w:r>
      <w:r w:rsidRPr="003A687F">
        <w:rPr>
          <w:bCs/>
          <w:sz w:val="22"/>
          <w:szCs w:val="22"/>
        </w:rPr>
        <w:t xml:space="preserve">CIN plans by locality excluding disability show </w:t>
      </w:r>
      <w:r w:rsidRPr="003A687F">
        <w:rPr>
          <w:sz w:val="22"/>
          <w:szCs w:val="22"/>
        </w:rPr>
        <w:t xml:space="preserve">160 CIN plans in total (Central/East: 64 CIN </w:t>
      </w:r>
      <w:r w:rsidRPr="003A687F">
        <w:rPr>
          <w:sz w:val="22"/>
          <w:szCs w:val="22"/>
        </w:rPr>
        <w:lastRenderedPageBreak/>
        <w:t>plans South: 33 CIN Plans West: 63 CIN plans)</w:t>
      </w:r>
      <w:r w:rsidR="00EA4AAE">
        <w:rPr>
          <w:sz w:val="22"/>
          <w:szCs w:val="22"/>
        </w:rPr>
        <w:t>.</w:t>
      </w:r>
      <w:r w:rsidRPr="003A687F">
        <w:rPr>
          <w:sz w:val="22"/>
          <w:szCs w:val="22"/>
        </w:rPr>
        <w:t xml:space="preserve"> Primary concerns leading to CIN and CP plans are identified in the charts below.</w:t>
      </w:r>
    </w:p>
    <w:p w:rsidR="00282E35" w:rsidRPr="003A687F" w:rsidRDefault="00282E35" w:rsidP="00282E35">
      <w:pPr>
        <w:pStyle w:val="NoSpacing"/>
        <w:jc w:val="both"/>
        <w:rPr>
          <w:sz w:val="22"/>
          <w:szCs w:val="22"/>
        </w:rPr>
      </w:pPr>
    </w:p>
    <w:p w:rsidR="00282E35" w:rsidRDefault="00282E35" w:rsidP="00282E35">
      <w:pPr>
        <w:pStyle w:val="Caption"/>
      </w:pPr>
      <w:r>
        <w:t xml:space="preserve">Figure </w:t>
      </w:r>
      <w:fldSimple w:instr=" STYLEREF 1 \s ">
        <w:r w:rsidR="001663C2">
          <w:rPr>
            <w:noProof/>
          </w:rPr>
          <w:t>8</w:t>
        </w:r>
      </w:fldSimple>
      <w:r w:rsidR="00943DC2">
        <w:noBreakHyphen/>
      </w:r>
      <w:fldSimple w:instr=" SEQ Figure \* ARABIC \s 1 ">
        <w:r w:rsidR="001663C2">
          <w:rPr>
            <w:noProof/>
          </w:rPr>
          <w:t>1</w:t>
        </w:r>
      </w:fldSimple>
      <w:r>
        <w:t>a-d: Under 5’s on Child Protection Plans</w:t>
      </w:r>
    </w:p>
    <w:p w:rsidR="00282E35" w:rsidRDefault="00282E35" w:rsidP="00282E35">
      <w:pPr>
        <w:rPr>
          <w:rFonts w:ascii="Arial" w:hAnsi="Arial" w:cs="Arial"/>
          <w:b/>
        </w:rPr>
      </w:pPr>
      <w:r>
        <w:rPr>
          <w:noProof/>
          <w:lang w:eastAsia="en-GB"/>
        </w:rPr>
        <w:drawing>
          <wp:anchor distT="0" distB="0" distL="114300" distR="114300" simplePos="0" relativeHeight="251820032" behindDoc="1" locked="0" layoutInCell="1" allowOverlap="1" wp14:anchorId="16C0EEFA" wp14:editId="029C9EE0">
            <wp:simplePos x="0" y="0"/>
            <wp:positionH relativeFrom="column">
              <wp:posOffset>59055</wp:posOffset>
            </wp:positionH>
            <wp:positionV relativeFrom="paragraph">
              <wp:posOffset>59690</wp:posOffset>
            </wp:positionV>
            <wp:extent cx="2849880" cy="1638300"/>
            <wp:effectExtent l="0" t="0" r="7620" b="0"/>
            <wp:wrapTight wrapText="bothSides">
              <wp:wrapPolygon edited="0">
                <wp:start x="0" y="0"/>
                <wp:lineTo x="0" y="21349"/>
                <wp:lineTo x="21513" y="21349"/>
                <wp:lineTo x="21513" y="0"/>
                <wp:lineTo x="0" y="0"/>
              </wp:wrapPolygon>
            </wp:wrapTight>
            <wp:docPr id="4121" name="Picture 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849880" cy="16383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821056" behindDoc="1" locked="0" layoutInCell="1" allowOverlap="1" wp14:anchorId="4D87B7BD" wp14:editId="6AA0A8A0">
            <wp:simplePos x="0" y="0"/>
            <wp:positionH relativeFrom="column">
              <wp:posOffset>3241040</wp:posOffset>
            </wp:positionH>
            <wp:positionV relativeFrom="paragraph">
              <wp:posOffset>62230</wp:posOffset>
            </wp:positionV>
            <wp:extent cx="2778760" cy="1668780"/>
            <wp:effectExtent l="0" t="0" r="2540" b="7620"/>
            <wp:wrapTight wrapText="bothSides">
              <wp:wrapPolygon edited="0">
                <wp:start x="0" y="0"/>
                <wp:lineTo x="0" y="21452"/>
                <wp:lineTo x="21472" y="21452"/>
                <wp:lineTo x="21472" y="0"/>
                <wp:lineTo x="0" y="0"/>
              </wp:wrapPolygon>
            </wp:wrapTight>
            <wp:docPr id="4117" name="Picture 4117" descr="cid:image001.png@01D0B334.3F35B4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1" descr="cid:image001.png@01D0B334.3F35B4E0"/>
                    <pic:cNvPicPr>
                      <a:picLocks noChangeAspect="1" noChangeArrowheads="1"/>
                    </pic:cNvPicPr>
                  </pic:nvPicPr>
                  <pic:blipFill>
                    <a:blip r:embed="rId168" r:link="rId169">
                      <a:extLst>
                        <a:ext uri="{28A0092B-C50C-407E-A947-70E740481C1C}">
                          <a14:useLocalDpi xmlns:a14="http://schemas.microsoft.com/office/drawing/2010/main" val="0"/>
                        </a:ext>
                      </a:extLst>
                    </a:blip>
                    <a:srcRect/>
                    <a:stretch>
                      <a:fillRect/>
                    </a:stretch>
                  </pic:blipFill>
                  <pic:spPr bwMode="auto">
                    <a:xfrm>
                      <a:off x="0" y="0"/>
                      <a:ext cx="2778760" cy="16687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82E35" w:rsidRDefault="00282E35" w:rsidP="00282E35">
      <w:pPr>
        <w:rPr>
          <w:rFonts w:ascii="Arial" w:hAnsi="Arial" w:cs="Arial"/>
          <w:b/>
        </w:rPr>
      </w:pPr>
    </w:p>
    <w:p w:rsidR="00282E35" w:rsidRDefault="00282E35" w:rsidP="00282E35">
      <w:pPr>
        <w:rPr>
          <w:rFonts w:ascii="Arial" w:hAnsi="Arial" w:cs="Arial"/>
          <w:b/>
        </w:rPr>
      </w:pPr>
    </w:p>
    <w:p w:rsidR="00282E35" w:rsidRDefault="00282E35" w:rsidP="00282E35">
      <w:pPr>
        <w:rPr>
          <w:rFonts w:ascii="Arial" w:hAnsi="Arial" w:cs="Arial"/>
          <w:b/>
        </w:rPr>
      </w:pPr>
    </w:p>
    <w:p w:rsidR="00282E35" w:rsidRDefault="00282E35" w:rsidP="00282E35">
      <w:pPr>
        <w:rPr>
          <w:rFonts w:ascii="Arial" w:hAnsi="Arial" w:cs="Arial"/>
          <w:b/>
        </w:rPr>
      </w:pPr>
    </w:p>
    <w:p w:rsidR="00282E35" w:rsidRDefault="00282E35" w:rsidP="00282E35">
      <w:pPr>
        <w:rPr>
          <w:rFonts w:ascii="Arial" w:hAnsi="Arial" w:cs="Arial"/>
          <w:b/>
        </w:rPr>
      </w:pPr>
    </w:p>
    <w:p w:rsidR="00282E35" w:rsidRDefault="00282E35" w:rsidP="00282E35">
      <w:pPr>
        <w:rPr>
          <w:rFonts w:ascii="Arial" w:hAnsi="Arial" w:cs="Arial"/>
          <w:b/>
        </w:rPr>
      </w:pPr>
      <w:r>
        <w:rPr>
          <w:rFonts w:ascii="Arial" w:hAnsi="Arial" w:cs="Arial"/>
          <w:noProof/>
          <w:sz w:val="20"/>
          <w:szCs w:val="20"/>
          <w:lang w:eastAsia="en-GB"/>
        </w:rPr>
        <w:drawing>
          <wp:anchor distT="0" distB="0" distL="114300" distR="114300" simplePos="0" relativeHeight="251813888" behindDoc="1" locked="0" layoutInCell="1" allowOverlap="1" wp14:anchorId="3071E03C" wp14:editId="1BB43D09">
            <wp:simplePos x="0" y="0"/>
            <wp:positionH relativeFrom="column">
              <wp:posOffset>3255645</wp:posOffset>
            </wp:positionH>
            <wp:positionV relativeFrom="paragraph">
              <wp:posOffset>148590</wp:posOffset>
            </wp:positionV>
            <wp:extent cx="2764155" cy="1733550"/>
            <wp:effectExtent l="0" t="0" r="0" b="0"/>
            <wp:wrapTight wrapText="bothSides">
              <wp:wrapPolygon edited="0">
                <wp:start x="0" y="0"/>
                <wp:lineTo x="0" y="21363"/>
                <wp:lineTo x="21436" y="21363"/>
                <wp:lineTo x="21436" y="0"/>
                <wp:lineTo x="0" y="0"/>
              </wp:wrapPolygon>
            </wp:wrapTight>
            <wp:docPr id="49179" name="Picture 49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764155" cy="17335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814912" behindDoc="1" locked="0" layoutInCell="1" allowOverlap="1" wp14:anchorId="6C963093" wp14:editId="58D25AFB">
            <wp:simplePos x="0" y="0"/>
            <wp:positionH relativeFrom="column">
              <wp:posOffset>82550</wp:posOffset>
            </wp:positionH>
            <wp:positionV relativeFrom="paragraph">
              <wp:posOffset>136525</wp:posOffset>
            </wp:positionV>
            <wp:extent cx="2825750" cy="1743075"/>
            <wp:effectExtent l="0" t="0" r="0" b="9525"/>
            <wp:wrapTight wrapText="bothSides">
              <wp:wrapPolygon edited="0">
                <wp:start x="0" y="0"/>
                <wp:lineTo x="0" y="21482"/>
                <wp:lineTo x="21406" y="21482"/>
                <wp:lineTo x="21406" y="0"/>
                <wp:lineTo x="0" y="0"/>
              </wp:wrapPolygon>
            </wp:wrapTight>
            <wp:docPr id="4917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825750" cy="174307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282E35" w:rsidRDefault="00282E35" w:rsidP="00282E35">
      <w:pPr>
        <w:rPr>
          <w:rFonts w:ascii="Arial" w:hAnsi="Arial" w:cs="Arial"/>
          <w:b/>
        </w:rPr>
      </w:pPr>
    </w:p>
    <w:p w:rsidR="00282E35" w:rsidRDefault="00282E35" w:rsidP="00282E35">
      <w:pPr>
        <w:spacing w:after="0" w:line="288" w:lineRule="auto"/>
        <w:rPr>
          <w:rFonts w:eastAsia="Times New Roman" w:cs="Arial"/>
          <w:b/>
          <w:color w:val="000000"/>
          <w:lang w:eastAsia="en-GB"/>
        </w:rPr>
      </w:pPr>
    </w:p>
    <w:p w:rsidR="00282E35" w:rsidRDefault="00282E35" w:rsidP="00282E35">
      <w:pPr>
        <w:spacing w:after="0" w:line="288" w:lineRule="auto"/>
        <w:rPr>
          <w:rFonts w:eastAsia="Times New Roman" w:cs="Arial"/>
          <w:b/>
          <w:color w:val="000000"/>
          <w:lang w:eastAsia="en-GB"/>
        </w:rPr>
      </w:pPr>
    </w:p>
    <w:p w:rsidR="00282E35" w:rsidRDefault="00282E35" w:rsidP="00282E35">
      <w:pPr>
        <w:pStyle w:val="NoSpacing"/>
        <w:rPr>
          <w:b/>
        </w:rPr>
      </w:pPr>
    </w:p>
    <w:p w:rsidR="00282E35" w:rsidRDefault="00282E35" w:rsidP="00282E35">
      <w:pPr>
        <w:pStyle w:val="NoSpacing"/>
        <w:rPr>
          <w:b/>
        </w:rPr>
      </w:pPr>
    </w:p>
    <w:p w:rsidR="00282E35" w:rsidRDefault="00282E35" w:rsidP="00282E35">
      <w:pPr>
        <w:pStyle w:val="NoSpacing"/>
        <w:rPr>
          <w:b/>
        </w:rPr>
      </w:pPr>
    </w:p>
    <w:p w:rsidR="00282E35" w:rsidRDefault="00282E35" w:rsidP="00282E35">
      <w:pPr>
        <w:pStyle w:val="NoSpacing"/>
        <w:rPr>
          <w:b/>
        </w:rPr>
      </w:pPr>
    </w:p>
    <w:p w:rsidR="00282E35" w:rsidRDefault="00282E35" w:rsidP="00282E35">
      <w:pPr>
        <w:pStyle w:val="NoSpacing"/>
        <w:rPr>
          <w:b/>
        </w:rPr>
      </w:pPr>
    </w:p>
    <w:p w:rsidR="00282E35" w:rsidRDefault="00282E35" w:rsidP="00282E35">
      <w:pPr>
        <w:pStyle w:val="NoSpacing"/>
        <w:rPr>
          <w:b/>
        </w:rPr>
      </w:pPr>
      <w:r w:rsidRPr="00A473FD">
        <w:t xml:space="preserve">Source: ICS October 31st 2014, </w:t>
      </w:r>
      <w:r w:rsidR="00DD3A76" w:rsidRPr="00A473FD">
        <w:t>under</w:t>
      </w:r>
      <w:r w:rsidR="00DD3A76">
        <w:t>-five</w:t>
      </w:r>
      <w:r w:rsidR="00DD3A76" w:rsidRPr="00A473FD">
        <w:t>s</w:t>
      </w:r>
      <w:r w:rsidRPr="00A473FD">
        <w:t xml:space="preserve"> on a Child Protection Plan</w:t>
      </w:r>
    </w:p>
    <w:p w:rsidR="00282E35" w:rsidRPr="00E82991" w:rsidRDefault="00EA4AAE" w:rsidP="00282E35">
      <w:pPr>
        <w:pStyle w:val="Heading3"/>
        <w:keepNext w:val="0"/>
        <w:keepLines w:val="0"/>
        <w:spacing w:line="271" w:lineRule="auto"/>
      </w:pPr>
      <w:r>
        <w:t xml:space="preserve"> School Readiness by L</w:t>
      </w:r>
      <w:r w:rsidR="00282E35" w:rsidRPr="00E82991">
        <w:t>ocality</w:t>
      </w:r>
    </w:p>
    <w:p w:rsidR="00282E35" w:rsidRPr="00B37020" w:rsidRDefault="00282E35" w:rsidP="00282E35">
      <w:pPr>
        <w:pStyle w:val="NoSpacing"/>
        <w:jc w:val="both"/>
        <w:rPr>
          <w:sz w:val="22"/>
          <w:szCs w:val="22"/>
        </w:rPr>
      </w:pPr>
      <w:r w:rsidRPr="00B37020">
        <w:rPr>
          <w:sz w:val="22"/>
          <w:szCs w:val="22"/>
        </w:rPr>
        <w:t>The quality of a child’s early experience is vital for their future success. It is shaped by many interrelated factors, notably the effects of socio-economic status, the impact of high-quality ea</w:t>
      </w:r>
      <w:r w:rsidR="00EA4AAE">
        <w:rPr>
          <w:sz w:val="22"/>
          <w:szCs w:val="22"/>
        </w:rPr>
        <w:t>rly education and care</w:t>
      </w:r>
      <w:r w:rsidRPr="00B37020">
        <w:rPr>
          <w:sz w:val="22"/>
          <w:szCs w:val="22"/>
        </w:rPr>
        <w:t xml:space="preserve"> and the influence of ‘good parenting’. High-quality early education is crucial in countering the effects of socio-economic disadvantage</w:t>
      </w:r>
      <w:r w:rsidRPr="00B37020">
        <w:rPr>
          <w:sz w:val="22"/>
          <w:szCs w:val="22"/>
          <w:vertAlign w:val="superscript"/>
        </w:rPr>
        <w:footnoteReference w:id="125"/>
      </w:r>
      <w:r w:rsidRPr="00B37020">
        <w:rPr>
          <w:sz w:val="22"/>
          <w:szCs w:val="22"/>
        </w:rPr>
        <w:t xml:space="preserve">. </w:t>
      </w:r>
    </w:p>
    <w:p w:rsidR="00282E35" w:rsidRPr="004856FB" w:rsidRDefault="00282E35" w:rsidP="00282E35">
      <w:pPr>
        <w:pStyle w:val="NoSpacing"/>
      </w:pPr>
    </w:p>
    <w:p w:rsidR="00282E35" w:rsidRPr="00282E35" w:rsidRDefault="00282E35" w:rsidP="00282E35">
      <w:pPr>
        <w:pStyle w:val="NoSpacing"/>
        <w:jc w:val="both"/>
        <w:rPr>
          <w:sz w:val="22"/>
          <w:szCs w:val="22"/>
        </w:rPr>
      </w:pPr>
      <w:r w:rsidRPr="00282E35">
        <w:rPr>
          <w:sz w:val="22"/>
          <w:szCs w:val="22"/>
        </w:rPr>
        <w:t xml:space="preserve">Overall, attainment of good level of development (GLD) in Barnet is above the national average, including the development of children in receipt of free school meals (FSM) and SEN pupil attainment.  However, attainment varies by locality. A higher percentage of children within the Central/East locality achieved a GLD (68.1%) with 65% attaining above the national average, whilst in the West locality, GLD attainment is lower (60.1%) but is in line with the national average. </w:t>
      </w:r>
    </w:p>
    <w:p w:rsidR="00282E35" w:rsidRPr="004856FB" w:rsidRDefault="00282E35" w:rsidP="00282E35">
      <w:pPr>
        <w:pStyle w:val="NoSpacing"/>
        <w:jc w:val="both"/>
      </w:pPr>
    </w:p>
    <w:p w:rsidR="00282E35" w:rsidRPr="00282E35" w:rsidRDefault="00282E35" w:rsidP="00282E35">
      <w:pPr>
        <w:pStyle w:val="NoSpacing"/>
        <w:rPr>
          <w:sz w:val="22"/>
          <w:szCs w:val="22"/>
        </w:rPr>
      </w:pPr>
      <w:r w:rsidRPr="00282E35">
        <w:rPr>
          <w:sz w:val="22"/>
          <w:szCs w:val="22"/>
        </w:rPr>
        <w:t>The table below sets outs GLD attainment by locality overall, and by the following characteristics:</w:t>
      </w:r>
    </w:p>
    <w:p w:rsidR="00282E35" w:rsidRPr="004856FB" w:rsidRDefault="00282E35" w:rsidP="008921BF">
      <w:pPr>
        <w:numPr>
          <w:ilvl w:val="0"/>
          <w:numId w:val="96"/>
        </w:numPr>
        <w:contextualSpacing/>
        <w:rPr>
          <w:rFonts w:cs="Arial"/>
        </w:rPr>
      </w:pPr>
      <w:r w:rsidRPr="004856FB">
        <w:rPr>
          <w:rFonts w:cs="Arial"/>
        </w:rPr>
        <w:t>Children whose first language is other than English</w:t>
      </w:r>
    </w:p>
    <w:p w:rsidR="00282E35" w:rsidRPr="004856FB" w:rsidRDefault="00282E35" w:rsidP="008921BF">
      <w:pPr>
        <w:numPr>
          <w:ilvl w:val="0"/>
          <w:numId w:val="96"/>
        </w:numPr>
        <w:contextualSpacing/>
        <w:rPr>
          <w:rFonts w:cs="Arial"/>
        </w:rPr>
      </w:pPr>
      <w:r w:rsidRPr="004856FB">
        <w:rPr>
          <w:rFonts w:cs="Arial"/>
        </w:rPr>
        <w:t xml:space="preserve">Children with Special </w:t>
      </w:r>
      <w:r>
        <w:rPr>
          <w:rFonts w:cs="Arial"/>
        </w:rPr>
        <w:t>E</w:t>
      </w:r>
      <w:r w:rsidRPr="004856FB">
        <w:rPr>
          <w:rFonts w:cs="Arial"/>
        </w:rPr>
        <w:t>ducational Needs</w:t>
      </w:r>
    </w:p>
    <w:p w:rsidR="00282E35" w:rsidRPr="004856FB" w:rsidRDefault="00282E35" w:rsidP="008921BF">
      <w:pPr>
        <w:numPr>
          <w:ilvl w:val="0"/>
          <w:numId w:val="96"/>
        </w:numPr>
        <w:contextualSpacing/>
        <w:rPr>
          <w:rFonts w:cs="Arial"/>
        </w:rPr>
      </w:pPr>
      <w:r w:rsidRPr="004856FB">
        <w:rPr>
          <w:rFonts w:cs="Arial"/>
        </w:rPr>
        <w:t>Children eligible for Free School Meals</w:t>
      </w:r>
    </w:p>
    <w:p w:rsidR="00282E35" w:rsidRDefault="00282E35" w:rsidP="008921BF">
      <w:pPr>
        <w:numPr>
          <w:ilvl w:val="0"/>
          <w:numId w:val="96"/>
        </w:numPr>
        <w:contextualSpacing/>
        <w:rPr>
          <w:rFonts w:cs="Arial"/>
        </w:rPr>
      </w:pPr>
      <w:r w:rsidRPr="004856FB">
        <w:rPr>
          <w:rFonts w:cs="Arial"/>
        </w:rPr>
        <w:t>Children born in the summer term</w:t>
      </w:r>
      <w:r w:rsidR="00EA4AAE">
        <w:rPr>
          <w:rFonts w:cs="Arial"/>
        </w:rPr>
        <w:t>.</w:t>
      </w:r>
      <w:r w:rsidRPr="004856FB">
        <w:rPr>
          <w:rFonts w:cs="Arial"/>
        </w:rPr>
        <w:t xml:space="preserve"> </w:t>
      </w:r>
    </w:p>
    <w:p w:rsidR="00282E35" w:rsidRDefault="00282E35" w:rsidP="00282E35">
      <w:pPr>
        <w:contextualSpacing/>
        <w:rPr>
          <w:rFonts w:cs="Arial"/>
        </w:rPr>
      </w:pPr>
    </w:p>
    <w:p w:rsidR="00282E35" w:rsidRDefault="00282E35" w:rsidP="00282E35">
      <w:pPr>
        <w:contextualSpacing/>
        <w:rPr>
          <w:rFonts w:cs="Arial"/>
        </w:rPr>
      </w:pPr>
    </w:p>
    <w:p w:rsidR="00282E35" w:rsidRDefault="00282E35" w:rsidP="00282E35">
      <w:pPr>
        <w:contextualSpacing/>
        <w:rPr>
          <w:rFonts w:cs="Arial"/>
        </w:rPr>
      </w:pPr>
    </w:p>
    <w:p w:rsidR="00282E35" w:rsidRDefault="00282E35" w:rsidP="00282E35">
      <w:pPr>
        <w:contextualSpacing/>
        <w:rPr>
          <w:rFonts w:cs="Arial"/>
        </w:rPr>
      </w:pPr>
    </w:p>
    <w:p w:rsidR="00282E35" w:rsidRDefault="00282E35" w:rsidP="00282E35">
      <w:pPr>
        <w:contextualSpacing/>
        <w:rPr>
          <w:rFonts w:cs="Arial"/>
        </w:rPr>
      </w:pPr>
    </w:p>
    <w:p w:rsidR="00282E35" w:rsidRPr="007664F4" w:rsidRDefault="00282E35" w:rsidP="00282E35">
      <w:pPr>
        <w:pStyle w:val="Caption"/>
        <w:rPr>
          <w:rFonts w:cs="Arial"/>
        </w:rPr>
      </w:pPr>
      <w:r>
        <w:t xml:space="preserve">Table </w:t>
      </w:r>
      <w:fldSimple w:instr=" STYLEREF 1 \s ">
        <w:r w:rsidR="001663C2">
          <w:rPr>
            <w:noProof/>
          </w:rPr>
          <w:t>8</w:t>
        </w:r>
      </w:fldSimple>
      <w:r>
        <w:noBreakHyphen/>
      </w:r>
      <w:fldSimple w:instr=" SEQ Table \* ARABIC \s 1 ">
        <w:r w:rsidR="001663C2">
          <w:rPr>
            <w:noProof/>
          </w:rPr>
          <w:t>4</w:t>
        </w:r>
      </w:fldSimple>
      <w:r>
        <w:t xml:space="preserve">: </w:t>
      </w:r>
      <w:r w:rsidRPr="004856FB">
        <w:t xml:space="preserve">GLD </w:t>
      </w:r>
      <w:r>
        <w:t>A</w:t>
      </w:r>
      <w:r w:rsidRPr="004856FB">
        <w:t xml:space="preserve">ttainment by </w:t>
      </w:r>
      <w:r>
        <w:t>L</w:t>
      </w:r>
      <w:r w:rsidRPr="004856FB">
        <w:t>ocality</w:t>
      </w:r>
    </w:p>
    <w:tbl>
      <w:tblPr>
        <w:tblStyle w:val="TableGrid"/>
        <w:tblW w:w="9714" w:type="dxa"/>
        <w:jc w:val="center"/>
        <w:tblInd w:w="250" w:type="dxa"/>
        <w:tblLook w:val="04A0" w:firstRow="1" w:lastRow="0" w:firstColumn="1" w:lastColumn="0" w:noHBand="0" w:noVBand="1"/>
      </w:tblPr>
      <w:tblGrid>
        <w:gridCol w:w="2348"/>
        <w:gridCol w:w="1147"/>
        <w:gridCol w:w="1345"/>
        <w:gridCol w:w="1223"/>
        <w:gridCol w:w="1238"/>
        <w:gridCol w:w="1227"/>
        <w:gridCol w:w="1186"/>
      </w:tblGrid>
      <w:tr w:rsidR="00EA4AAE" w:rsidTr="00374BA8">
        <w:trPr>
          <w:trHeight w:val="570"/>
          <w:jc w:val="center"/>
        </w:trPr>
        <w:tc>
          <w:tcPr>
            <w:tcW w:w="2348" w:type="dxa"/>
            <w:shd w:val="clear" w:color="auto" w:fill="BFBFBF" w:themeFill="background1" w:themeFillShade="BF"/>
          </w:tcPr>
          <w:p w:rsidR="00282E35" w:rsidRPr="00087289" w:rsidRDefault="00282E35" w:rsidP="00E50C61">
            <w:pPr>
              <w:rPr>
                <w:sz w:val="18"/>
                <w:szCs w:val="18"/>
              </w:rPr>
            </w:pPr>
          </w:p>
        </w:tc>
        <w:tc>
          <w:tcPr>
            <w:tcW w:w="1147" w:type="dxa"/>
            <w:tcBorders>
              <w:bottom w:val="single" w:sz="4" w:space="0" w:color="auto"/>
            </w:tcBorders>
            <w:shd w:val="clear" w:color="auto" w:fill="BFBFBF" w:themeFill="background1" w:themeFillShade="BF"/>
            <w:vAlign w:val="center"/>
          </w:tcPr>
          <w:p w:rsidR="00282E35" w:rsidRPr="00087289" w:rsidRDefault="00282E35" w:rsidP="00EA4AAE">
            <w:pPr>
              <w:jc w:val="center"/>
              <w:rPr>
                <w:b/>
                <w:sz w:val="18"/>
                <w:szCs w:val="18"/>
              </w:rPr>
            </w:pPr>
            <w:r w:rsidRPr="00087289">
              <w:rPr>
                <w:b/>
                <w:sz w:val="18"/>
                <w:szCs w:val="18"/>
              </w:rPr>
              <w:t>Central/East</w:t>
            </w:r>
          </w:p>
        </w:tc>
        <w:tc>
          <w:tcPr>
            <w:tcW w:w="1345" w:type="dxa"/>
            <w:tcBorders>
              <w:bottom w:val="single" w:sz="4" w:space="0" w:color="auto"/>
            </w:tcBorders>
            <w:shd w:val="clear" w:color="auto" w:fill="BFBFBF" w:themeFill="background1" w:themeFillShade="BF"/>
            <w:vAlign w:val="center"/>
          </w:tcPr>
          <w:p w:rsidR="00282E35" w:rsidRPr="00087289" w:rsidRDefault="00282E35" w:rsidP="00EA4AAE">
            <w:pPr>
              <w:jc w:val="center"/>
              <w:rPr>
                <w:b/>
                <w:sz w:val="18"/>
                <w:szCs w:val="18"/>
              </w:rPr>
            </w:pPr>
            <w:r w:rsidRPr="00087289">
              <w:rPr>
                <w:b/>
                <w:sz w:val="18"/>
                <w:szCs w:val="18"/>
              </w:rPr>
              <w:t>South</w:t>
            </w:r>
          </w:p>
        </w:tc>
        <w:tc>
          <w:tcPr>
            <w:tcW w:w="1223" w:type="dxa"/>
            <w:tcBorders>
              <w:bottom w:val="single" w:sz="4" w:space="0" w:color="auto"/>
            </w:tcBorders>
            <w:shd w:val="clear" w:color="auto" w:fill="BFBFBF" w:themeFill="background1" w:themeFillShade="BF"/>
            <w:vAlign w:val="center"/>
          </w:tcPr>
          <w:p w:rsidR="00282E35" w:rsidRPr="00087289" w:rsidRDefault="00282E35" w:rsidP="00EA4AAE">
            <w:pPr>
              <w:jc w:val="center"/>
              <w:rPr>
                <w:b/>
                <w:sz w:val="18"/>
                <w:szCs w:val="18"/>
              </w:rPr>
            </w:pPr>
            <w:r w:rsidRPr="00087289">
              <w:rPr>
                <w:b/>
                <w:sz w:val="18"/>
                <w:szCs w:val="18"/>
              </w:rPr>
              <w:t>West</w:t>
            </w:r>
          </w:p>
        </w:tc>
        <w:tc>
          <w:tcPr>
            <w:tcW w:w="1238" w:type="dxa"/>
            <w:shd w:val="clear" w:color="auto" w:fill="BFBFBF" w:themeFill="background1" w:themeFillShade="BF"/>
            <w:vAlign w:val="center"/>
          </w:tcPr>
          <w:p w:rsidR="00282E35" w:rsidRPr="00087289" w:rsidRDefault="00282E35" w:rsidP="00EA4AAE">
            <w:pPr>
              <w:jc w:val="center"/>
              <w:rPr>
                <w:b/>
                <w:sz w:val="18"/>
                <w:szCs w:val="18"/>
              </w:rPr>
            </w:pPr>
            <w:r w:rsidRPr="00087289">
              <w:rPr>
                <w:b/>
                <w:sz w:val="18"/>
                <w:szCs w:val="18"/>
              </w:rPr>
              <w:t xml:space="preserve">Out of </w:t>
            </w:r>
            <w:r>
              <w:rPr>
                <w:b/>
                <w:sz w:val="18"/>
                <w:szCs w:val="18"/>
              </w:rPr>
              <w:t>Borough</w:t>
            </w:r>
          </w:p>
        </w:tc>
        <w:tc>
          <w:tcPr>
            <w:tcW w:w="1227" w:type="dxa"/>
            <w:shd w:val="clear" w:color="auto" w:fill="BFBFBF" w:themeFill="background1" w:themeFillShade="BF"/>
            <w:vAlign w:val="center"/>
          </w:tcPr>
          <w:p w:rsidR="00282E35" w:rsidRPr="00087289" w:rsidRDefault="00282E35" w:rsidP="00EA4AAE">
            <w:pPr>
              <w:jc w:val="center"/>
              <w:rPr>
                <w:b/>
                <w:sz w:val="18"/>
                <w:szCs w:val="18"/>
              </w:rPr>
            </w:pPr>
            <w:r w:rsidRPr="00087289">
              <w:rPr>
                <w:b/>
                <w:sz w:val="18"/>
                <w:szCs w:val="18"/>
              </w:rPr>
              <w:t>Barnet</w:t>
            </w:r>
          </w:p>
        </w:tc>
        <w:tc>
          <w:tcPr>
            <w:tcW w:w="1186" w:type="dxa"/>
            <w:shd w:val="clear" w:color="auto" w:fill="BFBFBF" w:themeFill="background1" w:themeFillShade="BF"/>
            <w:vAlign w:val="center"/>
          </w:tcPr>
          <w:p w:rsidR="00282E35" w:rsidRPr="00087289" w:rsidRDefault="00282E35" w:rsidP="00EA4AAE">
            <w:pPr>
              <w:jc w:val="center"/>
              <w:rPr>
                <w:rFonts w:cs="Arial"/>
                <w:b/>
                <w:sz w:val="18"/>
                <w:szCs w:val="18"/>
              </w:rPr>
            </w:pPr>
            <w:r w:rsidRPr="00087289">
              <w:rPr>
                <w:rFonts w:cs="Arial"/>
                <w:b/>
                <w:sz w:val="18"/>
                <w:szCs w:val="18"/>
              </w:rPr>
              <w:t>National Average</w:t>
            </w:r>
          </w:p>
          <w:p w:rsidR="00282E35" w:rsidRPr="00087289" w:rsidRDefault="00282E35" w:rsidP="00EA4AAE">
            <w:pPr>
              <w:jc w:val="center"/>
              <w:rPr>
                <w:b/>
                <w:sz w:val="18"/>
                <w:szCs w:val="18"/>
              </w:rPr>
            </w:pPr>
            <w:r w:rsidRPr="00087289">
              <w:rPr>
                <w:rFonts w:cs="Arial"/>
                <w:b/>
                <w:sz w:val="18"/>
                <w:szCs w:val="18"/>
              </w:rPr>
              <w:t>(</w:t>
            </w:r>
            <w:proofErr w:type="spellStart"/>
            <w:r w:rsidRPr="00087289">
              <w:rPr>
                <w:rFonts w:cs="Arial"/>
                <w:b/>
                <w:sz w:val="18"/>
                <w:szCs w:val="18"/>
              </w:rPr>
              <w:t>DfE</w:t>
            </w:r>
            <w:proofErr w:type="spellEnd"/>
            <w:r w:rsidRPr="00087289">
              <w:rPr>
                <w:rFonts w:cs="Arial"/>
                <w:b/>
                <w:sz w:val="18"/>
                <w:szCs w:val="18"/>
              </w:rPr>
              <w:t>)</w:t>
            </w:r>
            <w:r w:rsidRPr="00087289">
              <w:rPr>
                <w:rFonts w:cs="Arial"/>
                <w:b/>
                <w:sz w:val="18"/>
                <w:szCs w:val="18"/>
                <w:vertAlign w:val="superscript"/>
              </w:rPr>
              <w:footnoteReference w:id="126"/>
            </w:r>
          </w:p>
        </w:tc>
      </w:tr>
      <w:tr w:rsidR="00EA4AAE" w:rsidTr="00EA4AAE">
        <w:trPr>
          <w:trHeight w:val="168"/>
          <w:jc w:val="center"/>
        </w:trPr>
        <w:tc>
          <w:tcPr>
            <w:tcW w:w="2348" w:type="dxa"/>
            <w:vAlign w:val="center"/>
          </w:tcPr>
          <w:p w:rsidR="00282E35" w:rsidRPr="00087289" w:rsidRDefault="00282E35" w:rsidP="00EA4AAE">
            <w:pPr>
              <w:rPr>
                <w:b/>
                <w:sz w:val="18"/>
                <w:szCs w:val="18"/>
              </w:rPr>
            </w:pPr>
            <w:r w:rsidRPr="00087289">
              <w:rPr>
                <w:b/>
                <w:sz w:val="18"/>
                <w:szCs w:val="18"/>
              </w:rPr>
              <w:t>No of children at EYFS</w:t>
            </w:r>
          </w:p>
        </w:tc>
        <w:tc>
          <w:tcPr>
            <w:tcW w:w="1147" w:type="dxa"/>
            <w:shd w:val="clear" w:color="auto" w:fill="auto"/>
            <w:vAlign w:val="center"/>
          </w:tcPr>
          <w:p w:rsidR="00282E35" w:rsidRPr="00087289" w:rsidRDefault="00282E35" w:rsidP="00EA4AAE">
            <w:pPr>
              <w:jc w:val="center"/>
              <w:rPr>
                <w:sz w:val="18"/>
                <w:szCs w:val="18"/>
              </w:rPr>
            </w:pPr>
            <w:r w:rsidRPr="00087289">
              <w:rPr>
                <w:sz w:val="18"/>
                <w:szCs w:val="18"/>
              </w:rPr>
              <w:t>1</w:t>
            </w:r>
            <w:r w:rsidR="00EA4AAE">
              <w:rPr>
                <w:sz w:val="18"/>
                <w:szCs w:val="18"/>
              </w:rPr>
              <w:t>,</w:t>
            </w:r>
            <w:r w:rsidRPr="00087289">
              <w:rPr>
                <w:sz w:val="18"/>
                <w:szCs w:val="18"/>
              </w:rPr>
              <w:t>775</w:t>
            </w:r>
          </w:p>
        </w:tc>
        <w:tc>
          <w:tcPr>
            <w:tcW w:w="1345" w:type="dxa"/>
            <w:shd w:val="clear" w:color="auto" w:fill="auto"/>
            <w:vAlign w:val="center"/>
          </w:tcPr>
          <w:p w:rsidR="00282E35" w:rsidRPr="00087289" w:rsidRDefault="00282E35" w:rsidP="00EA4AAE">
            <w:pPr>
              <w:jc w:val="center"/>
              <w:rPr>
                <w:sz w:val="18"/>
                <w:szCs w:val="18"/>
              </w:rPr>
            </w:pPr>
            <w:r w:rsidRPr="00087289">
              <w:rPr>
                <w:sz w:val="18"/>
                <w:szCs w:val="18"/>
              </w:rPr>
              <w:t>1</w:t>
            </w:r>
            <w:r w:rsidR="00EA4AAE">
              <w:rPr>
                <w:sz w:val="18"/>
                <w:szCs w:val="18"/>
              </w:rPr>
              <w:t>,</w:t>
            </w:r>
            <w:r w:rsidRPr="00087289">
              <w:rPr>
                <w:sz w:val="18"/>
                <w:szCs w:val="18"/>
              </w:rPr>
              <w:t>273</w:t>
            </w:r>
          </w:p>
        </w:tc>
        <w:tc>
          <w:tcPr>
            <w:tcW w:w="1223" w:type="dxa"/>
            <w:shd w:val="clear" w:color="auto" w:fill="auto"/>
            <w:vAlign w:val="center"/>
          </w:tcPr>
          <w:p w:rsidR="00282E35" w:rsidRPr="00087289" w:rsidRDefault="00282E35" w:rsidP="00EA4AAE">
            <w:pPr>
              <w:jc w:val="center"/>
              <w:rPr>
                <w:sz w:val="18"/>
                <w:szCs w:val="18"/>
              </w:rPr>
            </w:pPr>
            <w:r w:rsidRPr="00087289">
              <w:rPr>
                <w:sz w:val="18"/>
                <w:szCs w:val="18"/>
              </w:rPr>
              <w:t>1</w:t>
            </w:r>
            <w:r w:rsidR="00EA4AAE">
              <w:rPr>
                <w:sz w:val="18"/>
                <w:szCs w:val="18"/>
              </w:rPr>
              <w:t>,</w:t>
            </w:r>
            <w:r w:rsidRPr="00087289">
              <w:rPr>
                <w:sz w:val="18"/>
                <w:szCs w:val="18"/>
              </w:rPr>
              <w:t>225</w:t>
            </w:r>
          </w:p>
        </w:tc>
        <w:tc>
          <w:tcPr>
            <w:tcW w:w="1238" w:type="dxa"/>
            <w:vAlign w:val="center"/>
          </w:tcPr>
          <w:p w:rsidR="00282E35" w:rsidRPr="00087289" w:rsidRDefault="00282E35" w:rsidP="00EA4AAE">
            <w:pPr>
              <w:jc w:val="center"/>
              <w:rPr>
                <w:sz w:val="18"/>
                <w:szCs w:val="18"/>
              </w:rPr>
            </w:pPr>
            <w:r w:rsidRPr="00087289">
              <w:rPr>
                <w:sz w:val="18"/>
                <w:szCs w:val="18"/>
              </w:rPr>
              <w:t>450</w:t>
            </w:r>
          </w:p>
        </w:tc>
        <w:tc>
          <w:tcPr>
            <w:tcW w:w="1227" w:type="dxa"/>
            <w:vAlign w:val="center"/>
          </w:tcPr>
          <w:p w:rsidR="00282E35" w:rsidRPr="00087289" w:rsidRDefault="00282E35" w:rsidP="00EA4AAE">
            <w:pPr>
              <w:jc w:val="center"/>
              <w:rPr>
                <w:sz w:val="18"/>
                <w:szCs w:val="18"/>
              </w:rPr>
            </w:pPr>
            <w:r w:rsidRPr="00087289">
              <w:rPr>
                <w:sz w:val="18"/>
                <w:szCs w:val="18"/>
              </w:rPr>
              <w:t>4</w:t>
            </w:r>
            <w:r w:rsidR="00EA4AAE">
              <w:rPr>
                <w:sz w:val="18"/>
                <w:szCs w:val="18"/>
              </w:rPr>
              <w:t>,</w:t>
            </w:r>
            <w:r w:rsidRPr="00087289">
              <w:rPr>
                <w:sz w:val="18"/>
                <w:szCs w:val="18"/>
              </w:rPr>
              <w:t>723</w:t>
            </w:r>
          </w:p>
        </w:tc>
        <w:tc>
          <w:tcPr>
            <w:tcW w:w="1186" w:type="dxa"/>
            <w:vAlign w:val="center"/>
          </w:tcPr>
          <w:p w:rsidR="00282E35" w:rsidRPr="00087289" w:rsidRDefault="00282E35" w:rsidP="00EA4AAE">
            <w:pPr>
              <w:jc w:val="center"/>
              <w:rPr>
                <w:sz w:val="18"/>
                <w:szCs w:val="18"/>
              </w:rPr>
            </w:pPr>
            <w:r w:rsidRPr="00087289">
              <w:rPr>
                <w:sz w:val="18"/>
                <w:szCs w:val="18"/>
              </w:rPr>
              <w:t>N/A</w:t>
            </w:r>
          </w:p>
        </w:tc>
      </w:tr>
      <w:tr w:rsidR="00EA4AAE" w:rsidTr="00EA4AAE">
        <w:trPr>
          <w:trHeight w:val="345"/>
          <w:jc w:val="center"/>
        </w:trPr>
        <w:tc>
          <w:tcPr>
            <w:tcW w:w="2348" w:type="dxa"/>
            <w:vAlign w:val="center"/>
          </w:tcPr>
          <w:p w:rsidR="00282E35" w:rsidRPr="00087289" w:rsidRDefault="00282E35" w:rsidP="00EA4AAE">
            <w:pPr>
              <w:rPr>
                <w:b/>
                <w:sz w:val="18"/>
                <w:szCs w:val="18"/>
              </w:rPr>
            </w:pPr>
            <w:r w:rsidRPr="00087289">
              <w:rPr>
                <w:b/>
                <w:sz w:val="18"/>
                <w:szCs w:val="18"/>
              </w:rPr>
              <w:t>No of children achieving a GLD</w:t>
            </w:r>
          </w:p>
        </w:tc>
        <w:tc>
          <w:tcPr>
            <w:tcW w:w="1147" w:type="dxa"/>
            <w:shd w:val="clear" w:color="auto" w:fill="auto"/>
            <w:vAlign w:val="center"/>
          </w:tcPr>
          <w:p w:rsidR="00282E35" w:rsidRPr="00087289" w:rsidRDefault="00282E35" w:rsidP="00EA4AAE">
            <w:pPr>
              <w:jc w:val="center"/>
              <w:rPr>
                <w:b/>
                <w:sz w:val="18"/>
                <w:szCs w:val="18"/>
              </w:rPr>
            </w:pPr>
            <w:r w:rsidRPr="00087289">
              <w:rPr>
                <w:sz w:val="18"/>
                <w:szCs w:val="18"/>
              </w:rPr>
              <w:t>1209</w:t>
            </w:r>
            <w:r w:rsidR="00EA4AAE">
              <w:rPr>
                <w:sz w:val="18"/>
                <w:szCs w:val="18"/>
              </w:rPr>
              <w:t xml:space="preserve"> </w:t>
            </w:r>
            <w:r w:rsidRPr="00087289">
              <w:rPr>
                <w:b/>
                <w:sz w:val="18"/>
                <w:szCs w:val="18"/>
              </w:rPr>
              <w:t>68.1%</w:t>
            </w:r>
          </w:p>
        </w:tc>
        <w:tc>
          <w:tcPr>
            <w:tcW w:w="1345" w:type="dxa"/>
            <w:shd w:val="clear" w:color="auto" w:fill="auto"/>
            <w:vAlign w:val="center"/>
          </w:tcPr>
          <w:p w:rsidR="00282E35" w:rsidRPr="00087289" w:rsidRDefault="00282E35" w:rsidP="00EA4AAE">
            <w:pPr>
              <w:jc w:val="center"/>
              <w:rPr>
                <w:b/>
                <w:sz w:val="18"/>
                <w:szCs w:val="18"/>
              </w:rPr>
            </w:pPr>
            <w:r w:rsidRPr="00087289">
              <w:rPr>
                <w:sz w:val="18"/>
                <w:szCs w:val="18"/>
              </w:rPr>
              <w:t>845</w:t>
            </w:r>
            <w:r w:rsidR="00EA4AAE">
              <w:rPr>
                <w:sz w:val="18"/>
                <w:szCs w:val="18"/>
              </w:rPr>
              <w:t xml:space="preserve"> </w:t>
            </w:r>
            <w:r w:rsidRPr="00087289">
              <w:rPr>
                <w:b/>
                <w:sz w:val="18"/>
                <w:szCs w:val="18"/>
              </w:rPr>
              <w:t>66.3%</w:t>
            </w:r>
          </w:p>
        </w:tc>
        <w:tc>
          <w:tcPr>
            <w:tcW w:w="1223" w:type="dxa"/>
            <w:shd w:val="clear" w:color="auto" w:fill="auto"/>
            <w:vAlign w:val="center"/>
          </w:tcPr>
          <w:p w:rsidR="00282E35" w:rsidRPr="00087289" w:rsidRDefault="00282E35" w:rsidP="00EA4AAE">
            <w:pPr>
              <w:jc w:val="center"/>
              <w:rPr>
                <w:b/>
                <w:sz w:val="18"/>
                <w:szCs w:val="18"/>
              </w:rPr>
            </w:pPr>
            <w:r w:rsidRPr="00087289">
              <w:rPr>
                <w:sz w:val="18"/>
                <w:szCs w:val="18"/>
              </w:rPr>
              <w:t>737</w:t>
            </w:r>
            <w:r w:rsidR="00EA4AAE">
              <w:rPr>
                <w:sz w:val="18"/>
                <w:szCs w:val="18"/>
              </w:rPr>
              <w:t xml:space="preserve"> </w:t>
            </w:r>
            <w:r w:rsidRPr="00087289">
              <w:rPr>
                <w:b/>
                <w:sz w:val="18"/>
                <w:szCs w:val="18"/>
              </w:rPr>
              <w:t>60.1%</w:t>
            </w:r>
          </w:p>
        </w:tc>
        <w:tc>
          <w:tcPr>
            <w:tcW w:w="1238" w:type="dxa"/>
            <w:vAlign w:val="center"/>
          </w:tcPr>
          <w:p w:rsidR="00282E35" w:rsidRPr="00087289" w:rsidRDefault="00282E35" w:rsidP="00EA4AAE">
            <w:pPr>
              <w:jc w:val="center"/>
              <w:rPr>
                <w:b/>
                <w:sz w:val="18"/>
                <w:szCs w:val="18"/>
              </w:rPr>
            </w:pPr>
            <w:r w:rsidRPr="00087289">
              <w:rPr>
                <w:sz w:val="18"/>
                <w:szCs w:val="18"/>
              </w:rPr>
              <w:t>297</w:t>
            </w:r>
            <w:r w:rsidR="00EA4AAE">
              <w:rPr>
                <w:sz w:val="18"/>
                <w:szCs w:val="18"/>
              </w:rPr>
              <w:t xml:space="preserve"> </w:t>
            </w:r>
            <w:r w:rsidRPr="00087289">
              <w:rPr>
                <w:b/>
                <w:sz w:val="18"/>
                <w:szCs w:val="18"/>
              </w:rPr>
              <w:t>66%</w:t>
            </w:r>
          </w:p>
        </w:tc>
        <w:tc>
          <w:tcPr>
            <w:tcW w:w="1227" w:type="dxa"/>
            <w:vAlign w:val="center"/>
          </w:tcPr>
          <w:p w:rsidR="00282E35" w:rsidRPr="00087289" w:rsidRDefault="00282E35" w:rsidP="00EA4AAE">
            <w:pPr>
              <w:jc w:val="center"/>
              <w:rPr>
                <w:sz w:val="18"/>
                <w:szCs w:val="18"/>
              </w:rPr>
            </w:pPr>
            <w:r w:rsidRPr="00087289">
              <w:rPr>
                <w:sz w:val="18"/>
                <w:szCs w:val="18"/>
              </w:rPr>
              <w:t>3088</w:t>
            </w:r>
            <w:r w:rsidR="00EA4AAE">
              <w:rPr>
                <w:sz w:val="18"/>
                <w:szCs w:val="18"/>
              </w:rPr>
              <w:t xml:space="preserve"> </w:t>
            </w:r>
            <w:r w:rsidRPr="00087289">
              <w:rPr>
                <w:sz w:val="18"/>
                <w:szCs w:val="18"/>
              </w:rPr>
              <w:t>65.4%</w:t>
            </w:r>
          </w:p>
        </w:tc>
        <w:tc>
          <w:tcPr>
            <w:tcW w:w="1186" w:type="dxa"/>
            <w:vAlign w:val="center"/>
          </w:tcPr>
          <w:p w:rsidR="00282E35" w:rsidRPr="00087289" w:rsidRDefault="00282E35" w:rsidP="00EA4AAE">
            <w:pPr>
              <w:jc w:val="center"/>
              <w:rPr>
                <w:b/>
                <w:sz w:val="18"/>
                <w:szCs w:val="18"/>
              </w:rPr>
            </w:pPr>
            <w:r w:rsidRPr="00087289">
              <w:rPr>
                <w:b/>
                <w:sz w:val="18"/>
                <w:szCs w:val="18"/>
              </w:rPr>
              <w:t>60%</w:t>
            </w:r>
          </w:p>
        </w:tc>
      </w:tr>
      <w:tr w:rsidR="00EA4AAE" w:rsidTr="00EA4AAE">
        <w:trPr>
          <w:trHeight w:val="690"/>
          <w:jc w:val="center"/>
        </w:trPr>
        <w:tc>
          <w:tcPr>
            <w:tcW w:w="2348" w:type="dxa"/>
            <w:vAlign w:val="center"/>
          </w:tcPr>
          <w:p w:rsidR="00282E35" w:rsidRPr="00087289" w:rsidRDefault="00282E35" w:rsidP="00EA4AAE">
            <w:pPr>
              <w:rPr>
                <w:b/>
                <w:sz w:val="18"/>
                <w:szCs w:val="18"/>
              </w:rPr>
            </w:pPr>
            <w:r w:rsidRPr="00087289">
              <w:rPr>
                <w:b/>
                <w:sz w:val="18"/>
                <w:szCs w:val="18"/>
              </w:rPr>
              <w:t>No of children whose first  language is English achieving a GLD</w:t>
            </w:r>
          </w:p>
        </w:tc>
        <w:tc>
          <w:tcPr>
            <w:tcW w:w="1147" w:type="dxa"/>
            <w:shd w:val="clear" w:color="auto" w:fill="auto"/>
            <w:vAlign w:val="center"/>
          </w:tcPr>
          <w:p w:rsidR="00282E35" w:rsidRPr="00087289" w:rsidRDefault="00282E35" w:rsidP="00EA4AAE">
            <w:pPr>
              <w:jc w:val="center"/>
              <w:rPr>
                <w:sz w:val="18"/>
                <w:szCs w:val="18"/>
              </w:rPr>
            </w:pPr>
            <w:r w:rsidRPr="00087289">
              <w:rPr>
                <w:sz w:val="18"/>
                <w:szCs w:val="18"/>
              </w:rPr>
              <w:t>707</w:t>
            </w:r>
            <w:r w:rsidR="00EA4AAE">
              <w:rPr>
                <w:sz w:val="18"/>
                <w:szCs w:val="18"/>
              </w:rPr>
              <w:t xml:space="preserve"> o</w:t>
            </w:r>
            <w:r w:rsidRPr="00087289">
              <w:rPr>
                <w:sz w:val="18"/>
                <w:szCs w:val="18"/>
              </w:rPr>
              <w:t>ut of 958</w:t>
            </w:r>
          </w:p>
          <w:p w:rsidR="00282E35" w:rsidRPr="00087289" w:rsidRDefault="00282E35" w:rsidP="00EA4AAE">
            <w:pPr>
              <w:jc w:val="center"/>
              <w:rPr>
                <w:b/>
                <w:sz w:val="18"/>
                <w:szCs w:val="18"/>
              </w:rPr>
            </w:pPr>
            <w:r w:rsidRPr="00087289">
              <w:rPr>
                <w:b/>
                <w:sz w:val="18"/>
                <w:szCs w:val="18"/>
              </w:rPr>
              <w:t>73.8%</w:t>
            </w:r>
          </w:p>
        </w:tc>
        <w:tc>
          <w:tcPr>
            <w:tcW w:w="1345" w:type="dxa"/>
            <w:shd w:val="clear" w:color="auto" w:fill="auto"/>
            <w:vAlign w:val="center"/>
          </w:tcPr>
          <w:p w:rsidR="00282E35" w:rsidRPr="00087289" w:rsidRDefault="00282E35" w:rsidP="00EA4AAE">
            <w:pPr>
              <w:jc w:val="center"/>
              <w:rPr>
                <w:sz w:val="18"/>
                <w:szCs w:val="18"/>
              </w:rPr>
            </w:pPr>
            <w:r w:rsidRPr="00087289">
              <w:rPr>
                <w:sz w:val="18"/>
                <w:szCs w:val="18"/>
              </w:rPr>
              <w:t>374</w:t>
            </w:r>
            <w:r w:rsidR="00EA4AAE">
              <w:rPr>
                <w:sz w:val="18"/>
                <w:szCs w:val="18"/>
              </w:rPr>
              <w:t xml:space="preserve"> </w:t>
            </w:r>
            <w:r w:rsidRPr="00087289">
              <w:rPr>
                <w:sz w:val="18"/>
                <w:szCs w:val="18"/>
              </w:rPr>
              <w:t>out of</w:t>
            </w:r>
            <w:r w:rsidR="00EA4AAE">
              <w:rPr>
                <w:sz w:val="18"/>
                <w:szCs w:val="18"/>
              </w:rPr>
              <w:t xml:space="preserve"> </w:t>
            </w:r>
            <w:r w:rsidRPr="00087289">
              <w:rPr>
                <w:sz w:val="18"/>
                <w:szCs w:val="18"/>
              </w:rPr>
              <w:t>510</w:t>
            </w:r>
          </w:p>
          <w:p w:rsidR="00282E35" w:rsidRPr="00087289" w:rsidRDefault="00282E35" w:rsidP="00EA4AAE">
            <w:pPr>
              <w:jc w:val="center"/>
              <w:rPr>
                <w:b/>
                <w:sz w:val="18"/>
                <w:szCs w:val="18"/>
              </w:rPr>
            </w:pPr>
            <w:r w:rsidRPr="00087289">
              <w:rPr>
                <w:b/>
                <w:sz w:val="18"/>
                <w:szCs w:val="18"/>
              </w:rPr>
              <w:t>73.3%</w:t>
            </w:r>
          </w:p>
        </w:tc>
        <w:tc>
          <w:tcPr>
            <w:tcW w:w="1223" w:type="dxa"/>
            <w:shd w:val="clear" w:color="auto" w:fill="auto"/>
            <w:vAlign w:val="center"/>
          </w:tcPr>
          <w:p w:rsidR="00282E35" w:rsidRPr="00087289" w:rsidRDefault="00282E35" w:rsidP="00EA4AAE">
            <w:pPr>
              <w:jc w:val="center"/>
              <w:rPr>
                <w:b/>
                <w:sz w:val="18"/>
                <w:szCs w:val="18"/>
              </w:rPr>
            </w:pPr>
            <w:r w:rsidRPr="00087289">
              <w:rPr>
                <w:sz w:val="18"/>
                <w:szCs w:val="18"/>
              </w:rPr>
              <w:t>335</w:t>
            </w:r>
            <w:r w:rsidR="00EA4AAE">
              <w:rPr>
                <w:sz w:val="18"/>
                <w:szCs w:val="18"/>
              </w:rPr>
              <w:t xml:space="preserve"> </w:t>
            </w:r>
            <w:r w:rsidRPr="00087289">
              <w:rPr>
                <w:sz w:val="18"/>
                <w:szCs w:val="18"/>
              </w:rPr>
              <w:t>out of 512</w:t>
            </w:r>
            <w:r w:rsidR="00EA4AAE">
              <w:rPr>
                <w:sz w:val="18"/>
                <w:szCs w:val="18"/>
              </w:rPr>
              <w:t xml:space="preserve"> </w:t>
            </w:r>
            <w:r w:rsidRPr="00087289">
              <w:rPr>
                <w:b/>
                <w:sz w:val="18"/>
                <w:szCs w:val="18"/>
              </w:rPr>
              <w:t>65.4%</w:t>
            </w:r>
          </w:p>
        </w:tc>
        <w:tc>
          <w:tcPr>
            <w:tcW w:w="1238" w:type="dxa"/>
            <w:vAlign w:val="center"/>
          </w:tcPr>
          <w:p w:rsidR="00282E35" w:rsidRPr="00087289" w:rsidRDefault="00282E35" w:rsidP="00EA4AAE">
            <w:pPr>
              <w:jc w:val="center"/>
              <w:rPr>
                <w:sz w:val="18"/>
                <w:szCs w:val="18"/>
              </w:rPr>
            </w:pPr>
            <w:r w:rsidRPr="00087289">
              <w:rPr>
                <w:sz w:val="18"/>
                <w:szCs w:val="18"/>
              </w:rPr>
              <w:t>135</w:t>
            </w:r>
            <w:r w:rsidR="00EA4AAE">
              <w:rPr>
                <w:sz w:val="18"/>
                <w:szCs w:val="18"/>
              </w:rPr>
              <w:t xml:space="preserve"> o</w:t>
            </w:r>
            <w:r w:rsidRPr="00087289">
              <w:rPr>
                <w:sz w:val="18"/>
                <w:szCs w:val="18"/>
              </w:rPr>
              <w:t>ut of</w:t>
            </w:r>
          </w:p>
          <w:p w:rsidR="00282E35" w:rsidRPr="00087289" w:rsidRDefault="00282E35" w:rsidP="00EA4AAE">
            <w:pPr>
              <w:jc w:val="center"/>
              <w:rPr>
                <w:b/>
                <w:sz w:val="18"/>
                <w:szCs w:val="18"/>
              </w:rPr>
            </w:pPr>
            <w:r w:rsidRPr="00087289">
              <w:rPr>
                <w:sz w:val="18"/>
                <w:szCs w:val="18"/>
              </w:rPr>
              <w:t>184</w:t>
            </w:r>
            <w:r w:rsidR="00EA4AAE">
              <w:rPr>
                <w:sz w:val="18"/>
                <w:szCs w:val="18"/>
              </w:rPr>
              <w:t xml:space="preserve"> </w:t>
            </w:r>
            <w:r w:rsidRPr="00087289">
              <w:rPr>
                <w:b/>
                <w:sz w:val="18"/>
                <w:szCs w:val="18"/>
              </w:rPr>
              <w:t>73.3%</w:t>
            </w:r>
          </w:p>
        </w:tc>
        <w:tc>
          <w:tcPr>
            <w:tcW w:w="1227" w:type="dxa"/>
            <w:vAlign w:val="center"/>
          </w:tcPr>
          <w:p w:rsidR="00282E35" w:rsidRPr="00087289" w:rsidRDefault="00282E35" w:rsidP="00EA4AAE">
            <w:pPr>
              <w:jc w:val="center"/>
              <w:rPr>
                <w:sz w:val="18"/>
                <w:szCs w:val="18"/>
              </w:rPr>
            </w:pPr>
            <w:r w:rsidRPr="00087289">
              <w:rPr>
                <w:sz w:val="18"/>
                <w:szCs w:val="18"/>
              </w:rPr>
              <w:t>1551</w:t>
            </w:r>
            <w:r w:rsidR="00EA4AAE">
              <w:rPr>
                <w:sz w:val="18"/>
                <w:szCs w:val="18"/>
              </w:rPr>
              <w:t xml:space="preserve"> </w:t>
            </w:r>
            <w:r w:rsidRPr="00087289">
              <w:rPr>
                <w:sz w:val="18"/>
                <w:szCs w:val="18"/>
              </w:rPr>
              <w:t>out of</w:t>
            </w:r>
            <w:r w:rsidR="00EA4AAE">
              <w:rPr>
                <w:sz w:val="18"/>
                <w:szCs w:val="18"/>
              </w:rPr>
              <w:t xml:space="preserve"> </w:t>
            </w:r>
            <w:r w:rsidRPr="00087289">
              <w:rPr>
                <w:sz w:val="18"/>
                <w:szCs w:val="18"/>
              </w:rPr>
              <w:t>2164</w:t>
            </w:r>
          </w:p>
          <w:p w:rsidR="00282E35" w:rsidRPr="00087289" w:rsidRDefault="00282E35" w:rsidP="00EA4AAE">
            <w:pPr>
              <w:jc w:val="center"/>
              <w:rPr>
                <w:b/>
                <w:sz w:val="18"/>
                <w:szCs w:val="18"/>
              </w:rPr>
            </w:pPr>
            <w:r w:rsidRPr="00087289">
              <w:rPr>
                <w:b/>
                <w:sz w:val="18"/>
                <w:szCs w:val="18"/>
              </w:rPr>
              <w:t>71.6%</w:t>
            </w:r>
          </w:p>
        </w:tc>
        <w:tc>
          <w:tcPr>
            <w:tcW w:w="1186" w:type="dxa"/>
            <w:vAlign w:val="center"/>
          </w:tcPr>
          <w:p w:rsidR="00282E35" w:rsidRPr="00087289" w:rsidRDefault="00282E35" w:rsidP="00EA4AAE">
            <w:pPr>
              <w:jc w:val="center"/>
              <w:rPr>
                <w:b/>
                <w:sz w:val="18"/>
                <w:szCs w:val="18"/>
              </w:rPr>
            </w:pPr>
          </w:p>
          <w:p w:rsidR="00282E35" w:rsidRPr="00087289" w:rsidRDefault="00282E35" w:rsidP="00EA4AAE">
            <w:pPr>
              <w:jc w:val="center"/>
              <w:rPr>
                <w:b/>
                <w:sz w:val="18"/>
                <w:szCs w:val="18"/>
              </w:rPr>
            </w:pPr>
            <w:r w:rsidRPr="00087289">
              <w:rPr>
                <w:b/>
                <w:sz w:val="18"/>
                <w:szCs w:val="18"/>
              </w:rPr>
              <w:t>63%</w:t>
            </w:r>
          </w:p>
        </w:tc>
      </w:tr>
      <w:tr w:rsidR="00EA4AAE" w:rsidTr="00EA4AAE">
        <w:trPr>
          <w:trHeight w:val="690"/>
          <w:jc w:val="center"/>
        </w:trPr>
        <w:tc>
          <w:tcPr>
            <w:tcW w:w="2348" w:type="dxa"/>
            <w:vAlign w:val="center"/>
          </w:tcPr>
          <w:p w:rsidR="00282E35" w:rsidRPr="00087289" w:rsidRDefault="00282E35" w:rsidP="00EA4AAE">
            <w:pPr>
              <w:rPr>
                <w:b/>
                <w:sz w:val="18"/>
                <w:szCs w:val="18"/>
              </w:rPr>
            </w:pPr>
            <w:r w:rsidRPr="00087289">
              <w:rPr>
                <w:b/>
                <w:sz w:val="18"/>
                <w:szCs w:val="18"/>
              </w:rPr>
              <w:t>No of children whose first  language is other than English achieving a GLD</w:t>
            </w:r>
          </w:p>
        </w:tc>
        <w:tc>
          <w:tcPr>
            <w:tcW w:w="1147" w:type="dxa"/>
            <w:shd w:val="clear" w:color="auto" w:fill="auto"/>
            <w:vAlign w:val="center"/>
          </w:tcPr>
          <w:p w:rsidR="00282E35" w:rsidRPr="00087289" w:rsidRDefault="00282E35" w:rsidP="00EA4AAE">
            <w:pPr>
              <w:jc w:val="center"/>
              <w:rPr>
                <w:sz w:val="18"/>
                <w:szCs w:val="18"/>
              </w:rPr>
            </w:pPr>
            <w:r w:rsidRPr="00087289">
              <w:rPr>
                <w:sz w:val="18"/>
                <w:szCs w:val="18"/>
              </w:rPr>
              <w:t>502</w:t>
            </w:r>
            <w:r w:rsidR="00EA4AAE">
              <w:rPr>
                <w:sz w:val="18"/>
                <w:szCs w:val="18"/>
              </w:rPr>
              <w:t xml:space="preserve"> </w:t>
            </w:r>
            <w:r w:rsidRPr="00087289">
              <w:rPr>
                <w:sz w:val="18"/>
                <w:szCs w:val="18"/>
              </w:rPr>
              <w:t>out of</w:t>
            </w:r>
          </w:p>
          <w:p w:rsidR="00282E35" w:rsidRPr="00087289" w:rsidRDefault="00282E35" w:rsidP="00EA4AAE">
            <w:pPr>
              <w:jc w:val="center"/>
              <w:rPr>
                <w:b/>
                <w:sz w:val="18"/>
                <w:szCs w:val="18"/>
              </w:rPr>
            </w:pPr>
            <w:r w:rsidRPr="00087289">
              <w:rPr>
                <w:sz w:val="18"/>
                <w:szCs w:val="18"/>
              </w:rPr>
              <w:t>817</w:t>
            </w:r>
            <w:r w:rsidR="00EA4AAE">
              <w:rPr>
                <w:sz w:val="18"/>
                <w:szCs w:val="18"/>
              </w:rPr>
              <w:t xml:space="preserve"> </w:t>
            </w:r>
            <w:r w:rsidRPr="00087289">
              <w:rPr>
                <w:b/>
                <w:sz w:val="18"/>
                <w:szCs w:val="18"/>
              </w:rPr>
              <w:t>61.4%</w:t>
            </w:r>
          </w:p>
        </w:tc>
        <w:tc>
          <w:tcPr>
            <w:tcW w:w="1345" w:type="dxa"/>
            <w:shd w:val="clear" w:color="auto" w:fill="auto"/>
            <w:vAlign w:val="center"/>
          </w:tcPr>
          <w:p w:rsidR="00282E35" w:rsidRPr="00087289" w:rsidRDefault="00282E35" w:rsidP="00EA4AAE">
            <w:pPr>
              <w:jc w:val="center"/>
              <w:rPr>
                <w:sz w:val="18"/>
                <w:szCs w:val="18"/>
              </w:rPr>
            </w:pPr>
            <w:r w:rsidRPr="00087289">
              <w:rPr>
                <w:sz w:val="18"/>
                <w:szCs w:val="18"/>
              </w:rPr>
              <w:t>471</w:t>
            </w:r>
            <w:r w:rsidR="00EA4AAE">
              <w:rPr>
                <w:sz w:val="18"/>
                <w:szCs w:val="18"/>
              </w:rPr>
              <w:t xml:space="preserve"> </w:t>
            </w:r>
            <w:r w:rsidRPr="00087289">
              <w:rPr>
                <w:sz w:val="18"/>
                <w:szCs w:val="18"/>
              </w:rPr>
              <w:t>out of</w:t>
            </w:r>
            <w:r w:rsidR="00EA4AAE">
              <w:rPr>
                <w:sz w:val="18"/>
                <w:szCs w:val="18"/>
              </w:rPr>
              <w:t xml:space="preserve"> </w:t>
            </w:r>
            <w:r w:rsidRPr="00087289">
              <w:rPr>
                <w:sz w:val="18"/>
                <w:szCs w:val="18"/>
              </w:rPr>
              <w:t>763</w:t>
            </w:r>
          </w:p>
          <w:p w:rsidR="00282E35" w:rsidRPr="00087289" w:rsidRDefault="00282E35" w:rsidP="00EA4AAE">
            <w:pPr>
              <w:jc w:val="center"/>
              <w:rPr>
                <w:b/>
                <w:sz w:val="18"/>
                <w:szCs w:val="18"/>
              </w:rPr>
            </w:pPr>
            <w:r w:rsidRPr="00087289">
              <w:rPr>
                <w:b/>
                <w:sz w:val="18"/>
                <w:szCs w:val="18"/>
              </w:rPr>
              <w:t>61.7%</w:t>
            </w:r>
          </w:p>
        </w:tc>
        <w:tc>
          <w:tcPr>
            <w:tcW w:w="1223" w:type="dxa"/>
            <w:shd w:val="clear" w:color="auto" w:fill="auto"/>
            <w:vAlign w:val="center"/>
          </w:tcPr>
          <w:p w:rsidR="00282E35" w:rsidRPr="00087289" w:rsidRDefault="00282E35" w:rsidP="00EA4AAE">
            <w:pPr>
              <w:jc w:val="center"/>
              <w:rPr>
                <w:b/>
                <w:sz w:val="18"/>
                <w:szCs w:val="18"/>
              </w:rPr>
            </w:pPr>
            <w:r w:rsidRPr="00087289">
              <w:rPr>
                <w:sz w:val="18"/>
                <w:szCs w:val="18"/>
              </w:rPr>
              <w:t>402</w:t>
            </w:r>
            <w:r w:rsidR="00EA4AAE">
              <w:rPr>
                <w:sz w:val="18"/>
                <w:szCs w:val="18"/>
              </w:rPr>
              <w:t xml:space="preserve"> </w:t>
            </w:r>
            <w:r w:rsidRPr="00087289">
              <w:rPr>
                <w:sz w:val="18"/>
                <w:szCs w:val="18"/>
              </w:rPr>
              <w:t>out of 713</w:t>
            </w:r>
            <w:r w:rsidR="00EA4AAE">
              <w:rPr>
                <w:sz w:val="18"/>
                <w:szCs w:val="18"/>
              </w:rPr>
              <w:t xml:space="preserve"> </w:t>
            </w:r>
            <w:r w:rsidRPr="00087289">
              <w:rPr>
                <w:b/>
                <w:sz w:val="18"/>
                <w:szCs w:val="18"/>
              </w:rPr>
              <w:t>56%</w:t>
            </w:r>
          </w:p>
        </w:tc>
        <w:tc>
          <w:tcPr>
            <w:tcW w:w="1238" w:type="dxa"/>
            <w:vAlign w:val="center"/>
          </w:tcPr>
          <w:p w:rsidR="00282E35" w:rsidRPr="00087289" w:rsidRDefault="00282E35" w:rsidP="00EA4AAE">
            <w:pPr>
              <w:jc w:val="center"/>
              <w:rPr>
                <w:sz w:val="18"/>
                <w:szCs w:val="18"/>
              </w:rPr>
            </w:pPr>
            <w:r w:rsidRPr="00087289">
              <w:rPr>
                <w:sz w:val="18"/>
                <w:szCs w:val="18"/>
              </w:rPr>
              <w:t>162</w:t>
            </w:r>
            <w:r w:rsidR="00EA4AAE">
              <w:rPr>
                <w:sz w:val="18"/>
                <w:szCs w:val="18"/>
              </w:rPr>
              <w:t xml:space="preserve"> </w:t>
            </w:r>
            <w:r w:rsidRPr="00087289">
              <w:rPr>
                <w:sz w:val="18"/>
                <w:szCs w:val="18"/>
              </w:rPr>
              <w:t>out of</w:t>
            </w:r>
          </w:p>
          <w:p w:rsidR="00282E35" w:rsidRPr="00087289" w:rsidRDefault="00282E35" w:rsidP="00EA4AAE">
            <w:pPr>
              <w:jc w:val="center"/>
              <w:rPr>
                <w:sz w:val="18"/>
                <w:szCs w:val="18"/>
              </w:rPr>
            </w:pPr>
            <w:r w:rsidRPr="00087289">
              <w:rPr>
                <w:sz w:val="18"/>
                <w:szCs w:val="18"/>
              </w:rPr>
              <w:t>257</w:t>
            </w:r>
            <w:r w:rsidR="00EA4AAE">
              <w:rPr>
                <w:sz w:val="18"/>
                <w:szCs w:val="18"/>
              </w:rPr>
              <w:t xml:space="preserve"> </w:t>
            </w:r>
            <w:r w:rsidRPr="00087289">
              <w:rPr>
                <w:sz w:val="18"/>
                <w:szCs w:val="18"/>
              </w:rPr>
              <w:t>63%</w:t>
            </w:r>
          </w:p>
        </w:tc>
        <w:tc>
          <w:tcPr>
            <w:tcW w:w="1227" w:type="dxa"/>
            <w:vAlign w:val="center"/>
          </w:tcPr>
          <w:p w:rsidR="00282E35" w:rsidRPr="00087289" w:rsidRDefault="00282E35" w:rsidP="00EA4AAE">
            <w:pPr>
              <w:jc w:val="center"/>
              <w:rPr>
                <w:sz w:val="18"/>
                <w:szCs w:val="18"/>
              </w:rPr>
            </w:pPr>
            <w:r w:rsidRPr="00087289">
              <w:rPr>
                <w:sz w:val="18"/>
                <w:szCs w:val="18"/>
              </w:rPr>
              <w:t>1537</w:t>
            </w:r>
            <w:r w:rsidR="00EA4AAE">
              <w:rPr>
                <w:sz w:val="18"/>
                <w:szCs w:val="18"/>
              </w:rPr>
              <w:t xml:space="preserve"> o</w:t>
            </w:r>
            <w:r w:rsidRPr="00087289">
              <w:rPr>
                <w:sz w:val="18"/>
                <w:szCs w:val="18"/>
              </w:rPr>
              <w:t>ut of 2550</w:t>
            </w:r>
            <w:r w:rsidR="00EA4AAE">
              <w:rPr>
                <w:sz w:val="18"/>
                <w:szCs w:val="18"/>
              </w:rPr>
              <w:t xml:space="preserve"> </w:t>
            </w:r>
            <w:r w:rsidRPr="00087289">
              <w:rPr>
                <w:sz w:val="18"/>
                <w:szCs w:val="18"/>
              </w:rPr>
              <w:t>60.2%</w:t>
            </w:r>
          </w:p>
        </w:tc>
        <w:tc>
          <w:tcPr>
            <w:tcW w:w="1186" w:type="dxa"/>
            <w:vAlign w:val="center"/>
          </w:tcPr>
          <w:p w:rsidR="00282E35" w:rsidRPr="00087289" w:rsidRDefault="00282E35" w:rsidP="00EA4AAE">
            <w:pPr>
              <w:jc w:val="center"/>
              <w:rPr>
                <w:b/>
                <w:sz w:val="18"/>
                <w:szCs w:val="18"/>
              </w:rPr>
            </w:pPr>
          </w:p>
          <w:p w:rsidR="00282E35" w:rsidRPr="00087289" w:rsidRDefault="00282E35" w:rsidP="00EA4AAE">
            <w:pPr>
              <w:jc w:val="center"/>
              <w:rPr>
                <w:b/>
                <w:sz w:val="18"/>
                <w:szCs w:val="18"/>
              </w:rPr>
            </w:pPr>
            <w:r w:rsidRPr="00087289">
              <w:rPr>
                <w:b/>
                <w:sz w:val="18"/>
                <w:szCs w:val="18"/>
              </w:rPr>
              <w:t>53%</w:t>
            </w:r>
          </w:p>
        </w:tc>
      </w:tr>
      <w:tr w:rsidR="00EA4AAE" w:rsidTr="00EA4AAE">
        <w:trPr>
          <w:trHeight w:val="690"/>
          <w:jc w:val="center"/>
        </w:trPr>
        <w:tc>
          <w:tcPr>
            <w:tcW w:w="2348" w:type="dxa"/>
            <w:vAlign w:val="center"/>
          </w:tcPr>
          <w:p w:rsidR="00282E35" w:rsidRPr="00087289" w:rsidRDefault="00282E35" w:rsidP="00EA4AAE">
            <w:pPr>
              <w:rPr>
                <w:b/>
                <w:sz w:val="18"/>
                <w:szCs w:val="18"/>
              </w:rPr>
            </w:pPr>
            <w:r w:rsidRPr="00087289">
              <w:rPr>
                <w:b/>
                <w:sz w:val="18"/>
                <w:szCs w:val="18"/>
              </w:rPr>
              <w:t>No of children with SEN achieving a GLD</w:t>
            </w:r>
          </w:p>
        </w:tc>
        <w:tc>
          <w:tcPr>
            <w:tcW w:w="1147" w:type="dxa"/>
            <w:shd w:val="clear" w:color="auto" w:fill="auto"/>
            <w:vAlign w:val="center"/>
          </w:tcPr>
          <w:p w:rsidR="00282E35" w:rsidRPr="00087289" w:rsidRDefault="00282E35" w:rsidP="00EA4AAE">
            <w:pPr>
              <w:jc w:val="center"/>
              <w:rPr>
                <w:sz w:val="18"/>
                <w:szCs w:val="18"/>
              </w:rPr>
            </w:pPr>
            <w:r w:rsidRPr="00087289">
              <w:rPr>
                <w:sz w:val="18"/>
                <w:szCs w:val="18"/>
              </w:rPr>
              <w:t>30</w:t>
            </w:r>
            <w:r w:rsidR="00EA4AAE">
              <w:rPr>
                <w:sz w:val="18"/>
                <w:szCs w:val="18"/>
              </w:rPr>
              <w:t xml:space="preserve"> </w:t>
            </w:r>
            <w:r w:rsidRPr="00087289">
              <w:rPr>
                <w:sz w:val="18"/>
                <w:szCs w:val="18"/>
              </w:rPr>
              <w:t>out of</w:t>
            </w:r>
          </w:p>
          <w:p w:rsidR="00282E35" w:rsidRPr="00087289" w:rsidRDefault="00282E35" w:rsidP="00EA4AAE">
            <w:pPr>
              <w:jc w:val="center"/>
              <w:rPr>
                <w:b/>
                <w:sz w:val="18"/>
                <w:szCs w:val="18"/>
              </w:rPr>
            </w:pPr>
            <w:r w:rsidRPr="00087289">
              <w:rPr>
                <w:sz w:val="18"/>
                <w:szCs w:val="18"/>
              </w:rPr>
              <w:t>145</w:t>
            </w:r>
            <w:r w:rsidR="00EA4AAE">
              <w:rPr>
                <w:sz w:val="18"/>
                <w:szCs w:val="18"/>
              </w:rPr>
              <w:t xml:space="preserve"> </w:t>
            </w:r>
            <w:r w:rsidRPr="00087289">
              <w:rPr>
                <w:b/>
                <w:sz w:val="18"/>
                <w:szCs w:val="18"/>
              </w:rPr>
              <w:t>20.7%</w:t>
            </w:r>
          </w:p>
        </w:tc>
        <w:tc>
          <w:tcPr>
            <w:tcW w:w="1345" w:type="dxa"/>
            <w:shd w:val="clear" w:color="auto" w:fill="auto"/>
            <w:vAlign w:val="center"/>
          </w:tcPr>
          <w:p w:rsidR="00282E35" w:rsidRPr="00087289" w:rsidRDefault="00282E35" w:rsidP="00EA4AAE">
            <w:pPr>
              <w:jc w:val="center"/>
              <w:rPr>
                <w:sz w:val="18"/>
                <w:szCs w:val="18"/>
              </w:rPr>
            </w:pPr>
            <w:r w:rsidRPr="00087289">
              <w:rPr>
                <w:sz w:val="18"/>
                <w:szCs w:val="18"/>
              </w:rPr>
              <w:t>31</w:t>
            </w:r>
            <w:r w:rsidR="00EA4AAE">
              <w:rPr>
                <w:sz w:val="18"/>
                <w:szCs w:val="18"/>
              </w:rPr>
              <w:t xml:space="preserve"> o</w:t>
            </w:r>
            <w:r w:rsidRPr="00087289">
              <w:rPr>
                <w:sz w:val="18"/>
                <w:szCs w:val="18"/>
              </w:rPr>
              <w:t>ut of</w:t>
            </w:r>
            <w:r w:rsidR="00EA4AAE">
              <w:rPr>
                <w:sz w:val="18"/>
                <w:szCs w:val="18"/>
              </w:rPr>
              <w:t xml:space="preserve"> </w:t>
            </w:r>
            <w:r w:rsidRPr="00087289">
              <w:rPr>
                <w:sz w:val="18"/>
                <w:szCs w:val="18"/>
              </w:rPr>
              <w:t>97</w:t>
            </w:r>
          </w:p>
          <w:p w:rsidR="00282E35" w:rsidRPr="00087289" w:rsidRDefault="00282E35" w:rsidP="00EA4AAE">
            <w:pPr>
              <w:jc w:val="center"/>
              <w:rPr>
                <w:b/>
                <w:sz w:val="18"/>
                <w:szCs w:val="18"/>
              </w:rPr>
            </w:pPr>
            <w:r w:rsidRPr="00087289">
              <w:rPr>
                <w:b/>
                <w:sz w:val="18"/>
                <w:szCs w:val="18"/>
              </w:rPr>
              <w:t>32%</w:t>
            </w:r>
          </w:p>
        </w:tc>
        <w:tc>
          <w:tcPr>
            <w:tcW w:w="1223" w:type="dxa"/>
            <w:shd w:val="clear" w:color="auto" w:fill="auto"/>
            <w:vAlign w:val="center"/>
          </w:tcPr>
          <w:p w:rsidR="00282E35" w:rsidRPr="00087289" w:rsidRDefault="00282E35" w:rsidP="00EA4AAE">
            <w:pPr>
              <w:jc w:val="center"/>
              <w:rPr>
                <w:sz w:val="18"/>
                <w:szCs w:val="18"/>
              </w:rPr>
            </w:pPr>
            <w:r w:rsidRPr="00087289">
              <w:rPr>
                <w:sz w:val="18"/>
                <w:szCs w:val="18"/>
              </w:rPr>
              <w:t>24</w:t>
            </w:r>
            <w:r w:rsidR="00EA4AAE">
              <w:rPr>
                <w:sz w:val="18"/>
                <w:szCs w:val="18"/>
              </w:rPr>
              <w:t xml:space="preserve"> o</w:t>
            </w:r>
            <w:r w:rsidRPr="00087289">
              <w:rPr>
                <w:sz w:val="18"/>
                <w:szCs w:val="18"/>
              </w:rPr>
              <w:t>ut of 152</w:t>
            </w:r>
          </w:p>
          <w:p w:rsidR="00282E35" w:rsidRPr="00087289" w:rsidRDefault="00282E35" w:rsidP="00EA4AAE">
            <w:pPr>
              <w:jc w:val="center"/>
              <w:rPr>
                <w:b/>
                <w:sz w:val="18"/>
                <w:szCs w:val="18"/>
              </w:rPr>
            </w:pPr>
            <w:r w:rsidRPr="00087289">
              <w:rPr>
                <w:b/>
                <w:sz w:val="18"/>
                <w:szCs w:val="18"/>
              </w:rPr>
              <w:t>15.8%</w:t>
            </w:r>
          </w:p>
        </w:tc>
        <w:tc>
          <w:tcPr>
            <w:tcW w:w="1238" w:type="dxa"/>
            <w:vAlign w:val="center"/>
          </w:tcPr>
          <w:p w:rsidR="00282E35" w:rsidRPr="00087289" w:rsidRDefault="00282E35" w:rsidP="00EA4AAE">
            <w:pPr>
              <w:jc w:val="center"/>
              <w:rPr>
                <w:sz w:val="18"/>
                <w:szCs w:val="18"/>
              </w:rPr>
            </w:pPr>
            <w:r w:rsidRPr="00087289">
              <w:rPr>
                <w:sz w:val="18"/>
                <w:szCs w:val="18"/>
              </w:rPr>
              <w:t>7</w:t>
            </w:r>
            <w:r w:rsidR="00EA4AAE">
              <w:rPr>
                <w:sz w:val="18"/>
                <w:szCs w:val="18"/>
              </w:rPr>
              <w:t xml:space="preserve"> o</w:t>
            </w:r>
            <w:r w:rsidRPr="00087289">
              <w:rPr>
                <w:sz w:val="18"/>
                <w:szCs w:val="18"/>
              </w:rPr>
              <w:t>ut of</w:t>
            </w:r>
          </w:p>
          <w:p w:rsidR="00282E35" w:rsidRPr="00087289" w:rsidRDefault="00282E35" w:rsidP="00EA4AAE">
            <w:pPr>
              <w:jc w:val="center"/>
              <w:rPr>
                <w:b/>
                <w:sz w:val="18"/>
                <w:szCs w:val="18"/>
              </w:rPr>
            </w:pPr>
            <w:r w:rsidRPr="00087289">
              <w:rPr>
                <w:sz w:val="18"/>
                <w:szCs w:val="18"/>
              </w:rPr>
              <w:t>40</w:t>
            </w:r>
            <w:r w:rsidR="00EA4AAE">
              <w:rPr>
                <w:sz w:val="18"/>
                <w:szCs w:val="18"/>
              </w:rPr>
              <w:t xml:space="preserve"> </w:t>
            </w:r>
            <w:r w:rsidRPr="00087289">
              <w:rPr>
                <w:b/>
                <w:sz w:val="18"/>
                <w:szCs w:val="18"/>
              </w:rPr>
              <w:t>17.5%</w:t>
            </w:r>
          </w:p>
        </w:tc>
        <w:tc>
          <w:tcPr>
            <w:tcW w:w="1227" w:type="dxa"/>
            <w:vAlign w:val="center"/>
          </w:tcPr>
          <w:p w:rsidR="00282E35" w:rsidRPr="00087289" w:rsidRDefault="00EA4AAE" w:rsidP="00EA4AAE">
            <w:pPr>
              <w:jc w:val="center"/>
              <w:rPr>
                <w:sz w:val="18"/>
                <w:szCs w:val="18"/>
              </w:rPr>
            </w:pPr>
            <w:r>
              <w:rPr>
                <w:sz w:val="18"/>
                <w:szCs w:val="18"/>
              </w:rPr>
              <w:t>92 o</w:t>
            </w:r>
            <w:r w:rsidR="00282E35" w:rsidRPr="00087289">
              <w:rPr>
                <w:sz w:val="18"/>
                <w:szCs w:val="18"/>
              </w:rPr>
              <w:t>ut of</w:t>
            </w:r>
          </w:p>
          <w:p w:rsidR="00282E35" w:rsidRPr="00087289" w:rsidRDefault="00282E35" w:rsidP="00EA4AAE">
            <w:pPr>
              <w:jc w:val="center"/>
              <w:rPr>
                <w:b/>
                <w:sz w:val="18"/>
                <w:szCs w:val="18"/>
              </w:rPr>
            </w:pPr>
            <w:r w:rsidRPr="00087289">
              <w:rPr>
                <w:sz w:val="18"/>
                <w:szCs w:val="18"/>
              </w:rPr>
              <w:t>434</w:t>
            </w:r>
            <w:r w:rsidR="00EA4AAE">
              <w:rPr>
                <w:sz w:val="18"/>
                <w:szCs w:val="18"/>
              </w:rPr>
              <w:t xml:space="preserve"> </w:t>
            </w:r>
            <w:r w:rsidRPr="00087289">
              <w:rPr>
                <w:b/>
                <w:sz w:val="18"/>
                <w:szCs w:val="18"/>
              </w:rPr>
              <w:t>21.2%</w:t>
            </w:r>
          </w:p>
        </w:tc>
        <w:tc>
          <w:tcPr>
            <w:tcW w:w="1186" w:type="dxa"/>
            <w:vAlign w:val="center"/>
          </w:tcPr>
          <w:p w:rsidR="00282E35" w:rsidRPr="00087289" w:rsidRDefault="00282E35" w:rsidP="00EA4AAE">
            <w:pPr>
              <w:jc w:val="center"/>
              <w:rPr>
                <w:b/>
                <w:sz w:val="18"/>
                <w:szCs w:val="18"/>
              </w:rPr>
            </w:pPr>
          </w:p>
          <w:p w:rsidR="00282E35" w:rsidRPr="00087289" w:rsidRDefault="00282E35" w:rsidP="00EA4AAE">
            <w:pPr>
              <w:jc w:val="center"/>
              <w:rPr>
                <w:b/>
                <w:sz w:val="18"/>
                <w:szCs w:val="18"/>
              </w:rPr>
            </w:pPr>
            <w:r w:rsidRPr="00087289">
              <w:rPr>
                <w:b/>
                <w:sz w:val="18"/>
                <w:szCs w:val="18"/>
              </w:rPr>
              <w:t>19%</w:t>
            </w:r>
          </w:p>
        </w:tc>
      </w:tr>
      <w:tr w:rsidR="00EA4AAE" w:rsidTr="00EA4AAE">
        <w:trPr>
          <w:trHeight w:val="690"/>
          <w:jc w:val="center"/>
        </w:trPr>
        <w:tc>
          <w:tcPr>
            <w:tcW w:w="2348" w:type="dxa"/>
            <w:vAlign w:val="center"/>
          </w:tcPr>
          <w:p w:rsidR="00282E35" w:rsidRPr="00087289" w:rsidRDefault="00282E35" w:rsidP="00EA4AAE">
            <w:pPr>
              <w:rPr>
                <w:b/>
                <w:sz w:val="18"/>
                <w:szCs w:val="18"/>
              </w:rPr>
            </w:pPr>
            <w:r w:rsidRPr="00087289">
              <w:rPr>
                <w:b/>
                <w:sz w:val="18"/>
                <w:szCs w:val="18"/>
              </w:rPr>
              <w:t>FSM</w:t>
            </w:r>
          </w:p>
        </w:tc>
        <w:tc>
          <w:tcPr>
            <w:tcW w:w="1147" w:type="dxa"/>
            <w:shd w:val="clear" w:color="auto" w:fill="auto"/>
            <w:vAlign w:val="center"/>
          </w:tcPr>
          <w:p w:rsidR="00282E35" w:rsidRPr="00087289" w:rsidRDefault="00282E35" w:rsidP="00EA4AAE">
            <w:pPr>
              <w:jc w:val="center"/>
              <w:rPr>
                <w:sz w:val="18"/>
                <w:szCs w:val="18"/>
              </w:rPr>
            </w:pPr>
            <w:r w:rsidRPr="00087289">
              <w:rPr>
                <w:sz w:val="18"/>
                <w:szCs w:val="18"/>
              </w:rPr>
              <w:t>144</w:t>
            </w:r>
            <w:r w:rsidR="00EA4AAE">
              <w:rPr>
                <w:sz w:val="18"/>
                <w:szCs w:val="18"/>
              </w:rPr>
              <w:t xml:space="preserve"> o</w:t>
            </w:r>
            <w:r w:rsidRPr="00087289">
              <w:rPr>
                <w:sz w:val="18"/>
                <w:szCs w:val="18"/>
              </w:rPr>
              <w:t>ut of</w:t>
            </w:r>
          </w:p>
          <w:p w:rsidR="00282E35" w:rsidRPr="00087289" w:rsidRDefault="00282E35" w:rsidP="00EA4AAE">
            <w:pPr>
              <w:jc w:val="center"/>
              <w:rPr>
                <w:b/>
                <w:sz w:val="18"/>
                <w:szCs w:val="18"/>
              </w:rPr>
            </w:pPr>
            <w:r w:rsidRPr="00087289">
              <w:rPr>
                <w:sz w:val="18"/>
                <w:szCs w:val="18"/>
              </w:rPr>
              <w:t>273</w:t>
            </w:r>
            <w:r w:rsidR="00EA4AAE">
              <w:rPr>
                <w:sz w:val="18"/>
                <w:szCs w:val="18"/>
              </w:rPr>
              <w:t xml:space="preserve"> </w:t>
            </w:r>
            <w:r w:rsidRPr="00087289">
              <w:rPr>
                <w:b/>
                <w:sz w:val="18"/>
                <w:szCs w:val="18"/>
              </w:rPr>
              <w:t>52.7%</w:t>
            </w:r>
          </w:p>
        </w:tc>
        <w:tc>
          <w:tcPr>
            <w:tcW w:w="1345" w:type="dxa"/>
            <w:shd w:val="clear" w:color="auto" w:fill="auto"/>
            <w:vAlign w:val="center"/>
          </w:tcPr>
          <w:p w:rsidR="00282E35" w:rsidRPr="00087289" w:rsidRDefault="00282E35" w:rsidP="00EA4AAE">
            <w:pPr>
              <w:jc w:val="center"/>
              <w:rPr>
                <w:sz w:val="18"/>
                <w:szCs w:val="18"/>
              </w:rPr>
            </w:pPr>
            <w:r w:rsidRPr="00087289">
              <w:rPr>
                <w:sz w:val="18"/>
                <w:szCs w:val="18"/>
              </w:rPr>
              <w:t>84</w:t>
            </w:r>
            <w:r w:rsidR="00EA4AAE">
              <w:rPr>
                <w:sz w:val="18"/>
                <w:szCs w:val="18"/>
              </w:rPr>
              <w:t xml:space="preserve"> o</w:t>
            </w:r>
            <w:r w:rsidRPr="00087289">
              <w:rPr>
                <w:sz w:val="18"/>
                <w:szCs w:val="18"/>
              </w:rPr>
              <w:t>ut of 156</w:t>
            </w:r>
          </w:p>
          <w:p w:rsidR="00282E35" w:rsidRPr="00087289" w:rsidRDefault="00282E35" w:rsidP="00EA4AAE">
            <w:pPr>
              <w:jc w:val="center"/>
              <w:rPr>
                <w:b/>
                <w:sz w:val="18"/>
                <w:szCs w:val="18"/>
              </w:rPr>
            </w:pPr>
            <w:r w:rsidRPr="00087289">
              <w:rPr>
                <w:b/>
                <w:sz w:val="18"/>
                <w:szCs w:val="18"/>
              </w:rPr>
              <w:t>54%</w:t>
            </w:r>
          </w:p>
        </w:tc>
        <w:tc>
          <w:tcPr>
            <w:tcW w:w="1223" w:type="dxa"/>
            <w:shd w:val="clear" w:color="auto" w:fill="auto"/>
            <w:vAlign w:val="center"/>
          </w:tcPr>
          <w:p w:rsidR="00282E35" w:rsidRPr="00087289" w:rsidRDefault="00282E35" w:rsidP="00EA4AAE">
            <w:pPr>
              <w:jc w:val="center"/>
              <w:rPr>
                <w:b/>
                <w:sz w:val="18"/>
                <w:szCs w:val="18"/>
              </w:rPr>
            </w:pPr>
            <w:r w:rsidRPr="00087289">
              <w:rPr>
                <w:sz w:val="18"/>
                <w:szCs w:val="18"/>
              </w:rPr>
              <w:t>113</w:t>
            </w:r>
            <w:r w:rsidR="00EA4AAE">
              <w:rPr>
                <w:sz w:val="18"/>
                <w:szCs w:val="18"/>
              </w:rPr>
              <w:t xml:space="preserve"> o</w:t>
            </w:r>
            <w:r w:rsidRPr="00087289">
              <w:rPr>
                <w:sz w:val="18"/>
                <w:szCs w:val="18"/>
              </w:rPr>
              <w:t>ut of 235</w:t>
            </w:r>
            <w:r w:rsidR="00EA4AAE">
              <w:rPr>
                <w:sz w:val="18"/>
                <w:szCs w:val="18"/>
              </w:rPr>
              <w:t xml:space="preserve"> </w:t>
            </w:r>
            <w:r w:rsidRPr="00087289">
              <w:rPr>
                <w:b/>
                <w:sz w:val="18"/>
                <w:szCs w:val="18"/>
              </w:rPr>
              <w:t>48%</w:t>
            </w:r>
          </w:p>
        </w:tc>
        <w:tc>
          <w:tcPr>
            <w:tcW w:w="1238" w:type="dxa"/>
            <w:vAlign w:val="center"/>
          </w:tcPr>
          <w:p w:rsidR="00282E35" w:rsidRPr="00087289" w:rsidRDefault="00282E35" w:rsidP="00EA4AAE">
            <w:pPr>
              <w:jc w:val="center"/>
              <w:rPr>
                <w:sz w:val="18"/>
                <w:szCs w:val="18"/>
              </w:rPr>
            </w:pPr>
            <w:r w:rsidRPr="00087289">
              <w:rPr>
                <w:sz w:val="18"/>
                <w:szCs w:val="18"/>
              </w:rPr>
              <w:t>38</w:t>
            </w:r>
            <w:r w:rsidR="00EA4AAE">
              <w:rPr>
                <w:sz w:val="18"/>
                <w:szCs w:val="18"/>
              </w:rPr>
              <w:t xml:space="preserve"> o</w:t>
            </w:r>
            <w:r w:rsidRPr="00087289">
              <w:rPr>
                <w:sz w:val="18"/>
                <w:szCs w:val="18"/>
              </w:rPr>
              <w:t>ut of</w:t>
            </w:r>
          </w:p>
          <w:p w:rsidR="00282E35" w:rsidRPr="00087289" w:rsidRDefault="00282E35" w:rsidP="00EA4AAE">
            <w:pPr>
              <w:jc w:val="center"/>
              <w:rPr>
                <w:b/>
                <w:sz w:val="18"/>
                <w:szCs w:val="18"/>
              </w:rPr>
            </w:pPr>
            <w:r w:rsidRPr="00087289">
              <w:rPr>
                <w:sz w:val="18"/>
                <w:szCs w:val="18"/>
              </w:rPr>
              <w:t>64</w:t>
            </w:r>
            <w:r w:rsidR="00EA4AAE">
              <w:rPr>
                <w:sz w:val="18"/>
                <w:szCs w:val="18"/>
              </w:rPr>
              <w:t xml:space="preserve"> </w:t>
            </w:r>
            <w:r w:rsidRPr="00087289">
              <w:rPr>
                <w:b/>
                <w:sz w:val="18"/>
                <w:szCs w:val="18"/>
              </w:rPr>
              <w:t>59.4%</w:t>
            </w:r>
          </w:p>
        </w:tc>
        <w:tc>
          <w:tcPr>
            <w:tcW w:w="1227" w:type="dxa"/>
            <w:vAlign w:val="center"/>
          </w:tcPr>
          <w:p w:rsidR="00282E35" w:rsidRPr="00087289" w:rsidRDefault="00282E35" w:rsidP="00EA4AAE">
            <w:pPr>
              <w:jc w:val="center"/>
              <w:rPr>
                <w:b/>
                <w:sz w:val="18"/>
                <w:szCs w:val="18"/>
              </w:rPr>
            </w:pPr>
            <w:r w:rsidRPr="00087289">
              <w:rPr>
                <w:sz w:val="18"/>
                <w:szCs w:val="18"/>
              </w:rPr>
              <w:t>379</w:t>
            </w:r>
            <w:r w:rsidR="00EA4AAE">
              <w:rPr>
                <w:sz w:val="18"/>
                <w:szCs w:val="18"/>
              </w:rPr>
              <w:t xml:space="preserve"> o</w:t>
            </w:r>
            <w:r w:rsidRPr="00087289">
              <w:rPr>
                <w:sz w:val="18"/>
                <w:szCs w:val="18"/>
              </w:rPr>
              <w:t>ut of 728</w:t>
            </w:r>
            <w:r w:rsidR="00EA4AAE">
              <w:rPr>
                <w:sz w:val="18"/>
                <w:szCs w:val="18"/>
              </w:rPr>
              <w:t xml:space="preserve"> </w:t>
            </w:r>
            <w:r w:rsidRPr="00087289">
              <w:rPr>
                <w:b/>
                <w:sz w:val="18"/>
                <w:szCs w:val="18"/>
              </w:rPr>
              <w:t>52%</w:t>
            </w:r>
          </w:p>
        </w:tc>
        <w:tc>
          <w:tcPr>
            <w:tcW w:w="1186" w:type="dxa"/>
            <w:vAlign w:val="center"/>
          </w:tcPr>
          <w:p w:rsidR="00282E35" w:rsidRPr="00087289" w:rsidRDefault="00282E35" w:rsidP="00EA4AAE">
            <w:pPr>
              <w:jc w:val="center"/>
              <w:rPr>
                <w:b/>
                <w:sz w:val="18"/>
                <w:szCs w:val="18"/>
              </w:rPr>
            </w:pPr>
          </w:p>
          <w:p w:rsidR="00282E35" w:rsidRPr="00087289" w:rsidRDefault="00282E35" w:rsidP="00EA4AAE">
            <w:pPr>
              <w:jc w:val="center"/>
              <w:rPr>
                <w:b/>
                <w:sz w:val="18"/>
                <w:szCs w:val="18"/>
              </w:rPr>
            </w:pPr>
            <w:r w:rsidRPr="00087289">
              <w:rPr>
                <w:b/>
                <w:sz w:val="18"/>
                <w:szCs w:val="18"/>
              </w:rPr>
              <w:t>45%</w:t>
            </w:r>
          </w:p>
        </w:tc>
      </w:tr>
      <w:tr w:rsidR="00EA4AAE" w:rsidTr="00EA4AAE">
        <w:trPr>
          <w:trHeight w:val="529"/>
          <w:jc w:val="center"/>
        </w:trPr>
        <w:tc>
          <w:tcPr>
            <w:tcW w:w="2348" w:type="dxa"/>
            <w:vAlign w:val="center"/>
          </w:tcPr>
          <w:p w:rsidR="00282E35" w:rsidRPr="00087289" w:rsidRDefault="00282E35" w:rsidP="00EA4AAE">
            <w:pPr>
              <w:rPr>
                <w:b/>
                <w:sz w:val="18"/>
                <w:szCs w:val="18"/>
              </w:rPr>
            </w:pPr>
            <w:r w:rsidRPr="00087289">
              <w:rPr>
                <w:b/>
                <w:sz w:val="18"/>
                <w:szCs w:val="18"/>
              </w:rPr>
              <w:t>Term of Birth</w:t>
            </w:r>
          </w:p>
          <w:p w:rsidR="00282E35" w:rsidRPr="00087289" w:rsidRDefault="00282E35" w:rsidP="00EA4AAE">
            <w:pPr>
              <w:rPr>
                <w:b/>
                <w:sz w:val="18"/>
                <w:szCs w:val="18"/>
              </w:rPr>
            </w:pPr>
            <w:r w:rsidRPr="00087289">
              <w:rPr>
                <w:b/>
                <w:sz w:val="18"/>
                <w:szCs w:val="18"/>
              </w:rPr>
              <w:t>(summer babies achieving GLD</w:t>
            </w:r>
          </w:p>
        </w:tc>
        <w:tc>
          <w:tcPr>
            <w:tcW w:w="1147" w:type="dxa"/>
            <w:shd w:val="clear" w:color="auto" w:fill="auto"/>
            <w:vAlign w:val="center"/>
          </w:tcPr>
          <w:p w:rsidR="00282E35" w:rsidRPr="00087289" w:rsidRDefault="00282E35" w:rsidP="00EA4AAE">
            <w:pPr>
              <w:jc w:val="center"/>
              <w:rPr>
                <w:sz w:val="18"/>
                <w:szCs w:val="18"/>
              </w:rPr>
            </w:pPr>
            <w:r w:rsidRPr="00087289">
              <w:rPr>
                <w:sz w:val="18"/>
                <w:szCs w:val="18"/>
              </w:rPr>
              <w:t>369</w:t>
            </w:r>
            <w:r w:rsidR="00EA4AAE">
              <w:rPr>
                <w:sz w:val="18"/>
                <w:szCs w:val="18"/>
              </w:rPr>
              <w:t xml:space="preserve"> o</w:t>
            </w:r>
            <w:r w:rsidRPr="00087289">
              <w:rPr>
                <w:sz w:val="18"/>
                <w:szCs w:val="18"/>
              </w:rPr>
              <w:t>ut of</w:t>
            </w:r>
          </w:p>
          <w:p w:rsidR="00282E35" w:rsidRPr="00087289" w:rsidRDefault="00282E35" w:rsidP="00EA4AAE">
            <w:pPr>
              <w:jc w:val="center"/>
              <w:rPr>
                <w:b/>
                <w:sz w:val="18"/>
                <w:szCs w:val="18"/>
              </w:rPr>
            </w:pPr>
            <w:r w:rsidRPr="00087289">
              <w:rPr>
                <w:sz w:val="18"/>
                <w:szCs w:val="18"/>
              </w:rPr>
              <w:t>621</w:t>
            </w:r>
            <w:r w:rsidR="00EA4AAE">
              <w:rPr>
                <w:sz w:val="18"/>
                <w:szCs w:val="18"/>
              </w:rPr>
              <w:t xml:space="preserve"> </w:t>
            </w:r>
            <w:r w:rsidRPr="00087289">
              <w:rPr>
                <w:b/>
                <w:sz w:val="18"/>
                <w:szCs w:val="18"/>
              </w:rPr>
              <w:t>59.4%</w:t>
            </w:r>
          </w:p>
        </w:tc>
        <w:tc>
          <w:tcPr>
            <w:tcW w:w="1345" w:type="dxa"/>
            <w:shd w:val="clear" w:color="auto" w:fill="auto"/>
            <w:vAlign w:val="center"/>
          </w:tcPr>
          <w:p w:rsidR="00282E35" w:rsidRPr="00087289" w:rsidRDefault="00282E35" w:rsidP="00EA4AAE">
            <w:pPr>
              <w:jc w:val="center"/>
              <w:rPr>
                <w:sz w:val="18"/>
                <w:szCs w:val="18"/>
              </w:rPr>
            </w:pPr>
            <w:r w:rsidRPr="00087289">
              <w:rPr>
                <w:sz w:val="18"/>
                <w:szCs w:val="18"/>
              </w:rPr>
              <w:t>233</w:t>
            </w:r>
            <w:r w:rsidR="00EA4AAE">
              <w:rPr>
                <w:sz w:val="18"/>
                <w:szCs w:val="18"/>
              </w:rPr>
              <w:t xml:space="preserve"> o</w:t>
            </w:r>
            <w:r w:rsidRPr="00087289">
              <w:rPr>
                <w:sz w:val="18"/>
                <w:szCs w:val="18"/>
              </w:rPr>
              <w:t>ut of 426</w:t>
            </w:r>
          </w:p>
          <w:p w:rsidR="00282E35" w:rsidRPr="00087289" w:rsidRDefault="00282E35" w:rsidP="00EA4AAE">
            <w:pPr>
              <w:jc w:val="center"/>
              <w:rPr>
                <w:b/>
                <w:sz w:val="18"/>
                <w:szCs w:val="18"/>
              </w:rPr>
            </w:pPr>
            <w:r w:rsidRPr="00087289">
              <w:rPr>
                <w:b/>
                <w:sz w:val="18"/>
                <w:szCs w:val="18"/>
              </w:rPr>
              <w:t>54.7%</w:t>
            </w:r>
          </w:p>
        </w:tc>
        <w:tc>
          <w:tcPr>
            <w:tcW w:w="1223" w:type="dxa"/>
            <w:shd w:val="clear" w:color="auto" w:fill="auto"/>
            <w:vAlign w:val="center"/>
          </w:tcPr>
          <w:p w:rsidR="00282E35" w:rsidRPr="00087289" w:rsidRDefault="00282E35" w:rsidP="00EA4AAE">
            <w:pPr>
              <w:jc w:val="center"/>
              <w:rPr>
                <w:sz w:val="18"/>
                <w:szCs w:val="18"/>
              </w:rPr>
            </w:pPr>
            <w:r w:rsidRPr="00087289">
              <w:rPr>
                <w:sz w:val="18"/>
                <w:szCs w:val="18"/>
              </w:rPr>
              <w:t>211</w:t>
            </w:r>
            <w:r w:rsidR="00EA4AAE">
              <w:rPr>
                <w:sz w:val="18"/>
                <w:szCs w:val="18"/>
              </w:rPr>
              <w:t xml:space="preserve"> o</w:t>
            </w:r>
            <w:r w:rsidRPr="00087289">
              <w:rPr>
                <w:sz w:val="18"/>
                <w:szCs w:val="18"/>
              </w:rPr>
              <w:t>ut of</w:t>
            </w:r>
          </w:p>
          <w:p w:rsidR="00282E35" w:rsidRPr="00087289" w:rsidRDefault="00282E35" w:rsidP="00EA4AAE">
            <w:pPr>
              <w:jc w:val="center"/>
              <w:rPr>
                <w:b/>
                <w:sz w:val="18"/>
                <w:szCs w:val="18"/>
              </w:rPr>
            </w:pPr>
            <w:r w:rsidRPr="00087289">
              <w:rPr>
                <w:sz w:val="18"/>
                <w:szCs w:val="18"/>
              </w:rPr>
              <w:t>419</w:t>
            </w:r>
            <w:r w:rsidR="00EA4AAE">
              <w:rPr>
                <w:sz w:val="18"/>
                <w:szCs w:val="18"/>
              </w:rPr>
              <w:t xml:space="preserve"> </w:t>
            </w:r>
            <w:r w:rsidRPr="00087289">
              <w:rPr>
                <w:b/>
                <w:sz w:val="18"/>
                <w:szCs w:val="18"/>
              </w:rPr>
              <w:t>50.4%</w:t>
            </w:r>
          </w:p>
        </w:tc>
        <w:tc>
          <w:tcPr>
            <w:tcW w:w="1238" w:type="dxa"/>
            <w:vAlign w:val="center"/>
          </w:tcPr>
          <w:p w:rsidR="00282E35" w:rsidRPr="00087289" w:rsidRDefault="00282E35" w:rsidP="00EA4AAE">
            <w:pPr>
              <w:jc w:val="center"/>
              <w:rPr>
                <w:sz w:val="18"/>
                <w:szCs w:val="18"/>
              </w:rPr>
            </w:pPr>
            <w:r w:rsidRPr="00087289">
              <w:rPr>
                <w:sz w:val="18"/>
                <w:szCs w:val="18"/>
              </w:rPr>
              <w:t>98</w:t>
            </w:r>
            <w:r w:rsidR="00EA4AAE">
              <w:rPr>
                <w:sz w:val="18"/>
                <w:szCs w:val="18"/>
              </w:rPr>
              <w:t xml:space="preserve"> o</w:t>
            </w:r>
            <w:r w:rsidRPr="00087289">
              <w:rPr>
                <w:sz w:val="18"/>
                <w:szCs w:val="18"/>
              </w:rPr>
              <w:t>ut of</w:t>
            </w:r>
          </w:p>
          <w:p w:rsidR="00282E35" w:rsidRPr="00087289" w:rsidRDefault="00282E35" w:rsidP="00EA4AAE">
            <w:pPr>
              <w:jc w:val="center"/>
              <w:rPr>
                <w:b/>
                <w:sz w:val="18"/>
                <w:szCs w:val="18"/>
              </w:rPr>
            </w:pPr>
            <w:r w:rsidRPr="00087289">
              <w:rPr>
                <w:sz w:val="18"/>
                <w:szCs w:val="18"/>
              </w:rPr>
              <w:t>184</w:t>
            </w:r>
            <w:r w:rsidR="00EA4AAE">
              <w:rPr>
                <w:sz w:val="18"/>
                <w:szCs w:val="18"/>
              </w:rPr>
              <w:t xml:space="preserve"> </w:t>
            </w:r>
            <w:r w:rsidRPr="00087289">
              <w:rPr>
                <w:b/>
                <w:sz w:val="18"/>
                <w:szCs w:val="18"/>
              </w:rPr>
              <w:t>53.3%</w:t>
            </w:r>
          </w:p>
        </w:tc>
        <w:tc>
          <w:tcPr>
            <w:tcW w:w="1227" w:type="dxa"/>
            <w:vAlign w:val="center"/>
          </w:tcPr>
          <w:p w:rsidR="00282E35" w:rsidRPr="00087289" w:rsidRDefault="00282E35" w:rsidP="00EA4AAE">
            <w:pPr>
              <w:jc w:val="center"/>
              <w:rPr>
                <w:b/>
                <w:sz w:val="18"/>
                <w:szCs w:val="18"/>
              </w:rPr>
            </w:pPr>
            <w:r w:rsidRPr="00087289">
              <w:rPr>
                <w:sz w:val="18"/>
                <w:szCs w:val="18"/>
              </w:rPr>
              <w:t>911</w:t>
            </w:r>
            <w:r w:rsidR="00EA4AAE">
              <w:rPr>
                <w:sz w:val="18"/>
                <w:szCs w:val="18"/>
              </w:rPr>
              <w:t xml:space="preserve"> </w:t>
            </w:r>
            <w:r w:rsidRPr="00087289">
              <w:rPr>
                <w:sz w:val="18"/>
                <w:szCs w:val="18"/>
              </w:rPr>
              <w:t>out of</w:t>
            </w:r>
            <w:r w:rsidR="00EA4AAE">
              <w:rPr>
                <w:sz w:val="18"/>
                <w:szCs w:val="18"/>
              </w:rPr>
              <w:t xml:space="preserve"> </w:t>
            </w:r>
            <w:r w:rsidRPr="00087289">
              <w:rPr>
                <w:sz w:val="18"/>
                <w:szCs w:val="18"/>
              </w:rPr>
              <w:t>1650</w:t>
            </w:r>
            <w:r w:rsidR="00EA4AAE">
              <w:rPr>
                <w:sz w:val="18"/>
                <w:szCs w:val="18"/>
              </w:rPr>
              <w:t xml:space="preserve"> </w:t>
            </w:r>
            <w:r w:rsidRPr="00087289">
              <w:rPr>
                <w:b/>
                <w:sz w:val="18"/>
                <w:szCs w:val="18"/>
              </w:rPr>
              <w:t>55.2%</w:t>
            </w:r>
          </w:p>
        </w:tc>
        <w:tc>
          <w:tcPr>
            <w:tcW w:w="1186" w:type="dxa"/>
            <w:vAlign w:val="center"/>
          </w:tcPr>
          <w:p w:rsidR="00282E35" w:rsidRPr="00087289" w:rsidRDefault="00282E35" w:rsidP="00EA4AAE">
            <w:pPr>
              <w:jc w:val="center"/>
              <w:rPr>
                <w:b/>
                <w:sz w:val="18"/>
                <w:szCs w:val="18"/>
              </w:rPr>
            </w:pPr>
          </w:p>
          <w:p w:rsidR="00282E35" w:rsidRPr="00087289" w:rsidRDefault="00282E35" w:rsidP="00EA4AAE">
            <w:pPr>
              <w:jc w:val="center"/>
              <w:rPr>
                <w:b/>
                <w:sz w:val="18"/>
                <w:szCs w:val="18"/>
              </w:rPr>
            </w:pPr>
            <w:r w:rsidRPr="00087289">
              <w:rPr>
                <w:b/>
                <w:sz w:val="18"/>
                <w:szCs w:val="18"/>
              </w:rPr>
              <w:t>49%</w:t>
            </w:r>
          </w:p>
        </w:tc>
      </w:tr>
    </w:tbl>
    <w:p w:rsidR="00282E35" w:rsidRDefault="00282E35" w:rsidP="00282E35">
      <w:pPr>
        <w:rPr>
          <w:rFonts w:cs="Arial"/>
          <w:sz w:val="20"/>
          <w:szCs w:val="20"/>
        </w:rPr>
      </w:pPr>
      <w:r>
        <w:rPr>
          <w:rFonts w:cs="Arial"/>
          <w:sz w:val="20"/>
          <w:szCs w:val="20"/>
        </w:rPr>
        <w:t>Source: KEPAS 2014</w:t>
      </w:r>
    </w:p>
    <w:p w:rsidR="00282E35" w:rsidRPr="00FE76BA" w:rsidRDefault="00282E35" w:rsidP="00282E35">
      <w:pPr>
        <w:pStyle w:val="Heading2"/>
        <w:keepNext w:val="0"/>
        <w:keepLines w:val="0"/>
        <w:rPr>
          <w:sz w:val="22"/>
          <w:szCs w:val="22"/>
        </w:rPr>
      </w:pPr>
      <w:bookmarkStart w:id="865" w:name="_Toc426723376"/>
      <w:bookmarkStart w:id="866" w:name="_Toc431225203"/>
      <w:r w:rsidRPr="00FE76BA">
        <w:rPr>
          <w:sz w:val="22"/>
          <w:szCs w:val="22"/>
        </w:rPr>
        <w:t>Children’s Centres</w:t>
      </w:r>
      <w:bookmarkEnd w:id="865"/>
      <w:bookmarkEnd w:id="866"/>
    </w:p>
    <w:p w:rsidR="00282E35" w:rsidRPr="00B37020" w:rsidRDefault="00282E35" w:rsidP="00282E35">
      <w:pPr>
        <w:pStyle w:val="NoSpacing"/>
        <w:jc w:val="both"/>
        <w:rPr>
          <w:sz w:val="22"/>
          <w:szCs w:val="22"/>
          <w:lang w:val="en"/>
        </w:rPr>
      </w:pPr>
      <w:r w:rsidRPr="00B37020">
        <w:rPr>
          <w:sz w:val="22"/>
          <w:szCs w:val="22"/>
          <w:lang w:val="en"/>
        </w:rPr>
        <w:t>Children’s Centre’s aim to improve outcomes for families with children under five, ensuring that all children are properly prepared for school (‘School Readiness’). Services are delivered, either by or through Children’s Centres and include both Universal and Specialist services for families in greatest need - fa</w:t>
      </w:r>
      <w:r w:rsidR="004065E7">
        <w:rPr>
          <w:sz w:val="22"/>
          <w:szCs w:val="22"/>
          <w:lang w:val="en"/>
        </w:rPr>
        <w:t>milies living in deprived areas; workless families;</w:t>
      </w:r>
      <w:r w:rsidRPr="00B37020">
        <w:rPr>
          <w:sz w:val="22"/>
          <w:szCs w:val="22"/>
          <w:lang w:val="en"/>
        </w:rPr>
        <w:t xml:space="preserve"> t</w:t>
      </w:r>
      <w:r w:rsidR="004065E7">
        <w:rPr>
          <w:sz w:val="22"/>
          <w:szCs w:val="22"/>
          <w:lang w:val="en"/>
        </w:rPr>
        <w:t>hose with low levels of English;</w:t>
      </w:r>
      <w:r w:rsidRPr="00B37020">
        <w:rPr>
          <w:sz w:val="22"/>
          <w:szCs w:val="22"/>
          <w:lang w:val="en"/>
        </w:rPr>
        <w:t xml:space="preserve"> and those experiencing the ‘toxic trio’ of domestic violence, mental health issues and/or substance misuse.</w:t>
      </w:r>
    </w:p>
    <w:p w:rsidR="00282E35" w:rsidRDefault="00282E35" w:rsidP="00282E35">
      <w:pPr>
        <w:pStyle w:val="NoSpacing"/>
        <w:rPr>
          <w:lang w:val="en"/>
        </w:rPr>
      </w:pPr>
    </w:p>
    <w:p w:rsidR="00282E35" w:rsidRPr="00FB0EAE" w:rsidRDefault="002D4909" w:rsidP="00282E35">
      <w:pPr>
        <w:pStyle w:val="Heading3"/>
        <w:rPr>
          <w:rFonts w:eastAsiaTheme="minorHAnsi"/>
        </w:rPr>
      </w:pPr>
      <w:r>
        <w:rPr>
          <w:rFonts w:eastAsiaTheme="minorHAnsi"/>
        </w:rPr>
        <w:t>Gaps in Current / F</w:t>
      </w:r>
      <w:r w:rsidR="00282E35" w:rsidRPr="00FB0EAE">
        <w:rPr>
          <w:rFonts w:eastAsiaTheme="minorHAnsi"/>
        </w:rPr>
        <w:t xml:space="preserve">uture </w:t>
      </w:r>
      <w:r>
        <w:rPr>
          <w:rFonts w:eastAsiaTheme="minorHAnsi"/>
        </w:rPr>
        <w:t>Provision or Unmet N</w:t>
      </w:r>
      <w:r w:rsidR="00282E35" w:rsidRPr="00FB0EAE">
        <w:rPr>
          <w:rFonts w:eastAsiaTheme="minorHAnsi"/>
        </w:rPr>
        <w:t xml:space="preserve">eed </w:t>
      </w:r>
    </w:p>
    <w:p w:rsidR="00282E35" w:rsidRPr="00FB0EAE" w:rsidRDefault="00282E35" w:rsidP="00282E35">
      <w:pPr>
        <w:spacing w:after="0" w:line="288" w:lineRule="auto"/>
        <w:jc w:val="both"/>
      </w:pPr>
      <w:r w:rsidRPr="00FB0EAE">
        <w:rPr>
          <w:rFonts w:cs="Arial"/>
        </w:rPr>
        <w:t xml:space="preserve">There appear to be a good range of services targeting children’s health and development, although better partnerships would ensure that these are more joined up.  </w:t>
      </w:r>
      <w:r>
        <w:t>Key issues</w:t>
      </w:r>
      <w:r w:rsidR="004065E7">
        <w:t xml:space="preserve"> are</w:t>
      </w:r>
      <w:r>
        <w:t xml:space="preserve">: </w:t>
      </w:r>
    </w:p>
    <w:p w:rsidR="00282E35" w:rsidRPr="00FD666C" w:rsidRDefault="00282E35" w:rsidP="008921BF">
      <w:pPr>
        <w:pStyle w:val="ListParagraph"/>
        <w:numPr>
          <w:ilvl w:val="0"/>
          <w:numId w:val="101"/>
        </w:numPr>
        <w:tabs>
          <w:tab w:val="left" w:pos="0"/>
        </w:tabs>
        <w:jc w:val="both"/>
        <w:rPr>
          <w:rFonts w:cs="Arial"/>
          <w:iCs/>
        </w:rPr>
      </w:pPr>
      <w:r>
        <w:rPr>
          <w:rFonts w:cs="Arial"/>
          <w:iCs/>
        </w:rPr>
        <w:t>Development of an integrated service offer</w:t>
      </w:r>
      <w:r w:rsidRPr="00FD666C">
        <w:rPr>
          <w:rFonts w:cs="Arial"/>
          <w:iCs/>
        </w:rPr>
        <w:t xml:space="preserve"> delivered through th</w:t>
      </w:r>
      <w:r>
        <w:rPr>
          <w:rFonts w:cs="Arial"/>
          <w:iCs/>
        </w:rPr>
        <w:t xml:space="preserve">e centres for parents, with a particular focus on the needs of </w:t>
      </w:r>
      <w:r w:rsidRPr="00FD666C">
        <w:rPr>
          <w:rFonts w:cs="Arial"/>
          <w:iCs/>
        </w:rPr>
        <w:t>parents with mental</w:t>
      </w:r>
      <w:r>
        <w:rPr>
          <w:rFonts w:cs="Arial"/>
          <w:iCs/>
        </w:rPr>
        <w:t xml:space="preserve"> health,</w:t>
      </w:r>
      <w:r w:rsidRPr="00FD666C">
        <w:rPr>
          <w:rFonts w:cs="Arial"/>
          <w:iCs/>
        </w:rPr>
        <w:t xml:space="preserve"> drug and alcohol problems, and parents</w:t>
      </w:r>
      <w:r>
        <w:rPr>
          <w:rFonts w:cs="Arial"/>
          <w:iCs/>
        </w:rPr>
        <w:t xml:space="preserve"> without literacy and basic skills required to progress into work. I</w:t>
      </w:r>
      <w:r w:rsidRPr="00FD666C">
        <w:rPr>
          <w:rFonts w:cs="Arial"/>
          <w:iCs/>
        </w:rPr>
        <w:t>mproved partnerships with health and Jobcentre Plus</w:t>
      </w:r>
      <w:r>
        <w:rPr>
          <w:rFonts w:cs="Arial"/>
          <w:iCs/>
        </w:rPr>
        <w:t xml:space="preserve"> would </w:t>
      </w:r>
      <w:r w:rsidR="004065E7">
        <w:rPr>
          <w:rFonts w:cs="Arial"/>
          <w:iCs/>
        </w:rPr>
        <w:t xml:space="preserve">help </w:t>
      </w:r>
      <w:r>
        <w:rPr>
          <w:rFonts w:cs="Arial"/>
          <w:iCs/>
        </w:rPr>
        <w:t>facilitate this.</w:t>
      </w:r>
    </w:p>
    <w:p w:rsidR="00282E35" w:rsidRPr="00FD666C" w:rsidRDefault="00282E35" w:rsidP="008921BF">
      <w:pPr>
        <w:pStyle w:val="ListParagraph"/>
        <w:numPr>
          <w:ilvl w:val="0"/>
          <w:numId w:val="101"/>
        </w:numPr>
        <w:tabs>
          <w:tab w:val="left" w:pos="0"/>
        </w:tabs>
        <w:spacing w:after="0" w:line="288" w:lineRule="auto"/>
        <w:jc w:val="both"/>
        <w:rPr>
          <w:rFonts w:cs="Arial"/>
          <w:iCs/>
        </w:rPr>
      </w:pPr>
      <w:r>
        <w:rPr>
          <w:rFonts w:cs="Arial"/>
          <w:iCs/>
        </w:rPr>
        <w:t>Increased engagement with vulnerable families to support f</w:t>
      </w:r>
      <w:r w:rsidRPr="00FD666C">
        <w:rPr>
          <w:rFonts w:cs="Arial"/>
          <w:iCs/>
        </w:rPr>
        <w:t>amily</w:t>
      </w:r>
      <w:r>
        <w:rPr>
          <w:rFonts w:cs="Arial"/>
          <w:iCs/>
        </w:rPr>
        <w:t xml:space="preserve"> l</w:t>
      </w:r>
      <w:r w:rsidRPr="00FD666C">
        <w:rPr>
          <w:rFonts w:cs="Arial"/>
          <w:iCs/>
        </w:rPr>
        <w:t>earning</w:t>
      </w:r>
      <w:r w:rsidR="00DD3A76">
        <w:rPr>
          <w:rFonts w:cs="Arial"/>
          <w:iCs/>
        </w:rPr>
        <w:t>:</w:t>
      </w:r>
      <w:r w:rsidR="00DD3A76" w:rsidRPr="00FD666C">
        <w:rPr>
          <w:rFonts w:cs="Arial"/>
          <w:iCs/>
        </w:rPr>
        <w:t xml:space="preserve"> –</w:t>
      </w:r>
      <w:r w:rsidRPr="00FD666C">
        <w:rPr>
          <w:rFonts w:cs="Arial"/>
          <w:iCs/>
        </w:rPr>
        <w:t xml:space="preserve"> engaging children and parents learning together, such as family literacy and numeracy</w:t>
      </w:r>
      <w:r>
        <w:rPr>
          <w:rFonts w:cs="Arial"/>
          <w:iCs/>
        </w:rPr>
        <w:t>, s</w:t>
      </w:r>
      <w:r w:rsidRPr="00FD666C">
        <w:rPr>
          <w:rFonts w:cs="Arial"/>
          <w:iCs/>
        </w:rPr>
        <w:t>upport for teenage parents</w:t>
      </w:r>
      <w:r>
        <w:rPr>
          <w:rFonts w:cs="Arial"/>
          <w:iCs/>
        </w:rPr>
        <w:t xml:space="preserve"> and housing a</w:t>
      </w:r>
      <w:r w:rsidRPr="00FD666C">
        <w:rPr>
          <w:rFonts w:cs="Arial"/>
          <w:iCs/>
        </w:rPr>
        <w:t>dvice</w:t>
      </w:r>
      <w:r>
        <w:rPr>
          <w:rFonts w:cs="Arial"/>
          <w:iCs/>
        </w:rPr>
        <w:t>.</w:t>
      </w:r>
    </w:p>
    <w:p w:rsidR="00282E35" w:rsidRDefault="00282E35" w:rsidP="008921BF">
      <w:pPr>
        <w:pStyle w:val="ListParagraph"/>
        <w:numPr>
          <w:ilvl w:val="0"/>
          <w:numId w:val="101"/>
        </w:numPr>
        <w:tabs>
          <w:tab w:val="left" w:pos="0"/>
        </w:tabs>
        <w:jc w:val="both"/>
        <w:rPr>
          <w:rFonts w:cs="Arial"/>
          <w:iCs/>
        </w:rPr>
      </w:pPr>
      <w:r w:rsidRPr="00FD666C">
        <w:rPr>
          <w:rFonts w:cs="Arial"/>
          <w:iCs/>
        </w:rPr>
        <w:t>Increase the  take</w:t>
      </w:r>
      <w:r>
        <w:rPr>
          <w:rFonts w:cs="Arial"/>
          <w:iCs/>
        </w:rPr>
        <w:t>-</w:t>
      </w:r>
      <w:r w:rsidRPr="00FD666C">
        <w:rPr>
          <w:rFonts w:cs="Arial"/>
          <w:iCs/>
        </w:rPr>
        <w:t>up of adult education including courses leading to qualifications through access to child care at low cost, and a Service Level Agreement with Barnet College, leading to better evaluation and tracking of learners’ outcomes</w:t>
      </w:r>
      <w:r>
        <w:rPr>
          <w:rFonts w:cs="Arial"/>
          <w:iCs/>
        </w:rPr>
        <w:t>.</w:t>
      </w:r>
    </w:p>
    <w:p w:rsidR="00E67ABC" w:rsidRDefault="00E67ABC" w:rsidP="00E67ABC">
      <w:pPr>
        <w:pStyle w:val="ListParagraph"/>
        <w:tabs>
          <w:tab w:val="left" w:pos="0"/>
        </w:tabs>
        <w:jc w:val="both"/>
        <w:rPr>
          <w:rFonts w:cs="Arial"/>
          <w:iCs/>
        </w:rPr>
      </w:pPr>
    </w:p>
    <w:p w:rsidR="00282E35" w:rsidRPr="00FC7A04" w:rsidRDefault="00282E35" w:rsidP="00282E35">
      <w:pPr>
        <w:pStyle w:val="Heading2"/>
        <w:keepNext w:val="0"/>
        <w:keepLines w:val="0"/>
      </w:pPr>
      <w:bookmarkStart w:id="867" w:name="_Toc426723377"/>
      <w:bookmarkStart w:id="868" w:name="_Toc431225204"/>
      <w:r w:rsidRPr="00FC7A04">
        <w:lastRenderedPageBreak/>
        <w:t>Education and Skills</w:t>
      </w:r>
      <w:bookmarkEnd w:id="867"/>
      <w:bookmarkEnd w:id="868"/>
    </w:p>
    <w:p w:rsidR="00282E35" w:rsidRPr="00B1135D" w:rsidRDefault="00282E35" w:rsidP="00282E35">
      <w:pPr>
        <w:pStyle w:val="Heading3"/>
        <w:keepNext w:val="0"/>
        <w:keepLines w:val="0"/>
        <w:spacing w:line="271" w:lineRule="auto"/>
      </w:pPr>
      <w:r>
        <w:t xml:space="preserve">Primary Education in Barnet </w:t>
      </w:r>
    </w:p>
    <w:p w:rsidR="00282E35" w:rsidRPr="00282E35" w:rsidRDefault="00282E35" w:rsidP="00282E35">
      <w:pPr>
        <w:pStyle w:val="NoSpacing"/>
        <w:jc w:val="both"/>
        <w:rPr>
          <w:sz w:val="22"/>
          <w:szCs w:val="22"/>
        </w:rPr>
      </w:pPr>
      <w:r w:rsidRPr="00282E35">
        <w:rPr>
          <w:sz w:val="22"/>
          <w:szCs w:val="22"/>
        </w:rPr>
        <w:t>Between 2016/17 and 2020/21, primary school rolls are proj</w:t>
      </w:r>
      <w:r w:rsidR="004065E7">
        <w:rPr>
          <w:sz w:val="22"/>
          <w:szCs w:val="22"/>
        </w:rPr>
        <w:t>ected to rise by an estimated  seven to nine</w:t>
      </w:r>
      <w:r w:rsidRPr="00282E35">
        <w:rPr>
          <w:sz w:val="22"/>
          <w:szCs w:val="22"/>
        </w:rPr>
        <w:t xml:space="preserve"> forms of entry (FE), and  these school places will need to be commissioned through a series of temporary or permanent </w:t>
      </w:r>
      <w:r w:rsidRPr="00282E35">
        <w:rPr>
          <w:sz w:val="22"/>
          <w:szCs w:val="22"/>
          <w:lang w:val="en"/>
        </w:rPr>
        <w:t>expansions</w:t>
      </w:r>
      <w:r w:rsidRPr="00282E35">
        <w:rPr>
          <w:sz w:val="22"/>
          <w:szCs w:val="22"/>
        </w:rPr>
        <w:t xml:space="preserve"> and new provision. Barnet has a higher proportion of pupils on roll in primary schools with special educational needs (both </w:t>
      </w:r>
      <w:proofErr w:type="spellStart"/>
      <w:r w:rsidRPr="00282E35">
        <w:rPr>
          <w:sz w:val="22"/>
          <w:szCs w:val="22"/>
        </w:rPr>
        <w:t>statemented</w:t>
      </w:r>
      <w:proofErr w:type="spellEnd"/>
      <w:r w:rsidRPr="00282E35">
        <w:rPr>
          <w:sz w:val="22"/>
          <w:szCs w:val="22"/>
        </w:rPr>
        <w:t xml:space="preserve"> and without statements) compared to statistical neighbours, national and London, and the proportion of pupils on school action and school action plus has gradually declined since 2011 in line with statistical neighbours. Overall absence in Barnet primary schools is ranked in the 3</w:t>
      </w:r>
      <w:r w:rsidRPr="00282E35">
        <w:rPr>
          <w:sz w:val="22"/>
          <w:szCs w:val="22"/>
          <w:vertAlign w:val="superscript"/>
        </w:rPr>
        <w:t>rd</w:t>
      </w:r>
      <w:r w:rsidRPr="00282E35">
        <w:rPr>
          <w:sz w:val="22"/>
          <w:szCs w:val="22"/>
        </w:rPr>
        <w:t xml:space="preserve"> quartile, at 94</w:t>
      </w:r>
      <w:r w:rsidRPr="00282E35">
        <w:rPr>
          <w:sz w:val="22"/>
          <w:szCs w:val="22"/>
          <w:vertAlign w:val="superscript"/>
        </w:rPr>
        <w:t>th</w:t>
      </w:r>
      <w:r w:rsidRPr="00282E35">
        <w:rPr>
          <w:sz w:val="22"/>
          <w:szCs w:val="22"/>
        </w:rPr>
        <w:t xml:space="preserve"> nationally.</w:t>
      </w:r>
    </w:p>
    <w:p w:rsidR="00282E35" w:rsidRPr="00B1135D" w:rsidRDefault="00282E35" w:rsidP="00282E35">
      <w:pPr>
        <w:spacing w:after="0" w:line="240" w:lineRule="auto"/>
        <w:rPr>
          <w:rFonts w:cs="Arial"/>
        </w:rPr>
      </w:pPr>
    </w:p>
    <w:p w:rsidR="00282E35" w:rsidRDefault="00282E35" w:rsidP="00282E35">
      <w:pPr>
        <w:spacing w:after="0" w:line="240" w:lineRule="auto"/>
        <w:jc w:val="both"/>
        <w:rPr>
          <w:rFonts w:cs="Arial"/>
        </w:rPr>
      </w:pPr>
      <w:r w:rsidRPr="00B1135D">
        <w:rPr>
          <w:rFonts w:cs="Arial"/>
        </w:rPr>
        <w:t xml:space="preserve">The proportion of Barnet’s primary school pupils who speak English as an additional language is below the London average but above that of Barnet’s statistical neighbours and the proportion of </w:t>
      </w:r>
      <w:r w:rsidR="00DD3A76" w:rsidRPr="00B1135D">
        <w:rPr>
          <w:rFonts w:cs="Arial"/>
        </w:rPr>
        <w:t>pupil’s</w:t>
      </w:r>
      <w:r w:rsidRPr="00B1135D">
        <w:rPr>
          <w:rFonts w:cs="Arial"/>
        </w:rPr>
        <w:t xml:space="preserve"> eligible for free school meals is above that of statistical neighbours.</w:t>
      </w:r>
    </w:p>
    <w:p w:rsidR="00282E35" w:rsidRDefault="00282E35" w:rsidP="00282E35">
      <w:pPr>
        <w:spacing w:after="0" w:line="240" w:lineRule="auto"/>
        <w:rPr>
          <w:rFonts w:cs="Arial"/>
        </w:rPr>
      </w:pPr>
    </w:p>
    <w:p w:rsidR="00282E35" w:rsidRPr="00B1135D" w:rsidRDefault="00282E35" w:rsidP="00282E35">
      <w:pPr>
        <w:pStyle w:val="Heading3"/>
        <w:keepNext w:val="0"/>
        <w:keepLines w:val="0"/>
        <w:spacing w:line="271" w:lineRule="auto"/>
      </w:pPr>
      <w:r w:rsidRPr="00B1135D">
        <w:t>Secondary Education in Barnet</w:t>
      </w:r>
    </w:p>
    <w:p w:rsidR="00282E35" w:rsidRPr="00282E35" w:rsidRDefault="00282E35" w:rsidP="00282E35">
      <w:pPr>
        <w:pStyle w:val="NoSpacing"/>
        <w:jc w:val="both"/>
        <w:rPr>
          <w:sz w:val="22"/>
          <w:szCs w:val="22"/>
        </w:rPr>
      </w:pPr>
      <w:r w:rsidRPr="00282E35">
        <w:rPr>
          <w:sz w:val="22"/>
          <w:szCs w:val="22"/>
        </w:rPr>
        <w:t xml:space="preserve">Between 2010 and 2014, the number of children on roll in mainstream secondary schools increased by 6.1% to 22,853 pupils. Barnet currently has 24 secondary schools: 4% are community schools, 25% are voluntary-aided and 71% are academies.  Assuming that a Free School, which is currently subject to planning, is delivered, an estimated 20 FE of additional need is projected between 2016/17 and 2020/21. These school places will need to be commissioned through a series of temporary or permanent expansions and new provision. </w:t>
      </w:r>
    </w:p>
    <w:p w:rsidR="00282E35" w:rsidRPr="00282E35" w:rsidRDefault="00282E35" w:rsidP="00282E35">
      <w:pPr>
        <w:pStyle w:val="NoSpacing"/>
        <w:jc w:val="both"/>
        <w:rPr>
          <w:sz w:val="22"/>
          <w:szCs w:val="22"/>
        </w:rPr>
      </w:pPr>
    </w:p>
    <w:p w:rsidR="00282E35" w:rsidRPr="00282E35" w:rsidRDefault="00282E35" w:rsidP="00282E35">
      <w:pPr>
        <w:pStyle w:val="NoSpacing"/>
        <w:jc w:val="both"/>
        <w:rPr>
          <w:sz w:val="22"/>
          <w:szCs w:val="22"/>
        </w:rPr>
      </w:pPr>
      <w:r w:rsidRPr="00282E35">
        <w:rPr>
          <w:sz w:val="22"/>
          <w:szCs w:val="22"/>
        </w:rPr>
        <w:t>Barnet has a higher proportion of pupils on roll with a statement of special educational needs compared to London, England and statistical neighbours. The proportion of pupils on roll with special education needs (without a statement) has decreased for the past three years but remains above that of statistical neighbours. Overall absence in Barnet secondary schools is ranked in the top quartile, at 23</w:t>
      </w:r>
      <w:r w:rsidRPr="004065E7">
        <w:rPr>
          <w:sz w:val="22"/>
          <w:szCs w:val="22"/>
          <w:vertAlign w:val="superscript"/>
        </w:rPr>
        <w:t>rd</w:t>
      </w:r>
      <w:r w:rsidR="004065E7">
        <w:rPr>
          <w:sz w:val="22"/>
          <w:szCs w:val="22"/>
        </w:rPr>
        <w:t xml:space="preserve"> </w:t>
      </w:r>
      <w:r w:rsidRPr="00282E35">
        <w:rPr>
          <w:sz w:val="22"/>
          <w:szCs w:val="22"/>
        </w:rPr>
        <w:t>nationally.</w:t>
      </w:r>
    </w:p>
    <w:p w:rsidR="00282E35" w:rsidRPr="00282E35" w:rsidRDefault="00282E35" w:rsidP="00282E35">
      <w:pPr>
        <w:pStyle w:val="NoSpacing"/>
        <w:jc w:val="both"/>
        <w:rPr>
          <w:sz w:val="22"/>
          <w:szCs w:val="22"/>
        </w:rPr>
      </w:pPr>
    </w:p>
    <w:p w:rsidR="00282E35" w:rsidRPr="00282E35" w:rsidRDefault="00282E35" w:rsidP="00282E35">
      <w:pPr>
        <w:pStyle w:val="NoSpacing"/>
        <w:jc w:val="both"/>
        <w:rPr>
          <w:sz w:val="22"/>
          <w:szCs w:val="22"/>
        </w:rPr>
      </w:pPr>
      <w:r w:rsidRPr="00282E35">
        <w:rPr>
          <w:sz w:val="22"/>
          <w:szCs w:val="22"/>
        </w:rPr>
        <w:t>The proportion of pupils with English as an additional language is above statistical neighbours</w:t>
      </w:r>
      <w:r w:rsidR="004065E7">
        <w:rPr>
          <w:sz w:val="22"/>
          <w:szCs w:val="22"/>
        </w:rPr>
        <w:t>,</w:t>
      </w:r>
      <w:r w:rsidRPr="00282E35">
        <w:rPr>
          <w:sz w:val="22"/>
          <w:szCs w:val="22"/>
        </w:rPr>
        <w:t xml:space="preserve"> but below the London average. The proportion has increased at a lower rate than London and statistical neighbours, but more than the national increase. Barnet has a lower proportion of Free School Meal pupils in secondary schools than London, but more than England and statistical neighbours.</w:t>
      </w:r>
    </w:p>
    <w:p w:rsidR="00282E35" w:rsidRPr="00282E35" w:rsidRDefault="00282E35" w:rsidP="00282E35">
      <w:pPr>
        <w:pStyle w:val="NoSpacing"/>
        <w:jc w:val="both"/>
        <w:rPr>
          <w:sz w:val="22"/>
          <w:szCs w:val="22"/>
        </w:rPr>
      </w:pPr>
    </w:p>
    <w:p w:rsidR="00282E35" w:rsidRPr="00282E35" w:rsidRDefault="00282E35" w:rsidP="00282E35">
      <w:pPr>
        <w:pStyle w:val="NoSpacing"/>
        <w:jc w:val="both"/>
        <w:rPr>
          <w:sz w:val="22"/>
          <w:szCs w:val="22"/>
        </w:rPr>
      </w:pPr>
      <w:r w:rsidRPr="00282E35">
        <w:rPr>
          <w:sz w:val="22"/>
          <w:szCs w:val="22"/>
        </w:rPr>
        <w:t>At Key Stage 2, attainment and achievement in all subjects is in the top quartile nationally. The attainment and achievement of all pupil groups are in line with national averages, and most pupil groups attain significantly above the national</w:t>
      </w:r>
      <w:r w:rsidR="004065E7">
        <w:rPr>
          <w:sz w:val="22"/>
          <w:szCs w:val="22"/>
        </w:rPr>
        <w:t xml:space="preserve"> average</w:t>
      </w:r>
      <w:r w:rsidRPr="00282E35">
        <w:rPr>
          <w:sz w:val="22"/>
          <w:szCs w:val="22"/>
        </w:rPr>
        <w:t>. Barnet’s FSM and disadvantaged pupil attainment gaps have narrowed and the gap is now in line with the London average and smaller than the national average.</w:t>
      </w:r>
    </w:p>
    <w:p w:rsidR="00282E35" w:rsidRPr="00282E35" w:rsidRDefault="00282E35" w:rsidP="00282E35">
      <w:pPr>
        <w:pStyle w:val="NoSpacing"/>
        <w:jc w:val="both"/>
        <w:rPr>
          <w:sz w:val="22"/>
          <w:szCs w:val="22"/>
        </w:rPr>
      </w:pPr>
    </w:p>
    <w:p w:rsidR="00282E35" w:rsidRDefault="00282E35" w:rsidP="00282E35">
      <w:pPr>
        <w:pStyle w:val="NoSpacing"/>
        <w:jc w:val="both"/>
        <w:rPr>
          <w:sz w:val="22"/>
          <w:szCs w:val="22"/>
        </w:rPr>
      </w:pPr>
      <w:r w:rsidRPr="00282E35">
        <w:rPr>
          <w:sz w:val="22"/>
          <w:szCs w:val="22"/>
        </w:rPr>
        <w:t>There is an 11 percentage point difference in attainment between disadvantaged (those who have been eligible for free school meals in the past six years or are in local authority care) and non-disadvantaged pupils, which is in line with the London average. Disadvantaged pupil attainment is high and is ranked 13</w:t>
      </w:r>
      <w:r w:rsidRPr="004065E7">
        <w:rPr>
          <w:sz w:val="22"/>
          <w:szCs w:val="22"/>
          <w:vertAlign w:val="superscript"/>
        </w:rPr>
        <w:t>th</w:t>
      </w:r>
      <w:r w:rsidR="004065E7">
        <w:rPr>
          <w:sz w:val="22"/>
          <w:szCs w:val="22"/>
        </w:rPr>
        <w:t xml:space="preserve"> </w:t>
      </w:r>
      <w:r w:rsidRPr="00282E35">
        <w:rPr>
          <w:sz w:val="22"/>
          <w:szCs w:val="22"/>
        </w:rPr>
        <w:t xml:space="preserve">nationally. </w:t>
      </w:r>
    </w:p>
    <w:p w:rsidR="00282E35" w:rsidRPr="00282E35" w:rsidRDefault="00282E35" w:rsidP="00282E35">
      <w:pPr>
        <w:pStyle w:val="NoSpacing"/>
        <w:jc w:val="both"/>
        <w:rPr>
          <w:sz w:val="22"/>
          <w:szCs w:val="22"/>
        </w:rPr>
      </w:pPr>
    </w:p>
    <w:p w:rsidR="00282E35" w:rsidRPr="00282E35" w:rsidRDefault="00282E35" w:rsidP="00282E35">
      <w:pPr>
        <w:pStyle w:val="NoSpacing"/>
        <w:jc w:val="both"/>
        <w:rPr>
          <w:sz w:val="22"/>
          <w:szCs w:val="22"/>
        </w:rPr>
      </w:pPr>
      <w:r w:rsidRPr="00282E35">
        <w:rPr>
          <w:sz w:val="22"/>
          <w:szCs w:val="22"/>
        </w:rPr>
        <w:t>Pupil</w:t>
      </w:r>
      <w:r w:rsidR="004065E7">
        <w:rPr>
          <w:sz w:val="22"/>
          <w:szCs w:val="22"/>
        </w:rPr>
        <w:t xml:space="preserve"> progress in Re</w:t>
      </w:r>
      <w:r w:rsidRPr="00282E35">
        <w:rPr>
          <w:sz w:val="22"/>
          <w:szCs w:val="22"/>
        </w:rPr>
        <w:t>ading and Mathematics is significantly above national</w:t>
      </w:r>
      <w:r w:rsidR="004065E7">
        <w:rPr>
          <w:sz w:val="22"/>
          <w:szCs w:val="22"/>
        </w:rPr>
        <w:t xml:space="preserve"> averages</w:t>
      </w:r>
      <w:r w:rsidRPr="00282E35">
        <w:rPr>
          <w:sz w:val="22"/>
          <w:szCs w:val="22"/>
        </w:rPr>
        <w:t>, with Barnet ranked 6th and 12</w:t>
      </w:r>
      <w:r w:rsidRPr="004065E7">
        <w:rPr>
          <w:sz w:val="22"/>
          <w:szCs w:val="22"/>
          <w:vertAlign w:val="superscript"/>
        </w:rPr>
        <w:t>th</w:t>
      </w:r>
      <w:r w:rsidR="004065E7">
        <w:rPr>
          <w:sz w:val="22"/>
          <w:szCs w:val="22"/>
        </w:rPr>
        <w:t xml:space="preserve"> </w:t>
      </w:r>
      <w:r w:rsidRPr="00282E35">
        <w:rPr>
          <w:sz w:val="22"/>
          <w:szCs w:val="22"/>
        </w:rPr>
        <w:t>nationally. The proportion of pupils making expected progress in Writing is in the third quartile, ranked 48</w:t>
      </w:r>
      <w:r w:rsidRPr="004065E7">
        <w:rPr>
          <w:sz w:val="22"/>
          <w:szCs w:val="22"/>
          <w:vertAlign w:val="superscript"/>
        </w:rPr>
        <w:t>th</w:t>
      </w:r>
      <w:r w:rsidR="004065E7">
        <w:rPr>
          <w:sz w:val="22"/>
          <w:szCs w:val="22"/>
        </w:rPr>
        <w:t xml:space="preserve"> nationally.</w:t>
      </w:r>
    </w:p>
    <w:p w:rsidR="00282E35" w:rsidRPr="00282E35" w:rsidRDefault="00282E35" w:rsidP="00282E35">
      <w:pPr>
        <w:pStyle w:val="NoSpacing"/>
        <w:jc w:val="both"/>
        <w:rPr>
          <w:sz w:val="22"/>
          <w:szCs w:val="22"/>
        </w:rPr>
      </w:pPr>
    </w:p>
    <w:p w:rsidR="00282E35" w:rsidRPr="00B1135D" w:rsidRDefault="00282E35" w:rsidP="00282E35">
      <w:pPr>
        <w:pStyle w:val="NoSpacing"/>
        <w:jc w:val="both"/>
      </w:pPr>
      <w:r w:rsidRPr="00282E35">
        <w:rPr>
          <w:sz w:val="22"/>
          <w:szCs w:val="22"/>
        </w:rPr>
        <w:t xml:space="preserve">At Key Stage 4, attainment of 5 A*-C grades including English and Maths and 5 A* - C grades is ranked in the top quartile nationally. Attainment of SEN, EAL and disadvantaged pupils is </w:t>
      </w:r>
      <w:r w:rsidRPr="00282E35">
        <w:rPr>
          <w:sz w:val="22"/>
          <w:szCs w:val="22"/>
        </w:rPr>
        <w:lastRenderedPageBreak/>
        <w:t>significantly above the attainment of their national counterparts. The attainment gap for</w:t>
      </w:r>
      <w:r w:rsidRPr="00B1135D">
        <w:t xml:space="preserve"> </w:t>
      </w:r>
      <w:r w:rsidRPr="00282E35">
        <w:rPr>
          <w:sz w:val="22"/>
          <w:szCs w:val="22"/>
        </w:rPr>
        <w:t>disadvantaged and non-disadvantaged pupils increased to 28 percentage points in 2014, and is wider than the London attainment gap (21 percentage points).</w:t>
      </w:r>
    </w:p>
    <w:p w:rsidR="00282E35" w:rsidRPr="009D2829" w:rsidRDefault="00282E35" w:rsidP="00282E35">
      <w:pPr>
        <w:pStyle w:val="Heading3"/>
        <w:rPr>
          <w:rFonts w:eastAsiaTheme="minorHAnsi"/>
        </w:rPr>
      </w:pPr>
      <w:r w:rsidRPr="009D2829">
        <w:rPr>
          <w:rFonts w:eastAsiaTheme="minorHAnsi"/>
        </w:rPr>
        <w:t>Key Issues</w:t>
      </w:r>
    </w:p>
    <w:p w:rsidR="00282E35" w:rsidRPr="009D2829" w:rsidRDefault="00282E35" w:rsidP="008921BF">
      <w:pPr>
        <w:numPr>
          <w:ilvl w:val="0"/>
          <w:numId w:val="115"/>
        </w:numPr>
        <w:spacing w:after="0" w:line="240" w:lineRule="auto"/>
        <w:jc w:val="both"/>
        <w:rPr>
          <w:rFonts w:cs="Arial"/>
        </w:rPr>
      </w:pPr>
      <w:r w:rsidRPr="009D2829">
        <w:rPr>
          <w:rFonts w:cs="Arial"/>
        </w:rPr>
        <w:t>Teacher and head teacher recruitment is a key issue for primary schools, with a head teacher recruitment and retention working group set up in response to difficulties in securing permanent posts. Key barriers to recruitment in Barnet include: availability and cost of parking, public transport, cost of affordable housing/rentals and increasing pressure and responsibilities on teachers and head teachers.</w:t>
      </w:r>
    </w:p>
    <w:p w:rsidR="00282E35" w:rsidRPr="009D2829" w:rsidRDefault="00282E35" w:rsidP="008921BF">
      <w:pPr>
        <w:numPr>
          <w:ilvl w:val="0"/>
          <w:numId w:val="115"/>
        </w:numPr>
        <w:spacing w:after="0" w:line="240" w:lineRule="auto"/>
        <w:jc w:val="both"/>
        <w:rPr>
          <w:rFonts w:cs="Arial"/>
        </w:rPr>
      </w:pPr>
      <w:r w:rsidRPr="009D2829">
        <w:rPr>
          <w:rFonts w:cs="Arial"/>
        </w:rPr>
        <w:t>The capacity of schools in Barnet struggles to meet demand from the population each year, with temporary and permanent expansions being commissioned as part of a school expansion strategy, and the Council working in partnerships with Free Schools to develop new provision.</w:t>
      </w:r>
    </w:p>
    <w:p w:rsidR="00282E35" w:rsidRPr="009D2829" w:rsidRDefault="00282E35" w:rsidP="008921BF">
      <w:pPr>
        <w:numPr>
          <w:ilvl w:val="0"/>
          <w:numId w:val="115"/>
        </w:numPr>
        <w:spacing w:after="0" w:line="240" w:lineRule="auto"/>
        <w:jc w:val="both"/>
        <w:rPr>
          <w:rFonts w:cs="Arial"/>
        </w:rPr>
      </w:pPr>
      <w:r w:rsidRPr="009D2829">
        <w:rPr>
          <w:rFonts w:cs="Arial"/>
        </w:rPr>
        <w:t>Black pupils perform relatively poorly compared to other ethnic groups in Barnet across all key stages.</w:t>
      </w:r>
    </w:p>
    <w:p w:rsidR="00282E35" w:rsidRDefault="00282E35" w:rsidP="008921BF">
      <w:pPr>
        <w:numPr>
          <w:ilvl w:val="0"/>
          <w:numId w:val="115"/>
        </w:numPr>
        <w:spacing w:after="0" w:line="240" w:lineRule="auto"/>
        <w:jc w:val="both"/>
        <w:rPr>
          <w:rFonts w:cs="Arial"/>
        </w:rPr>
      </w:pPr>
      <w:r w:rsidRPr="009D2829">
        <w:rPr>
          <w:rFonts w:cs="Arial"/>
        </w:rPr>
        <w:t>Whilst disadvantaged children perform above disadvantaged children nationally, they continue to perform significantly below their non-disadvantaged counterparts.</w:t>
      </w:r>
    </w:p>
    <w:p w:rsidR="00282E35" w:rsidRPr="002A0226" w:rsidRDefault="00282E35" w:rsidP="00282E35">
      <w:pPr>
        <w:pStyle w:val="Heading3"/>
      </w:pPr>
      <w:r w:rsidRPr="002A0226">
        <w:t>Looked After Children</w:t>
      </w:r>
    </w:p>
    <w:p w:rsidR="00282E35" w:rsidRPr="002A0226" w:rsidRDefault="00282E35" w:rsidP="00282E35">
      <w:pPr>
        <w:spacing w:after="0" w:line="240" w:lineRule="auto"/>
        <w:jc w:val="both"/>
        <w:rPr>
          <w:rFonts w:cs="Arial"/>
        </w:rPr>
      </w:pPr>
      <w:r w:rsidRPr="002A0226">
        <w:rPr>
          <w:rFonts w:cs="Arial"/>
        </w:rPr>
        <w:t>In 2014, the attainment of looked after children in Barnet is in line with or above that of looked after children nationally at Key Stage 1 (level 2+), is slightly below that of looked after children nationally at Key Stage 2 (level 4+) in RWM, Mathematics, EGPS, and in line with or above for Reading and Writing. A lower proportion of Barnet’s looked after pupils attained the expected standard at GCSE compared to looked after children nationally (12% compared to 15%). However, the attainment of looked after children remains significantly below the attainment of their non-looked after counterparts (both nationally and in Barnet) across all key stages.</w:t>
      </w:r>
    </w:p>
    <w:p w:rsidR="00282E35" w:rsidRPr="002A0226" w:rsidRDefault="00282E35" w:rsidP="00282E35">
      <w:pPr>
        <w:spacing w:after="0" w:line="240" w:lineRule="auto"/>
        <w:jc w:val="both"/>
        <w:rPr>
          <w:rFonts w:cs="Arial"/>
        </w:rPr>
      </w:pPr>
    </w:p>
    <w:p w:rsidR="00282E35" w:rsidRPr="002A0226" w:rsidRDefault="00282E35" w:rsidP="00282E35">
      <w:pPr>
        <w:spacing w:after="0" w:line="240" w:lineRule="auto"/>
        <w:jc w:val="both"/>
        <w:rPr>
          <w:rFonts w:cs="Arial"/>
        </w:rPr>
      </w:pPr>
      <w:r w:rsidRPr="002A0226">
        <w:rPr>
          <w:rFonts w:cs="Arial"/>
        </w:rPr>
        <w:t>Value-added (the amount of progress made) between key stages 1 and 2 for looked after children in Barnet has remained below the progress seen in looked after children nationally since 2012, and remains below the progress of their non-looked after counterparts in al years. Value-added (the amount of progress made) between key stages 2 and 4 for looked after children in Barnet was below the progress seen in looked after children nationally in 2012 and 2014, and remains below the progress of their non-looked after counterparts across the past 3 academic years.</w:t>
      </w:r>
    </w:p>
    <w:p w:rsidR="00282E35" w:rsidRPr="002A0226" w:rsidRDefault="00282E35" w:rsidP="00282E35">
      <w:pPr>
        <w:spacing w:after="0" w:line="240" w:lineRule="auto"/>
        <w:jc w:val="both"/>
        <w:rPr>
          <w:rFonts w:cs="Arial"/>
        </w:rPr>
      </w:pPr>
    </w:p>
    <w:p w:rsidR="00282E35" w:rsidRPr="002A0226" w:rsidRDefault="00282E35" w:rsidP="00282E35">
      <w:pPr>
        <w:spacing w:after="0" w:line="240" w:lineRule="auto"/>
        <w:jc w:val="both"/>
        <w:rPr>
          <w:rFonts w:cs="Arial"/>
        </w:rPr>
      </w:pPr>
      <w:r w:rsidRPr="002A0226">
        <w:rPr>
          <w:rFonts w:cs="Arial"/>
        </w:rPr>
        <w:t xml:space="preserve">The virtual school has recently been re-located within the Barnet School Improvement Team and a permanent </w:t>
      </w:r>
      <w:proofErr w:type="spellStart"/>
      <w:r w:rsidRPr="002A0226">
        <w:rPr>
          <w:rFonts w:cs="Arial"/>
        </w:rPr>
        <w:t>headteacher</w:t>
      </w:r>
      <w:proofErr w:type="spellEnd"/>
      <w:r w:rsidRPr="002A0226">
        <w:rPr>
          <w:rFonts w:cs="Arial"/>
        </w:rPr>
        <w:t xml:space="preserve"> appointed in order to drive up educational standards within this cohort. </w:t>
      </w:r>
    </w:p>
    <w:p w:rsidR="00282E35" w:rsidRPr="00B1135D" w:rsidRDefault="00282E35" w:rsidP="00282E35">
      <w:pPr>
        <w:pStyle w:val="Heading3"/>
        <w:keepNext w:val="0"/>
        <w:keepLines w:val="0"/>
        <w:spacing w:line="271" w:lineRule="auto"/>
      </w:pPr>
      <w:r w:rsidRPr="00B1135D">
        <w:t>Special Educational Needs</w:t>
      </w:r>
    </w:p>
    <w:p w:rsidR="00282E35" w:rsidRDefault="00B02702" w:rsidP="00282E35">
      <w:pPr>
        <w:spacing w:after="0" w:line="240" w:lineRule="auto"/>
        <w:jc w:val="both"/>
        <w:rPr>
          <w:rFonts w:cs="Arial"/>
        </w:rPr>
      </w:pPr>
      <w:r>
        <w:rPr>
          <w:rFonts w:cs="Arial"/>
        </w:rPr>
        <w:t>Barnet has four State-funded special schools and three</w:t>
      </w:r>
      <w:r w:rsidR="00282E35" w:rsidRPr="00B1135D">
        <w:rPr>
          <w:rFonts w:cs="Arial"/>
        </w:rPr>
        <w:t xml:space="preserve"> Pupil Referral</w:t>
      </w:r>
      <w:r>
        <w:rPr>
          <w:rFonts w:cs="Arial"/>
        </w:rPr>
        <w:t xml:space="preserve"> Units. Across all pupils with Special E</w:t>
      </w:r>
      <w:r w:rsidR="00282E35" w:rsidRPr="00B1135D">
        <w:rPr>
          <w:rFonts w:cs="Arial"/>
        </w:rPr>
        <w:t>ducation</w:t>
      </w:r>
      <w:r>
        <w:rPr>
          <w:rFonts w:cs="Arial"/>
        </w:rPr>
        <w:t>al</w:t>
      </w:r>
      <w:r w:rsidR="00282E35" w:rsidRPr="00B1135D">
        <w:rPr>
          <w:rFonts w:cs="Arial"/>
        </w:rPr>
        <w:t xml:space="preserve"> </w:t>
      </w:r>
      <w:r>
        <w:rPr>
          <w:rFonts w:cs="Arial"/>
        </w:rPr>
        <w:t>N</w:t>
      </w:r>
      <w:r w:rsidR="00282E35" w:rsidRPr="00B1135D">
        <w:rPr>
          <w:rFonts w:cs="Arial"/>
        </w:rPr>
        <w:t>eeds</w:t>
      </w:r>
      <w:r>
        <w:rPr>
          <w:rFonts w:cs="Arial"/>
        </w:rPr>
        <w:t xml:space="preserve"> (SEN)</w:t>
      </w:r>
      <w:r w:rsidR="00282E35" w:rsidRPr="00B1135D">
        <w:rPr>
          <w:rFonts w:cs="Arial"/>
        </w:rPr>
        <w:t xml:space="preserve"> in Barnet, the highest proportion of needs in primary schools are Speech, Language and Communication; in secondary the highest proportion of needs are in Behavioural, Emotional and Social Difficulties. </w:t>
      </w:r>
    </w:p>
    <w:p w:rsidR="00282E35" w:rsidRPr="00B1135D" w:rsidRDefault="00282E35" w:rsidP="00282E35">
      <w:pPr>
        <w:spacing w:after="0" w:line="240" w:lineRule="auto"/>
        <w:jc w:val="both"/>
        <w:rPr>
          <w:rFonts w:cs="Arial"/>
        </w:rPr>
      </w:pPr>
    </w:p>
    <w:p w:rsidR="00282E35" w:rsidRDefault="00282E35" w:rsidP="00282E35">
      <w:pPr>
        <w:spacing w:after="0" w:line="240" w:lineRule="auto"/>
        <w:jc w:val="both"/>
        <w:rPr>
          <w:rFonts w:cs="Arial"/>
        </w:rPr>
      </w:pPr>
      <w:r w:rsidRPr="00B1135D">
        <w:rPr>
          <w:rFonts w:cs="Arial"/>
        </w:rPr>
        <w:t>Primary Category of SEN Statement Type</w:t>
      </w:r>
      <w:r>
        <w:rPr>
          <w:rFonts w:cs="Arial"/>
        </w:rPr>
        <w:t xml:space="preserve"> is shown in figure 7-2 and trend in the figure below.</w:t>
      </w:r>
    </w:p>
    <w:p w:rsidR="00282E35" w:rsidRDefault="00282E35" w:rsidP="00282E35">
      <w:pPr>
        <w:spacing w:after="0" w:line="240" w:lineRule="auto"/>
        <w:jc w:val="both"/>
        <w:rPr>
          <w:rFonts w:eastAsia="Times New Roman" w:cs="Arial"/>
          <w:sz w:val="20"/>
          <w:szCs w:val="20"/>
        </w:rPr>
      </w:pPr>
    </w:p>
    <w:p w:rsidR="00282E35" w:rsidRDefault="00282E35" w:rsidP="00282E35">
      <w:pPr>
        <w:spacing w:after="0" w:line="240" w:lineRule="auto"/>
        <w:jc w:val="both"/>
        <w:rPr>
          <w:rFonts w:eastAsia="Times New Roman" w:cs="Arial"/>
          <w:sz w:val="20"/>
          <w:szCs w:val="20"/>
        </w:rPr>
      </w:pPr>
    </w:p>
    <w:p w:rsidR="00282E35" w:rsidRDefault="00282E35" w:rsidP="00282E35">
      <w:pPr>
        <w:spacing w:after="0" w:line="240" w:lineRule="auto"/>
        <w:jc w:val="both"/>
        <w:rPr>
          <w:rFonts w:eastAsia="Times New Roman" w:cs="Arial"/>
          <w:sz w:val="20"/>
          <w:szCs w:val="20"/>
        </w:rPr>
      </w:pPr>
    </w:p>
    <w:p w:rsidR="002D4909" w:rsidRDefault="002D4909" w:rsidP="00282E35">
      <w:pPr>
        <w:spacing w:after="0" w:line="240" w:lineRule="auto"/>
        <w:jc w:val="both"/>
        <w:rPr>
          <w:rFonts w:eastAsia="Times New Roman" w:cs="Arial"/>
          <w:sz w:val="20"/>
          <w:szCs w:val="20"/>
        </w:rPr>
      </w:pPr>
    </w:p>
    <w:p w:rsidR="00282E35" w:rsidRDefault="00282E35" w:rsidP="00282E35">
      <w:pPr>
        <w:spacing w:after="0" w:line="240" w:lineRule="auto"/>
        <w:jc w:val="both"/>
        <w:rPr>
          <w:rFonts w:eastAsia="Times New Roman" w:cs="Arial"/>
          <w:sz w:val="20"/>
          <w:szCs w:val="20"/>
        </w:rPr>
      </w:pPr>
    </w:p>
    <w:p w:rsidR="00282E35" w:rsidRDefault="00282E35" w:rsidP="00282E35">
      <w:pPr>
        <w:spacing w:after="0" w:line="240" w:lineRule="auto"/>
        <w:jc w:val="both"/>
        <w:rPr>
          <w:rFonts w:eastAsia="Times New Roman" w:cs="Arial"/>
          <w:sz w:val="20"/>
          <w:szCs w:val="20"/>
        </w:rPr>
      </w:pPr>
    </w:p>
    <w:p w:rsidR="00282E35" w:rsidRDefault="00282E35" w:rsidP="00282E35">
      <w:pPr>
        <w:spacing w:after="0" w:line="240" w:lineRule="auto"/>
        <w:jc w:val="both"/>
        <w:rPr>
          <w:rFonts w:eastAsia="Times New Roman" w:cs="Arial"/>
          <w:sz w:val="20"/>
          <w:szCs w:val="20"/>
        </w:rPr>
      </w:pPr>
    </w:p>
    <w:p w:rsidR="00282E35" w:rsidRDefault="00282E35" w:rsidP="00282E35">
      <w:pPr>
        <w:pStyle w:val="Caption"/>
        <w:rPr>
          <w:rFonts w:eastAsia="Times New Roman" w:cs="Arial"/>
          <w:sz w:val="20"/>
          <w:szCs w:val="20"/>
        </w:rPr>
      </w:pPr>
      <w:r>
        <w:lastRenderedPageBreak/>
        <w:t xml:space="preserve">Figure </w:t>
      </w:r>
      <w:fldSimple w:instr=" STYLEREF 1 \s ">
        <w:r w:rsidR="001663C2">
          <w:rPr>
            <w:noProof/>
          </w:rPr>
          <w:t>8</w:t>
        </w:r>
      </w:fldSimple>
      <w:r w:rsidR="00943DC2">
        <w:noBreakHyphen/>
      </w:r>
      <w:fldSimple w:instr=" SEQ Figure \* ARABIC \s 1 ">
        <w:r w:rsidR="001663C2">
          <w:rPr>
            <w:noProof/>
          </w:rPr>
          <w:t>2</w:t>
        </w:r>
      </w:fldSimple>
      <w:r w:rsidRPr="00BE7968">
        <w:rPr>
          <w:rFonts w:eastAsia="Times New Roman" w:cs="Arial"/>
          <w:szCs w:val="22"/>
        </w:rPr>
        <w:t>: Proportion of Total of SEN Need by Type</w:t>
      </w:r>
    </w:p>
    <w:p w:rsidR="00282E35" w:rsidRPr="008F1374" w:rsidRDefault="00282E35" w:rsidP="002D4909">
      <w:pPr>
        <w:spacing w:after="0" w:line="240" w:lineRule="auto"/>
        <w:jc w:val="center"/>
        <w:rPr>
          <w:rFonts w:eastAsia="Times New Roman" w:cs="Arial"/>
          <w:b/>
          <w:sz w:val="20"/>
          <w:szCs w:val="20"/>
        </w:rPr>
      </w:pPr>
      <w:r w:rsidRPr="008F1374">
        <w:rPr>
          <w:rFonts w:cs="Arial"/>
          <w:b/>
          <w:noProof/>
          <w:lang w:eastAsia="en-GB"/>
        </w:rPr>
        <w:drawing>
          <wp:inline distT="0" distB="0" distL="0" distR="0" wp14:anchorId="18F93876" wp14:editId="2BF7C236">
            <wp:extent cx="5838825" cy="2438400"/>
            <wp:effectExtent l="0" t="0" r="9525" b="19050"/>
            <wp:docPr id="49180" name="Chart 4918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p w:rsidR="00282E35" w:rsidRPr="000C5EEB" w:rsidRDefault="00282E35" w:rsidP="00282E35">
      <w:pPr>
        <w:spacing w:after="0" w:line="240" w:lineRule="auto"/>
        <w:jc w:val="both"/>
        <w:rPr>
          <w:rFonts w:eastAsia="Times New Roman" w:cs="Arial"/>
          <w:sz w:val="20"/>
          <w:szCs w:val="20"/>
        </w:rPr>
      </w:pPr>
      <w:r w:rsidRPr="000C5EEB">
        <w:rPr>
          <w:rFonts w:eastAsia="Times New Roman" w:cs="Arial"/>
          <w:sz w:val="20"/>
          <w:szCs w:val="20"/>
        </w:rPr>
        <w:t>Source: January Census 2014</w:t>
      </w:r>
    </w:p>
    <w:p w:rsidR="00282E35" w:rsidRDefault="00282E35" w:rsidP="00282E35">
      <w:pPr>
        <w:spacing w:after="0" w:line="240" w:lineRule="auto"/>
        <w:jc w:val="both"/>
        <w:rPr>
          <w:rFonts w:eastAsia="Times New Roman" w:cs="Arial"/>
          <w:b/>
        </w:rPr>
      </w:pPr>
    </w:p>
    <w:p w:rsidR="00282E35" w:rsidRPr="00BE7968" w:rsidRDefault="00282E35" w:rsidP="00282E35">
      <w:pPr>
        <w:pStyle w:val="Caption"/>
      </w:pPr>
      <w:r>
        <w:t xml:space="preserve">Figure </w:t>
      </w:r>
      <w:fldSimple w:instr=" STYLEREF 1 \s ">
        <w:r w:rsidR="001663C2">
          <w:rPr>
            <w:noProof/>
          </w:rPr>
          <w:t>8</w:t>
        </w:r>
      </w:fldSimple>
      <w:r w:rsidR="00943DC2">
        <w:noBreakHyphen/>
      </w:r>
      <w:fldSimple w:instr=" SEQ Figure \* ARABIC \s 1 ">
        <w:r w:rsidR="001663C2">
          <w:rPr>
            <w:noProof/>
          </w:rPr>
          <w:t>3</w:t>
        </w:r>
      </w:fldSimple>
      <w:r>
        <w:t xml:space="preserve">: </w:t>
      </w:r>
      <w:r w:rsidRPr="00BE7968">
        <w:rPr>
          <w:lang w:val="en-US"/>
        </w:rPr>
        <w:t>Trend DATA Barnet SEN Statement Numbers by Category of Need; 2010-2014</w:t>
      </w:r>
    </w:p>
    <w:p w:rsidR="00282E35" w:rsidRDefault="00282E35" w:rsidP="00282E35">
      <w:pPr>
        <w:spacing w:after="0" w:line="240" w:lineRule="auto"/>
        <w:jc w:val="center"/>
        <w:rPr>
          <w:rFonts w:eastAsia="Times New Roman" w:cs="Arial"/>
          <w:b/>
        </w:rPr>
      </w:pPr>
      <w:r w:rsidRPr="001C7EDC">
        <w:rPr>
          <w:noProof/>
          <w:sz w:val="24"/>
          <w:szCs w:val="24"/>
          <w:lang w:eastAsia="en-GB"/>
        </w:rPr>
        <w:drawing>
          <wp:inline distT="0" distB="0" distL="0" distR="0" wp14:anchorId="5AE2660F" wp14:editId="3A72427D">
            <wp:extent cx="5886450" cy="3067050"/>
            <wp:effectExtent l="0" t="0" r="19050" b="19050"/>
            <wp:docPr id="49181" name="Chart 491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p w:rsidR="00282E35" w:rsidRDefault="00282E35" w:rsidP="00282E35">
      <w:pPr>
        <w:spacing w:after="0" w:line="240" w:lineRule="auto"/>
        <w:jc w:val="both"/>
        <w:rPr>
          <w:rFonts w:eastAsia="Times New Roman" w:cs="Arial"/>
          <w:b/>
        </w:rPr>
      </w:pPr>
    </w:p>
    <w:p w:rsidR="00282E35" w:rsidRDefault="00282E35" w:rsidP="00282E35">
      <w:pPr>
        <w:spacing w:after="0" w:line="240" w:lineRule="auto"/>
        <w:jc w:val="both"/>
        <w:rPr>
          <w:rFonts w:cs="Arial"/>
        </w:rPr>
      </w:pPr>
      <w:r w:rsidRPr="00B1135D">
        <w:rPr>
          <w:rFonts w:cs="Arial"/>
        </w:rPr>
        <w:t>Barnet is an inclusive authority, given that 57% of pupils (997 of a total of 175</w:t>
      </w:r>
      <w:r w:rsidR="00C124B6">
        <w:rPr>
          <w:rFonts w:cs="Arial"/>
        </w:rPr>
        <w:t>1 in 2014) with a statement of S</w:t>
      </w:r>
      <w:r w:rsidRPr="00B1135D">
        <w:rPr>
          <w:rFonts w:cs="Arial"/>
        </w:rPr>
        <w:t xml:space="preserve">pecial </w:t>
      </w:r>
      <w:r w:rsidR="00C124B6">
        <w:rPr>
          <w:rFonts w:cs="Arial"/>
        </w:rPr>
        <w:t>Educational N</w:t>
      </w:r>
      <w:r w:rsidRPr="00B1135D">
        <w:rPr>
          <w:rFonts w:cs="Arial"/>
        </w:rPr>
        <w:t>eeds maintained by the council ar</w:t>
      </w:r>
      <w:r w:rsidR="00C124B6">
        <w:rPr>
          <w:rFonts w:cs="Arial"/>
        </w:rPr>
        <w:t>e placed in mainstream settings. A</w:t>
      </w:r>
      <w:r w:rsidRPr="00B1135D">
        <w:rPr>
          <w:rFonts w:cs="Arial"/>
        </w:rPr>
        <w:t xml:space="preserve"> level which </w:t>
      </w:r>
      <w:r w:rsidR="00702B67">
        <w:rPr>
          <w:rFonts w:cs="Arial"/>
        </w:rPr>
        <w:t>is significantly higher than</w:t>
      </w:r>
      <w:r w:rsidRPr="00B1135D">
        <w:rPr>
          <w:rFonts w:cs="Arial"/>
        </w:rPr>
        <w:t xml:space="preserve"> statistical neighbours and other Outer London </w:t>
      </w:r>
      <w:r>
        <w:rPr>
          <w:rFonts w:cs="Arial"/>
        </w:rPr>
        <w:t>Borough</w:t>
      </w:r>
      <w:r w:rsidRPr="00B1135D">
        <w:rPr>
          <w:rFonts w:cs="Arial"/>
        </w:rPr>
        <w:t>s</w:t>
      </w:r>
      <w:r w:rsidR="00C124B6">
        <w:rPr>
          <w:rFonts w:cs="Arial"/>
        </w:rPr>
        <w:t>,</w:t>
      </w:r>
      <w:r w:rsidRPr="00B1135D">
        <w:rPr>
          <w:rFonts w:cs="Arial"/>
        </w:rPr>
        <w:t xml:space="preserve"> where larger proportions attend specialist provision. </w:t>
      </w:r>
    </w:p>
    <w:p w:rsidR="00282E35" w:rsidRDefault="00282E35" w:rsidP="00282E35">
      <w:pPr>
        <w:spacing w:after="0" w:line="240" w:lineRule="auto"/>
        <w:jc w:val="both"/>
        <w:rPr>
          <w:rFonts w:cs="Arial"/>
        </w:rPr>
      </w:pPr>
    </w:p>
    <w:p w:rsidR="00282E35" w:rsidRDefault="00282E35" w:rsidP="00282E35">
      <w:pPr>
        <w:spacing w:after="0" w:line="240" w:lineRule="auto"/>
        <w:jc w:val="both"/>
        <w:rPr>
          <w:rFonts w:cs="Arial"/>
        </w:rPr>
      </w:pPr>
      <w:r w:rsidRPr="00B1135D">
        <w:rPr>
          <w:rFonts w:cs="Arial"/>
        </w:rPr>
        <w:t>Specialist provision is required to meet the needs of the remaining children and young people. Some of this is offered by Additional Resourced Provisions (ARPs) in mainstream primary and secondary schools, with a greater number of places provided by the council’s four special schools. Additional</w:t>
      </w:r>
      <w:r w:rsidR="00C124B6">
        <w:rPr>
          <w:rFonts w:cs="Arial"/>
        </w:rPr>
        <w:t>ly, a number of pupils with SEN</w:t>
      </w:r>
      <w:r w:rsidRPr="00B1135D">
        <w:rPr>
          <w:rFonts w:cs="Arial"/>
        </w:rPr>
        <w:t xml:space="preserve"> are placed in the special schools of other local authorities, whilst, in 2014, almost 10% (167) of pupils with a statement of </w:t>
      </w:r>
      <w:r w:rsidR="00C124B6">
        <w:rPr>
          <w:rFonts w:cs="Arial"/>
        </w:rPr>
        <w:t>SEN</w:t>
      </w:r>
      <w:r w:rsidRPr="00B1135D">
        <w:rPr>
          <w:rFonts w:cs="Arial"/>
        </w:rPr>
        <w:t xml:space="preserve"> issued by the council were placed in a non-maintained or independent provision, including 35 in expensi</w:t>
      </w:r>
      <w:r>
        <w:rPr>
          <w:rFonts w:cs="Arial"/>
        </w:rPr>
        <w:t>ve residential settings.</w:t>
      </w:r>
      <w:r w:rsidRPr="00B1135D">
        <w:rPr>
          <w:rFonts w:cs="Arial"/>
        </w:rPr>
        <w:t xml:space="preserve"> </w:t>
      </w:r>
    </w:p>
    <w:p w:rsidR="00282E35" w:rsidRDefault="00282E35" w:rsidP="00282E35">
      <w:pPr>
        <w:spacing w:after="0" w:line="240" w:lineRule="auto"/>
        <w:jc w:val="both"/>
        <w:rPr>
          <w:rFonts w:cs="Arial"/>
        </w:rPr>
      </w:pPr>
    </w:p>
    <w:p w:rsidR="00282E35" w:rsidRPr="00B1135D" w:rsidRDefault="00282E35" w:rsidP="00282E35">
      <w:pPr>
        <w:spacing w:after="0" w:line="240" w:lineRule="auto"/>
        <w:jc w:val="both"/>
        <w:rPr>
          <w:rFonts w:cs="Arial"/>
        </w:rPr>
      </w:pPr>
      <w:r>
        <w:rPr>
          <w:rFonts w:cs="Arial"/>
        </w:rPr>
        <w:t xml:space="preserve">A </w:t>
      </w:r>
      <w:r w:rsidRPr="00B1135D">
        <w:rPr>
          <w:rFonts w:cs="Arial"/>
        </w:rPr>
        <w:t>detailed assessment of t</w:t>
      </w:r>
      <w:r w:rsidR="00C124B6">
        <w:rPr>
          <w:rFonts w:cs="Arial"/>
        </w:rPr>
        <w:t>he future needs of Barnet’s SEN</w:t>
      </w:r>
      <w:r w:rsidRPr="00B1135D">
        <w:rPr>
          <w:rFonts w:cs="Arial"/>
        </w:rPr>
        <w:t xml:space="preserve"> population established the followi</w:t>
      </w:r>
      <w:r>
        <w:rPr>
          <w:rFonts w:cs="Arial"/>
        </w:rPr>
        <w:t>ng need</w:t>
      </w:r>
      <w:r w:rsidR="00C124B6">
        <w:rPr>
          <w:rFonts w:cs="Arial"/>
        </w:rPr>
        <w:t>s</w:t>
      </w:r>
      <w:r>
        <w:rPr>
          <w:rFonts w:cs="Arial"/>
        </w:rPr>
        <w:t xml:space="preserve"> to be met up to 2019/20. The findings are displayed in Table 8-5. </w:t>
      </w:r>
    </w:p>
    <w:p w:rsidR="00282E35" w:rsidRDefault="00282E35" w:rsidP="00282E35">
      <w:pPr>
        <w:spacing w:after="0" w:line="240" w:lineRule="auto"/>
        <w:rPr>
          <w:rFonts w:cs="Arial"/>
        </w:rPr>
      </w:pPr>
    </w:p>
    <w:p w:rsidR="00282E35" w:rsidRDefault="00282E35" w:rsidP="00282E35">
      <w:pPr>
        <w:pStyle w:val="Caption"/>
        <w:rPr>
          <w:rFonts w:cs="Arial"/>
        </w:rPr>
      </w:pPr>
      <w:r>
        <w:t xml:space="preserve">Table </w:t>
      </w:r>
      <w:fldSimple w:instr=" STYLEREF 1 \s ">
        <w:r w:rsidR="001663C2">
          <w:rPr>
            <w:noProof/>
          </w:rPr>
          <w:t>8</w:t>
        </w:r>
      </w:fldSimple>
      <w:r>
        <w:noBreakHyphen/>
      </w:r>
      <w:fldSimple w:instr=" SEQ Table \* ARABIC \s 1 ">
        <w:r w:rsidR="001663C2">
          <w:rPr>
            <w:noProof/>
          </w:rPr>
          <w:t>5</w:t>
        </w:r>
      </w:fldSimple>
      <w:r>
        <w:t>: Future Needs of Barnet’s SEND Population</w:t>
      </w:r>
    </w:p>
    <w:tbl>
      <w:tblPr>
        <w:tblW w:w="9498" w:type="dxa"/>
        <w:jc w:val="center"/>
        <w:tblInd w:w="4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3"/>
        <w:gridCol w:w="1275"/>
        <w:gridCol w:w="1701"/>
        <w:gridCol w:w="1701"/>
        <w:gridCol w:w="2268"/>
      </w:tblGrid>
      <w:tr w:rsidR="00282E35" w:rsidRPr="00B1135D" w:rsidTr="00282E35">
        <w:trPr>
          <w:trHeight w:val="859"/>
          <w:jc w:val="center"/>
        </w:trPr>
        <w:tc>
          <w:tcPr>
            <w:tcW w:w="2553" w:type="dxa"/>
            <w:shd w:val="clear" w:color="auto" w:fill="548DD4" w:themeFill="text2" w:themeFillTint="99"/>
            <w:vAlign w:val="center"/>
            <w:hideMark/>
          </w:tcPr>
          <w:p w:rsidR="00282E35" w:rsidRPr="00E44560" w:rsidRDefault="00282E35" w:rsidP="00E50C61">
            <w:pPr>
              <w:spacing w:after="0" w:line="240" w:lineRule="auto"/>
              <w:rPr>
                <w:rFonts w:cs="Arial"/>
                <w:sz w:val="20"/>
                <w:szCs w:val="20"/>
              </w:rPr>
            </w:pPr>
            <w:r w:rsidRPr="00E44560">
              <w:rPr>
                <w:rFonts w:cs="Arial"/>
                <w:sz w:val="20"/>
                <w:szCs w:val="20"/>
              </w:rPr>
              <w:t> </w:t>
            </w:r>
          </w:p>
        </w:tc>
        <w:tc>
          <w:tcPr>
            <w:tcW w:w="1275" w:type="dxa"/>
            <w:shd w:val="clear" w:color="auto" w:fill="548DD4" w:themeFill="text2" w:themeFillTint="99"/>
            <w:vAlign w:val="center"/>
            <w:hideMark/>
          </w:tcPr>
          <w:p w:rsidR="00282E35" w:rsidRPr="00E44560" w:rsidRDefault="00282E35" w:rsidP="00E50C61">
            <w:pPr>
              <w:spacing w:after="0" w:line="240" w:lineRule="auto"/>
              <w:rPr>
                <w:rFonts w:cs="Arial"/>
                <w:sz w:val="20"/>
                <w:szCs w:val="20"/>
              </w:rPr>
            </w:pPr>
            <w:r w:rsidRPr="00E44560">
              <w:rPr>
                <w:rFonts w:cs="Arial"/>
                <w:sz w:val="20"/>
                <w:szCs w:val="20"/>
              </w:rPr>
              <w:t>Primary ASD/SLCN*</w:t>
            </w:r>
          </w:p>
        </w:tc>
        <w:tc>
          <w:tcPr>
            <w:tcW w:w="1701" w:type="dxa"/>
            <w:shd w:val="clear" w:color="auto" w:fill="548DD4" w:themeFill="text2" w:themeFillTint="99"/>
            <w:vAlign w:val="center"/>
            <w:hideMark/>
          </w:tcPr>
          <w:p w:rsidR="00282E35" w:rsidRPr="00E44560" w:rsidRDefault="00282E35" w:rsidP="00E50C61">
            <w:pPr>
              <w:spacing w:after="0" w:line="240" w:lineRule="auto"/>
              <w:rPr>
                <w:rFonts w:cs="Arial"/>
                <w:sz w:val="20"/>
                <w:szCs w:val="20"/>
              </w:rPr>
            </w:pPr>
            <w:r w:rsidRPr="00E44560">
              <w:rPr>
                <w:rFonts w:cs="Arial"/>
                <w:sz w:val="20"/>
                <w:szCs w:val="20"/>
              </w:rPr>
              <w:t>Secondary ASD/SLCN*</w:t>
            </w:r>
          </w:p>
        </w:tc>
        <w:tc>
          <w:tcPr>
            <w:tcW w:w="1701" w:type="dxa"/>
            <w:shd w:val="clear" w:color="auto" w:fill="548DD4" w:themeFill="text2" w:themeFillTint="99"/>
            <w:vAlign w:val="center"/>
            <w:hideMark/>
          </w:tcPr>
          <w:p w:rsidR="00282E35" w:rsidRPr="00E44560" w:rsidRDefault="00282E35" w:rsidP="00E50C61">
            <w:pPr>
              <w:spacing w:after="0" w:line="240" w:lineRule="auto"/>
              <w:rPr>
                <w:rFonts w:cs="Arial"/>
                <w:sz w:val="20"/>
                <w:szCs w:val="20"/>
              </w:rPr>
            </w:pPr>
            <w:r w:rsidRPr="00E44560">
              <w:rPr>
                <w:rFonts w:cs="Arial"/>
                <w:sz w:val="20"/>
                <w:szCs w:val="20"/>
              </w:rPr>
              <w:t>Primary BESD**</w:t>
            </w:r>
          </w:p>
        </w:tc>
        <w:tc>
          <w:tcPr>
            <w:tcW w:w="2268" w:type="dxa"/>
            <w:shd w:val="clear" w:color="auto" w:fill="548DD4" w:themeFill="text2" w:themeFillTint="99"/>
            <w:vAlign w:val="center"/>
            <w:hideMark/>
          </w:tcPr>
          <w:p w:rsidR="00282E35" w:rsidRPr="00E44560" w:rsidRDefault="00282E35" w:rsidP="00E50C61">
            <w:pPr>
              <w:spacing w:after="0" w:line="240" w:lineRule="auto"/>
              <w:rPr>
                <w:rFonts w:cs="Arial"/>
                <w:sz w:val="20"/>
                <w:szCs w:val="20"/>
              </w:rPr>
            </w:pPr>
            <w:r w:rsidRPr="00E44560">
              <w:rPr>
                <w:rFonts w:cs="Arial"/>
                <w:sz w:val="20"/>
                <w:szCs w:val="20"/>
              </w:rPr>
              <w:t>Secondary MLD***</w:t>
            </w:r>
          </w:p>
        </w:tc>
      </w:tr>
      <w:tr w:rsidR="00282E35" w:rsidRPr="00B1135D" w:rsidTr="00282E35">
        <w:trPr>
          <w:trHeight w:val="300"/>
          <w:jc w:val="center"/>
        </w:trPr>
        <w:tc>
          <w:tcPr>
            <w:tcW w:w="2553" w:type="dxa"/>
            <w:shd w:val="clear" w:color="auto" w:fill="auto"/>
            <w:noWrap/>
            <w:vAlign w:val="bottom"/>
            <w:hideMark/>
          </w:tcPr>
          <w:p w:rsidR="00282E35" w:rsidRPr="00E44560" w:rsidRDefault="00282E35" w:rsidP="00E50C61">
            <w:pPr>
              <w:spacing w:after="0" w:line="240" w:lineRule="auto"/>
              <w:rPr>
                <w:rFonts w:cs="Arial"/>
                <w:sz w:val="20"/>
                <w:szCs w:val="20"/>
              </w:rPr>
            </w:pPr>
            <w:r w:rsidRPr="00E44560">
              <w:rPr>
                <w:rFonts w:cs="Arial"/>
                <w:sz w:val="20"/>
                <w:szCs w:val="20"/>
              </w:rPr>
              <w:t>Demography</w:t>
            </w:r>
          </w:p>
        </w:tc>
        <w:tc>
          <w:tcPr>
            <w:tcW w:w="1275" w:type="dxa"/>
            <w:shd w:val="clear" w:color="auto" w:fill="auto"/>
            <w:noWrap/>
            <w:vAlign w:val="center"/>
            <w:hideMark/>
          </w:tcPr>
          <w:p w:rsidR="00282E35" w:rsidRPr="00E44560" w:rsidRDefault="00282E35" w:rsidP="00E50C61">
            <w:pPr>
              <w:spacing w:after="0" w:line="240" w:lineRule="auto"/>
              <w:jc w:val="center"/>
              <w:rPr>
                <w:rFonts w:cs="Arial"/>
                <w:sz w:val="20"/>
                <w:szCs w:val="20"/>
              </w:rPr>
            </w:pPr>
            <w:r w:rsidRPr="00E44560">
              <w:rPr>
                <w:rFonts w:cs="Arial"/>
                <w:sz w:val="20"/>
                <w:szCs w:val="20"/>
              </w:rPr>
              <w:t>18</w:t>
            </w:r>
          </w:p>
        </w:tc>
        <w:tc>
          <w:tcPr>
            <w:tcW w:w="1701" w:type="dxa"/>
            <w:shd w:val="clear" w:color="auto" w:fill="auto"/>
            <w:noWrap/>
            <w:vAlign w:val="center"/>
            <w:hideMark/>
          </w:tcPr>
          <w:p w:rsidR="00282E35" w:rsidRPr="00E44560" w:rsidRDefault="00282E35" w:rsidP="00E50C61">
            <w:pPr>
              <w:spacing w:after="0" w:line="240" w:lineRule="auto"/>
              <w:jc w:val="center"/>
              <w:rPr>
                <w:rFonts w:cs="Arial"/>
                <w:sz w:val="20"/>
                <w:szCs w:val="20"/>
              </w:rPr>
            </w:pPr>
            <w:r w:rsidRPr="00E44560">
              <w:rPr>
                <w:rFonts w:cs="Arial"/>
                <w:sz w:val="20"/>
                <w:szCs w:val="20"/>
              </w:rPr>
              <w:t>45</w:t>
            </w:r>
          </w:p>
        </w:tc>
        <w:tc>
          <w:tcPr>
            <w:tcW w:w="1701" w:type="dxa"/>
            <w:shd w:val="clear" w:color="auto" w:fill="auto"/>
            <w:noWrap/>
            <w:vAlign w:val="center"/>
            <w:hideMark/>
          </w:tcPr>
          <w:p w:rsidR="00282E35" w:rsidRPr="00E44560" w:rsidRDefault="00282E35" w:rsidP="00E50C61">
            <w:pPr>
              <w:spacing w:after="0" w:line="240" w:lineRule="auto"/>
              <w:jc w:val="center"/>
              <w:rPr>
                <w:rFonts w:cs="Arial"/>
                <w:sz w:val="20"/>
                <w:szCs w:val="20"/>
              </w:rPr>
            </w:pPr>
            <w:r w:rsidRPr="00E44560">
              <w:rPr>
                <w:rFonts w:cs="Arial"/>
                <w:sz w:val="20"/>
                <w:szCs w:val="20"/>
              </w:rPr>
              <w:t>2</w:t>
            </w:r>
          </w:p>
        </w:tc>
        <w:tc>
          <w:tcPr>
            <w:tcW w:w="2268" w:type="dxa"/>
            <w:shd w:val="clear" w:color="auto" w:fill="auto"/>
            <w:noWrap/>
            <w:vAlign w:val="center"/>
            <w:hideMark/>
          </w:tcPr>
          <w:p w:rsidR="00282E35" w:rsidRPr="00E44560" w:rsidRDefault="00282E35" w:rsidP="00E50C61">
            <w:pPr>
              <w:spacing w:after="0" w:line="240" w:lineRule="auto"/>
              <w:jc w:val="center"/>
              <w:rPr>
                <w:rFonts w:cs="Arial"/>
                <w:sz w:val="20"/>
                <w:szCs w:val="20"/>
              </w:rPr>
            </w:pPr>
            <w:r w:rsidRPr="00E44560">
              <w:rPr>
                <w:rFonts w:cs="Arial"/>
                <w:sz w:val="20"/>
                <w:szCs w:val="20"/>
              </w:rPr>
              <w:t>11</w:t>
            </w:r>
          </w:p>
        </w:tc>
      </w:tr>
      <w:tr w:rsidR="00282E35" w:rsidRPr="00B1135D" w:rsidTr="00282E35">
        <w:trPr>
          <w:trHeight w:val="300"/>
          <w:jc w:val="center"/>
        </w:trPr>
        <w:tc>
          <w:tcPr>
            <w:tcW w:w="2553" w:type="dxa"/>
            <w:shd w:val="clear" w:color="auto" w:fill="auto"/>
            <w:noWrap/>
            <w:vAlign w:val="bottom"/>
            <w:hideMark/>
          </w:tcPr>
          <w:p w:rsidR="00282E35" w:rsidRPr="00E44560" w:rsidRDefault="00282E35" w:rsidP="00E50C61">
            <w:pPr>
              <w:spacing w:after="0" w:line="240" w:lineRule="auto"/>
              <w:rPr>
                <w:rFonts w:cs="Arial"/>
                <w:sz w:val="20"/>
                <w:szCs w:val="20"/>
              </w:rPr>
            </w:pPr>
            <w:r w:rsidRPr="00E44560">
              <w:rPr>
                <w:rFonts w:cs="Arial"/>
                <w:sz w:val="20"/>
                <w:szCs w:val="20"/>
              </w:rPr>
              <w:t>Reduce dependency on expensive placements</w:t>
            </w:r>
          </w:p>
        </w:tc>
        <w:tc>
          <w:tcPr>
            <w:tcW w:w="1275" w:type="dxa"/>
            <w:shd w:val="clear" w:color="auto" w:fill="auto"/>
            <w:noWrap/>
            <w:vAlign w:val="center"/>
            <w:hideMark/>
          </w:tcPr>
          <w:p w:rsidR="00282E35" w:rsidRPr="00E44560" w:rsidRDefault="00282E35" w:rsidP="00E50C61">
            <w:pPr>
              <w:spacing w:after="0" w:line="240" w:lineRule="auto"/>
              <w:jc w:val="center"/>
              <w:rPr>
                <w:rFonts w:cs="Arial"/>
                <w:sz w:val="20"/>
                <w:szCs w:val="20"/>
              </w:rPr>
            </w:pPr>
            <w:r w:rsidRPr="00E44560">
              <w:rPr>
                <w:rFonts w:cs="Arial"/>
                <w:sz w:val="20"/>
                <w:szCs w:val="20"/>
              </w:rPr>
              <w:t>10</w:t>
            </w:r>
          </w:p>
        </w:tc>
        <w:tc>
          <w:tcPr>
            <w:tcW w:w="1701" w:type="dxa"/>
            <w:shd w:val="clear" w:color="auto" w:fill="auto"/>
            <w:noWrap/>
            <w:vAlign w:val="center"/>
            <w:hideMark/>
          </w:tcPr>
          <w:p w:rsidR="00282E35" w:rsidRPr="00E44560" w:rsidRDefault="00282E35" w:rsidP="00E50C61">
            <w:pPr>
              <w:spacing w:after="0" w:line="240" w:lineRule="auto"/>
              <w:jc w:val="center"/>
              <w:rPr>
                <w:rFonts w:cs="Arial"/>
                <w:sz w:val="20"/>
                <w:szCs w:val="20"/>
              </w:rPr>
            </w:pPr>
            <w:r w:rsidRPr="00E44560">
              <w:rPr>
                <w:rFonts w:cs="Arial"/>
                <w:sz w:val="20"/>
                <w:szCs w:val="20"/>
              </w:rPr>
              <w:t>10</w:t>
            </w:r>
          </w:p>
        </w:tc>
        <w:tc>
          <w:tcPr>
            <w:tcW w:w="1701" w:type="dxa"/>
            <w:shd w:val="clear" w:color="auto" w:fill="auto"/>
            <w:noWrap/>
            <w:vAlign w:val="center"/>
            <w:hideMark/>
          </w:tcPr>
          <w:p w:rsidR="00282E35" w:rsidRPr="00E44560" w:rsidRDefault="00282E35" w:rsidP="00E50C61">
            <w:pPr>
              <w:spacing w:after="0" w:line="240" w:lineRule="auto"/>
              <w:jc w:val="center"/>
              <w:rPr>
                <w:rFonts w:cs="Arial"/>
                <w:sz w:val="20"/>
                <w:szCs w:val="20"/>
              </w:rPr>
            </w:pPr>
            <w:r w:rsidRPr="00E44560">
              <w:rPr>
                <w:rFonts w:cs="Arial"/>
                <w:sz w:val="20"/>
                <w:szCs w:val="20"/>
              </w:rPr>
              <w:t>8</w:t>
            </w:r>
          </w:p>
        </w:tc>
        <w:tc>
          <w:tcPr>
            <w:tcW w:w="2268" w:type="dxa"/>
            <w:shd w:val="clear" w:color="auto" w:fill="auto"/>
            <w:noWrap/>
            <w:vAlign w:val="center"/>
            <w:hideMark/>
          </w:tcPr>
          <w:p w:rsidR="00282E35" w:rsidRPr="00E44560" w:rsidRDefault="00282E35" w:rsidP="00E50C61">
            <w:pPr>
              <w:spacing w:after="0" w:line="240" w:lineRule="auto"/>
              <w:jc w:val="center"/>
              <w:rPr>
                <w:rFonts w:cs="Arial"/>
                <w:sz w:val="20"/>
                <w:szCs w:val="20"/>
              </w:rPr>
            </w:pPr>
            <w:r w:rsidRPr="00E44560">
              <w:rPr>
                <w:rFonts w:cs="Arial"/>
                <w:sz w:val="20"/>
                <w:szCs w:val="20"/>
              </w:rPr>
              <w:t>5</w:t>
            </w:r>
          </w:p>
        </w:tc>
      </w:tr>
      <w:tr w:rsidR="00282E35" w:rsidRPr="00B1135D" w:rsidTr="00282E35">
        <w:trPr>
          <w:trHeight w:val="300"/>
          <w:jc w:val="center"/>
        </w:trPr>
        <w:tc>
          <w:tcPr>
            <w:tcW w:w="2553" w:type="dxa"/>
            <w:shd w:val="clear" w:color="auto" w:fill="auto"/>
            <w:noWrap/>
            <w:vAlign w:val="bottom"/>
            <w:hideMark/>
          </w:tcPr>
          <w:p w:rsidR="00282E35" w:rsidRPr="00E44560" w:rsidRDefault="00282E35" w:rsidP="00E50C61">
            <w:pPr>
              <w:spacing w:after="0" w:line="240" w:lineRule="auto"/>
              <w:rPr>
                <w:rFonts w:cs="Arial"/>
                <w:sz w:val="20"/>
                <w:szCs w:val="20"/>
              </w:rPr>
            </w:pPr>
            <w:r w:rsidRPr="00E44560">
              <w:rPr>
                <w:rFonts w:cs="Arial"/>
                <w:sz w:val="20"/>
                <w:szCs w:val="20"/>
              </w:rPr>
              <w:t>Total</w:t>
            </w:r>
          </w:p>
        </w:tc>
        <w:tc>
          <w:tcPr>
            <w:tcW w:w="1275" w:type="dxa"/>
            <w:shd w:val="clear" w:color="auto" w:fill="auto"/>
            <w:noWrap/>
            <w:vAlign w:val="center"/>
            <w:hideMark/>
          </w:tcPr>
          <w:p w:rsidR="00282E35" w:rsidRPr="00E44560" w:rsidRDefault="00282E35" w:rsidP="00E50C61">
            <w:pPr>
              <w:spacing w:after="0" w:line="240" w:lineRule="auto"/>
              <w:jc w:val="center"/>
              <w:rPr>
                <w:rFonts w:cs="Arial"/>
                <w:sz w:val="20"/>
                <w:szCs w:val="20"/>
              </w:rPr>
            </w:pPr>
            <w:r w:rsidRPr="00E44560">
              <w:rPr>
                <w:rFonts w:cs="Arial"/>
                <w:sz w:val="20"/>
                <w:szCs w:val="20"/>
              </w:rPr>
              <w:t>28</w:t>
            </w:r>
          </w:p>
        </w:tc>
        <w:tc>
          <w:tcPr>
            <w:tcW w:w="1701" w:type="dxa"/>
            <w:shd w:val="clear" w:color="auto" w:fill="auto"/>
            <w:noWrap/>
            <w:vAlign w:val="center"/>
            <w:hideMark/>
          </w:tcPr>
          <w:p w:rsidR="00282E35" w:rsidRPr="00E44560" w:rsidRDefault="00282E35" w:rsidP="00E50C61">
            <w:pPr>
              <w:spacing w:after="0" w:line="240" w:lineRule="auto"/>
              <w:jc w:val="center"/>
              <w:rPr>
                <w:rFonts w:cs="Arial"/>
                <w:sz w:val="20"/>
                <w:szCs w:val="20"/>
              </w:rPr>
            </w:pPr>
            <w:r w:rsidRPr="00E44560">
              <w:rPr>
                <w:rFonts w:cs="Arial"/>
                <w:sz w:val="20"/>
                <w:szCs w:val="20"/>
              </w:rPr>
              <w:t>55</w:t>
            </w:r>
          </w:p>
        </w:tc>
        <w:tc>
          <w:tcPr>
            <w:tcW w:w="1701" w:type="dxa"/>
            <w:shd w:val="clear" w:color="auto" w:fill="auto"/>
            <w:noWrap/>
            <w:vAlign w:val="center"/>
            <w:hideMark/>
          </w:tcPr>
          <w:p w:rsidR="00282E35" w:rsidRPr="00E44560" w:rsidRDefault="00282E35" w:rsidP="00E50C61">
            <w:pPr>
              <w:spacing w:after="0" w:line="240" w:lineRule="auto"/>
              <w:jc w:val="center"/>
              <w:rPr>
                <w:rFonts w:cs="Arial"/>
                <w:sz w:val="20"/>
                <w:szCs w:val="20"/>
              </w:rPr>
            </w:pPr>
            <w:r w:rsidRPr="00E44560">
              <w:rPr>
                <w:rFonts w:cs="Arial"/>
                <w:sz w:val="20"/>
                <w:szCs w:val="20"/>
              </w:rPr>
              <w:t>10</w:t>
            </w:r>
          </w:p>
        </w:tc>
        <w:tc>
          <w:tcPr>
            <w:tcW w:w="2268" w:type="dxa"/>
            <w:shd w:val="clear" w:color="auto" w:fill="auto"/>
            <w:noWrap/>
            <w:vAlign w:val="center"/>
            <w:hideMark/>
          </w:tcPr>
          <w:p w:rsidR="00282E35" w:rsidRPr="00E44560" w:rsidRDefault="00282E35" w:rsidP="00E50C61">
            <w:pPr>
              <w:spacing w:after="0" w:line="240" w:lineRule="auto"/>
              <w:jc w:val="center"/>
              <w:rPr>
                <w:rFonts w:cs="Arial"/>
                <w:sz w:val="20"/>
                <w:szCs w:val="20"/>
              </w:rPr>
            </w:pPr>
            <w:r w:rsidRPr="00E44560">
              <w:rPr>
                <w:rFonts w:cs="Arial"/>
                <w:sz w:val="20"/>
                <w:szCs w:val="20"/>
              </w:rPr>
              <w:t>16</w:t>
            </w:r>
          </w:p>
        </w:tc>
      </w:tr>
    </w:tbl>
    <w:p w:rsidR="00282E35" w:rsidRPr="0046740E" w:rsidRDefault="00282E35" w:rsidP="00282E35">
      <w:pPr>
        <w:spacing w:before="40" w:after="0" w:line="240" w:lineRule="auto"/>
        <w:rPr>
          <w:rFonts w:cs="Arial"/>
          <w:sz w:val="18"/>
          <w:szCs w:val="18"/>
        </w:rPr>
      </w:pPr>
      <w:r w:rsidRPr="00B1135D">
        <w:rPr>
          <w:rFonts w:cs="Arial"/>
        </w:rPr>
        <w:t xml:space="preserve">*     </w:t>
      </w:r>
      <w:r w:rsidRPr="0046740E">
        <w:rPr>
          <w:rFonts w:cs="Arial"/>
          <w:sz w:val="18"/>
          <w:szCs w:val="18"/>
        </w:rPr>
        <w:t>Autistic Spectrum Difficulties / Speech, Language and Communication Needs</w:t>
      </w:r>
    </w:p>
    <w:p w:rsidR="00282E35" w:rsidRPr="0046740E" w:rsidRDefault="00282E35" w:rsidP="00282E35">
      <w:pPr>
        <w:spacing w:before="40" w:after="0" w:line="240" w:lineRule="auto"/>
        <w:rPr>
          <w:rFonts w:cs="Arial"/>
          <w:sz w:val="18"/>
          <w:szCs w:val="18"/>
        </w:rPr>
      </w:pPr>
      <w:r w:rsidRPr="0046740E">
        <w:rPr>
          <w:rFonts w:cs="Arial"/>
          <w:sz w:val="18"/>
          <w:szCs w:val="18"/>
        </w:rPr>
        <w:t>**   Behaviour, Emotional and Social Difficulties</w:t>
      </w:r>
    </w:p>
    <w:p w:rsidR="00282E35" w:rsidRDefault="00282E35" w:rsidP="00282E35">
      <w:pPr>
        <w:spacing w:before="40" w:after="0" w:line="240" w:lineRule="auto"/>
        <w:rPr>
          <w:rFonts w:cs="Arial"/>
          <w:sz w:val="18"/>
          <w:szCs w:val="18"/>
        </w:rPr>
      </w:pPr>
      <w:r w:rsidRPr="0046740E">
        <w:rPr>
          <w:rFonts w:cs="Arial"/>
          <w:sz w:val="18"/>
          <w:szCs w:val="18"/>
        </w:rPr>
        <w:t xml:space="preserve">*** </w:t>
      </w:r>
      <w:r>
        <w:rPr>
          <w:rFonts w:cs="Arial"/>
          <w:sz w:val="18"/>
          <w:szCs w:val="18"/>
        </w:rPr>
        <w:t xml:space="preserve">Moderate Learning Difficulties </w:t>
      </w:r>
    </w:p>
    <w:p w:rsidR="00282E35" w:rsidRPr="00C577B6" w:rsidRDefault="00282E35" w:rsidP="00282E35">
      <w:pPr>
        <w:pStyle w:val="Heading4"/>
        <w:keepNext w:val="0"/>
        <w:keepLines w:val="0"/>
        <w:jc w:val="both"/>
        <w:rPr>
          <w:i w:val="0"/>
        </w:rPr>
      </w:pPr>
      <w:r w:rsidRPr="00C577B6">
        <w:rPr>
          <w:i w:val="0"/>
        </w:rPr>
        <w:t>Attainment of SEN pupils</w:t>
      </w:r>
    </w:p>
    <w:p w:rsidR="00282E35" w:rsidRDefault="00282E35" w:rsidP="00282E35">
      <w:pPr>
        <w:spacing w:after="0" w:line="240" w:lineRule="auto"/>
        <w:jc w:val="both"/>
        <w:rPr>
          <w:rFonts w:cs="Arial"/>
        </w:rPr>
      </w:pPr>
      <w:r w:rsidRPr="00B1135D">
        <w:rPr>
          <w:rFonts w:cs="Arial"/>
        </w:rPr>
        <w:t>Key Stage 2 attainment of Barnet pupils with a statement of SEN (at level 4+ in Reading, Writing and Mathematics) is in the top quartile in the country, ranked 13</w:t>
      </w:r>
      <w:r w:rsidRPr="00B1135D">
        <w:rPr>
          <w:rFonts w:cs="Arial"/>
          <w:vertAlign w:val="superscript"/>
        </w:rPr>
        <w:t>th</w:t>
      </w:r>
      <w:r w:rsidRPr="00B1135D">
        <w:rPr>
          <w:rFonts w:cs="Arial"/>
        </w:rPr>
        <w:t xml:space="preserve"> nationally, whilst attainment of SEN pupils without a statement of SEN (those identified on School Action or School Action plus) is also in the top quartile nationally, ranked 12</w:t>
      </w:r>
      <w:r w:rsidRPr="00B1135D">
        <w:rPr>
          <w:rFonts w:cs="Arial"/>
          <w:vertAlign w:val="superscript"/>
        </w:rPr>
        <w:t>th</w:t>
      </w:r>
      <w:r w:rsidRPr="00B1135D">
        <w:rPr>
          <w:rFonts w:cs="Arial"/>
        </w:rPr>
        <w:t xml:space="preserve">. </w:t>
      </w:r>
    </w:p>
    <w:p w:rsidR="00282E35" w:rsidRDefault="00282E35" w:rsidP="00282E35">
      <w:pPr>
        <w:spacing w:after="0" w:line="240" w:lineRule="auto"/>
        <w:jc w:val="both"/>
        <w:rPr>
          <w:rFonts w:cs="Arial"/>
          <w:b/>
          <w:i/>
        </w:rPr>
      </w:pPr>
    </w:p>
    <w:p w:rsidR="00282E35" w:rsidRPr="00B1135D" w:rsidRDefault="00282E35" w:rsidP="00282E35">
      <w:pPr>
        <w:spacing w:after="0" w:line="240" w:lineRule="auto"/>
        <w:jc w:val="both"/>
        <w:rPr>
          <w:rFonts w:cs="Arial"/>
        </w:rPr>
      </w:pPr>
      <w:r w:rsidRPr="00B1135D">
        <w:rPr>
          <w:rFonts w:cs="Arial"/>
        </w:rPr>
        <w:t>Key Stage 4 Attainment of Barnet pupils with a statement of SEN (5 A*-C grades including English and Mathematics) is in the top quartile in the country, ranked 20</w:t>
      </w:r>
      <w:r w:rsidRPr="00B1135D">
        <w:rPr>
          <w:rFonts w:cs="Arial"/>
          <w:vertAlign w:val="superscript"/>
        </w:rPr>
        <w:t>th</w:t>
      </w:r>
      <w:r w:rsidRPr="00B1135D">
        <w:rPr>
          <w:rFonts w:cs="Arial"/>
        </w:rPr>
        <w:t xml:space="preserve"> nationally</w:t>
      </w:r>
      <w:r>
        <w:rPr>
          <w:rFonts w:cs="Arial"/>
        </w:rPr>
        <w:t>,</w:t>
      </w:r>
      <w:r w:rsidRPr="00B1135D">
        <w:rPr>
          <w:rFonts w:cs="Arial"/>
        </w:rPr>
        <w:t xml:space="preserve"> whilst attainment of Barnet SEN pupils without a statement is in the top quartile in the country, ranked 33</w:t>
      </w:r>
      <w:r w:rsidRPr="00B1135D">
        <w:rPr>
          <w:rFonts w:cs="Arial"/>
          <w:vertAlign w:val="superscript"/>
        </w:rPr>
        <w:t>rd</w:t>
      </w:r>
      <w:r w:rsidRPr="00B1135D">
        <w:rPr>
          <w:rFonts w:cs="Arial"/>
        </w:rPr>
        <w:t xml:space="preserve"> nationally.</w:t>
      </w:r>
    </w:p>
    <w:p w:rsidR="00282E35" w:rsidRPr="00C577B6" w:rsidRDefault="002D4909" w:rsidP="00282E35">
      <w:pPr>
        <w:pStyle w:val="Heading4"/>
        <w:keepNext w:val="0"/>
        <w:keepLines w:val="0"/>
        <w:jc w:val="both"/>
        <w:rPr>
          <w:i w:val="0"/>
        </w:rPr>
      </w:pPr>
      <w:r>
        <w:rPr>
          <w:rFonts w:eastAsia="Times New Roman"/>
          <w:i w:val="0"/>
        </w:rPr>
        <w:t>The R</w:t>
      </w:r>
      <w:r w:rsidR="00282E35" w:rsidRPr="00C577B6">
        <w:rPr>
          <w:rFonts w:eastAsia="Times New Roman"/>
          <w:i w:val="0"/>
        </w:rPr>
        <w:t xml:space="preserve">eview of </w:t>
      </w:r>
      <w:r>
        <w:rPr>
          <w:rFonts w:eastAsia="Times New Roman"/>
          <w:i w:val="0"/>
        </w:rPr>
        <w:t>F</w:t>
      </w:r>
      <w:r w:rsidR="00282E35" w:rsidRPr="00C577B6">
        <w:rPr>
          <w:rFonts w:eastAsia="Times New Roman"/>
          <w:i w:val="0"/>
        </w:rPr>
        <w:t xml:space="preserve">uture </w:t>
      </w:r>
      <w:r>
        <w:rPr>
          <w:rFonts w:eastAsia="Times New Roman"/>
          <w:i w:val="0"/>
        </w:rPr>
        <w:t>N</w:t>
      </w:r>
      <w:r w:rsidR="00282E35" w:rsidRPr="00C577B6">
        <w:rPr>
          <w:rFonts w:eastAsia="Times New Roman"/>
          <w:i w:val="0"/>
        </w:rPr>
        <w:t xml:space="preserve">eeds, </w:t>
      </w:r>
      <w:r>
        <w:rPr>
          <w:rFonts w:eastAsia="Times New Roman"/>
          <w:i w:val="0"/>
        </w:rPr>
        <w:t>K</w:t>
      </w:r>
      <w:r w:rsidR="00282E35" w:rsidRPr="00C577B6">
        <w:rPr>
          <w:rFonts w:eastAsia="Times New Roman"/>
          <w:i w:val="0"/>
        </w:rPr>
        <w:t xml:space="preserve">ey </w:t>
      </w:r>
      <w:r>
        <w:rPr>
          <w:rFonts w:eastAsia="Times New Roman"/>
          <w:i w:val="0"/>
        </w:rPr>
        <w:t>I</w:t>
      </w:r>
      <w:r w:rsidR="00282E35" w:rsidRPr="00C577B6">
        <w:rPr>
          <w:rFonts w:eastAsia="Times New Roman"/>
          <w:i w:val="0"/>
        </w:rPr>
        <w:t>ssues</w:t>
      </w:r>
    </w:p>
    <w:p w:rsidR="00282E35" w:rsidRPr="00B1135D" w:rsidRDefault="00282E35" w:rsidP="00282E35">
      <w:pPr>
        <w:spacing w:after="0" w:line="240" w:lineRule="auto"/>
        <w:jc w:val="both"/>
        <w:rPr>
          <w:rFonts w:cs="Arial"/>
        </w:rPr>
      </w:pPr>
      <w:r>
        <w:rPr>
          <w:rFonts w:cs="Arial"/>
        </w:rPr>
        <w:t>A</w:t>
      </w:r>
      <w:r w:rsidRPr="00B1135D">
        <w:rPr>
          <w:rFonts w:cs="Arial"/>
        </w:rPr>
        <w:t xml:space="preserve"> review of future needs mapped the current provision against the range of needs of children with</w:t>
      </w:r>
      <w:r>
        <w:rPr>
          <w:rFonts w:cs="Arial"/>
        </w:rPr>
        <w:t xml:space="preserve"> </w:t>
      </w:r>
      <w:r w:rsidR="007F2301">
        <w:rPr>
          <w:rFonts w:cs="Arial"/>
        </w:rPr>
        <w:t>SEN</w:t>
      </w:r>
      <w:r>
        <w:rPr>
          <w:rFonts w:cs="Arial"/>
        </w:rPr>
        <w:t xml:space="preserve"> in Barnet. It found that:</w:t>
      </w:r>
    </w:p>
    <w:p w:rsidR="00282E35" w:rsidRPr="00B1135D" w:rsidRDefault="00282E35" w:rsidP="008921BF">
      <w:pPr>
        <w:numPr>
          <w:ilvl w:val="0"/>
          <w:numId w:val="115"/>
        </w:numPr>
        <w:spacing w:after="0" w:line="240" w:lineRule="auto"/>
        <w:jc w:val="both"/>
        <w:rPr>
          <w:rFonts w:cs="Arial"/>
        </w:rPr>
      </w:pPr>
      <w:r>
        <w:rPr>
          <w:rFonts w:cs="Arial"/>
        </w:rPr>
        <w:t>T</w:t>
      </w:r>
      <w:r w:rsidRPr="00B1135D">
        <w:rPr>
          <w:rFonts w:cs="Arial"/>
        </w:rPr>
        <w:t xml:space="preserve">he current pattern of provision of specialist places provided through a mix of special schools and resourced provisions within mainstream schools no longer best meets the geographic spread of demand across the </w:t>
      </w:r>
      <w:r>
        <w:rPr>
          <w:rFonts w:cs="Arial"/>
        </w:rPr>
        <w:t>Borough</w:t>
      </w:r>
      <w:r w:rsidRPr="00B1135D">
        <w:rPr>
          <w:rFonts w:cs="Arial"/>
        </w:rPr>
        <w:t xml:space="preserve">. This is resulting in a significant and growing transport cost and for some children, long journeys to school. </w:t>
      </w:r>
    </w:p>
    <w:p w:rsidR="00282E35" w:rsidRPr="00B1135D" w:rsidRDefault="00282E35" w:rsidP="008921BF">
      <w:pPr>
        <w:numPr>
          <w:ilvl w:val="0"/>
          <w:numId w:val="115"/>
        </w:numPr>
        <w:spacing w:after="0" w:line="240" w:lineRule="auto"/>
        <w:jc w:val="both"/>
        <w:rPr>
          <w:rFonts w:cs="Arial"/>
        </w:rPr>
      </w:pPr>
      <w:r w:rsidRPr="00282E35">
        <w:rPr>
          <w:rFonts w:cs="Arial"/>
        </w:rPr>
        <w:t xml:space="preserve">The consistency in the current pattern of provision within the ARPs, particularly for children with Autistic Spectrum Difficulties and </w:t>
      </w:r>
      <w:r w:rsidR="007F2301">
        <w:rPr>
          <w:rFonts w:cs="Arial"/>
        </w:rPr>
        <w:t>Speech, L</w:t>
      </w:r>
      <w:r w:rsidRPr="00B1135D">
        <w:rPr>
          <w:rFonts w:cs="Arial"/>
        </w:rPr>
        <w:t>anguag</w:t>
      </w:r>
      <w:r w:rsidR="007F2301">
        <w:rPr>
          <w:rFonts w:cs="Arial"/>
        </w:rPr>
        <w:t>e and C</w:t>
      </w:r>
      <w:r w:rsidRPr="00B1135D">
        <w:rPr>
          <w:rFonts w:cs="Arial"/>
        </w:rPr>
        <w:t>ommunication needs</w:t>
      </w:r>
      <w:r w:rsidRPr="00282E35">
        <w:rPr>
          <w:rFonts w:cs="Arial"/>
        </w:rPr>
        <w:t xml:space="preserve"> could be improved, both in the types of need catered for and the nature of the offer with regard to levels of inclusion within the mainstream setting in which the ARP is located.</w:t>
      </w:r>
    </w:p>
    <w:p w:rsidR="00282E35" w:rsidRPr="00B1135D" w:rsidRDefault="00282E35" w:rsidP="008921BF">
      <w:pPr>
        <w:numPr>
          <w:ilvl w:val="0"/>
          <w:numId w:val="115"/>
        </w:numPr>
        <w:spacing w:after="0" w:line="240" w:lineRule="auto"/>
        <w:jc w:val="both"/>
        <w:rPr>
          <w:rFonts w:cs="Arial"/>
        </w:rPr>
      </w:pPr>
      <w:r w:rsidRPr="00282E35">
        <w:rPr>
          <w:rFonts w:cs="Arial"/>
        </w:rPr>
        <w:t xml:space="preserve">There is some overlap in the nature of needs that are being met within the four special schools and this is an increasingly common feature nationally. </w:t>
      </w:r>
    </w:p>
    <w:p w:rsidR="00282E35" w:rsidRPr="00B1135D" w:rsidRDefault="00282E35" w:rsidP="008921BF">
      <w:pPr>
        <w:numPr>
          <w:ilvl w:val="0"/>
          <w:numId w:val="115"/>
        </w:numPr>
        <w:spacing w:after="0" w:line="240" w:lineRule="auto"/>
        <w:jc w:val="both"/>
        <w:rPr>
          <w:rFonts w:cs="Arial"/>
        </w:rPr>
      </w:pPr>
      <w:r w:rsidRPr="00282E35">
        <w:rPr>
          <w:rFonts w:cs="Arial"/>
        </w:rPr>
        <w:t xml:space="preserve">The number of post-16 pupils </w:t>
      </w:r>
      <w:r w:rsidR="00881CC4">
        <w:rPr>
          <w:rFonts w:cs="Arial"/>
        </w:rPr>
        <w:t xml:space="preserve">remaining </w:t>
      </w:r>
      <w:r w:rsidRPr="00282E35">
        <w:rPr>
          <w:rFonts w:cs="Arial"/>
        </w:rPr>
        <w:t>in special schools is causing pressure on the availability of places for admission of younger pupils.</w:t>
      </w:r>
    </w:p>
    <w:p w:rsidR="00282E35" w:rsidRPr="000A2830" w:rsidRDefault="00282E35" w:rsidP="008921BF">
      <w:pPr>
        <w:numPr>
          <w:ilvl w:val="0"/>
          <w:numId w:val="115"/>
        </w:numPr>
        <w:spacing w:after="0" w:line="240" w:lineRule="auto"/>
        <w:jc w:val="both"/>
        <w:rPr>
          <w:rFonts w:cs="Arial"/>
        </w:rPr>
      </w:pPr>
      <w:r w:rsidRPr="00282E35">
        <w:rPr>
          <w:rFonts w:cs="Arial"/>
        </w:rPr>
        <w:t>There is an opportunity to improve the offer for children with significant SENs in the area of</w:t>
      </w:r>
      <w:r w:rsidRPr="00B1135D">
        <w:rPr>
          <w:rFonts w:cs="Arial"/>
          <w:bCs/>
        </w:rPr>
        <w:t xml:space="preserve"> behavioural, emotional and social </w:t>
      </w:r>
      <w:r w:rsidRPr="00282E35">
        <w:rPr>
          <w:rFonts w:cs="Arial"/>
        </w:rPr>
        <w:t>difficulties</w:t>
      </w:r>
      <w:r w:rsidRPr="00B1135D">
        <w:rPr>
          <w:rFonts w:cs="Arial"/>
          <w:bCs/>
        </w:rPr>
        <w:t xml:space="preserve"> (now described in the new SEN Code of Practice as “social, emotional and mental health difficulties”). </w:t>
      </w:r>
    </w:p>
    <w:p w:rsidR="00282E35" w:rsidRPr="00C577B6" w:rsidRDefault="00282E35" w:rsidP="00282E35">
      <w:pPr>
        <w:pStyle w:val="Heading4"/>
        <w:keepNext w:val="0"/>
        <w:keepLines w:val="0"/>
        <w:jc w:val="both"/>
        <w:rPr>
          <w:i w:val="0"/>
        </w:rPr>
      </w:pPr>
      <w:r w:rsidRPr="00C577B6">
        <w:rPr>
          <w:rFonts w:eastAsia="Times New Roman"/>
          <w:i w:val="0"/>
        </w:rPr>
        <w:t>Key Issues</w:t>
      </w:r>
    </w:p>
    <w:p w:rsidR="00282E35" w:rsidRPr="004A3714" w:rsidRDefault="00282E35" w:rsidP="008921BF">
      <w:pPr>
        <w:pStyle w:val="ListParagraph"/>
        <w:numPr>
          <w:ilvl w:val="0"/>
          <w:numId w:val="117"/>
        </w:numPr>
        <w:jc w:val="both"/>
        <w:rPr>
          <w:rFonts w:eastAsia="Times New Roman"/>
          <w:bCs/>
          <w:iCs/>
        </w:rPr>
      </w:pPr>
      <w:r>
        <w:t xml:space="preserve">Future needs have </w:t>
      </w:r>
      <w:r w:rsidRPr="00B1135D">
        <w:t>consider</w:t>
      </w:r>
      <w:r>
        <w:t>ed</w:t>
      </w:r>
      <w:r w:rsidRPr="00B1135D">
        <w:t xml:space="preserve"> how best to invest in order to bot</w:t>
      </w:r>
      <w:r>
        <w:t xml:space="preserve">h meet the increased </w:t>
      </w:r>
      <w:r w:rsidR="00DD3A76">
        <w:t>demand</w:t>
      </w:r>
      <w:r>
        <w:t xml:space="preserve"> and </w:t>
      </w:r>
      <w:r w:rsidR="007F2301">
        <w:t xml:space="preserve">the </w:t>
      </w:r>
      <w:r w:rsidRPr="00B1135D">
        <w:t>increase</w:t>
      </w:r>
      <w:r>
        <w:t xml:space="preserve"> in local provision, </w:t>
      </w:r>
      <w:r w:rsidRPr="00B1135D">
        <w:t>to meet parental aspirations and reduce transport costs. The review considered the cost, site availability</w:t>
      </w:r>
      <w:r>
        <w:t>,</w:t>
      </w:r>
      <w:r w:rsidRPr="00B1135D">
        <w:t xml:space="preserve"> and range of pupil needs and concluded that </w:t>
      </w:r>
      <w:r w:rsidRPr="004A3714">
        <w:rPr>
          <w:rFonts w:eastAsia="Times New Roman"/>
          <w:bCs/>
          <w:iCs/>
        </w:rPr>
        <w:t>future provision should be shaped through:</w:t>
      </w:r>
    </w:p>
    <w:p w:rsidR="00282E35" w:rsidRPr="004A3714" w:rsidRDefault="00282E35" w:rsidP="008921BF">
      <w:pPr>
        <w:pStyle w:val="ListParagraph"/>
        <w:numPr>
          <w:ilvl w:val="1"/>
          <w:numId w:val="117"/>
        </w:numPr>
        <w:jc w:val="both"/>
        <w:rPr>
          <w:rFonts w:eastAsia="Times New Roman"/>
          <w:bCs/>
          <w:iCs/>
        </w:rPr>
      </w:pPr>
      <w:r w:rsidRPr="004A3714">
        <w:rPr>
          <w:rFonts w:eastAsia="Times New Roman"/>
          <w:bCs/>
          <w:iCs/>
        </w:rPr>
        <w:t xml:space="preserve">developing a pattern of smaller localised new provision within existing or newly commissioned mainstream schools; </w:t>
      </w:r>
    </w:p>
    <w:p w:rsidR="00282E35" w:rsidRPr="004A3714" w:rsidRDefault="00282E35" w:rsidP="008921BF">
      <w:pPr>
        <w:pStyle w:val="ListParagraph"/>
        <w:numPr>
          <w:ilvl w:val="1"/>
          <w:numId w:val="117"/>
        </w:numPr>
        <w:jc w:val="both"/>
        <w:rPr>
          <w:rFonts w:eastAsia="Times New Roman"/>
          <w:bCs/>
          <w:iCs/>
        </w:rPr>
      </w:pPr>
      <w:r w:rsidRPr="004A3714">
        <w:rPr>
          <w:rFonts w:eastAsia="Times New Roman"/>
          <w:bCs/>
          <w:iCs/>
        </w:rPr>
        <w:lastRenderedPageBreak/>
        <w:t>working with mainstream schools to improve provision within existing resourced provision, whilst sharing expertise across the network of provision;</w:t>
      </w:r>
    </w:p>
    <w:p w:rsidR="00282E35" w:rsidRPr="004A3714" w:rsidRDefault="00702B67" w:rsidP="008921BF">
      <w:pPr>
        <w:pStyle w:val="ListParagraph"/>
        <w:numPr>
          <w:ilvl w:val="1"/>
          <w:numId w:val="117"/>
        </w:numPr>
        <w:jc w:val="both"/>
        <w:rPr>
          <w:rFonts w:eastAsia="Times New Roman"/>
          <w:bCs/>
          <w:iCs/>
        </w:rPr>
      </w:pPr>
      <w:r>
        <w:rPr>
          <w:rFonts w:eastAsia="Times New Roman"/>
          <w:bCs/>
          <w:iCs/>
        </w:rPr>
        <w:t>re-shaping provision within</w:t>
      </w:r>
      <w:r w:rsidR="00282E35" w:rsidRPr="004A3714">
        <w:rPr>
          <w:rFonts w:eastAsia="Times New Roman"/>
          <w:bCs/>
          <w:iCs/>
        </w:rPr>
        <w:t xml:space="preserve"> existing special schools; </w:t>
      </w:r>
    </w:p>
    <w:p w:rsidR="00282E35" w:rsidRPr="004A3714" w:rsidRDefault="00282E35" w:rsidP="008921BF">
      <w:pPr>
        <w:pStyle w:val="ListParagraph"/>
        <w:numPr>
          <w:ilvl w:val="1"/>
          <w:numId w:val="117"/>
        </w:numPr>
        <w:jc w:val="both"/>
        <w:rPr>
          <w:rFonts w:eastAsia="Times New Roman"/>
          <w:bCs/>
          <w:iCs/>
        </w:rPr>
      </w:pPr>
      <w:r w:rsidRPr="004A3714">
        <w:rPr>
          <w:rFonts w:eastAsia="Times New Roman"/>
          <w:bCs/>
          <w:iCs/>
        </w:rPr>
        <w:t xml:space="preserve">re-shaping the current offer for children with </w:t>
      </w:r>
      <w:r w:rsidRPr="004A3714">
        <w:rPr>
          <w:bCs/>
        </w:rPr>
        <w:t>behavioural, emotional and social difficulties</w:t>
      </w:r>
      <w:r w:rsidRPr="004A3714">
        <w:rPr>
          <w:rFonts w:eastAsia="Times New Roman"/>
          <w:bCs/>
          <w:iCs/>
        </w:rPr>
        <w:t>;</w:t>
      </w:r>
    </w:p>
    <w:p w:rsidR="00282E35" w:rsidRPr="004A3714" w:rsidRDefault="00282E35" w:rsidP="008921BF">
      <w:pPr>
        <w:pStyle w:val="ListParagraph"/>
        <w:numPr>
          <w:ilvl w:val="1"/>
          <w:numId w:val="117"/>
        </w:numPr>
        <w:jc w:val="both"/>
        <w:rPr>
          <w:rFonts w:eastAsia="Times New Roman"/>
          <w:bCs/>
          <w:iCs/>
        </w:rPr>
      </w:pPr>
      <w:r>
        <w:rPr>
          <w:rFonts w:eastAsia="Times New Roman"/>
          <w:bCs/>
          <w:iCs/>
        </w:rPr>
        <w:t>d</w:t>
      </w:r>
      <w:r w:rsidRPr="004A3714">
        <w:rPr>
          <w:rFonts w:eastAsia="Times New Roman"/>
          <w:bCs/>
          <w:iCs/>
        </w:rPr>
        <w:t>eveloping an increased range of options for young people post-16.</w:t>
      </w:r>
    </w:p>
    <w:p w:rsidR="00282E35" w:rsidRPr="00C577B6" w:rsidRDefault="00282E35" w:rsidP="00282E35">
      <w:pPr>
        <w:pStyle w:val="Heading4"/>
        <w:keepNext w:val="0"/>
        <w:keepLines w:val="0"/>
        <w:rPr>
          <w:i w:val="0"/>
        </w:rPr>
      </w:pPr>
      <w:r w:rsidRPr="00C577B6">
        <w:rPr>
          <w:rFonts w:eastAsia="Times New Roman"/>
          <w:i w:val="0"/>
        </w:rPr>
        <w:t>Conclusion</w:t>
      </w:r>
    </w:p>
    <w:p w:rsidR="00282E35" w:rsidRPr="005E78B3" w:rsidRDefault="00282E35" w:rsidP="00282E35">
      <w:pPr>
        <w:jc w:val="both"/>
        <w:rPr>
          <w:b/>
        </w:rPr>
      </w:pPr>
      <w:r w:rsidRPr="005E78B3">
        <w:t>Initial engagement with head teachers regarding the findings of the review has established some shared principles so far:</w:t>
      </w:r>
    </w:p>
    <w:p w:rsidR="00282E35" w:rsidRPr="005E78B3" w:rsidRDefault="00282E35" w:rsidP="008921BF">
      <w:pPr>
        <w:pStyle w:val="ListParagraph"/>
        <w:numPr>
          <w:ilvl w:val="0"/>
          <w:numId w:val="118"/>
        </w:numPr>
        <w:jc w:val="both"/>
      </w:pPr>
      <w:r w:rsidRPr="005E78B3">
        <w:t>The strategy for meeting the fu</w:t>
      </w:r>
      <w:r w:rsidR="007F2301">
        <w:t>ture needs of children with SEN</w:t>
      </w:r>
      <w:r w:rsidRPr="005E78B3">
        <w:t xml:space="preserve"> should focus</w:t>
      </w:r>
      <w:r w:rsidR="007F2301">
        <w:t xml:space="preserve"> on</w:t>
      </w:r>
      <w:r w:rsidRPr="005E78B3">
        <w:t xml:space="preserve"> the requirement to develop the right type of provision in the right place. </w:t>
      </w:r>
    </w:p>
    <w:p w:rsidR="00282E35" w:rsidRPr="005E78B3" w:rsidRDefault="00282E35" w:rsidP="008921BF">
      <w:pPr>
        <w:pStyle w:val="ListParagraph"/>
        <w:numPr>
          <w:ilvl w:val="0"/>
          <w:numId w:val="118"/>
        </w:numPr>
        <w:jc w:val="both"/>
      </w:pPr>
      <w:r w:rsidRPr="005E78B3">
        <w:t>The objective should be to develop local provision wherever possible.</w:t>
      </w:r>
    </w:p>
    <w:p w:rsidR="00282E35" w:rsidRPr="005E78B3" w:rsidRDefault="00282E35" w:rsidP="008921BF">
      <w:pPr>
        <w:pStyle w:val="ListParagraph"/>
        <w:numPr>
          <w:ilvl w:val="0"/>
          <w:numId w:val="118"/>
        </w:numPr>
        <w:jc w:val="both"/>
      </w:pPr>
      <w:r w:rsidRPr="005E78B3">
        <w:t>Flexible models of delivery should be considered.</w:t>
      </w:r>
    </w:p>
    <w:p w:rsidR="00282E35" w:rsidRPr="005E78B3" w:rsidRDefault="00282E35" w:rsidP="008921BF">
      <w:pPr>
        <w:pStyle w:val="ListParagraph"/>
        <w:numPr>
          <w:ilvl w:val="0"/>
          <w:numId w:val="118"/>
        </w:numPr>
        <w:jc w:val="both"/>
      </w:pPr>
      <w:r w:rsidRPr="005E78B3">
        <w:t>The current balance between mainstream and specialist provision is appropriate and should be maintained.</w:t>
      </w:r>
    </w:p>
    <w:p w:rsidR="00282E35" w:rsidRPr="005E78B3" w:rsidRDefault="00282E35" w:rsidP="008921BF">
      <w:pPr>
        <w:pStyle w:val="ListParagraph"/>
        <w:numPr>
          <w:ilvl w:val="0"/>
          <w:numId w:val="118"/>
        </w:numPr>
        <w:jc w:val="both"/>
      </w:pPr>
      <w:r w:rsidRPr="005E78B3">
        <w:t>Funding mechanisms should be designed to provide stability and enable planning for quality provision.</w:t>
      </w:r>
    </w:p>
    <w:p w:rsidR="00282E35" w:rsidRPr="005E78B3" w:rsidRDefault="00282E35" w:rsidP="008921BF">
      <w:pPr>
        <w:pStyle w:val="ListParagraph"/>
        <w:numPr>
          <w:ilvl w:val="0"/>
          <w:numId w:val="118"/>
        </w:numPr>
        <w:jc w:val="both"/>
      </w:pPr>
      <w:r w:rsidRPr="005E78B3">
        <w:t>The strategy should ensure equity of provision for SEND in and between schools and equity of funding based on outcomes.</w:t>
      </w:r>
    </w:p>
    <w:p w:rsidR="00282E35" w:rsidRPr="005E78B3" w:rsidRDefault="00282E35" w:rsidP="00282E35">
      <w:pPr>
        <w:jc w:val="both"/>
      </w:pPr>
      <w:r w:rsidRPr="005E78B3">
        <w:t>It is expected that there will be a continuing programme of suppor</w:t>
      </w:r>
      <w:r w:rsidR="007F2301">
        <w:t>t and environmental improvement</w:t>
      </w:r>
      <w:r w:rsidRPr="005E78B3">
        <w:t xml:space="preserve"> for mainstream schools and academies, to respond to complex needs of pupils in those schools. </w:t>
      </w:r>
    </w:p>
    <w:p w:rsidR="00282E35" w:rsidRPr="00B1135D" w:rsidRDefault="00282E35" w:rsidP="00282E35">
      <w:pPr>
        <w:pStyle w:val="Heading3"/>
        <w:keepNext w:val="0"/>
        <w:keepLines w:val="0"/>
        <w:spacing w:line="271" w:lineRule="auto"/>
        <w:jc w:val="both"/>
      </w:pPr>
      <w:r w:rsidRPr="00B1135D">
        <w:t>Post-16 Education, Employment and Training</w:t>
      </w:r>
    </w:p>
    <w:p w:rsidR="00282E35" w:rsidRDefault="00282E35" w:rsidP="00282E35">
      <w:pPr>
        <w:spacing w:after="0" w:line="240" w:lineRule="auto"/>
        <w:jc w:val="both"/>
        <w:rPr>
          <w:rFonts w:cs="Arial"/>
        </w:rPr>
      </w:pPr>
      <w:r w:rsidRPr="00B1135D">
        <w:rPr>
          <w:rFonts w:cs="Arial"/>
        </w:rPr>
        <w:t>Key Stage 5 attainment (average point score per pupil) in Barnet is ranked in the top quartile, 26</w:t>
      </w:r>
      <w:r w:rsidRPr="00B1135D">
        <w:rPr>
          <w:rFonts w:cs="Arial"/>
          <w:vertAlign w:val="superscript"/>
        </w:rPr>
        <w:t>th</w:t>
      </w:r>
      <w:r w:rsidRPr="00B1135D">
        <w:rPr>
          <w:rFonts w:cs="Arial"/>
        </w:rPr>
        <w:t xml:space="preserve"> nationally. By age 19, 89.3% of pupils attain a level 2 qualification (ranked 13</w:t>
      </w:r>
      <w:r w:rsidRPr="00B1135D">
        <w:rPr>
          <w:rFonts w:cs="Arial"/>
          <w:vertAlign w:val="superscript"/>
        </w:rPr>
        <w:t>th</w:t>
      </w:r>
      <w:r w:rsidRPr="00B1135D">
        <w:rPr>
          <w:rFonts w:cs="Arial"/>
        </w:rPr>
        <w:t xml:space="preserve"> nationally), and 68.3% attain a level 3 qualification (ranked 11</w:t>
      </w:r>
      <w:r w:rsidRPr="00B1135D">
        <w:rPr>
          <w:rFonts w:cs="Arial"/>
          <w:vertAlign w:val="superscript"/>
        </w:rPr>
        <w:t>th</w:t>
      </w:r>
      <w:r w:rsidRPr="00B1135D">
        <w:rPr>
          <w:rFonts w:cs="Arial"/>
        </w:rPr>
        <w:t xml:space="preserve"> nationally). </w:t>
      </w:r>
    </w:p>
    <w:p w:rsidR="00282E35" w:rsidRDefault="00282E35" w:rsidP="00282E35">
      <w:pPr>
        <w:spacing w:after="0" w:line="240" w:lineRule="auto"/>
        <w:jc w:val="both"/>
        <w:rPr>
          <w:rFonts w:cs="Arial"/>
        </w:rPr>
      </w:pPr>
    </w:p>
    <w:p w:rsidR="00282E35" w:rsidRPr="00612C4E" w:rsidRDefault="00282E35" w:rsidP="00282E35">
      <w:pPr>
        <w:pStyle w:val="Caption"/>
        <w:rPr>
          <w:rFonts w:cs="Arial"/>
          <w:b w:val="0"/>
          <w:i/>
        </w:rPr>
      </w:pPr>
      <w:r>
        <w:t xml:space="preserve">Figure </w:t>
      </w:r>
      <w:fldSimple w:instr=" STYLEREF 1 \s ">
        <w:r w:rsidR="001663C2">
          <w:rPr>
            <w:noProof/>
          </w:rPr>
          <w:t>8</w:t>
        </w:r>
      </w:fldSimple>
      <w:r w:rsidR="00943DC2">
        <w:noBreakHyphen/>
      </w:r>
      <w:fldSimple w:instr=" SEQ Figure \* ARABIC \s 1 ">
        <w:r w:rsidR="001663C2">
          <w:rPr>
            <w:noProof/>
          </w:rPr>
          <w:t>4</w:t>
        </w:r>
      </w:fldSimple>
      <w:r>
        <w:t xml:space="preserve">: </w:t>
      </w:r>
      <w:r w:rsidRPr="00134830">
        <w:rPr>
          <w:rFonts w:cs="Arial"/>
        </w:rPr>
        <w:t>APS per Candidate</w:t>
      </w:r>
    </w:p>
    <w:p w:rsidR="00282E35" w:rsidRDefault="00282E35" w:rsidP="002D4909">
      <w:pPr>
        <w:spacing w:after="0" w:line="240" w:lineRule="auto"/>
        <w:jc w:val="center"/>
        <w:rPr>
          <w:rFonts w:cs="Arial"/>
        </w:rPr>
      </w:pPr>
      <w:r w:rsidRPr="00B1135D">
        <w:rPr>
          <w:rFonts w:cs="Arial"/>
          <w:noProof/>
          <w:lang w:eastAsia="en-GB"/>
        </w:rPr>
        <w:drawing>
          <wp:inline distT="0" distB="0" distL="0" distR="0" wp14:anchorId="4C6D849C" wp14:editId="20852E4A">
            <wp:extent cx="5981700" cy="2028825"/>
            <wp:effectExtent l="0" t="0" r="19050" b="9525"/>
            <wp:docPr id="49182" name="Chart 491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p w:rsidR="00282E35" w:rsidRDefault="00282E35" w:rsidP="00282E35">
      <w:pPr>
        <w:spacing w:after="0" w:line="240" w:lineRule="auto"/>
        <w:rPr>
          <w:rStyle w:val="Hyperlink"/>
        </w:rPr>
      </w:pPr>
      <w:r>
        <w:rPr>
          <w:rFonts w:cs="Arial"/>
        </w:rPr>
        <w:t>Source:</w:t>
      </w:r>
      <w:r w:rsidRPr="00612C4E">
        <w:t xml:space="preserve"> </w:t>
      </w:r>
      <w:hyperlink r:id="rId175" w:history="1">
        <w:r w:rsidRPr="00342B6B">
          <w:rPr>
            <w:rStyle w:val="Hyperlink"/>
          </w:rPr>
          <w:t>www.gov.uk/government/statistics/a-level-and-other-level-3-results-2013-to-2014-revised</w:t>
        </w:r>
      </w:hyperlink>
    </w:p>
    <w:p w:rsidR="00282E35" w:rsidRDefault="00282E35" w:rsidP="00282E35">
      <w:pPr>
        <w:spacing w:after="0" w:line="240" w:lineRule="auto"/>
      </w:pPr>
    </w:p>
    <w:p w:rsidR="00282E35" w:rsidRDefault="00282E35" w:rsidP="00282E35">
      <w:pPr>
        <w:spacing w:after="0" w:line="240" w:lineRule="auto"/>
        <w:jc w:val="both"/>
        <w:rPr>
          <w:rFonts w:cs="Arial"/>
        </w:rPr>
      </w:pPr>
      <w:r w:rsidRPr="00B1135D">
        <w:rPr>
          <w:rFonts w:cs="Arial"/>
        </w:rPr>
        <w:t xml:space="preserve">Barnet performs particularly well at ensuring all young people engage in education, employment or training up until age 19 with the proportion of 16 to 18 year olds not in education, employment or </w:t>
      </w:r>
      <w:r w:rsidRPr="00B1135D">
        <w:rPr>
          <w:rFonts w:cs="Arial"/>
        </w:rPr>
        <w:lastRenderedPageBreak/>
        <w:t>training (NEET) ranked 4</w:t>
      </w:r>
      <w:r w:rsidRPr="00B1135D">
        <w:rPr>
          <w:rFonts w:cs="Arial"/>
          <w:vertAlign w:val="superscript"/>
        </w:rPr>
        <w:t>th</w:t>
      </w:r>
      <w:r w:rsidRPr="00B1135D">
        <w:rPr>
          <w:rFonts w:cs="Arial"/>
        </w:rPr>
        <w:t xml:space="preserve"> nationally. This success is continued for those pupils with learning difficulties or disabilities, where participation rates are ranked 9</w:t>
      </w:r>
      <w:r w:rsidRPr="00B1135D">
        <w:rPr>
          <w:rFonts w:cs="Arial"/>
          <w:vertAlign w:val="superscript"/>
        </w:rPr>
        <w:t>th</w:t>
      </w:r>
      <w:r w:rsidRPr="00B1135D">
        <w:rPr>
          <w:rFonts w:cs="Arial"/>
        </w:rPr>
        <w:t xml:space="preserve"> nationally. </w:t>
      </w:r>
    </w:p>
    <w:p w:rsidR="00282E35" w:rsidRDefault="00282E35" w:rsidP="00282E35">
      <w:pPr>
        <w:spacing w:after="0" w:line="240" w:lineRule="auto"/>
        <w:rPr>
          <w:rFonts w:cs="Arial"/>
        </w:rPr>
      </w:pPr>
    </w:p>
    <w:p w:rsidR="00282E35" w:rsidRPr="00134830" w:rsidRDefault="00282E35" w:rsidP="00282E35">
      <w:pPr>
        <w:pStyle w:val="Caption"/>
        <w:rPr>
          <w:rFonts w:cs="Arial"/>
        </w:rPr>
      </w:pPr>
      <w:r w:rsidRPr="00134830">
        <w:t xml:space="preserve">Figure </w:t>
      </w:r>
      <w:fldSimple w:instr=" STYLEREF 1 \s ">
        <w:r w:rsidR="001663C2">
          <w:rPr>
            <w:noProof/>
          </w:rPr>
          <w:t>8</w:t>
        </w:r>
      </w:fldSimple>
      <w:r w:rsidR="00943DC2">
        <w:noBreakHyphen/>
      </w:r>
      <w:fldSimple w:instr=" SEQ Figure \* ARABIC \s 1 ">
        <w:r w:rsidR="001663C2">
          <w:rPr>
            <w:noProof/>
          </w:rPr>
          <w:t>5</w:t>
        </w:r>
      </w:fldSimple>
      <w:r w:rsidRPr="00134830">
        <w:t xml:space="preserve">: </w:t>
      </w:r>
      <w:r w:rsidRPr="00134830">
        <w:rPr>
          <w:rFonts w:cs="Arial"/>
        </w:rPr>
        <w:t>% NEET</w:t>
      </w:r>
    </w:p>
    <w:p w:rsidR="00282E35" w:rsidRPr="00B1135D" w:rsidRDefault="00282E35" w:rsidP="00282E35">
      <w:pPr>
        <w:spacing w:after="0" w:line="240" w:lineRule="auto"/>
        <w:jc w:val="center"/>
        <w:rPr>
          <w:rFonts w:cs="Arial"/>
        </w:rPr>
      </w:pPr>
      <w:r w:rsidRPr="00B1135D">
        <w:rPr>
          <w:rFonts w:cs="Arial"/>
          <w:noProof/>
          <w:lang w:eastAsia="en-GB"/>
        </w:rPr>
        <w:drawing>
          <wp:inline distT="0" distB="0" distL="0" distR="0" wp14:anchorId="304D89A7" wp14:editId="29A68B0F">
            <wp:extent cx="5695950" cy="1724025"/>
            <wp:effectExtent l="0" t="0" r="19050" b="9525"/>
            <wp:docPr id="49183" name="Chart 491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p w:rsidR="00282E35" w:rsidRPr="00255393" w:rsidRDefault="00282E35" w:rsidP="00282E35">
      <w:pPr>
        <w:spacing w:after="0" w:line="240" w:lineRule="auto"/>
        <w:rPr>
          <w:sz w:val="20"/>
          <w:szCs w:val="20"/>
        </w:rPr>
      </w:pPr>
      <w:r w:rsidRPr="003054C1">
        <w:rPr>
          <w:rFonts w:cs="Arial"/>
          <w:b/>
          <w:sz w:val="20"/>
          <w:szCs w:val="20"/>
        </w:rPr>
        <w:t>Source:</w:t>
      </w:r>
      <w:r w:rsidRPr="003054C1">
        <w:rPr>
          <w:sz w:val="20"/>
          <w:szCs w:val="20"/>
        </w:rPr>
        <w:t xml:space="preserve"> Local Authority Interactive Tool (LAIT)</w:t>
      </w:r>
    </w:p>
    <w:p w:rsidR="00282E35" w:rsidRDefault="00282E35" w:rsidP="00282E35">
      <w:pPr>
        <w:spacing w:after="0" w:line="240" w:lineRule="auto"/>
        <w:rPr>
          <w:b/>
          <w:i/>
        </w:rPr>
      </w:pPr>
    </w:p>
    <w:p w:rsidR="00282E35" w:rsidRPr="00FC430B" w:rsidRDefault="00282E35" w:rsidP="00282E35">
      <w:pPr>
        <w:pStyle w:val="Caption"/>
        <w:rPr>
          <w:rFonts w:cs="Arial"/>
          <w:b w:val="0"/>
          <w:i/>
        </w:rPr>
      </w:pPr>
      <w:r>
        <w:t xml:space="preserve">Figure </w:t>
      </w:r>
      <w:fldSimple w:instr=" STYLEREF 1 \s ">
        <w:r w:rsidR="001663C2">
          <w:rPr>
            <w:noProof/>
          </w:rPr>
          <w:t>8</w:t>
        </w:r>
      </w:fldSimple>
      <w:r w:rsidR="00943DC2">
        <w:noBreakHyphen/>
      </w:r>
      <w:fldSimple w:instr=" SEQ Figure \* ARABIC \s 1 ">
        <w:r w:rsidR="001663C2">
          <w:rPr>
            <w:noProof/>
          </w:rPr>
          <w:t>6</w:t>
        </w:r>
      </w:fldSimple>
      <w:r w:rsidRPr="00134830">
        <w:t>: % L</w:t>
      </w:r>
      <w:r w:rsidR="007F2301">
        <w:t xml:space="preserve">earning Difficulties and Disabilities (LDD) </w:t>
      </w:r>
      <w:r w:rsidRPr="00134830">
        <w:t>Recorded in Education and Training Aged 16 – 17 Years</w:t>
      </w:r>
    </w:p>
    <w:p w:rsidR="00282E35" w:rsidRDefault="00282E35" w:rsidP="00282E35">
      <w:pPr>
        <w:spacing w:after="0" w:line="240" w:lineRule="auto"/>
        <w:jc w:val="center"/>
        <w:rPr>
          <w:rFonts w:cs="Arial"/>
          <w:b/>
        </w:rPr>
      </w:pPr>
      <w:r w:rsidRPr="00B1135D">
        <w:rPr>
          <w:rFonts w:cs="Arial"/>
          <w:noProof/>
          <w:lang w:eastAsia="en-GB"/>
        </w:rPr>
        <w:drawing>
          <wp:inline distT="0" distB="0" distL="0" distR="0" wp14:anchorId="75318B8C" wp14:editId="08C3768B">
            <wp:extent cx="5705475" cy="1781175"/>
            <wp:effectExtent l="0" t="0" r="9525" b="9525"/>
            <wp:docPr id="96" name="Chart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p w:rsidR="00282E35" w:rsidRPr="003054C1" w:rsidRDefault="00282E35" w:rsidP="00282E35">
      <w:pPr>
        <w:spacing w:after="0" w:line="240" w:lineRule="auto"/>
        <w:rPr>
          <w:sz w:val="20"/>
          <w:szCs w:val="20"/>
        </w:rPr>
      </w:pPr>
      <w:r w:rsidRPr="003054C1">
        <w:rPr>
          <w:rFonts w:cs="Arial"/>
          <w:b/>
          <w:sz w:val="20"/>
          <w:szCs w:val="20"/>
        </w:rPr>
        <w:t xml:space="preserve">Source: </w:t>
      </w:r>
      <w:r w:rsidRPr="003054C1">
        <w:rPr>
          <w:sz w:val="20"/>
          <w:szCs w:val="20"/>
        </w:rPr>
        <w:t>Local Authority Interactive Tool (LAIT)</w:t>
      </w:r>
    </w:p>
    <w:p w:rsidR="00282E35" w:rsidRDefault="00282E35" w:rsidP="00282E35">
      <w:pPr>
        <w:pStyle w:val="Heading3"/>
        <w:keepNext w:val="0"/>
        <w:keepLines w:val="0"/>
        <w:spacing w:line="271" w:lineRule="auto"/>
      </w:pPr>
      <w:r>
        <w:t xml:space="preserve">Raising Participation </w:t>
      </w:r>
    </w:p>
    <w:p w:rsidR="00282E35" w:rsidRDefault="00282E35" w:rsidP="00282E35">
      <w:pPr>
        <w:jc w:val="both"/>
      </w:pPr>
      <w:r>
        <w:t>The Education and Skills Act 2008 places a duty on all young people to participate in education or training until their 18</w:t>
      </w:r>
      <w:r w:rsidRPr="009A3943">
        <w:rPr>
          <w:vertAlign w:val="superscript"/>
        </w:rPr>
        <w:t>th</w:t>
      </w:r>
      <w:r>
        <w:t xml:space="preserve"> birthday. The first phase was introduced in 2013; young people are now required to continue in education or training until the end of the academic year in which they turn 17 years. From September 2015 they will be required to continue until their 18th birthday. Participation may be:</w:t>
      </w:r>
    </w:p>
    <w:p w:rsidR="00282E35" w:rsidRPr="00121808" w:rsidRDefault="007F2301" w:rsidP="008921BF">
      <w:pPr>
        <w:pStyle w:val="ListParagraph"/>
        <w:numPr>
          <w:ilvl w:val="0"/>
          <w:numId w:val="116"/>
        </w:numPr>
        <w:autoSpaceDE w:val="0"/>
        <w:autoSpaceDN w:val="0"/>
        <w:adjustRightInd w:val="0"/>
        <w:spacing w:after="0" w:line="240" w:lineRule="auto"/>
        <w:jc w:val="both"/>
        <w:rPr>
          <w:rFonts w:eastAsia="Times New Roman" w:cs="Arial"/>
          <w:color w:val="0C0C0C"/>
          <w:lang w:eastAsia="en-GB"/>
        </w:rPr>
      </w:pPr>
      <w:r>
        <w:rPr>
          <w:rFonts w:eastAsia="Times New Roman" w:cs="Arial"/>
          <w:color w:val="0C0C0C"/>
          <w:lang w:eastAsia="en-GB"/>
        </w:rPr>
        <w:t>f</w:t>
      </w:r>
      <w:r w:rsidR="00282E35" w:rsidRPr="00121808">
        <w:rPr>
          <w:rFonts w:eastAsia="Times New Roman" w:cs="Arial"/>
          <w:color w:val="0C0C0C"/>
          <w:lang w:eastAsia="en-GB"/>
        </w:rPr>
        <w:t>ull-time education at school, college, other provider</w:t>
      </w:r>
    </w:p>
    <w:p w:rsidR="00282E35" w:rsidRPr="00121808" w:rsidRDefault="007F2301" w:rsidP="008921BF">
      <w:pPr>
        <w:pStyle w:val="ListParagraph"/>
        <w:numPr>
          <w:ilvl w:val="0"/>
          <w:numId w:val="116"/>
        </w:numPr>
        <w:autoSpaceDE w:val="0"/>
        <w:autoSpaceDN w:val="0"/>
        <w:adjustRightInd w:val="0"/>
        <w:spacing w:after="0" w:line="240" w:lineRule="auto"/>
        <w:jc w:val="both"/>
        <w:rPr>
          <w:rFonts w:eastAsia="Times New Roman" w:cs="Arial"/>
          <w:color w:val="0C0C0C"/>
          <w:lang w:eastAsia="en-GB"/>
        </w:rPr>
      </w:pPr>
      <w:r>
        <w:rPr>
          <w:rFonts w:eastAsia="Times New Roman" w:cs="Arial"/>
          <w:color w:val="0C0C0C"/>
          <w:lang w:eastAsia="en-GB"/>
        </w:rPr>
        <w:t>a</w:t>
      </w:r>
      <w:r w:rsidR="00282E35" w:rsidRPr="00121808">
        <w:rPr>
          <w:rFonts w:eastAsia="Times New Roman" w:cs="Arial"/>
          <w:color w:val="0C0C0C"/>
          <w:lang w:eastAsia="en-GB"/>
        </w:rPr>
        <w:t>n apprenticeship</w:t>
      </w:r>
    </w:p>
    <w:p w:rsidR="00282E35" w:rsidRPr="009A3943" w:rsidRDefault="007F2301" w:rsidP="007F2301">
      <w:pPr>
        <w:pStyle w:val="ListParagraph"/>
        <w:numPr>
          <w:ilvl w:val="0"/>
          <w:numId w:val="116"/>
        </w:numPr>
        <w:autoSpaceDE w:val="0"/>
        <w:autoSpaceDN w:val="0"/>
        <w:adjustRightInd w:val="0"/>
        <w:spacing w:after="0" w:line="240" w:lineRule="auto"/>
        <w:rPr>
          <w:rFonts w:eastAsia="Times New Roman" w:cs="Arial"/>
          <w:color w:val="0C0C0C"/>
          <w:lang w:eastAsia="en-GB"/>
        </w:rPr>
      </w:pPr>
      <w:r>
        <w:rPr>
          <w:rFonts w:eastAsia="Times New Roman" w:cs="Arial"/>
          <w:color w:val="0C0C0C"/>
          <w:lang w:eastAsia="en-GB"/>
        </w:rPr>
        <w:t>e</w:t>
      </w:r>
      <w:r w:rsidR="00282E35" w:rsidRPr="00121808">
        <w:rPr>
          <w:rFonts w:eastAsia="Times New Roman" w:cs="Arial"/>
          <w:color w:val="0C0C0C"/>
          <w:lang w:eastAsia="en-GB"/>
        </w:rPr>
        <w:t>mployment, self -employment or volunteering for 20 hours or more a week with part-time education or training</w:t>
      </w:r>
      <w:r w:rsidR="00282E35">
        <w:rPr>
          <w:rFonts w:eastAsia="Times New Roman" w:cs="Arial"/>
          <w:color w:val="0C0C0C"/>
          <w:lang w:eastAsia="en-GB"/>
        </w:rPr>
        <w:br/>
      </w:r>
    </w:p>
    <w:p w:rsidR="00282E35" w:rsidRPr="00121808" w:rsidRDefault="00282E35" w:rsidP="00282E35">
      <w:pPr>
        <w:autoSpaceDE w:val="0"/>
        <w:autoSpaceDN w:val="0"/>
        <w:adjustRightInd w:val="0"/>
        <w:jc w:val="both"/>
        <w:rPr>
          <w:rFonts w:cs="Arial"/>
          <w:color w:val="0C0C0C"/>
        </w:rPr>
      </w:pPr>
      <w:r>
        <w:rPr>
          <w:rFonts w:cs="Arial"/>
          <w:color w:val="0C0C0C"/>
        </w:rPr>
        <w:t>The Local authority is</w:t>
      </w:r>
      <w:r w:rsidRPr="00121808">
        <w:rPr>
          <w:rFonts w:cs="Arial"/>
          <w:color w:val="0C0C0C"/>
        </w:rPr>
        <w:t xml:space="preserve"> required to:</w:t>
      </w:r>
    </w:p>
    <w:p w:rsidR="00282E35" w:rsidRPr="00121808" w:rsidRDefault="00282E35" w:rsidP="008921BF">
      <w:pPr>
        <w:pStyle w:val="ListParagraph"/>
        <w:numPr>
          <w:ilvl w:val="0"/>
          <w:numId w:val="116"/>
        </w:numPr>
        <w:autoSpaceDE w:val="0"/>
        <w:autoSpaceDN w:val="0"/>
        <w:adjustRightInd w:val="0"/>
        <w:jc w:val="both"/>
        <w:rPr>
          <w:rFonts w:cs="Arial"/>
          <w:color w:val="0C0C0C"/>
        </w:rPr>
      </w:pPr>
      <w:r w:rsidRPr="00121808">
        <w:rPr>
          <w:rFonts w:cs="Arial"/>
          <w:color w:val="0C0C0C"/>
        </w:rPr>
        <w:t>promote the effective participation in education or training of all 16 and</w:t>
      </w:r>
      <w:r>
        <w:rPr>
          <w:rFonts w:cs="Arial"/>
          <w:color w:val="0C0C0C"/>
        </w:rPr>
        <w:t xml:space="preserve"> </w:t>
      </w:r>
      <w:r w:rsidRPr="00121808">
        <w:rPr>
          <w:rFonts w:cs="Arial"/>
          <w:color w:val="0C0C0C"/>
        </w:rPr>
        <w:t>17 years olds resident in Barnet</w:t>
      </w:r>
      <w:r>
        <w:rPr>
          <w:rFonts w:cs="Arial"/>
          <w:color w:val="0C0C0C"/>
        </w:rPr>
        <w:t>.</w:t>
      </w:r>
    </w:p>
    <w:p w:rsidR="00282E35" w:rsidRPr="00121808" w:rsidRDefault="00282E35" w:rsidP="008921BF">
      <w:pPr>
        <w:pStyle w:val="ListParagraph"/>
        <w:numPr>
          <w:ilvl w:val="0"/>
          <w:numId w:val="116"/>
        </w:numPr>
        <w:autoSpaceDE w:val="0"/>
        <w:autoSpaceDN w:val="0"/>
        <w:adjustRightInd w:val="0"/>
        <w:jc w:val="both"/>
        <w:rPr>
          <w:rFonts w:cs="Arial"/>
          <w:color w:val="0C0C0C"/>
        </w:rPr>
      </w:pPr>
      <w:r w:rsidRPr="00121808">
        <w:rPr>
          <w:rFonts w:cs="Arial"/>
          <w:color w:val="0C0C0C"/>
        </w:rPr>
        <w:t xml:space="preserve"> make arrangements to identify young people resident in Barnet who </w:t>
      </w:r>
      <w:r w:rsidR="00DD3A76" w:rsidRPr="00121808">
        <w:rPr>
          <w:rFonts w:cs="Arial"/>
          <w:color w:val="0C0C0C"/>
        </w:rPr>
        <w:t>are</w:t>
      </w:r>
      <w:r w:rsidR="00DD3A76">
        <w:rPr>
          <w:rFonts w:cs="Arial"/>
          <w:color w:val="0C0C0C"/>
        </w:rPr>
        <w:t xml:space="preserve"> </w:t>
      </w:r>
      <w:r w:rsidR="00DD3A76" w:rsidRPr="00121808">
        <w:rPr>
          <w:rFonts w:cs="Arial"/>
          <w:color w:val="0C0C0C"/>
        </w:rPr>
        <w:t>not</w:t>
      </w:r>
      <w:r w:rsidRPr="00121808">
        <w:rPr>
          <w:rFonts w:cs="Arial"/>
          <w:color w:val="0C0C0C"/>
        </w:rPr>
        <w:t xml:space="preserve"> participating</w:t>
      </w:r>
      <w:r>
        <w:rPr>
          <w:rFonts w:cs="Arial"/>
          <w:color w:val="0C0C0C"/>
        </w:rPr>
        <w:t>.</w:t>
      </w:r>
    </w:p>
    <w:p w:rsidR="00282E35" w:rsidRPr="00121808" w:rsidRDefault="00282E35" w:rsidP="008921BF">
      <w:pPr>
        <w:pStyle w:val="ListParagraph"/>
        <w:numPr>
          <w:ilvl w:val="0"/>
          <w:numId w:val="116"/>
        </w:numPr>
        <w:autoSpaceDE w:val="0"/>
        <w:autoSpaceDN w:val="0"/>
        <w:adjustRightInd w:val="0"/>
        <w:jc w:val="both"/>
        <w:rPr>
          <w:rFonts w:cs="Arial"/>
          <w:color w:val="0C0C0C"/>
        </w:rPr>
      </w:pPr>
      <w:r>
        <w:rPr>
          <w:rFonts w:cs="Arial"/>
          <w:color w:val="0C0C0C"/>
        </w:rPr>
        <w:t xml:space="preserve"> </w:t>
      </w:r>
      <w:r w:rsidRPr="00121808">
        <w:rPr>
          <w:rFonts w:cs="Arial"/>
          <w:color w:val="0C0C0C"/>
        </w:rPr>
        <w:t>provide advice and guidance to young people aged 16-18 who are not</w:t>
      </w:r>
      <w:r>
        <w:rPr>
          <w:rFonts w:cs="Arial"/>
          <w:color w:val="0C0C0C"/>
        </w:rPr>
        <w:t xml:space="preserve"> </w:t>
      </w:r>
      <w:r w:rsidRPr="00121808">
        <w:rPr>
          <w:rFonts w:cs="Arial"/>
          <w:color w:val="0C0C0C"/>
        </w:rPr>
        <w:t xml:space="preserve">on the </w:t>
      </w:r>
      <w:proofErr w:type="spellStart"/>
      <w:r w:rsidRPr="00121808">
        <w:rPr>
          <w:rFonts w:cs="Arial"/>
          <w:color w:val="0C0C0C"/>
        </w:rPr>
        <w:t>roll</w:t>
      </w:r>
      <w:proofErr w:type="spellEnd"/>
      <w:r w:rsidRPr="00121808">
        <w:rPr>
          <w:rFonts w:cs="Arial"/>
          <w:color w:val="0C0C0C"/>
        </w:rPr>
        <w:t xml:space="preserve"> of an institution and who are deemed vulnerable.</w:t>
      </w:r>
    </w:p>
    <w:p w:rsidR="00282E35" w:rsidRPr="00121808" w:rsidRDefault="00282E35" w:rsidP="008921BF">
      <w:pPr>
        <w:pStyle w:val="ListParagraph"/>
        <w:numPr>
          <w:ilvl w:val="0"/>
          <w:numId w:val="116"/>
        </w:numPr>
        <w:autoSpaceDE w:val="0"/>
        <w:autoSpaceDN w:val="0"/>
        <w:adjustRightInd w:val="0"/>
        <w:jc w:val="both"/>
        <w:rPr>
          <w:rFonts w:cs="Arial"/>
          <w:color w:val="0C0C0C"/>
        </w:rPr>
      </w:pPr>
      <w:r>
        <w:rPr>
          <w:rFonts w:cs="Arial"/>
          <w:color w:val="0C0C0C"/>
        </w:rPr>
        <w:lastRenderedPageBreak/>
        <w:t xml:space="preserve"> </w:t>
      </w:r>
      <w:r w:rsidR="007F2301">
        <w:rPr>
          <w:rFonts w:cs="Arial"/>
          <w:color w:val="0C0C0C"/>
        </w:rPr>
        <w:t>t</w:t>
      </w:r>
      <w:r w:rsidRPr="00121808">
        <w:rPr>
          <w:rFonts w:cs="Arial"/>
          <w:color w:val="0C0C0C"/>
        </w:rPr>
        <w:t>hese new duties complement existing duties to:</w:t>
      </w:r>
    </w:p>
    <w:p w:rsidR="00282E35" w:rsidRPr="00121808" w:rsidRDefault="007F2301" w:rsidP="008921BF">
      <w:pPr>
        <w:pStyle w:val="ListParagraph"/>
        <w:numPr>
          <w:ilvl w:val="1"/>
          <w:numId w:val="116"/>
        </w:numPr>
        <w:autoSpaceDE w:val="0"/>
        <w:autoSpaceDN w:val="0"/>
        <w:adjustRightInd w:val="0"/>
        <w:rPr>
          <w:rFonts w:cs="Arial"/>
          <w:color w:val="0C0C0C"/>
        </w:rPr>
      </w:pPr>
      <w:r>
        <w:rPr>
          <w:rFonts w:cs="Arial"/>
          <w:color w:val="0C0C0C"/>
        </w:rPr>
        <w:t xml:space="preserve">secure sufficient and </w:t>
      </w:r>
      <w:r w:rsidR="00282E35" w:rsidRPr="00121808">
        <w:rPr>
          <w:rFonts w:cs="Arial"/>
          <w:color w:val="0C0C0C"/>
        </w:rPr>
        <w:t>suitable education and training provision for all 16-19</w:t>
      </w:r>
      <w:r w:rsidR="00282E35">
        <w:rPr>
          <w:rFonts w:cs="Arial"/>
          <w:color w:val="0C0C0C"/>
        </w:rPr>
        <w:t xml:space="preserve"> </w:t>
      </w:r>
      <w:r w:rsidR="00282E35" w:rsidRPr="00121808">
        <w:rPr>
          <w:rFonts w:cs="Arial"/>
          <w:color w:val="0C0C0C"/>
        </w:rPr>
        <w:t xml:space="preserve"> years olds</w:t>
      </w:r>
    </w:p>
    <w:p w:rsidR="00282E35" w:rsidRPr="00121808" w:rsidRDefault="00282E35" w:rsidP="008921BF">
      <w:pPr>
        <w:pStyle w:val="ListParagraph"/>
        <w:numPr>
          <w:ilvl w:val="1"/>
          <w:numId w:val="116"/>
        </w:numPr>
        <w:autoSpaceDE w:val="0"/>
        <w:autoSpaceDN w:val="0"/>
        <w:adjustRightInd w:val="0"/>
        <w:rPr>
          <w:rFonts w:cs="Arial"/>
          <w:color w:val="0C0C0C"/>
        </w:rPr>
      </w:pPr>
      <w:r w:rsidRPr="00121808">
        <w:rPr>
          <w:rFonts w:cs="Arial"/>
          <w:color w:val="0C0C0C"/>
        </w:rPr>
        <w:t>track young people's participation.</w:t>
      </w:r>
    </w:p>
    <w:p w:rsidR="00282E35" w:rsidRPr="00B37020" w:rsidRDefault="00282E35" w:rsidP="00282E35">
      <w:pPr>
        <w:spacing w:before="80" w:after="80" w:line="240" w:lineRule="auto"/>
        <w:rPr>
          <w:rFonts w:ascii="Calibri" w:hAnsi="Calibri" w:cs="Arial"/>
          <w:b/>
          <w:color w:val="000000"/>
          <w:lang w:val="en-US"/>
        </w:rPr>
      </w:pPr>
      <w:r w:rsidRPr="00B37020">
        <w:rPr>
          <w:rFonts w:ascii="Calibri" w:hAnsi="Calibri" w:cs="Arial"/>
          <w:b/>
          <w:color w:val="000000"/>
          <w:lang w:val="en-US"/>
        </w:rPr>
        <w:t>Participation in Barnet - June 2015</w:t>
      </w:r>
    </w:p>
    <w:p w:rsidR="00282E35" w:rsidRPr="00121808" w:rsidRDefault="00282E35" w:rsidP="00282E35">
      <w:pPr>
        <w:spacing w:before="80" w:after="80" w:line="240" w:lineRule="auto"/>
        <w:jc w:val="both"/>
        <w:rPr>
          <w:rFonts w:ascii="Calibri" w:hAnsi="Calibri" w:cs="Arial"/>
          <w:color w:val="000000"/>
          <w:lang w:val="en-US"/>
        </w:rPr>
      </w:pPr>
      <w:r w:rsidRPr="00121808">
        <w:rPr>
          <w:rFonts w:ascii="Calibri" w:hAnsi="Calibri" w:cs="Arial"/>
          <w:color w:val="000000"/>
          <w:lang w:val="en-US"/>
        </w:rPr>
        <w:t>The figures below demonstrate Barnet’s progress towards full participation at June 2015 and the current level of NEET and ‘Not Known’ (the destination of the person is unknown and no information can be gained from other reliable sources)</w:t>
      </w:r>
      <w:r>
        <w:rPr>
          <w:rFonts w:ascii="Calibri" w:hAnsi="Calibri" w:cs="Arial"/>
          <w:color w:val="000000"/>
          <w:lang w:val="en-US"/>
        </w:rPr>
        <w:t>.</w:t>
      </w:r>
    </w:p>
    <w:p w:rsidR="00282E35" w:rsidRDefault="00282E35" w:rsidP="00282E35">
      <w:pPr>
        <w:spacing w:after="0" w:line="240" w:lineRule="auto"/>
        <w:rPr>
          <w:rFonts w:ascii="Arial" w:eastAsia="Times New Roman" w:hAnsi="Arial" w:cs="Arial"/>
          <w:b/>
          <w:sz w:val="24"/>
          <w:szCs w:val="24"/>
          <w:lang w:eastAsia="en-GB"/>
        </w:rPr>
      </w:pPr>
    </w:p>
    <w:p w:rsidR="00282E35" w:rsidRPr="00281639" w:rsidRDefault="00282E35" w:rsidP="00282E35">
      <w:pPr>
        <w:pStyle w:val="Caption"/>
        <w:rPr>
          <w:rFonts w:eastAsia="Times New Roman" w:cs="Arial"/>
          <w:szCs w:val="22"/>
          <w:lang w:eastAsia="en-GB"/>
        </w:rPr>
      </w:pPr>
      <w:r w:rsidRPr="00281639">
        <w:rPr>
          <w:szCs w:val="22"/>
        </w:rPr>
        <w:t xml:space="preserve">Table </w:t>
      </w:r>
      <w:r>
        <w:rPr>
          <w:szCs w:val="22"/>
        </w:rPr>
        <w:fldChar w:fldCharType="begin"/>
      </w:r>
      <w:r>
        <w:rPr>
          <w:szCs w:val="22"/>
        </w:rPr>
        <w:instrText xml:space="preserve"> STYLEREF 1 \s </w:instrText>
      </w:r>
      <w:r>
        <w:rPr>
          <w:szCs w:val="22"/>
        </w:rPr>
        <w:fldChar w:fldCharType="separate"/>
      </w:r>
      <w:r w:rsidR="001663C2">
        <w:rPr>
          <w:noProof/>
          <w:szCs w:val="22"/>
        </w:rPr>
        <w:t>8</w:t>
      </w:r>
      <w:r>
        <w:rPr>
          <w:szCs w:val="22"/>
        </w:rPr>
        <w:fldChar w:fldCharType="end"/>
      </w:r>
      <w:r>
        <w:rPr>
          <w:szCs w:val="22"/>
        </w:rPr>
        <w:noBreakHyphen/>
      </w:r>
      <w:r>
        <w:rPr>
          <w:szCs w:val="22"/>
        </w:rPr>
        <w:fldChar w:fldCharType="begin"/>
      </w:r>
      <w:r>
        <w:rPr>
          <w:szCs w:val="22"/>
        </w:rPr>
        <w:instrText xml:space="preserve"> SEQ Table \* ARABIC \s 1 </w:instrText>
      </w:r>
      <w:r>
        <w:rPr>
          <w:szCs w:val="22"/>
        </w:rPr>
        <w:fldChar w:fldCharType="separate"/>
      </w:r>
      <w:r w:rsidR="001663C2">
        <w:rPr>
          <w:noProof/>
          <w:szCs w:val="22"/>
        </w:rPr>
        <w:t>6</w:t>
      </w:r>
      <w:r>
        <w:rPr>
          <w:szCs w:val="22"/>
        </w:rPr>
        <w:fldChar w:fldCharType="end"/>
      </w:r>
      <w:r w:rsidRPr="00281639">
        <w:rPr>
          <w:szCs w:val="22"/>
        </w:rPr>
        <w:t xml:space="preserve">: </w:t>
      </w:r>
      <w:r w:rsidRPr="00281639">
        <w:rPr>
          <w:rFonts w:eastAsia="Times New Roman" w:cs="Arial"/>
          <w:szCs w:val="22"/>
          <w:lang w:eastAsia="en-GB"/>
        </w:rPr>
        <w:t>In Learning</w:t>
      </w:r>
    </w:p>
    <w:tbl>
      <w:tblPr>
        <w:tblStyle w:val="TableGrid1"/>
        <w:tblW w:w="10585" w:type="dxa"/>
        <w:jc w:val="center"/>
        <w:tblInd w:w="-715" w:type="dxa"/>
        <w:tblLayout w:type="fixed"/>
        <w:tblLook w:val="04A0" w:firstRow="1" w:lastRow="0" w:firstColumn="1" w:lastColumn="0" w:noHBand="0" w:noVBand="1"/>
      </w:tblPr>
      <w:tblGrid>
        <w:gridCol w:w="813"/>
        <w:gridCol w:w="838"/>
        <w:gridCol w:w="991"/>
        <w:gridCol w:w="875"/>
        <w:gridCol w:w="798"/>
        <w:gridCol w:w="991"/>
        <w:gridCol w:w="762"/>
        <w:gridCol w:w="851"/>
        <w:gridCol w:w="992"/>
        <w:gridCol w:w="850"/>
        <w:gridCol w:w="837"/>
        <w:gridCol w:w="987"/>
      </w:tblGrid>
      <w:tr w:rsidR="00282E35" w:rsidRPr="00121808" w:rsidTr="00E50C61">
        <w:trPr>
          <w:jc w:val="center"/>
        </w:trPr>
        <w:tc>
          <w:tcPr>
            <w:tcW w:w="2642" w:type="dxa"/>
            <w:gridSpan w:val="3"/>
            <w:vAlign w:val="bottom"/>
          </w:tcPr>
          <w:p w:rsidR="00282E35" w:rsidRPr="00121808" w:rsidRDefault="00282E35" w:rsidP="00E50C61">
            <w:pPr>
              <w:jc w:val="center"/>
              <w:rPr>
                <w:rFonts w:ascii="Arial" w:eastAsia="Times New Roman" w:hAnsi="Arial" w:cs="Arial"/>
                <w:b/>
                <w:bCs/>
                <w:sz w:val="18"/>
                <w:szCs w:val="18"/>
                <w:lang w:eastAsia="en-GB"/>
              </w:rPr>
            </w:pPr>
            <w:r w:rsidRPr="00121808">
              <w:rPr>
                <w:rFonts w:ascii="Arial" w:eastAsia="Times New Roman" w:hAnsi="Arial" w:cs="Arial"/>
                <w:b/>
                <w:bCs/>
                <w:sz w:val="18"/>
                <w:szCs w:val="18"/>
                <w:lang w:eastAsia="en-GB"/>
              </w:rPr>
              <w:t>Year 12</w:t>
            </w:r>
          </w:p>
        </w:tc>
        <w:tc>
          <w:tcPr>
            <w:tcW w:w="2664" w:type="dxa"/>
            <w:gridSpan w:val="3"/>
            <w:vAlign w:val="bottom"/>
          </w:tcPr>
          <w:p w:rsidR="00282E35" w:rsidRPr="00121808" w:rsidRDefault="00282E35" w:rsidP="00E50C61">
            <w:pPr>
              <w:jc w:val="center"/>
              <w:rPr>
                <w:rFonts w:ascii="Arial" w:eastAsia="Times New Roman" w:hAnsi="Arial" w:cs="Arial"/>
                <w:b/>
                <w:bCs/>
                <w:sz w:val="18"/>
                <w:szCs w:val="18"/>
                <w:lang w:eastAsia="en-GB"/>
              </w:rPr>
            </w:pPr>
            <w:r w:rsidRPr="00121808">
              <w:rPr>
                <w:rFonts w:ascii="Arial" w:eastAsia="Times New Roman" w:hAnsi="Arial" w:cs="Arial"/>
                <w:b/>
                <w:bCs/>
                <w:sz w:val="18"/>
                <w:szCs w:val="18"/>
                <w:lang w:eastAsia="en-GB"/>
              </w:rPr>
              <w:t>Year 13</w:t>
            </w:r>
          </w:p>
        </w:tc>
        <w:tc>
          <w:tcPr>
            <w:tcW w:w="2605" w:type="dxa"/>
            <w:gridSpan w:val="3"/>
            <w:vAlign w:val="bottom"/>
          </w:tcPr>
          <w:p w:rsidR="00282E35" w:rsidRPr="00121808" w:rsidRDefault="00282E35" w:rsidP="00E50C61">
            <w:pPr>
              <w:jc w:val="center"/>
              <w:rPr>
                <w:rFonts w:ascii="Arial" w:eastAsia="Times New Roman" w:hAnsi="Arial" w:cs="Arial"/>
                <w:b/>
                <w:bCs/>
                <w:sz w:val="18"/>
                <w:szCs w:val="18"/>
                <w:lang w:eastAsia="en-GB"/>
              </w:rPr>
            </w:pPr>
            <w:r w:rsidRPr="00121808">
              <w:rPr>
                <w:rFonts w:ascii="Arial" w:eastAsia="Times New Roman" w:hAnsi="Arial" w:cs="Arial"/>
                <w:b/>
                <w:bCs/>
                <w:sz w:val="18"/>
                <w:szCs w:val="18"/>
                <w:lang w:eastAsia="en-GB"/>
              </w:rPr>
              <w:t>Year 14</w:t>
            </w:r>
          </w:p>
        </w:tc>
        <w:tc>
          <w:tcPr>
            <w:tcW w:w="2674" w:type="dxa"/>
            <w:gridSpan w:val="3"/>
            <w:vAlign w:val="bottom"/>
          </w:tcPr>
          <w:p w:rsidR="00282E35" w:rsidRPr="00121808" w:rsidRDefault="00282E35" w:rsidP="00E50C61">
            <w:pPr>
              <w:jc w:val="center"/>
              <w:rPr>
                <w:rFonts w:ascii="Arial" w:eastAsia="Times New Roman" w:hAnsi="Arial" w:cs="Arial"/>
                <w:b/>
                <w:bCs/>
                <w:sz w:val="18"/>
                <w:szCs w:val="18"/>
                <w:lang w:eastAsia="en-GB"/>
              </w:rPr>
            </w:pPr>
            <w:r w:rsidRPr="00121808">
              <w:rPr>
                <w:rFonts w:ascii="Arial" w:eastAsia="Times New Roman" w:hAnsi="Arial" w:cs="Arial"/>
                <w:b/>
                <w:bCs/>
                <w:sz w:val="18"/>
                <w:szCs w:val="18"/>
                <w:lang w:eastAsia="en-GB"/>
              </w:rPr>
              <w:t>Year 12-14</w:t>
            </w:r>
          </w:p>
        </w:tc>
      </w:tr>
      <w:tr w:rsidR="00282E35" w:rsidRPr="00121808" w:rsidTr="00E50C61">
        <w:trPr>
          <w:jc w:val="center"/>
        </w:trPr>
        <w:tc>
          <w:tcPr>
            <w:tcW w:w="813" w:type="dxa"/>
            <w:vAlign w:val="bottom"/>
          </w:tcPr>
          <w:p w:rsidR="00282E35" w:rsidRPr="00121808" w:rsidRDefault="00282E35" w:rsidP="00E50C61">
            <w:pPr>
              <w:jc w:val="center"/>
              <w:rPr>
                <w:rFonts w:ascii="Arial" w:eastAsia="Times New Roman" w:hAnsi="Arial" w:cs="Arial"/>
                <w:b/>
                <w:bCs/>
                <w:color w:val="000000"/>
                <w:sz w:val="18"/>
                <w:szCs w:val="18"/>
                <w:lang w:eastAsia="en-GB"/>
              </w:rPr>
            </w:pPr>
            <w:r w:rsidRPr="00121808">
              <w:rPr>
                <w:rFonts w:ascii="Arial" w:eastAsia="Times New Roman" w:hAnsi="Arial" w:cs="Arial"/>
                <w:b/>
                <w:bCs/>
                <w:color w:val="000000"/>
                <w:sz w:val="18"/>
                <w:szCs w:val="18"/>
                <w:lang w:eastAsia="en-GB"/>
              </w:rPr>
              <w:t>Jun14</w:t>
            </w:r>
          </w:p>
        </w:tc>
        <w:tc>
          <w:tcPr>
            <w:tcW w:w="838" w:type="dxa"/>
            <w:vAlign w:val="bottom"/>
          </w:tcPr>
          <w:p w:rsidR="00282E35" w:rsidRPr="00121808" w:rsidRDefault="00282E35" w:rsidP="00E50C61">
            <w:pPr>
              <w:jc w:val="center"/>
              <w:rPr>
                <w:rFonts w:ascii="Arial" w:eastAsia="Times New Roman" w:hAnsi="Arial" w:cs="Arial"/>
                <w:b/>
                <w:bCs/>
                <w:color w:val="000000"/>
                <w:sz w:val="18"/>
                <w:szCs w:val="18"/>
                <w:lang w:eastAsia="en-GB"/>
              </w:rPr>
            </w:pPr>
            <w:r w:rsidRPr="00121808">
              <w:rPr>
                <w:rFonts w:ascii="Arial" w:eastAsia="Times New Roman" w:hAnsi="Arial" w:cs="Arial"/>
                <w:b/>
                <w:bCs/>
                <w:color w:val="000000"/>
                <w:sz w:val="18"/>
                <w:szCs w:val="18"/>
                <w:lang w:eastAsia="en-GB"/>
              </w:rPr>
              <w:t>Jun15</w:t>
            </w:r>
          </w:p>
        </w:tc>
        <w:tc>
          <w:tcPr>
            <w:tcW w:w="991" w:type="dxa"/>
            <w:vAlign w:val="bottom"/>
          </w:tcPr>
          <w:p w:rsidR="00282E35" w:rsidRPr="00121808" w:rsidRDefault="00282E35" w:rsidP="00E50C61">
            <w:pPr>
              <w:jc w:val="center"/>
              <w:rPr>
                <w:rFonts w:ascii="Arial" w:eastAsia="Times New Roman" w:hAnsi="Arial" w:cs="Arial"/>
                <w:b/>
                <w:bCs/>
                <w:color w:val="000000"/>
                <w:sz w:val="18"/>
                <w:szCs w:val="18"/>
                <w:lang w:eastAsia="en-GB"/>
              </w:rPr>
            </w:pPr>
            <w:r w:rsidRPr="00121808">
              <w:rPr>
                <w:rFonts w:ascii="Arial" w:eastAsia="Times New Roman" w:hAnsi="Arial" w:cs="Arial"/>
                <w:b/>
                <w:bCs/>
                <w:color w:val="000000"/>
                <w:sz w:val="18"/>
                <w:szCs w:val="18"/>
                <w:lang w:eastAsia="en-GB"/>
              </w:rPr>
              <w:t>Variation</w:t>
            </w:r>
          </w:p>
        </w:tc>
        <w:tc>
          <w:tcPr>
            <w:tcW w:w="875" w:type="dxa"/>
            <w:vAlign w:val="bottom"/>
          </w:tcPr>
          <w:p w:rsidR="00282E35" w:rsidRPr="00121808" w:rsidRDefault="00282E35" w:rsidP="00E50C61">
            <w:pPr>
              <w:jc w:val="center"/>
              <w:rPr>
                <w:rFonts w:ascii="Arial" w:eastAsia="Times New Roman" w:hAnsi="Arial" w:cs="Arial"/>
                <w:b/>
                <w:bCs/>
                <w:color w:val="000000"/>
                <w:sz w:val="18"/>
                <w:szCs w:val="18"/>
                <w:lang w:eastAsia="en-GB"/>
              </w:rPr>
            </w:pPr>
            <w:r w:rsidRPr="00121808">
              <w:rPr>
                <w:rFonts w:ascii="Arial" w:eastAsia="Times New Roman" w:hAnsi="Arial" w:cs="Arial"/>
                <w:b/>
                <w:bCs/>
                <w:color w:val="000000"/>
                <w:sz w:val="18"/>
                <w:szCs w:val="18"/>
                <w:lang w:eastAsia="en-GB"/>
              </w:rPr>
              <w:t>Jun14</w:t>
            </w:r>
          </w:p>
        </w:tc>
        <w:tc>
          <w:tcPr>
            <w:tcW w:w="798" w:type="dxa"/>
            <w:vAlign w:val="bottom"/>
          </w:tcPr>
          <w:p w:rsidR="00282E35" w:rsidRPr="00121808" w:rsidRDefault="00282E35" w:rsidP="00E50C61">
            <w:pPr>
              <w:jc w:val="center"/>
              <w:rPr>
                <w:rFonts w:ascii="Arial" w:eastAsia="Times New Roman" w:hAnsi="Arial" w:cs="Arial"/>
                <w:b/>
                <w:bCs/>
                <w:color w:val="000000"/>
                <w:sz w:val="18"/>
                <w:szCs w:val="18"/>
                <w:lang w:eastAsia="en-GB"/>
              </w:rPr>
            </w:pPr>
            <w:r w:rsidRPr="00121808">
              <w:rPr>
                <w:rFonts w:ascii="Arial" w:eastAsia="Times New Roman" w:hAnsi="Arial" w:cs="Arial"/>
                <w:b/>
                <w:bCs/>
                <w:color w:val="000000"/>
                <w:sz w:val="18"/>
                <w:szCs w:val="18"/>
                <w:lang w:eastAsia="en-GB"/>
              </w:rPr>
              <w:t>Jun 15</w:t>
            </w:r>
          </w:p>
        </w:tc>
        <w:tc>
          <w:tcPr>
            <w:tcW w:w="991" w:type="dxa"/>
            <w:vAlign w:val="bottom"/>
          </w:tcPr>
          <w:p w:rsidR="00282E35" w:rsidRPr="00121808" w:rsidRDefault="00282E35" w:rsidP="00E50C61">
            <w:pPr>
              <w:jc w:val="center"/>
              <w:rPr>
                <w:rFonts w:ascii="Arial" w:eastAsia="Times New Roman" w:hAnsi="Arial" w:cs="Arial"/>
                <w:b/>
                <w:bCs/>
                <w:color w:val="000000"/>
                <w:sz w:val="18"/>
                <w:szCs w:val="18"/>
                <w:lang w:eastAsia="en-GB"/>
              </w:rPr>
            </w:pPr>
            <w:r w:rsidRPr="00121808">
              <w:rPr>
                <w:rFonts w:ascii="Arial" w:eastAsia="Times New Roman" w:hAnsi="Arial" w:cs="Arial"/>
                <w:b/>
                <w:bCs/>
                <w:color w:val="000000"/>
                <w:sz w:val="18"/>
                <w:szCs w:val="18"/>
                <w:lang w:eastAsia="en-GB"/>
              </w:rPr>
              <w:t>Variation</w:t>
            </w:r>
          </w:p>
        </w:tc>
        <w:tc>
          <w:tcPr>
            <w:tcW w:w="762" w:type="dxa"/>
            <w:vAlign w:val="bottom"/>
          </w:tcPr>
          <w:p w:rsidR="00282E35" w:rsidRPr="00121808" w:rsidRDefault="00282E35" w:rsidP="00E50C61">
            <w:pPr>
              <w:jc w:val="center"/>
              <w:rPr>
                <w:rFonts w:ascii="Arial" w:eastAsia="Times New Roman" w:hAnsi="Arial" w:cs="Arial"/>
                <w:b/>
                <w:bCs/>
                <w:color w:val="000000"/>
                <w:sz w:val="18"/>
                <w:szCs w:val="18"/>
                <w:lang w:eastAsia="en-GB"/>
              </w:rPr>
            </w:pPr>
            <w:r w:rsidRPr="00121808">
              <w:rPr>
                <w:rFonts w:ascii="Arial" w:eastAsia="Times New Roman" w:hAnsi="Arial" w:cs="Arial"/>
                <w:b/>
                <w:bCs/>
                <w:color w:val="000000"/>
                <w:sz w:val="18"/>
                <w:szCs w:val="18"/>
                <w:lang w:eastAsia="en-GB"/>
              </w:rPr>
              <w:t>Jun14</w:t>
            </w:r>
          </w:p>
        </w:tc>
        <w:tc>
          <w:tcPr>
            <w:tcW w:w="851" w:type="dxa"/>
            <w:vAlign w:val="bottom"/>
          </w:tcPr>
          <w:p w:rsidR="00282E35" w:rsidRPr="00121808" w:rsidRDefault="00282E35" w:rsidP="00E50C61">
            <w:pPr>
              <w:jc w:val="center"/>
              <w:rPr>
                <w:rFonts w:ascii="Arial" w:eastAsia="Times New Roman" w:hAnsi="Arial" w:cs="Arial"/>
                <w:b/>
                <w:bCs/>
                <w:color w:val="000000"/>
                <w:sz w:val="18"/>
                <w:szCs w:val="18"/>
                <w:lang w:eastAsia="en-GB"/>
              </w:rPr>
            </w:pPr>
            <w:r w:rsidRPr="00121808">
              <w:rPr>
                <w:rFonts w:ascii="Arial" w:eastAsia="Times New Roman" w:hAnsi="Arial" w:cs="Arial"/>
                <w:b/>
                <w:bCs/>
                <w:color w:val="000000"/>
                <w:sz w:val="18"/>
                <w:szCs w:val="18"/>
                <w:lang w:eastAsia="en-GB"/>
              </w:rPr>
              <w:t>Jun15</w:t>
            </w:r>
          </w:p>
        </w:tc>
        <w:tc>
          <w:tcPr>
            <w:tcW w:w="992" w:type="dxa"/>
            <w:vAlign w:val="bottom"/>
          </w:tcPr>
          <w:p w:rsidR="00282E35" w:rsidRPr="00121808" w:rsidRDefault="00282E35" w:rsidP="00E50C61">
            <w:pPr>
              <w:jc w:val="center"/>
              <w:rPr>
                <w:rFonts w:ascii="Arial" w:eastAsia="Times New Roman" w:hAnsi="Arial" w:cs="Arial"/>
                <w:b/>
                <w:bCs/>
                <w:color w:val="000000"/>
                <w:sz w:val="18"/>
                <w:szCs w:val="18"/>
                <w:lang w:eastAsia="en-GB"/>
              </w:rPr>
            </w:pPr>
            <w:r w:rsidRPr="00121808">
              <w:rPr>
                <w:rFonts w:ascii="Arial" w:eastAsia="Times New Roman" w:hAnsi="Arial" w:cs="Arial"/>
                <w:b/>
                <w:bCs/>
                <w:color w:val="000000"/>
                <w:sz w:val="18"/>
                <w:szCs w:val="18"/>
                <w:lang w:eastAsia="en-GB"/>
              </w:rPr>
              <w:t>Variation</w:t>
            </w:r>
          </w:p>
        </w:tc>
        <w:tc>
          <w:tcPr>
            <w:tcW w:w="850" w:type="dxa"/>
            <w:vAlign w:val="bottom"/>
          </w:tcPr>
          <w:p w:rsidR="00282E35" w:rsidRPr="00121808" w:rsidRDefault="00282E35" w:rsidP="00E50C61">
            <w:pPr>
              <w:jc w:val="center"/>
              <w:rPr>
                <w:rFonts w:ascii="Arial" w:eastAsia="Times New Roman" w:hAnsi="Arial" w:cs="Arial"/>
                <w:b/>
                <w:bCs/>
                <w:color w:val="000000"/>
                <w:sz w:val="18"/>
                <w:szCs w:val="18"/>
                <w:lang w:eastAsia="en-GB"/>
              </w:rPr>
            </w:pPr>
            <w:r w:rsidRPr="00121808">
              <w:rPr>
                <w:rFonts w:ascii="Arial" w:eastAsia="Times New Roman" w:hAnsi="Arial" w:cs="Arial"/>
                <w:b/>
                <w:bCs/>
                <w:color w:val="000000"/>
                <w:sz w:val="18"/>
                <w:szCs w:val="18"/>
                <w:lang w:eastAsia="en-GB"/>
              </w:rPr>
              <w:t>Jun14</w:t>
            </w:r>
          </w:p>
        </w:tc>
        <w:tc>
          <w:tcPr>
            <w:tcW w:w="837" w:type="dxa"/>
            <w:vAlign w:val="bottom"/>
          </w:tcPr>
          <w:p w:rsidR="00282E35" w:rsidRPr="00121808" w:rsidRDefault="00282E35" w:rsidP="00E50C61">
            <w:pPr>
              <w:jc w:val="center"/>
              <w:rPr>
                <w:rFonts w:ascii="Arial" w:eastAsia="Times New Roman" w:hAnsi="Arial" w:cs="Arial"/>
                <w:b/>
                <w:bCs/>
                <w:color w:val="000000"/>
                <w:sz w:val="18"/>
                <w:szCs w:val="18"/>
                <w:lang w:eastAsia="en-GB"/>
              </w:rPr>
            </w:pPr>
            <w:r w:rsidRPr="00121808">
              <w:rPr>
                <w:rFonts w:ascii="Arial" w:eastAsia="Times New Roman" w:hAnsi="Arial" w:cs="Arial"/>
                <w:b/>
                <w:bCs/>
                <w:color w:val="000000"/>
                <w:sz w:val="18"/>
                <w:szCs w:val="18"/>
                <w:lang w:eastAsia="en-GB"/>
              </w:rPr>
              <w:t>Jun15</w:t>
            </w:r>
          </w:p>
        </w:tc>
        <w:tc>
          <w:tcPr>
            <w:tcW w:w="987" w:type="dxa"/>
            <w:vAlign w:val="bottom"/>
          </w:tcPr>
          <w:p w:rsidR="00282E35" w:rsidRPr="00121808" w:rsidRDefault="00282E35" w:rsidP="00E50C61">
            <w:pPr>
              <w:jc w:val="center"/>
              <w:rPr>
                <w:rFonts w:ascii="Arial" w:eastAsia="Times New Roman" w:hAnsi="Arial" w:cs="Arial"/>
                <w:b/>
                <w:bCs/>
                <w:color w:val="000000"/>
                <w:sz w:val="18"/>
                <w:szCs w:val="18"/>
                <w:lang w:eastAsia="en-GB"/>
              </w:rPr>
            </w:pPr>
            <w:r w:rsidRPr="00121808">
              <w:rPr>
                <w:rFonts w:ascii="Arial" w:eastAsia="Times New Roman" w:hAnsi="Arial" w:cs="Arial"/>
                <w:b/>
                <w:bCs/>
                <w:color w:val="000000"/>
                <w:sz w:val="18"/>
                <w:szCs w:val="18"/>
                <w:lang w:eastAsia="en-GB"/>
              </w:rPr>
              <w:t>Variation</w:t>
            </w:r>
          </w:p>
        </w:tc>
      </w:tr>
      <w:tr w:rsidR="00282E35" w:rsidRPr="00121808" w:rsidTr="00E50C61">
        <w:trPr>
          <w:jc w:val="center"/>
        </w:trPr>
        <w:tc>
          <w:tcPr>
            <w:tcW w:w="813" w:type="dxa"/>
            <w:vAlign w:val="bottom"/>
          </w:tcPr>
          <w:p w:rsidR="00282E35" w:rsidRPr="00121808" w:rsidRDefault="00282E35" w:rsidP="00E50C61">
            <w:pPr>
              <w:jc w:val="center"/>
              <w:rPr>
                <w:rFonts w:ascii="Arial" w:eastAsia="Times New Roman" w:hAnsi="Arial" w:cs="Arial"/>
                <w:sz w:val="18"/>
                <w:szCs w:val="18"/>
                <w:lang w:eastAsia="en-GB"/>
              </w:rPr>
            </w:pPr>
            <w:r w:rsidRPr="00121808">
              <w:rPr>
                <w:rFonts w:ascii="Arial" w:eastAsia="Times New Roman" w:hAnsi="Arial" w:cs="Arial"/>
                <w:sz w:val="18"/>
                <w:szCs w:val="18"/>
                <w:lang w:eastAsia="en-GB"/>
              </w:rPr>
              <w:t>97.2%</w:t>
            </w:r>
          </w:p>
        </w:tc>
        <w:tc>
          <w:tcPr>
            <w:tcW w:w="838" w:type="dxa"/>
            <w:vAlign w:val="bottom"/>
          </w:tcPr>
          <w:p w:rsidR="00282E35" w:rsidRPr="00121808" w:rsidRDefault="00282E35" w:rsidP="00E50C61">
            <w:pPr>
              <w:jc w:val="center"/>
              <w:rPr>
                <w:rFonts w:ascii="Arial" w:eastAsia="Times New Roman" w:hAnsi="Arial" w:cs="Arial"/>
                <w:sz w:val="18"/>
                <w:szCs w:val="18"/>
                <w:lang w:eastAsia="en-GB"/>
              </w:rPr>
            </w:pPr>
            <w:r w:rsidRPr="00121808">
              <w:rPr>
                <w:rFonts w:ascii="Arial" w:eastAsia="Times New Roman" w:hAnsi="Arial" w:cs="Arial"/>
                <w:sz w:val="18"/>
                <w:szCs w:val="18"/>
                <w:lang w:eastAsia="en-GB"/>
              </w:rPr>
              <w:t>97.9%</w:t>
            </w:r>
          </w:p>
        </w:tc>
        <w:tc>
          <w:tcPr>
            <w:tcW w:w="991" w:type="dxa"/>
            <w:vAlign w:val="bottom"/>
          </w:tcPr>
          <w:p w:rsidR="00282E35" w:rsidRPr="00121808" w:rsidRDefault="00282E35" w:rsidP="00E50C61">
            <w:pPr>
              <w:jc w:val="center"/>
              <w:rPr>
                <w:rFonts w:ascii="Arial" w:eastAsia="Times New Roman" w:hAnsi="Arial" w:cs="Arial"/>
                <w:color w:val="000000"/>
                <w:sz w:val="18"/>
                <w:szCs w:val="18"/>
                <w:lang w:eastAsia="en-GB"/>
              </w:rPr>
            </w:pPr>
            <w:r w:rsidRPr="00121808">
              <w:rPr>
                <w:rFonts w:ascii="Arial" w:eastAsia="Times New Roman" w:hAnsi="Arial" w:cs="Arial"/>
                <w:color w:val="000000"/>
                <w:sz w:val="18"/>
                <w:szCs w:val="18"/>
                <w:lang w:eastAsia="en-GB"/>
              </w:rPr>
              <w:t>0.7%</w:t>
            </w:r>
          </w:p>
        </w:tc>
        <w:tc>
          <w:tcPr>
            <w:tcW w:w="875" w:type="dxa"/>
            <w:vAlign w:val="bottom"/>
          </w:tcPr>
          <w:p w:rsidR="00282E35" w:rsidRPr="00121808" w:rsidRDefault="00282E35" w:rsidP="00E50C61">
            <w:pPr>
              <w:jc w:val="center"/>
              <w:rPr>
                <w:rFonts w:ascii="Arial" w:eastAsia="Times New Roman" w:hAnsi="Arial" w:cs="Arial"/>
                <w:sz w:val="18"/>
                <w:szCs w:val="18"/>
                <w:lang w:eastAsia="en-GB"/>
              </w:rPr>
            </w:pPr>
            <w:r w:rsidRPr="00121808">
              <w:rPr>
                <w:rFonts w:ascii="Arial" w:eastAsia="Times New Roman" w:hAnsi="Arial" w:cs="Arial"/>
                <w:sz w:val="18"/>
                <w:szCs w:val="18"/>
                <w:lang w:eastAsia="en-GB"/>
              </w:rPr>
              <w:t>94.1%</w:t>
            </w:r>
          </w:p>
        </w:tc>
        <w:tc>
          <w:tcPr>
            <w:tcW w:w="798" w:type="dxa"/>
            <w:vAlign w:val="bottom"/>
          </w:tcPr>
          <w:p w:rsidR="00282E35" w:rsidRPr="00121808" w:rsidRDefault="00282E35" w:rsidP="00E50C61">
            <w:pPr>
              <w:jc w:val="center"/>
              <w:rPr>
                <w:rFonts w:ascii="Arial" w:eastAsia="Times New Roman" w:hAnsi="Arial" w:cs="Arial"/>
                <w:sz w:val="18"/>
                <w:szCs w:val="18"/>
                <w:lang w:eastAsia="en-GB"/>
              </w:rPr>
            </w:pPr>
            <w:r w:rsidRPr="00121808">
              <w:rPr>
                <w:rFonts w:ascii="Arial" w:eastAsia="Times New Roman" w:hAnsi="Arial" w:cs="Arial"/>
                <w:sz w:val="18"/>
                <w:szCs w:val="18"/>
                <w:lang w:eastAsia="en-GB"/>
              </w:rPr>
              <w:t>97.5%</w:t>
            </w:r>
          </w:p>
        </w:tc>
        <w:tc>
          <w:tcPr>
            <w:tcW w:w="991" w:type="dxa"/>
            <w:vAlign w:val="bottom"/>
          </w:tcPr>
          <w:p w:rsidR="00282E35" w:rsidRPr="00121808" w:rsidRDefault="00282E35" w:rsidP="00E50C61">
            <w:pPr>
              <w:jc w:val="center"/>
              <w:rPr>
                <w:rFonts w:ascii="Arial" w:eastAsia="Times New Roman" w:hAnsi="Arial" w:cs="Arial"/>
                <w:color w:val="000000"/>
                <w:sz w:val="18"/>
                <w:szCs w:val="18"/>
                <w:lang w:eastAsia="en-GB"/>
              </w:rPr>
            </w:pPr>
            <w:r w:rsidRPr="00121808">
              <w:rPr>
                <w:rFonts w:ascii="Arial" w:eastAsia="Times New Roman" w:hAnsi="Arial" w:cs="Arial"/>
                <w:color w:val="000000"/>
                <w:sz w:val="18"/>
                <w:szCs w:val="18"/>
                <w:lang w:eastAsia="en-GB"/>
              </w:rPr>
              <w:t>3.4%</w:t>
            </w:r>
          </w:p>
        </w:tc>
        <w:tc>
          <w:tcPr>
            <w:tcW w:w="762" w:type="dxa"/>
            <w:vAlign w:val="bottom"/>
          </w:tcPr>
          <w:p w:rsidR="00282E35" w:rsidRPr="00121808" w:rsidRDefault="00282E35" w:rsidP="00E50C61">
            <w:pPr>
              <w:jc w:val="center"/>
              <w:rPr>
                <w:rFonts w:ascii="Arial" w:eastAsia="Times New Roman" w:hAnsi="Arial" w:cs="Arial"/>
                <w:sz w:val="18"/>
                <w:szCs w:val="18"/>
                <w:lang w:eastAsia="en-GB"/>
              </w:rPr>
            </w:pPr>
            <w:r w:rsidRPr="00121808">
              <w:rPr>
                <w:rFonts w:ascii="Arial" w:eastAsia="Times New Roman" w:hAnsi="Arial" w:cs="Arial"/>
                <w:sz w:val="18"/>
                <w:szCs w:val="18"/>
                <w:lang w:eastAsia="en-GB"/>
              </w:rPr>
              <w:t>80.2%</w:t>
            </w:r>
          </w:p>
        </w:tc>
        <w:tc>
          <w:tcPr>
            <w:tcW w:w="851" w:type="dxa"/>
            <w:vAlign w:val="bottom"/>
          </w:tcPr>
          <w:p w:rsidR="00282E35" w:rsidRPr="00121808" w:rsidRDefault="00282E35" w:rsidP="00E50C61">
            <w:pPr>
              <w:jc w:val="center"/>
              <w:rPr>
                <w:rFonts w:ascii="Arial" w:eastAsia="Times New Roman" w:hAnsi="Arial" w:cs="Arial"/>
                <w:sz w:val="18"/>
                <w:szCs w:val="18"/>
                <w:lang w:eastAsia="en-GB"/>
              </w:rPr>
            </w:pPr>
            <w:r w:rsidRPr="00121808">
              <w:rPr>
                <w:rFonts w:ascii="Arial" w:eastAsia="Times New Roman" w:hAnsi="Arial" w:cs="Arial"/>
                <w:sz w:val="18"/>
                <w:szCs w:val="18"/>
                <w:lang w:eastAsia="en-GB"/>
              </w:rPr>
              <w:t>83.0%</w:t>
            </w:r>
          </w:p>
        </w:tc>
        <w:tc>
          <w:tcPr>
            <w:tcW w:w="992" w:type="dxa"/>
            <w:vAlign w:val="bottom"/>
          </w:tcPr>
          <w:p w:rsidR="00282E35" w:rsidRPr="00121808" w:rsidRDefault="00282E35" w:rsidP="00E50C61">
            <w:pPr>
              <w:jc w:val="center"/>
              <w:rPr>
                <w:rFonts w:ascii="Arial" w:eastAsia="Times New Roman" w:hAnsi="Arial" w:cs="Arial"/>
                <w:color w:val="000000"/>
                <w:sz w:val="18"/>
                <w:szCs w:val="18"/>
                <w:lang w:eastAsia="en-GB"/>
              </w:rPr>
            </w:pPr>
            <w:r w:rsidRPr="00121808">
              <w:rPr>
                <w:rFonts w:ascii="Arial" w:eastAsia="Times New Roman" w:hAnsi="Arial" w:cs="Arial"/>
                <w:color w:val="000000"/>
                <w:sz w:val="18"/>
                <w:szCs w:val="18"/>
                <w:lang w:eastAsia="en-GB"/>
              </w:rPr>
              <w:t>2.8%</w:t>
            </w:r>
          </w:p>
        </w:tc>
        <w:tc>
          <w:tcPr>
            <w:tcW w:w="850" w:type="dxa"/>
            <w:vAlign w:val="bottom"/>
          </w:tcPr>
          <w:p w:rsidR="00282E35" w:rsidRPr="00121808" w:rsidRDefault="00282E35" w:rsidP="00E50C61">
            <w:pPr>
              <w:jc w:val="center"/>
              <w:rPr>
                <w:rFonts w:ascii="Arial" w:eastAsia="Times New Roman" w:hAnsi="Arial" w:cs="Arial"/>
                <w:sz w:val="18"/>
                <w:szCs w:val="18"/>
                <w:lang w:eastAsia="en-GB"/>
              </w:rPr>
            </w:pPr>
            <w:r w:rsidRPr="00121808">
              <w:rPr>
                <w:rFonts w:ascii="Arial" w:eastAsia="Times New Roman" w:hAnsi="Arial" w:cs="Arial"/>
                <w:sz w:val="18"/>
                <w:szCs w:val="18"/>
                <w:lang w:eastAsia="en-GB"/>
              </w:rPr>
              <w:t>90.7%</w:t>
            </w:r>
          </w:p>
        </w:tc>
        <w:tc>
          <w:tcPr>
            <w:tcW w:w="837" w:type="dxa"/>
            <w:vAlign w:val="bottom"/>
          </w:tcPr>
          <w:p w:rsidR="00282E35" w:rsidRPr="00121808" w:rsidRDefault="00282E35" w:rsidP="00E50C61">
            <w:pPr>
              <w:jc w:val="center"/>
              <w:rPr>
                <w:rFonts w:ascii="Arial" w:eastAsia="Times New Roman" w:hAnsi="Arial" w:cs="Arial"/>
                <w:color w:val="000000"/>
                <w:sz w:val="18"/>
                <w:szCs w:val="18"/>
                <w:lang w:eastAsia="en-GB"/>
              </w:rPr>
            </w:pPr>
            <w:r w:rsidRPr="00121808">
              <w:rPr>
                <w:rFonts w:ascii="Arial" w:eastAsia="Times New Roman" w:hAnsi="Arial" w:cs="Arial"/>
                <w:color w:val="000000"/>
                <w:sz w:val="18"/>
                <w:szCs w:val="18"/>
                <w:lang w:eastAsia="en-GB"/>
              </w:rPr>
              <w:t>93.1%</w:t>
            </w:r>
          </w:p>
        </w:tc>
        <w:tc>
          <w:tcPr>
            <w:tcW w:w="987" w:type="dxa"/>
            <w:vAlign w:val="bottom"/>
          </w:tcPr>
          <w:p w:rsidR="00282E35" w:rsidRPr="00121808" w:rsidRDefault="00282E35" w:rsidP="00E50C61">
            <w:pPr>
              <w:jc w:val="center"/>
              <w:rPr>
                <w:rFonts w:ascii="Arial" w:eastAsia="Times New Roman" w:hAnsi="Arial" w:cs="Arial"/>
                <w:color w:val="000000"/>
                <w:sz w:val="18"/>
                <w:szCs w:val="18"/>
                <w:lang w:eastAsia="en-GB"/>
              </w:rPr>
            </w:pPr>
            <w:r w:rsidRPr="00121808">
              <w:rPr>
                <w:rFonts w:ascii="Arial" w:eastAsia="Times New Roman" w:hAnsi="Arial" w:cs="Arial"/>
                <w:color w:val="000000"/>
                <w:sz w:val="18"/>
                <w:szCs w:val="18"/>
                <w:lang w:eastAsia="en-GB"/>
              </w:rPr>
              <w:t>2.4%</w:t>
            </w:r>
          </w:p>
        </w:tc>
      </w:tr>
      <w:tr w:rsidR="00282E35" w:rsidRPr="00121808" w:rsidTr="00E50C61">
        <w:trPr>
          <w:jc w:val="center"/>
        </w:trPr>
        <w:tc>
          <w:tcPr>
            <w:tcW w:w="813" w:type="dxa"/>
            <w:vAlign w:val="bottom"/>
          </w:tcPr>
          <w:p w:rsidR="00282E35" w:rsidRPr="00121808" w:rsidRDefault="00282E35" w:rsidP="00E50C61">
            <w:pPr>
              <w:jc w:val="center"/>
              <w:rPr>
                <w:rFonts w:ascii="Arial" w:eastAsia="Times New Roman" w:hAnsi="Arial" w:cs="Arial"/>
                <w:sz w:val="18"/>
                <w:szCs w:val="18"/>
                <w:lang w:eastAsia="en-GB"/>
              </w:rPr>
            </w:pPr>
            <w:r w:rsidRPr="00121808">
              <w:rPr>
                <w:rFonts w:ascii="Arial" w:eastAsia="Times New Roman" w:hAnsi="Arial" w:cs="Arial"/>
                <w:sz w:val="18"/>
                <w:szCs w:val="18"/>
                <w:lang w:eastAsia="en-GB"/>
              </w:rPr>
              <w:t>3404</w:t>
            </w:r>
          </w:p>
        </w:tc>
        <w:tc>
          <w:tcPr>
            <w:tcW w:w="838" w:type="dxa"/>
            <w:vAlign w:val="bottom"/>
          </w:tcPr>
          <w:p w:rsidR="00282E35" w:rsidRPr="00121808" w:rsidRDefault="00282E35" w:rsidP="00E50C61">
            <w:pPr>
              <w:jc w:val="center"/>
              <w:rPr>
                <w:rFonts w:ascii="Arial" w:eastAsia="Times New Roman" w:hAnsi="Arial" w:cs="Arial"/>
                <w:sz w:val="18"/>
                <w:szCs w:val="18"/>
                <w:lang w:eastAsia="en-GB"/>
              </w:rPr>
            </w:pPr>
            <w:r w:rsidRPr="00121808">
              <w:rPr>
                <w:rFonts w:ascii="Arial" w:eastAsia="Times New Roman" w:hAnsi="Arial" w:cs="Arial"/>
                <w:sz w:val="18"/>
                <w:szCs w:val="18"/>
                <w:lang w:eastAsia="en-GB"/>
              </w:rPr>
              <w:t>3438</w:t>
            </w:r>
          </w:p>
        </w:tc>
        <w:tc>
          <w:tcPr>
            <w:tcW w:w="991" w:type="dxa"/>
            <w:vAlign w:val="bottom"/>
          </w:tcPr>
          <w:p w:rsidR="00282E35" w:rsidRPr="00121808" w:rsidRDefault="00282E35" w:rsidP="00E50C61">
            <w:pPr>
              <w:jc w:val="center"/>
              <w:rPr>
                <w:rFonts w:ascii="Arial" w:eastAsia="Times New Roman" w:hAnsi="Arial" w:cs="Arial"/>
                <w:color w:val="000000"/>
                <w:sz w:val="18"/>
                <w:szCs w:val="18"/>
                <w:lang w:eastAsia="en-GB"/>
              </w:rPr>
            </w:pPr>
            <w:r w:rsidRPr="00121808">
              <w:rPr>
                <w:rFonts w:ascii="Arial" w:eastAsia="Times New Roman" w:hAnsi="Arial" w:cs="Arial"/>
                <w:color w:val="000000"/>
                <w:sz w:val="18"/>
                <w:szCs w:val="18"/>
                <w:lang w:eastAsia="en-GB"/>
              </w:rPr>
              <w:t>34</w:t>
            </w:r>
          </w:p>
        </w:tc>
        <w:tc>
          <w:tcPr>
            <w:tcW w:w="875" w:type="dxa"/>
            <w:vAlign w:val="bottom"/>
          </w:tcPr>
          <w:p w:rsidR="00282E35" w:rsidRPr="00121808" w:rsidRDefault="00282E35" w:rsidP="00E50C61">
            <w:pPr>
              <w:jc w:val="center"/>
              <w:rPr>
                <w:rFonts w:ascii="Arial" w:eastAsia="Times New Roman" w:hAnsi="Arial" w:cs="Arial"/>
                <w:sz w:val="18"/>
                <w:szCs w:val="18"/>
                <w:lang w:eastAsia="en-GB"/>
              </w:rPr>
            </w:pPr>
            <w:r w:rsidRPr="00121808">
              <w:rPr>
                <w:rFonts w:ascii="Arial" w:eastAsia="Times New Roman" w:hAnsi="Arial" w:cs="Arial"/>
                <w:sz w:val="18"/>
                <w:szCs w:val="18"/>
                <w:lang w:eastAsia="en-GB"/>
              </w:rPr>
              <w:t>3118</w:t>
            </w:r>
          </w:p>
        </w:tc>
        <w:tc>
          <w:tcPr>
            <w:tcW w:w="798" w:type="dxa"/>
            <w:vAlign w:val="bottom"/>
          </w:tcPr>
          <w:p w:rsidR="00282E35" w:rsidRPr="00121808" w:rsidRDefault="00282E35" w:rsidP="00E50C61">
            <w:pPr>
              <w:jc w:val="center"/>
              <w:rPr>
                <w:rFonts w:ascii="Arial" w:eastAsia="Times New Roman" w:hAnsi="Arial" w:cs="Arial"/>
                <w:sz w:val="18"/>
                <w:szCs w:val="18"/>
                <w:lang w:eastAsia="en-GB"/>
              </w:rPr>
            </w:pPr>
            <w:r w:rsidRPr="00121808">
              <w:rPr>
                <w:rFonts w:ascii="Arial" w:eastAsia="Times New Roman" w:hAnsi="Arial" w:cs="Arial"/>
                <w:sz w:val="18"/>
                <w:szCs w:val="18"/>
                <w:lang w:eastAsia="en-GB"/>
              </w:rPr>
              <w:t>3487</w:t>
            </w:r>
          </w:p>
        </w:tc>
        <w:tc>
          <w:tcPr>
            <w:tcW w:w="991" w:type="dxa"/>
            <w:vAlign w:val="bottom"/>
          </w:tcPr>
          <w:p w:rsidR="00282E35" w:rsidRPr="00121808" w:rsidRDefault="00282E35" w:rsidP="00E50C61">
            <w:pPr>
              <w:jc w:val="center"/>
              <w:rPr>
                <w:rFonts w:ascii="Arial" w:eastAsia="Times New Roman" w:hAnsi="Arial" w:cs="Arial"/>
                <w:color w:val="000000"/>
                <w:sz w:val="18"/>
                <w:szCs w:val="18"/>
                <w:lang w:eastAsia="en-GB"/>
              </w:rPr>
            </w:pPr>
            <w:r w:rsidRPr="00121808">
              <w:rPr>
                <w:rFonts w:ascii="Arial" w:eastAsia="Times New Roman" w:hAnsi="Arial" w:cs="Arial"/>
                <w:color w:val="000000"/>
                <w:sz w:val="18"/>
                <w:szCs w:val="18"/>
                <w:lang w:eastAsia="en-GB"/>
              </w:rPr>
              <w:t>369</w:t>
            </w:r>
          </w:p>
        </w:tc>
        <w:tc>
          <w:tcPr>
            <w:tcW w:w="762" w:type="dxa"/>
            <w:vAlign w:val="bottom"/>
          </w:tcPr>
          <w:p w:rsidR="00282E35" w:rsidRPr="00121808" w:rsidRDefault="00282E35" w:rsidP="00E50C61">
            <w:pPr>
              <w:jc w:val="center"/>
              <w:rPr>
                <w:rFonts w:ascii="Arial" w:eastAsia="Times New Roman" w:hAnsi="Arial" w:cs="Arial"/>
                <w:sz w:val="18"/>
                <w:szCs w:val="18"/>
                <w:lang w:eastAsia="en-GB"/>
              </w:rPr>
            </w:pPr>
            <w:r w:rsidRPr="00121808">
              <w:rPr>
                <w:rFonts w:ascii="Arial" w:eastAsia="Times New Roman" w:hAnsi="Arial" w:cs="Arial"/>
                <w:sz w:val="18"/>
                <w:szCs w:val="18"/>
                <w:lang w:eastAsia="en-GB"/>
              </w:rPr>
              <w:t>2584</w:t>
            </w:r>
          </w:p>
        </w:tc>
        <w:tc>
          <w:tcPr>
            <w:tcW w:w="851" w:type="dxa"/>
            <w:vAlign w:val="bottom"/>
          </w:tcPr>
          <w:p w:rsidR="00282E35" w:rsidRPr="00121808" w:rsidRDefault="00282E35" w:rsidP="00E50C61">
            <w:pPr>
              <w:jc w:val="center"/>
              <w:rPr>
                <w:rFonts w:ascii="Arial" w:eastAsia="Times New Roman" w:hAnsi="Arial" w:cs="Arial"/>
                <w:sz w:val="18"/>
                <w:szCs w:val="18"/>
                <w:lang w:eastAsia="en-GB"/>
              </w:rPr>
            </w:pPr>
            <w:r w:rsidRPr="00121808">
              <w:rPr>
                <w:rFonts w:ascii="Arial" w:eastAsia="Times New Roman" w:hAnsi="Arial" w:cs="Arial"/>
                <w:sz w:val="18"/>
                <w:szCs w:val="18"/>
                <w:lang w:eastAsia="en-GB"/>
              </w:rPr>
              <w:t>2677</w:t>
            </w:r>
          </w:p>
        </w:tc>
        <w:tc>
          <w:tcPr>
            <w:tcW w:w="992" w:type="dxa"/>
            <w:vAlign w:val="bottom"/>
          </w:tcPr>
          <w:p w:rsidR="00282E35" w:rsidRPr="00121808" w:rsidRDefault="00282E35" w:rsidP="00E50C61">
            <w:pPr>
              <w:jc w:val="center"/>
              <w:rPr>
                <w:rFonts w:ascii="Arial" w:eastAsia="Times New Roman" w:hAnsi="Arial" w:cs="Arial"/>
                <w:color w:val="000000"/>
                <w:sz w:val="18"/>
                <w:szCs w:val="18"/>
                <w:lang w:eastAsia="en-GB"/>
              </w:rPr>
            </w:pPr>
            <w:r w:rsidRPr="00121808">
              <w:rPr>
                <w:rFonts w:ascii="Arial" w:eastAsia="Times New Roman" w:hAnsi="Arial" w:cs="Arial"/>
                <w:color w:val="000000"/>
                <w:sz w:val="18"/>
                <w:szCs w:val="18"/>
                <w:lang w:eastAsia="en-GB"/>
              </w:rPr>
              <w:t>93</w:t>
            </w:r>
          </w:p>
        </w:tc>
        <w:tc>
          <w:tcPr>
            <w:tcW w:w="850" w:type="dxa"/>
            <w:vAlign w:val="bottom"/>
          </w:tcPr>
          <w:p w:rsidR="00282E35" w:rsidRPr="00121808" w:rsidRDefault="00282E35" w:rsidP="00E50C61">
            <w:pPr>
              <w:jc w:val="center"/>
              <w:rPr>
                <w:rFonts w:ascii="Arial" w:eastAsia="Times New Roman" w:hAnsi="Arial" w:cs="Arial"/>
                <w:sz w:val="18"/>
                <w:szCs w:val="18"/>
                <w:lang w:eastAsia="en-GB"/>
              </w:rPr>
            </w:pPr>
            <w:r w:rsidRPr="00121808">
              <w:rPr>
                <w:rFonts w:ascii="Arial" w:eastAsia="Times New Roman" w:hAnsi="Arial" w:cs="Arial"/>
                <w:sz w:val="18"/>
                <w:szCs w:val="18"/>
                <w:lang w:eastAsia="en-GB"/>
              </w:rPr>
              <w:t>9106</w:t>
            </w:r>
          </w:p>
        </w:tc>
        <w:tc>
          <w:tcPr>
            <w:tcW w:w="837" w:type="dxa"/>
            <w:vAlign w:val="bottom"/>
          </w:tcPr>
          <w:p w:rsidR="00282E35" w:rsidRPr="00121808" w:rsidRDefault="00282E35" w:rsidP="00E50C61">
            <w:pPr>
              <w:jc w:val="center"/>
              <w:rPr>
                <w:rFonts w:ascii="Arial" w:eastAsia="Times New Roman" w:hAnsi="Arial" w:cs="Arial"/>
                <w:color w:val="000000"/>
                <w:sz w:val="18"/>
                <w:szCs w:val="18"/>
                <w:lang w:eastAsia="en-GB"/>
              </w:rPr>
            </w:pPr>
            <w:r w:rsidRPr="00121808">
              <w:rPr>
                <w:rFonts w:ascii="Arial" w:eastAsia="Times New Roman" w:hAnsi="Arial" w:cs="Arial"/>
                <w:color w:val="000000"/>
                <w:sz w:val="18"/>
                <w:szCs w:val="18"/>
                <w:lang w:eastAsia="en-GB"/>
              </w:rPr>
              <w:t>9602</w:t>
            </w:r>
          </w:p>
        </w:tc>
        <w:tc>
          <w:tcPr>
            <w:tcW w:w="987" w:type="dxa"/>
            <w:vAlign w:val="bottom"/>
          </w:tcPr>
          <w:p w:rsidR="00282E35" w:rsidRPr="00121808" w:rsidRDefault="00282E35" w:rsidP="00E50C61">
            <w:pPr>
              <w:jc w:val="center"/>
              <w:rPr>
                <w:rFonts w:ascii="Arial" w:eastAsia="Times New Roman" w:hAnsi="Arial" w:cs="Arial"/>
                <w:color w:val="000000"/>
                <w:sz w:val="18"/>
                <w:szCs w:val="18"/>
                <w:lang w:eastAsia="en-GB"/>
              </w:rPr>
            </w:pPr>
            <w:r w:rsidRPr="00121808">
              <w:rPr>
                <w:rFonts w:ascii="Arial" w:eastAsia="Times New Roman" w:hAnsi="Arial" w:cs="Arial"/>
                <w:color w:val="000000"/>
                <w:sz w:val="18"/>
                <w:szCs w:val="18"/>
                <w:lang w:eastAsia="en-GB"/>
              </w:rPr>
              <w:t>496</w:t>
            </w:r>
          </w:p>
        </w:tc>
      </w:tr>
    </w:tbl>
    <w:p w:rsidR="00282E35" w:rsidRPr="00121808" w:rsidRDefault="00282E35" w:rsidP="00282E35">
      <w:pPr>
        <w:spacing w:after="0" w:line="240" w:lineRule="auto"/>
        <w:rPr>
          <w:rFonts w:ascii="Arial" w:eastAsia="Times New Roman" w:hAnsi="Arial" w:cs="Arial"/>
          <w:lang w:eastAsia="en-GB"/>
        </w:rPr>
      </w:pPr>
      <w:r w:rsidRPr="00121808">
        <w:rPr>
          <w:rFonts w:ascii="Arial" w:eastAsia="Times New Roman" w:hAnsi="Arial" w:cs="Arial"/>
          <w:sz w:val="18"/>
          <w:szCs w:val="18"/>
          <w:lang w:eastAsia="en-GB"/>
        </w:rPr>
        <w:t>Data Source: West London Partnership Support Unit</w:t>
      </w:r>
    </w:p>
    <w:p w:rsidR="00282E35" w:rsidRPr="00121808" w:rsidRDefault="00282E35" w:rsidP="00282E35">
      <w:pPr>
        <w:spacing w:after="0" w:line="240" w:lineRule="auto"/>
        <w:rPr>
          <w:rFonts w:ascii="Arial" w:eastAsia="Times New Roman" w:hAnsi="Arial" w:cs="Arial"/>
          <w:lang w:eastAsia="en-GB"/>
        </w:rPr>
      </w:pPr>
    </w:p>
    <w:p w:rsidR="00282E35" w:rsidRPr="00121808" w:rsidRDefault="00282E35" w:rsidP="00282E35">
      <w:pPr>
        <w:pStyle w:val="Caption"/>
        <w:rPr>
          <w:rFonts w:ascii="Arial" w:eastAsia="Times New Roman" w:hAnsi="Arial" w:cs="Arial"/>
          <w:lang w:eastAsia="en-GB"/>
        </w:rPr>
      </w:pPr>
      <w:r>
        <w:t xml:space="preserve">Table </w:t>
      </w:r>
      <w:fldSimple w:instr=" STYLEREF 1 \s ">
        <w:r w:rsidR="001663C2">
          <w:rPr>
            <w:noProof/>
          </w:rPr>
          <w:t>8</w:t>
        </w:r>
      </w:fldSimple>
      <w:r>
        <w:noBreakHyphen/>
      </w:r>
      <w:fldSimple w:instr=" SEQ Table \* ARABIC \s 1 ">
        <w:r w:rsidR="001663C2">
          <w:rPr>
            <w:noProof/>
          </w:rPr>
          <w:t>7</w:t>
        </w:r>
      </w:fldSimple>
      <w:r w:rsidRPr="00281639">
        <w:rPr>
          <w:b w:val="0"/>
          <w:szCs w:val="22"/>
        </w:rPr>
        <w:t xml:space="preserve">: </w:t>
      </w:r>
      <w:r w:rsidRPr="00281639">
        <w:rPr>
          <w:rFonts w:eastAsia="Times New Roman" w:cs="Times New Roman"/>
          <w:szCs w:val="22"/>
          <w:lang w:eastAsia="en-GB"/>
        </w:rPr>
        <w:t>NEET</w:t>
      </w:r>
    </w:p>
    <w:tbl>
      <w:tblPr>
        <w:tblStyle w:val="TableGrid1"/>
        <w:tblW w:w="10632" w:type="dxa"/>
        <w:jc w:val="center"/>
        <w:tblInd w:w="-743" w:type="dxa"/>
        <w:tblLayout w:type="fixed"/>
        <w:tblLook w:val="04A0" w:firstRow="1" w:lastRow="0" w:firstColumn="1" w:lastColumn="0" w:noHBand="0" w:noVBand="1"/>
      </w:tblPr>
      <w:tblGrid>
        <w:gridCol w:w="851"/>
        <w:gridCol w:w="851"/>
        <w:gridCol w:w="992"/>
        <w:gridCol w:w="851"/>
        <w:gridCol w:w="850"/>
        <w:gridCol w:w="992"/>
        <w:gridCol w:w="851"/>
        <w:gridCol w:w="850"/>
        <w:gridCol w:w="851"/>
        <w:gridCol w:w="850"/>
        <w:gridCol w:w="851"/>
        <w:gridCol w:w="992"/>
      </w:tblGrid>
      <w:tr w:rsidR="00282E35" w:rsidRPr="00121808" w:rsidTr="00E50C61">
        <w:trPr>
          <w:jc w:val="center"/>
        </w:trPr>
        <w:tc>
          <w:tcPr>
            <w:tcW w:w="2694" w:type="dxa"/>
            <w:gridSpan w:val="3"/>
            <w:vAlign w:val="bottom"/>
          </w:tcPr>
          <w:p w:rsidR="00282E35" w:rsidRPr="00121808" w:rsidRDefault="00282E35" w:rsidP="00E50C61">
            <w:pPr>
              <w:jc w:val="center"/>
              <w:rPr>
                <w:rFonts w:ascii="Arial" w:eastAsia="Times New Roman" w:hAnsi="Arial" w:cs="Arial"/>
                <w:b/>
                <w:bCs/>
                <w:sz w:val="18"/>
                <w:szCs w:val="18"/>
                <w:lang w:eastAsia="en-GB"/>
              </w:rPr>
            </w:pPr>
            <w:r w:rsidRPr="00121808">
              <w:rPr>
                <w:rFonts w:ascii="Arial" w:eastAsia="Times New Roman" w:hAnsi="Arial" w:cs="Arial"/>
                <w:b/>
                <w:bCs/>
                <w:sz w:val="18"/>
                <w:szCs w:val="18"/>
                <w:lang w:eastAsia="en-GB"/>
              </w:rPr>
              <w:t>Year 12</w:t>
            </w:r>
          </w:p>
        </w:tc>
        <w:tc>
          <w:tcPr>
            <w:tcW w:w="2693" w:type="dxa"/>
            <w:gridSpan w:val="3"/>
            <w:vAlign w:val="bottom"/>
          </w:tcPr>
          <w:p w:rsidR="00282E35" w:rsidRPr="00121808" w:rsidRDefault="00282E35" w:rsidP="00E50C61">
            <w:pPr>
              <w:jc w:val="center"/>
              <w:rPr>
                <w:rFonts w:ascii="Arial" w:eastAsia="Times New Roman" w:hAnsi="Arial" w:cs="Arial"/>
                <w:b/>
                <w:bCs/>
                <w:sz w:val="18"/>
                <w:szCs w:val="18"/>
                <w:lang w:eastAsia="en-GB"/>
              </w:rPr>
            </w:pPr>
            <w:r w:rsidRPr="00121808">
              <w:rPr>
                <w:rFonts w:ascii="Arial" w:eastAsia="Times New Roman" w:hAnsi="Arial" w:cs="Arial"/>
                <w:b/>
                <w:bCs/>
                <w:sz w:val="18"/>
                <w:szCs w:val="18"/>
                <w:lang w:eastAsia="en-GB"/>
              </w:rPr>
              <w:t>Year 13</w:t>
            </w:r>
          </w:p>
        </w:tc>
        <w:tc>
          <w:tcPr>
            <w:tcW w:w="2552" w:type="dxa"/>
            <w:gridSpan w:val="3"/>
            <w:vAlign w:val="bottom"/>
          </w:tcPr>
          <w:p w:rsidR="00282E35" w:rsidRPr="00121808" w:rsidRDefault="00282E35" w:rsidP="00E50C61">
            <w:pPr>
              <w:jc w:val="center"/>
              <w:rPr>
                <w:rFonts w:ascii="Arial" w:eastAsia="Times New Roman" w:hAnsi="Arial" w:cs="Arial"/>
                <w:b/>
                <w:bCs/>
                <w:sz w:val="18"/>
                <w:szCs w:val="18"/>
                <w:lang w:eastAsia="en-GB"/>
              </w:rPr>
            </w:pPr>
            <w:r w:rsidRPr="00121808">
              <w:rPr>
                <w:rFonts w:ascii="Arial" w:eastAsia="Times New Roman" w:hAnsi="Arial" w:cs="Arial"/>
                <w:b/>
                <w:bCs/>
                <w:sz w:val="18"/>
                <w:szCs w:val="18"/>
                <w:lang w:eastAsia="en-GB"/>
              </w:rPr>
              <w:t>Year 14</w:t>
            </w:r>
          </w:p>
        </w:tc>
        <w:tc>
          <w:tcPr>
            <w:tcW w:w="2693" w:type="dxa"/>
            <w:gridSpan w:val="3"/>
            <w:vAlign w:val="bottom"/>
          </w:tcPr>
          <w:p w:rsidR="00282E35" w:rsidRPr="00121808" w:rsidRDefault="00282E35" w:rsidP="00E50C61">
            <w:pPr>
              <w:jc w:val="center"/>
              <w:rPr>
                <w:rFonts w:ascii="Arial" w:eastAsia="Times New Roman" w:hAnsi="Arial" w:cs="Arial"/>
                <w:b/>
                <w:bCs/>
                <w:sz w:val="18"/>
                <w:szCs w:val="18"/>
                <w:lang w:eastAsia="en-GB"/>
              </w:rPr>
            </w:pPr>
            <w:r w:rsidRPr="00121808">
              <w:rPr>
                <w:rFonts w:ascii="Arial" w:eastAsia="Times New Roman" w:hAnsi="Arial" w:cs="Arial"/>
                <w:b/>
                <w:bCs/>
                <w:sz w:val="18"/>
                <w:szCs w:val="18"/>
                <w:lang w:eastAsia="en-GB"/>
              </w:rPr>
              <w:t>Year 12-14</w:t>
            </w:r>
          </w:p>
        </w:tc>
      </w:tr>
      <w:tr w:rsidR="00282E35" w:rsidRPr="00121808" w:rsidTr="00E50C61">
        <w:trPr>
          <w:jc w:val="center"/>
        </w:trPr>
        <w:tc>
          <w:tcPr>
            <w:tcW w:w="851" w:type="dxa"/>
            <w:vAlign w:val="bottom"/>
          </w:tcPr>
          <w:p w:rsidR="00282E35" w:rsidRPr="00121808" w:rsidRDefault="00282E35" w:rsidP="00E50C61">
            <w:pPr>
              <w:jc w:val="center"/>
              <w:rPr>
                <w:rFonts w:ascii="Arial" w:eastAsia="Times New Roman" w:hAnsi="Arial" w:cs="Arial"/>
                <w:b/>
                <w:bCs/>
                <w:color w:val="000000"/>
                <w:sz w:val="18"/>
                <w:szCs w:val="18"/>
                <w:lang w:eastAsia="en-GB"/>
              </w:rPr>
            </w:pPr>
            <w:r w:rsidRPr="00121808">
              <w:rPr>
                <w:rFonts w:ascii="Arial" w:eastAsia="Times New Roman" w:hAnsi="Arial" w:cs="Arial"/>
                <w:b/>
                <w:bCs/>
                <w:color w:val="000000"/>
                <w:sz w:val="18"/>
                <w:szCs w:val="18"/>
                <w:lang w:eastAsia="en-GB"/>
              </w:rPr>
              <w:t>Jun14</w:t>
            </w:r>
          </w:p>
        </w:tc>
        <w:tc>
          <w:tcPr>
            <w:tcW w:w="851" w:type="dxa"/>
            <w:vAlign w:val="bottom"/>
          </w:tcPr>
          <w:p w:rsidR="00282E35" w:rsidRPr="00121808" w:rsidRDefault="00282E35" w:rsidP="00E50C61">
            <w:pPr>
              <w:jc w:val="center"/>
              <w:rPr>
                <w:rFonts w:ascii="Arial" w:eastAsia="Times New Roman" w:hAnsi="Arial" w:cs="Arial"/>
                <w:b/>
                <w:bCs/>
                <w:color w:val="000000"/>
                <w:sz w:val="18"/>
                <w:szCs w:val="18"/>
                <w:lang w:eastAsia="en-GB"/>
              </w:rPr>
            </w:pPr>
            <w:r w:rsidRPr="00121808">
              <w:rPr>
                <w:rFonts w:ascii="Arial" w:eastAsia="Times New Roman" w:hAnsi="Arial" w:cs="Arial"/>
                <w:b/>
                <w:bCs/>
                <w:color w:val="000000"/>
                <w:sz w:val="18"/>
                <w:szCs w:val="18"/>
                <w:lang w:eastAsia="en-GB"/>
              </w:rPr>
              <w:t>Jun15</w:t>
            </w:r>
          </w:p>
        </w:tc>
        <w:tc>
          <w:tcPr>
            <w:tcW w:w="992" w:type="dxa"/>
            <w:vAlign w:val="bottom"/>
          </w:tcPr>
          <w:p w:rsidR="00282E35" w:rsidRPr="00121808" w:rsidRDefault="00282E35" w:rsidP="00E50C61">
            <w:pPr>
              <w:jc w:val="center"/>
              <w:rPr>
                <w:rFonts w:ascii="Arial" w:eastAsia="Times New Roman" w:hAnsi="Arial" w:cs="Arial"/>
                <w:b/>
                <w:bCs/>
                <w:color w:val="000000"/>
                <w:sz w:val="18"/>
                <w:szCs w:val="18"/>
                <w:lang w:eastAsia="en-GB"/>
              </w:rPr>
            </w:pPr>
            <w:r w:rsidRPr="00121808">
              <w:rPr>
                <w:rFonts w:ascii="Arial" w:eastAsia="Times New Roman" w:hAnsi="Arial" w:cs="Arial"/>
                <w:b/>
                <w:bCs/>
                <w:color w:val="000000"/>
                <w:sz w:val="18"/>
                <w:szCs w:val="18"/>
                <w:lang w:eastAsia="en-GB"/>
              </w:rPr>
              <w:t>Variation</w:t>
            </w:r>
          </w:p>
        </w:tc>
        <w:tc>
          <w:tcPr>
            <w:tcW w:w="851" w:type="dxa"/>
            <w:vAlign w:val="bottom"/>
          </w:tcPr>
          <w:p w:rsidR="00282E35" w:rsidRPr="00121808" w:rsidRDefault="00282E35" w:rsidP="00E50C61">
            <w:pPr>
              <w:jc w:val="center"/>
              <w:rPr>
                <w:rFonts w:ascii="Arial" w:eastAsia="Times New Roman" w:hAnsi="Arial" w:cs="Arial"/>
                <w:b/>
                <w:bCs/>
                <w:color w:val="000000"/>
                <w:sz w:val="18"/>
                <w:szCs w:val="18"/>
                <w:lang w:eastAsia="en-GB"/>
              </w:rPr>
            </w:pPr>
            <w:r w:rsidRPr="00121808">
              <w:rPr>
                <w:rFonts w:ascii="Arial" w:eastAsia="Times New Roman" w:hAnsi="Arial" w:cs="Arial"/>
                <w:b/>
                <w:bCs/>
                <w:color w:val="000000"/>
                <w:sz w:val="18"/>
                <w:szCs w:val="18"/>
                <w:lang w:eastAsia="en-GB"/>
              </w:rPr>
              <w:t>Jun14</w:t>
            </w:r>
          </w:p>
        </w:tc>
        <w:tc>
          <w:tcPr>
            <w:tcW w:w="850" w:type="dxa"/>
            <w:vAlign w:val="bottom"/>
          </w:tcPr>
          <w:p w:rsidR="00282E35" w:rsidRPr="00121808" w:rsidRDefault="00282E35" w:rsidP="00E50C61">
            <w:pPr>
              <w:jc w:val="center"/>
              <w:rPr>
                <w:rFonts w:ascii="Arial" w:eastAsia="Times New Roman" w:hAnsi="Arial" w:cs="Arial"/>
                <w:b/>
                <w:bCs/>
                <w:color w:val="000000"/>
                <w:sz w:val="18"/>
                <w:szCs w:val="18"/>
                <w:lang w:eastAsia="en-GB"/>
              </w:rPr>
            </w:pPr>
            <w:r w:rsidRPr="00121808">
              <w:rPr>
                <w:rFonts w:ascii="Arial" w:eastAsia="Times New Roman" w:hAnsi="Arial" w:cs="Arial"/>
                <w:b/>
                <w:bCs/>
                <w:color w:val="000000"/>
                <w:sz w:val="18"/>
                <w:szCs w:val="18"/>
                <w:lang w:eastAsia="en-GB"/>
              </w:rPr>
              <w:t>Jun15</w:t>
            </w:r>
          </w:p>
        </w:tc>
        <w:tc>
          <w:tcPr>
            <w:tcW w:w="992" w:type="dxa"/>
            <w:vAlign w:val="bottom"/>
          </w:tcPr>
          <w:p w:rsidR="00282E35" w:rsidRPr="00121808" w:rsidRDefault="00282E35" w:rsidP="00E50C61">
            <w:pPr>
              <w:jc w:val="center"/>
              <w:rPr>
                <w:rFonts w:ascii="Arial" w:eastAsia="Times New Roman" w:hAnsi="Arial" w:cs="Arial"/>
                <w:b/>
                <w:bCs/>
                <w:color w:val="000000"/>
                <w:sz w:val="18"/>
                <w:szCs w:val="18"/>
                <w:lang w:eastAsia="en-GB"/>
              </w:rPr>
            </w:pPr>
            <w:r w:rsidRPr="00121808">
              <w:rPr>
                <w:rFonts w:ascii="Arial" w:eastAsia="Times New Roman" w:hAnsi="Arial" w:cs="Arial"/>
                <w:b/>
                <w:bCs/>
                <w:color w:val="000000"/>
                <w:sz w:val="18"/>
                <w:szCs w:val="18"/>
                <w:lang w:eastAsia="en-GB"/>
              </w:rPr>
              <w:t>Variation</w:t>
            </w:r>
          </w:p>
        </w:tc>
        <w:tc>
          <w:tcPr>
            <w:tcW w:w="851" w:type="dxa"/>
            <w:vAlign w:val="bottom"/>
          </w:tcPr>
          <w:p w:rsidR="00282E35" w:rsidRPr="00121808" w:rsidRDefault="00282E35" w:rsidP="00E50C61">
            <w:pPr>
              <w:jc w:val="center"/>
              <w:rPr>
                <w:rFonts w:ascii="Arial" w:eastAsia="Times New Roman" w:hAnsi="Arial" w:cs="Arial"/>
                <w:b/>
                <w:bCs/>
                <w:color w:val="000000"/>
                <w:sz w:val="18"/>
                <w:szCs w:val="18"/>
                <w:lang w:eastAsia="en-GB"/>
              </w:rPr>
            </w:pPr>
            <w:r w:rsidRPr="00121808">
              <w:rPr>
                <w:rFonts w:ascii="Arial" w:eastAsia="Times New Roman" w:hAnsi="Arial" w:cs="Arial"/>
                <w:b/>
                <w:bCs/>
                <w:color w:val="000000"/>
                <w:sz w:val="18"/>
                <w:szCs w:val="18"/>
                <w:lang w:eastAsia="en-GB"/>
              </w:rPr>
              <w:t>Jun14</w:t>
            </w:r>
          </w:p>
        </w:tc>
        <w:tc>
          <w:tcPr>
            <w:tcW w:w="850" w:type="dxa"/>
            <w:vAlign w:val="bottom"/>
          </w:tcPr>
          <w:p w:rsidR="00282E35" w:rsidRPr="00121808" w:rsidRDefault="00282E35" w:rsidP="00E50C61">
            <w:pPr>
              <w:jc w:val="center"/>
              <w:rPr>
                <w:rFonts w:ascii="Arial" w:eastAsia="Times New Roman" w:hAnsi="Arial" w:cs="Arial"/>
                <w:b/>
                <w:bCs/>
                <w:color w:val="000000"/>
                <w:sz w:val="18"/>
                <w:szCs w:val="18"/>
                <w:lang w:eastAsia="en-GB"/>
              </w:rPr>
            </w:pPr>
            <w:r w:rsidRPr="00121808">
              <w:rPr>
                <w:rFonts w:ascii="Arial" w:eastAsia="Times New Roman" w:hAnsi="Arial" w:cs="Arial"/>
                <w:b/>
                <w:bCs/>
                <w:color w:val="000000"/>
                <w:sz w:val="18"/>
                <w:szCs w:val="18"/>
                <w:lang w:eastAsia="en-GB"/>
              </w:rPr>
              <w:t>Jun15</w:t>
            </w:r>
          </w:p>
        </w:tc>
        <w:tc>
          <w:tcPr>
            <w:tcW w:w="851" w:type="dxa"/>
            <w:vAlign w:val="bottom"/>
          </w:tcPr>
          <w:p w:rsidR="00282E35" w:rsidRPr="00121808" w:rsidRDefault="00282E35" w:rsidP="00E50C61">
            <w:pPr>
              <w:jc w:val="center"/>
              <w:rPr>
                <w:rFonts w:ascii="Arial" w:eastAsia="Times New Roman" w:hAnsi="Arial" w:cs="Arial"/>
                <w:b/>
                <w:bCs/>
                <w:color w:val="000000"/>
                <w:sz w:val="18"/>
                <w:szCs w:val="18"/>
                <w:lang w:eastAsia="en-GB"/>
              </w:rPr>
            </w:pPr>
            <w:r w:rsidRPr="00121808">
              <w:rPr>
                <w:rFonts w:ascii="Arial" w:eastAsia="Times New Roman" w:hAnsi="Arial" w:cs="Arial"/>
                <w:b/>
                <w:bCs/>
                <w:color w:val="000000"/>
                <w:sz w:val="18"/>
                <w:szCs w:val="18"/>
                <w:lang w:eastAsia="en-GB"/>
              </w:rPr>
              <w:t>Variation</w:t>
            </w:r>
          </w:p>
        </w:tc>
        <w:tc>
          <w:tcPr>
            <w:tcW w:w="850" w:type="dxa"/>
            <w:vAlign w:val="bottom"/>
          </w:tcPr>
          <w:p w:rsidR="00282E35" w:rsidRPr="00121808" w:rsidRDefault="00282E35" w:rsidP="00E50C61">
            <w:pPr>
              <w:jc w:val="center"/>
              <w:rPr>
                <w:rFonts w:ascii="Arial" w:eastAsia="Times New Roman" w:hAnsi="Arial" w:cs="Arial"/>
                <w:b/>
                <w:bCs/>
                <w:color w:val="000000"/>
                <w:sz w:val="18"/>
                <w:szCs w:val="18"/>
                <w:lang w:eastAsia="en-GB"/>
              </w:rPr>
            </w:pPr>
            <w:r w:rsidRPr="00121808">
              <w:rPr>
                <w:rFonts w:ascii="Arial" w:eastAsia="Times New Roman" w:hAnsi="Arial" w:cs="Arial"/>
                <w:b/>
                <w:bCs/>
                <w:color w:val="000000"/>
                <w:sz w:val="18"/>
                <w:szCs w:val="18"/>
                <w:lang w:eastAsia="en-GB"/>
              </w:rPr>
              <w:t>Jun 14</w:t>
            </w:r>
          </w:p>
        </w:tc>
        <w:tc>
          <w:tcPr>
            <w:tcW w:w="851" w:type="dxa"/>
            <w:vAlign w:val="bottom"/>
          </w:tcPr>
          <w:p w:rsidR="00282E35" w:rsidRPr="00121808" w:rsidRDefault="00282E35" w:rsidP="00E50C61">
            <w:pPr>
              <w:jc w:val="center"/>
              <w:rPr>
                <w:rFonts w:ascii="Arial" w:eastAsia="Times New Roman" w:hAnsi="Arial" w:cs="Arial"/>
                <w:b/>
                <w:bCs/>
                <w:color w:val="000000"/>
                <w:sz w:val="18"/>
                <w:szCs w:val="18"/>
                <w:lang w:eastAsia="en-GB"/>
              </w:rPr>
            </w:pPr>
            <w:r w:rsidRPr="00121808">
              <w:rPr>
                <w:rFonts w:ascii="Arial" w:eastAsia="Times New Roman" w:hAnsi="Arial" w:cs="Arial"/>
                <w:b/>
                <w:bCs/>
                <w:color w:val="000000"/>
                <w:sz w:val="18"/>
                <w:szCs w:val="18"/>
                <w:lang w:eastAsia="en-GB"/>
              </w:rPr>
              <w:t>Jun 15</w:t>
            </w:r>
          </w:p>
        </w:tc>
        <w:tc>
          <w:tcPr>
            <w:tcW w:w="992" w:type="dxa"/>
            <w:vAlign w:val="bottom"/>
          </w:tcPr>
          <w:p w:rsidR="00282E35" w:rsidRPr="00121808" w:rsidRDefault="00282E35" w:rsidP="00E50C61">
            <w:pPr>
              <w:jc w:val="center"/>
              <w:rPr>
                <w:rFonts w:ascii="Arial" w:eastAsia="Times New Roman" w:hAnsi="Arial" w:cs="Arial"/>
                <w:b/>
                <w:bCs/>
                <w:color w:val="000000"/>
                <w:sz w:val="18"/>
                <w:szCs w:val="18"/>
                <w:lang w:eastAsia="en-GB"/>
              </w:rPr>
            </w:pPr>
            <w:r w:rsidRPr="00121808">
              <w:rPr>
                <w:rFonts w:ascii="Arial" w:eastAsia="Times New Roman" w:hAnsi="Arial" w:cs="Arial"/>
                <w:b/>
                <w:bCs/>
                <w:color w:val="000000"/>
                <w:sz w:val="18"/>
                <w:szCs w:val="18"/>
                <w:lang w:eastAsia="en-GB"/>
              </w:rPr>
              <w:t>Variation</w:t>
            </w:r>
          </w:p>
        </w:tc>
      </w:tr>
      <w:tr w:rsidR="00282E35" w:rsidRPr="00121808" w:rsidTr="00E50C61">
        <w:trPr>
          <w:jc w:val="center"/>
        </w:trPr>
        <w:tc>
          <w:tcPr>
            <w:tcW w:w="851" w:type="dxa"/>
            <w:vAlign w:val="bottom"/>
          </w:tcPr>
          <w:p w:rsidR="00282E35" w:rsidRPr="00121808" w:rsidRDefault="00282E35" w:rsidP="00E50C61">
            <w:pPr>
              <w:jc w:val="center"/>
              <w:rPr>
                <w:rFonts w:ascii="Arial" w:eastAsia="Times New Roman" w:hAnsi="Arial" w:cs="Arial"/>
                <w:sz w:val="18"/>
                <w:szCs w:val="18"/>
                <w:lang w:eastAsia="en-GB"/>
              </w:rPr>
            </w:pPr>
            <w:r w:rsidRPr="00121808">
              <w:rPr>
                <w:rFonts w:ascii="Arial" w:eastAsia="Times New Roman" w:hAnsi="Arial" w:cs="Arial"/>
                <w:sz w:val="18"/>
                <w:szCs w:val="18"/>
                <w:lang w:eastAsia="en-GB"/>
              </w:rPr>
              <w:t>2.1%</w:t>
            </w:r>
          </w:p>
        </w:tc>
        <w:tc>
          <w:tcPr>
            <w:tcW w:w="851" w:type="dxa"/>
            <w:vAlign w:val="bottom"/>
          </w:tcPr>
          <w:p w:rsidR="00282E35" w:rsidRPr="00121808" w:rsidRDefault="00282E35" w:rsidP="00E50C61">
            <w:pPr>
              <w:jc w:val="center"/>
              <w:rPr>
                <w:rFonts w:ascii="Arial" w:eastAsia="Times New Roman" w:hAnsi="Arial" w:cs="Arial"/>
                <w:sz w:val="18"/>
                <w:szCs w:val="18"/>
                <w:lang w:eastAsia="en-GB"/>
              </w:rPr>
            </w:pPr>
            <w:r w:rsidRPr="00121808">
              <w:rPr>
                <w:rFonts w:ascii="Arial" w:eastAsia="Times New Roman" w:hAnsi="Arial" w:cs="Arial"/>
                <w:sz w:val="18"/>
                <w:szCs w:val="18"/>
                <w:lang w:eastAsia="en-GB"/>
              </w:rPr>
              <w:t>1.7%</w:t>
            </w:r>
          </w:p>
        </w:tc>
        <w:tc>
          <w:tcPr>
            <w:tcW w:w="992" w:type="dxa"/>
            <w:vAlign w:val="bottom"/>
          </w:tcPr>
          <w:p w:rsidR="00282E35" w:rsidRPr="00121808" w:rsidRDefault="00282E35" w:rsidP="00E50C61">
            <w:pPr>
              <w:jc w:val="center"/>
              <w:rPr>
                <w:rFonts w:ascii="Arial" w:eastAsia="Times New Roman" w:hAnsi="Arial" w:cs="Arial"/>
                <w:color w:val="000000"/>
                <w:sz w:val="18"/>
                <w:szCs w:val="18"/>
                <w:lang w:eastAsia="en-GB"/>
              </w:rPr>
            </w:pPr>
            <w:r w:rsidRPr="00121808">
              <w:rPr>
                <w:rFonts w:ascii="Arial" w:eastAsia="Times New Roman" w:hAnsi="Arial" w:cs="Arial"/>
                <w:color w:val="000000"/>
                <w:sz w:val="18"/>
                <w:szCs w:val="18"/>
                <w:lang w:eastAsia="en-GB"/>
              </w:rPr>
              <w:t>-0.4%</w:t>
            </w:r>
          </w:p>
        </w:tc>
        <w:tc>
          <w:tcPr>
            <w:tcW w:w="851" w:type="dxa"/>
            <w:vAlign w:val="bottom"/>
          </w:tcPr>
          <w:p w:rsidR="00282E35" w:rsidRPr="00121808" w:rsidRDefault="00282E35" w:rsidP="00E50C61">
            <w:pPr>
              <w:jc w:val="center"/>
              <w:rPr>
                <w:rFonts w:ascii="Arial" w:eastAsia="Times New Roman" w:hAnsi="Arial" w:cs="Arial"/>
                <w:sz w:val="18"/>
                <w:szCs w:val="18"/>
                <w:lang w:eastAsia="en-GB"/>
              </w:rPr>
            </w:pPr>
            <w:r w:rsidRPr="00121808">
              <w:rPr>
                <w:rFonts w:ascii="Arial" w:eastAsia="Times New Roman" w:hAnsi="Arial" w:cs="Arial"/>
                <w:sz w:val="18"/>
                <w:szCs w:val="18"/>
                <w:lang w:eastAsia="en-GB"/>
              </w:rPr>
              <w:t>2.6%</w:t>
            </w:r>
          </w:p>
        </w:tc>
        <w:tc>
          <w:tcPr>
            <w:tcW w:w="850" w:type="dxa"/>
            <w:vAlign w:val="bottom"/>
          </w:tcPr>
          <w:p w:rsidR="00282E35" w:rsidRPr="00121808" w:rsidRDefault="00282E35" w:rsidP="00E50C61">
            <w:pPr>
              <w:jc w:val="center"/>
              <w:rPr>
                <w:rFonts w:ascii="Arial" w:eastAsia="Times New Roman" w:hAnsi="Arial" w:cs="Arial"/>
                <w:sz w:val="18"/>
                <w:szCs w:val="18"/>
                <w:lang w:eastAsia="en-GB"/>
              </w:rPr>
            </w:pPr>
            <w:r w:rsidRPr="00121808">
              <w:rPr>
                <w:rFonts w:ascii="Arial" w:eastAsia="Times New Roman" w:hAnsi="Arial" w:cs="Arial"/>
                <w:sz w:val="18"/>
                <w:szCs w:val="18"/>
                <w:lang w:eastAsia="en-GB"/>
              </w:rPr>
              <w:t>2.2%</w:t>
            </w:r>
          </w:p>
        </w:tc>
        <w:tc>
          <w:tcPr>
            <w:tcW w:w="992" w:type="dxa"/>
            <w:vAlign w:val="bottom"/>
          </w:tcPr>
          <w:p w:rsidR="00282E35" w:rsidRPr="00121808" w:rsidRDefault="00282E35" w:rsidP="00E50C61">
            <w:pPr>
              <w:jc w:val="center"/>
              <w:rPr>
                <w:rFonts w:ascii="Arial" w:eastAsia="Times New Roman" w:hAnsi="Arial" w:cs="Arial"/>
                <w:color w:val="000000"/>
                <w:sz w:val="18"/>
                <w:szCs w:val="18"/>
                <w:lang w:eastAsia="en-GB"/>
              </w:rPr>
            </w:pPr>
            <w:r w:rsidRPr="00121808">
              <w:rPr>
                <w:rFonts w:ascii="Arial" w:eastAsia="Times New Roman" w:hAnsi="Arial" w:cs="Arial"/>
                <w:color w:val="000000"/>
                <w:sz w:val="18"/>
                <w:szCs w:val="18"/>
                <w:lang w:eastAsia="en-GB"/>
              </w:rPr>
              <w:t>-0.4%</w:t>
            </w:r>
          </w:p>
        </w:tc>
        <w:tc>
          <w:tcPr>
            <w:tcW w:w="851" w:type="dxa"/>
            <w:vAlign w:val="bottom"/>
          </w:tcPr>
          <w:p w:rsidR="00282E35" w:rsidRPr="00121808" w:rsidRDefault="00282E35" w:rsidP="00E50C61">
            <w:pPr>
              <w:jc w:val="center"/>
              <w:rPr>
                <w:rFonts w:ascii="Arial" w:eastAsia="Times New Roman" w:hAnsi="Arial" w:cs="Arial"/>
                <w:sz w:val="18"/>
                <w:szCs w:val="18"/>
                <w:lang w:eastAsia="en-GB"/>
              </w:rPr>
            </w:pPr>
            <w:r w:rsidRPr="00121808">
              <w:rPr>
                <w:rFonts w:ascii="Arial" w:eastAsia="Times New Roman" w:hAnsi="Arial" w:cs="Arial"/>
                <w:sz w:val="18"/>
                <w:szCs w:val="18"/>
                <w:lang w:eastAsia="en-GB"/>
              </w:rPr>
              <w:t>4.2%</w:t>
            </w:r>
          </w:p>
        </w:tc>
        <w:tc>
          <w:tcPr>
            <w:tcW w:w="850" w:type="dxa"/>
            <w:vAlign w:val="bottom"/>
          </w:tcPr>
          <w:p w:rsidR="00282E35" w:rsidRPr="00121808" w:rsidRDefault="00282E35" w:rsidP="00E50C61">
            <w:pPr>
              <w:jc w:val="center"/>
              <w:rPr>
                <w:rFonts w:ascii="Arial" w:eastAsia="Times New Roman" w:hAnsi="Arial" w:cs="Arial"/>
                <w:sz w:val="18"/>
                <w:szCs w:val="18"/>
                <w:lang w:eastAsia="en-GB"/>
              </w:rPr>
            </w:pPr>
            <w:r w:rsidRPr="00121808">
              <w:rPr>
                <w:rFonts w:ascii="Arial" w:eastAsia="Times New Roman" w:hAnsi="Arial" w:cs="Arial"/>
                <w:sz w:val="18"/>
                <w:szCs w:val="18"/>
                <w:lang w:eastAsia="en-GB"/>
              </w:rPr>
              <w:t>4.2%</w:t>
            </w:r>
          </w:p>
        </w:tc>
        <w:tc>
          <w:tcPr>
            <w:tcW w:w="851" w:type="dxa"/>
            <w:vAlign w:val="bottom"/>
          </w:tcPr>
          <w:p w:rsidR="00282E35" w:rsidRPr="00121808" w:rsidRDefault="00282E35" w:rsidP="00E50C61">
            <w:pPr>
              <w:jc w:val="center"/>
              <w:rPr>
                <w:rFonts w:ascii="Arial" w:eastAsia="Times New Roman" w:hAnsi="Arial" w:cs="Arial"/>
                <w:color w:val="000000"/>
                <w:sz w:val="18"/>
                <w:szCs w:val="18"/>
                <w:lang w:eastAsia="en-GB"/>
              </w:rPr>
            </w:pPr>
            <w:r w:rsidRPr="00121808">
              <w:rPr>
                <w:rFonts w:ascii="Arial" w:eastAsia="Times New Roman" w:hAnsi="Arial" w:cs="Arial"/>
                <w:color w:val="000000"/>
                <w:sz w:val="18"/>
                <w:szCs w:val="18"/>
                <w:lang w:eastAsia="en-GB"/>
              </w:rPr>
              <w:t>0.0%</w:t>
            </w:r>
          </w:p>
        </w:tc>
        <w:tc>
          <w:tcPr>
            <w:tcW w:w="850" w:type="dxa"/>
            <w:vAlign w:val="bottom"/>
          </w:tcPr>
          <w:p w:rsidR="00282E35" w:rsidRPr="00121808" w:rsidRDefault="00282E35" w:rsidP="00E50C61">
            <w:pPr>
              <w:jc w:val="center"/>
              <w:rPr>
                <w:rFonts w:ascii="Arial" w:eastAsia="Times New Roman" w:hAnsi="Arial" w:cs="Arial"/>
                <w:sz w:val="18"/>
                <w:szCs w:val="18"/>
                <w:lang w:eastAsia="en-GB"/>
              </w:rPr>
            </w:pPr>
            <w:r w:rsidRPr="00121808">
              <w:rPr>
                <w:rFonts w:ascii="Arial" w:eastAsia="Times New Roman" w:hAnsi="Arial" w:cs="Arial"/>
                <w:sz w:val="18"/>
                <w:szCs w:val="18"/>
                <w:lang w:eastAsia="en-GB"/>
              </w:rPr>
              <w:t>2.9%</w:t>
            </w:r>
          </w:p>
        </w:tc>
        <w:tc>
          <w:tcPr>
            <w:tcW w:w="851" w:type="dxa"/>
            <w:vAlign w:val="bottom"/>
          </w:tcPr>
          <w:p w:rsidR="00282E35" w:rsidRPr="00121808" w:rsidRDefault="00282E35" w:rsidP="00E50C61">
            <w:pPr>
              <w:jc w:val="center"/>
              <w:rPr>
                <w:rFonts w:ascii="Arial" w:eastAsia="Times New Roman" w:hAnsi="Arial" w:cs="Arial"/>
                <w:color w:val="000000"/>
                <w:sz w:val="18"/>
                <w:szCs w:val="18"/>
                <w:lang w:eastAsia="en-GB"/>
              </w:rPr>
            </w:pPr>
            <w:r w:rsidRPr="00121808">
              <w:rPr>
                <w:rFonts w:ascii="Arial" w:eastAsia="Times New Roman" w:hAnsi="Arial" w:cs="Arial"/>
                <w:color w:val="000000"/>
                <w:sz w:val="18"/>
                <w:szCs w:val="18"/>
                <w:lang w:eastAsia="en-GB"/>
              </w:rPr>
              <w:t>2.6%</w:t>
            </w:r>
          </w:p>
        </w:tc>
        <w:tc>
          <w:tcPr>
            <w:tcW w:w="992" w:type="dxa"/>
            <w:vAlign w:val="bottom"/>
          </w:tcPr>
          <w:p w:rsidR="00282E35" w:rsidRPr="00121808" w:rsidRDefault="00282E35" w:rsidP="00E50C61">
            <w:pPr>
              <w:jc w:val="center"/>
              <w:rPr>
                <w:rFonts w:ascii="Arial" w:eastAsia="Times New Roman" w:hAnsi="Arial" w:cs="Arial"/>
                <w:color w:val="000000"/>
                <w:sz w:val="18"/>
                <w:szCs w:val="18"/>
                <w:lang w:eastAsia="en-GB"/>
              </w:rPr>
            </w:pPr>
            <w:r w:rsidRPr="00121808">
              <w:rPr>
                <w:rFonts w:ascii="Arial" w:eastAsia="Times New Roman" w:hAnsi="Arial" w:cs="Arial"/>
                <w:color w:val="000000"/>
                <w:sz w:val="18"/>
                <w:szCs w:val="18"/>
                <w:lang w:eastAsia="en-GB"/>
              </w:rPr>
              <w:t>-0.3%</w:t>
            </w:r>
          </w:p>
        </w:tc>
      </w:tr>
      <w:tr w:rsidR="00282E35" w:rsidRPr="00121808" w:rsidTr="00E50C61">
        <w:trPr>
          <w:jc w:val="center"/>
        </w:trPr>
        <w:tc>
          <w:tcPr>
            <w:tcW w:w="851" w:type="dxa"/>
            <w:vAlign w:val="bottom"/>
          </w:tcPr>
          <w:p w:rsidR="00282E35" w:rsidRPr="00121808" w:rsidRDefault="00282E35" w:rsidP="00E50C61">
            <w:pPr>
              <w:jc w:val="center"/>
              <w:rPr>
                <w:rFonts w:ascii="Arial" w:eastAsia="Times New Roman" w:hAnsi="Arial" w:cs="Arial"/>
                <w:sz w:val="18"/>
                <w:szCs w:val="18"/>
                <w:lang w:eastAsia="en-GB"/>
              </w:rPr>
            </w:pPr>
            <w:r w:rsidRPr="00121808">
              <w:rPr>
                <w:rFonts w:ascii="Arial" w:eastAsia="Times New Roman" w:hAnsi="Arial" w:cs="Arial"/>
                <w:sz w:val="18"/>
                <w:szCs w:val="18"/>
                <w:lang w:eastAsia="en-GB"/>
              </w:rPr>
              <w:t>73</w:t>
            </w:r>
          </w:p>
        </w:tc>
        <w:tc>
          <w:tcPr>
            <w:tcW w:w="851" w:type="dxa"/>
            <w:vAlign w:val="bottom"/>
          </w:tcPr>
          <w:p w:rsidR="00282E35" w:rsidRPr="00121808" w:rsidRDefault="00282E35" w:rsidP="00E50C61">
            <w:pPr>
              <w:jc w:val="center"/>
              <w:rPr>
                <w:rFonts w:ascii="Arial" w:eastAsia="Times New Roman" w:hAnsi="Arial" w:cs="Arial"/>
                <w:sz w:val="18"/>
                <w:szCs w:val="18"/>
                <w:lang w:eastAsia="en-GB"/>
              </w:rPr>
            </w:pPr>
            <w:r w:rsidRPr="00121808">
              <w:rPr>
                <w:rFonts w:ascii="Arial" w:eastAsia="Times New Roman" w:hAnsi="Arial" w:cs="Arial"/>
                <w:sz w:val="18"/>
                <w:szCs w:val="18"/>
                <w:lang w:eastAsia="en-GB"/>
              </w:rPr>
              <w:t>60</w:t>
            </w:r>
          </w:p>
        </w:tc>
        <w:tc>
          <w:tcPr>
            <w:tcW w:w="992" w:type="dxa"/>
            <w:vAlign w:val="bottom"/>
          </w:tcPr>
          <w:p w:rsidR="00282E35" w:rsidRPr="00121808" w:rsidRDefault="00282E35" w:rsidP="00E50C61">
            <w:pPr>
              <w:jc w:val="center"/>
              <w:rPr>
                <w:rFonts w:ascii="Arial" w:eastAsia="Times New Roman" w:hAnsi="Arial" w:cs="Arial"/>
                <w:color w:val="000000"/>
                <w:sz w:val="18"/>
                <w:szCs w:val="18"/>
                <w:lang w:eastAsia="en-GB"/>
              </w:rPr>
            </w:pPr>
            <w:r w:rsidRPr="00121808">
              <w:rPr>
                <w:rFonts w:ascii="Arial" w:eastAsia="Times New Roman" w:hAnsi="Arial" w:cs="Arial"/>
                <w:color w:val="000000"/>
                <w:sz w:val="18"/>
                <w:szCs w:val="18"/>
                <w:lang w:eastAsia="en-GB"/>
              </w:rPr>
              <w:t>-13</w:t>
            </w:r>
          </w:p>
        </w:tc>
        <w:tc>
          <w:tcPr>
            <w:tcW w:w="851" w:type="dxa"/>
            <w:vAlign w:val="bottom"/>
          </w:tcPr>
          <w:p w:rsidR="00282E35" w:rsidRPr="00121808" w:rsidRDefault="00282E35" w:rsidP="00E50C61">
            <w:pPr>
              <w:jc w:val="center"/>
              <w:rPr>
                <w:rFonts w:ascii="Arial" w:eastAsia="Times New Roman" w:hAnsi="Arial" w:cs="Arial"/>
                <w:sz w:val="18"/>
                <w:szCs w:val="18"/>
                <w:lang w:eastAsia="en-GB"/>
              </w:rPr>
            </w:pPr>
            <w:r w:rsidRPr="00121808">
              <w:rPr>
                <w:rFonts w:ascii="Arial" w:eastAsia="Times New Roman" w:hAnsi="Arial" w:cs="Arial"/>
                <w:sz w:val="18"/>
                <w:szCs w:val="18"/>
                <w:lang w:eastAsia="en-GB"/>
              </w:rPr>
              <w:t>86</w:t>
            </w:r>
          </w:p>
        </w:tc>
        <w:tc>
          <w:tcPr>
            <w:tcW w:w="850" w:type="dxa"/>
            <w:vAlign w:val="bottom"/>
          </w:tcPr>
          <w:p w:rsidR="00282E35" w:rsidRPr="00121808" w:rsidRDefault="00282E35" w:rsidP="00E50C61">
            <w:pPr>
              <w:jc w:val="center"/>
              <w:rPr>
                <w:rFonts w:ascii="Arial" w:eastAsia="Times New Roman" w:hAnsi="Arial" w:cs="Arial"/>
                <w:sz w:val="18"/>
                <w:szCs w:val="18"/>
                <w:lang w:eastAsia="en-GB"/>
              </w:rPr>
            </w:pPr>
            <w:r w:rsidRPr="00121808">
              <w:rPr>
                <w:rFonts w:ascii="Arial" w:eastAsia="Times New Roman" w:hAnsi="Arial" w:cs="Arial"/>
                <w:sz w:val="18"/>
                <w:szCs w:val="18"/>
                <w:lang w:eastAsia="en-GB"/>
              </w:rPr>
              <w:t>77</w:t>
            </w:r>
          </w:p>
        </w:tc>
        <w:tc>
          <w:tcPr>
            <w:tcW w:w="992" w:type="dxa"/>
            <w:vAlign w:val="bottom"/>
          </w:tcPr>
          <w:p w:rsidR="00282E35" w:rsidRPr="00121808" w:rsidRDefault="00282E35" w:rsidP="00E50C61">
            <w:pPr>
              <w:jc w:val="center"/>
              <w:rPr>
                <w:rFonts w:ascii="Arial" w:eastAsia="Times New Roman" w:hAnsi="Arial" w:cs="Arial"/>
                <w:color w:val="000000"/>
                <w:sz w:val="18"/>
                <w:szCs w:val="18"/>
                <w:lang w:eastAsia="en-GB"/>
              </w:rPr>
            </w:pPr>
            <w:r w:rsidRPr="00121808">
              <w:rPr>
                <w:rFonts w:ascii="Arial" w:eastAsia="Times New Roman" w:hAnsi="Arial" w:cs="Arial"/>
                <w:color w:val="000000"/>
                <w:sz w:val="18"/>
                <w:szCs w:val="18"/>
                <w:lang w:eastAsia="en-GB"/>
              </w:rPr>
              <w:t>-9</w:t>
            </w:r>
          </w:p>
        </w:tc>
        <w:tc>
          <w:tcPr>
            <w:tcW w:w="851" w:type="dxa"/>
            <w:vAlign w:val="bottom"/>
          </w:tcPr>
          <w:p w:rsidR="00282E35" w:rsidRPr="00121808" w:rsidRDefault="00282E35" w:rsidP="00E50C61">
            <w:pPr>
              <w:jc w:val="center"/>
              <w:rPr>
                <w:rFonts w:ascii="Arial" w:eastAsia="Times New Roman" w:hAnsi="Arial" w:cs="Arial"/>
                <w:sz w:val="18"/>
                <w:szCs w:val="18"/>
                <w:lang w:eastAsia="en-GB"/>
              </w:rPr>
            </w:pPr>
            <w:r w:rsidRPr="00121808">
              <w:rPr>
                <w:rFonts w:ascii="Arial" w:eastAsia="Times New Roman" w:hAnsi="Arial" w:cs="Arial"/>
                <w:sz w:val="18"/>
                <w:szCs w:val="18"/>
                <w:lang w:eastAsia="en-GB"/>
              </w:rPr>
              <w:t>127</w:t>
            </w:r>
          </w:p>
        </w:tc>
        <w:tc>
          <w:tcPr>
            <w:tcW w:w="850" w:type="dxa"/>
            <w:vAlign w:val="bottom"/>
          </w:tcPr>
          <w:p w:rsidR="00282E35" w:rsidRPr="00121808" w:rsidRDefault="00282E35" w:rsidP="00E50C61">
            <w:pPr>
              <w:jc w:val="center"/>
              <w:rPr>
                <w:rFonts w:ascii="Arial" w:eastAsia="Times New Roman" w:hAnsi="Arial" w:cs="Arial"/>
                <w:sz w:val="18"/>
                <w:szCs w:val="18"/>
                <w:lang w:eastAsia="en-GB"/>
              </w:rPr>
            </w:pPr>
            <w:r w:rsidRPr="00121808">
              <w:rPr>
                <w:rFonts w:ascii="Arial" w:eastAsia="Times New Roman" w:hAnsi="Arial" w:cs="Arial"/>
                <w:sz w:val="18"/>
                <w:szCs w:val="18"/>
                <w:lang w:eastAsia="en-GB"/>
              </w:rPr>
              <w:t>129</w:t>
            </w:r>
          </w:p>
        </w:tc>
        <w:tc>
          <w:tcPr>
            <w:tcW w:w="851" w:type="dxa"/>
            <w:vAlign w:val="bottom"/>
          </w:tcPr>
          <w:p w:rsidR="00282E35" w:rsidRPr="00121808" w:rsidRDefault="00282E35" w:rsidP="00E50C61">
            <w:pPr>
              <w:jc w:val="center"/>
              <w:rPr>
                <w:rFonts w:ascii="Arial" w:eastAsia="Times New Roman" w:hAnsi="Arial" w:cs="Arial"/>
                <w:color w:val="000000"/>
                <w:sz w:val="18"/>
                <w:szCs w:val="18"/>
                <w:lang w:eastAsia="en-GB"/>
              </w:rPr>
            </w:pPr>
            <w:r w:rsidRPr="00121808">
              <w:rPr>
                <w:rFonts w:ascii="Arial" w:eastAsia="Times New Roman" w:hAnsi="Arial" w:cs="Arial"/>
                <w:color w:val="000000"/>
                <w:sz w:val="18"/>
                <w:szCs w:val="18"/>
                <w:lang w:eastAsia="en-GB"/>
              </w:rPr>
              <w:t>2</w:t>
            </w:r>
          </w:p>
        </w:tc>
        <w:tc>
          <w:tcPr>
            <w:tcW w:w="850" w:type="dxa"/>
            <w:vAlign w:val="bottom"/>
          </w:tcPr>
          <w:p w:rsidR="00282E35" w:rsidRPr="00121808" w:rsidRDefault="00282E35" w:rsidP="00E50C61">
            <w:pPr>
              <w:jc w:val="center"/>
              <w:rPr>
                <w:rFonts w:ascii="Arial" w:eastAsia="Times New Roman" w:hAnsi="Arial" w:cs="Arial"/>
                <w:color w:val="000000"/>
                <w:sz w:val="18"/>
                <w:szCs w:val="18"/>
                <w:lang w:eastAsia="en-GB"/>
              </w:rPr>
            </w:pPr>
            <w:r w:rsidRPr="00121808">
              <w:rPr>
                <w:rFonts w:ascii="Arial" w:eastAsia="Times New Roman" w:hAnsi="Arial" w:cs="Arial"/>
                <w:color w:val="000000"/>
                <w:sz w:val="18"/>
                <w:szCs w:val="18"/>
                <w:lang w:eastAsia="en-GB"/>
              </w:rPr>
              <w:t>286</w:t>
            </w:r>
          </w:p>
        </w:tc>
        <w:tc>
          <w:tcPr>
            <w:tcW w:w="851" w:type="dxa"/>
            <w:vAlign w:val="bottom"/>
          </w:tcPr>
          <w:p w:rsidR="00282E35" w:rsidRPr="00121808" w:rsidRDefault="00282E35" w:rsidP="00E50C61">
            <w:pPr>
              <w:jc w:val="center"/>
              <w:rPr>
                <w:rFonts w:ascii="Arial" w:eastAsia="Times New Roman" w:hAnsi="Arial" w:cs="Arial"/>
                <w:color w:val="000000"/>
                <w:sz w:val="18"/>
                <w:szCs w:val="18"/>
                <w:lang w:eastAsia="en-GB"/>
              </w:rPr>
            </w:pPr>
            <w:r w:rsidRPr="00121808">
              <w:rPr>
                <w:rFonts w:ascii="Arial" w:eastAsia="Times New Roman" w:hAnsi="Arial" w:cs="Arial"/>
                <w:color w:val="000000"/>
                <w:sz w:val="18"/>
                <w:szCs w:val="18"/>
                <w:lang w:eastAsia="en-GB"/>
              </w:rPr>
              <w:t>266</w:t>
            </w:r>
          </w:p>
        </w:tc>
        <w:tc>
          <w:tcPr>
            <w:tcW w:w="992" w:type="dxa"/>
            <w:vAlign w:val="bottom"/>
          </w:tcPr>
          <w:p w:rsidR="00282E35" w:rsidRPr="00121808" w:rsidRDefault="00282E35" w:rsidP="00E50C61">
            <w:pPr>
              <w:jc w:val="center"/>
              <w:rPr>
                <w:rFonts w:ascii="Arial" w:eastAsia="Times New Roman" w:hAnsi="Arial" w:cs="Arial"/>
                <w:color w:val="000000"/>
                <w:sz w:val="18"/>
                <w:szCs w:val="18"/>
                <w:lang w:eastAsia="en-GB"/>
              </w:rPr>
            </w:pPr>
            <w:r w:rsidRPr="00121808">
              <w:rPr>
                <w:rFonts w:ascii="Arial" w:eastAsia="Times New Roman" w:hAnsi="Arial" w:cs="Arial"/>
                <w:color w:val="000000"/>
                <w:sz w:val="18"/>
                <w:szCs w:val="18"/>
                <w:lang w:eastAsia="en-GB"/>
              </w:rPr>
              <w:t>-20</w:t>
            </w:r>
          </w:p>
        </w:tc>
      </w:tr>
    </w:tbl>
    <w:p w:rsidR="00282E35" w:rsidRPr="00121808" w:rsidRDefault="00282E35" w:rsidP="00282E35">
      <w:pPr>
        <w:spacing w:after="0" w:line="240" w:lineRule="auto"/>
        <w:rPr>
          <w:rFonts w:ascii="Arial" w:eastAsia="Times New Roman" w:hAnsi="Arial" w:cs="Arial"/>
          <w:lang w:eastAsia="en-GB"/>
        </w:rPr>
      </w:pPr>
      <w:r w:rsidRPr="00121808">
        <w:rPr>
          <w:rFonts w:ascii="Arial" w:eastAsia="Times New Roman" w:hAnsi="Arial" w:cs="Arial"/>
          <w:sz w:val="18"/>
          <w:szCs w:val="18"/>
          <w:lang w:eastAsia="en-GB"/>
        </w:rPr>
        <w:t>Data Source: West London Partnership Support Unit</w:t>
      </w:r>
    </w:p>
    <w:p w:rsidR="00282E35" w:rsidRPr="00121808" w:rsidRDefault="00282E35" w:rsidP="00282E35">
      <w:pPr>
        <w:spacing w:after="0" w:line="240" w:lineRule="auto"/>
        <w:rPr>
          <w:rFonts w:ascii="Arial" w:eastAsia="Times New Roman" w:hAnsi="Arial" w:cs="Arial"/>
          <w:lang w:eastAsia="en-GB"/>
        </w:rPr>
      </w:pPr>
    </w:p>
    <w:p w:rsidR="00282E35" w:rsidRPr="00121808" w:rsidRDefault="00282E35" w:rsidP="00282E35">
      <w:pPr>
        <w:pStyle w:val="Caption"/>
        <w:rPr>
          <w:rFonts w:ascii="Arial" w:eastAsia="Times New Roman" w:hAnsi="Arial" w:cs="Arial"/>
          <w:lang w:eastAsia="en-GB"/>
        </w:rPr>
      </w:pPr>
      <w:r>
        <w:t xml:space="preserve">Table </w:t>
      </w:r>
      <w:fldSimple w:instr=" STYLEREF 1 \s ">
        <w:r w:rsidR="001663C2">
          <w:rPr>
            <w:noProof/>
          </w:rPr>
          <w:t>8</w:t>
        </w:r>
      </w:fldSimple>
      <w:r>
        <w:noBreakHyphen/>
      </w:r>
      <w:fldSimple w:instr=" SEQ Table \* ARABIC \s 1 ">
        <w:r w:rsidR="001663C2">
          <w:rPr>
            <w:noProof/>
          </w:rPr>
          <w:t>8</w:t>
        </w:r>
      </w:fldSimple>
      <w:r>
        <w:t xml:space="preserve">: </w:t>
      </w:r>
      <w:r w:rsidRPr="00281639">
        <w:rPr>
          <w:rFonts w:eastAsia="Times New Roman" w:cs="Times New Roman"/>
          <w:szCs w:val="22"/>
          <w:lang w:eastAsia="en-GB"/>
        </w:rPr>
        <w:t>Not Known</w:t>
      </w:r>
    </w:p>
    <w:tbl>
      <w:tblPr>
        <w:tblStyle w:val="TableGrid1"/>
        <w:tblW w:w="10632" w:type="dxa"/>
        <w:jc w:val="center"/>
        <w:tblInd w:w="-743" w:type="dxa"/>
        <w:tblLook w:val="04A0" w:firstRow="1" w:lastRow="0" w:firstColumn="1" w:lastColumn="0" w:noHBand="0" w:noVBand="1"/>
      </w:tblPr>
      <w:tblGrid>
        <w:gridCol w:w="851"/>
        <w:gridCol w:w="851"/>
        <w:gridCol w:w="992"/>
        <w:gridCol w:w="865"/>
        <w:gridCol w:w="737"/>
        <w:gridCol w:w="1091"/>
        <w:gridCol w:w="851"/>
        <w:gridCol w:w="709"/>
        <w:gridCol w:w="992"/>
        <w:gridCol w:w="850"/>
        <w:gridCol w:w="851"/>
        <w:gridCol w:w="992"/>
      </w:tblGrid>
      <w:tr w:rsidR="00282E35" w:rsidRPr="00121808" w:rsidTr="00E50C61">
        <w:trPr>
          <w:jc w:val="center"/>
        </w:trPr>
        <w:tc>
          <w:tcPr>
            <w:tcW w:w="2694" w:type="dxa"/>
            <w:gridSpan w:val="3"/>
            <w:vAlign w:val="bottom"/>
          </w:tcPr>
          <w:p w:rsidR="00282E35" w:rsidRPr="00121808" w:rsidRDefault="00282E35" w:rsidP="00E50C61">
            <w:pPr>
              <w:jc w:val="center"/>
              <w:rPr>
                <w:rFonts w:ascii="Arial" w:eastAsia="Times New Roman" w:hAnsi="Arial" w:cs="Arial"/>
                <w:b/>
                <w:bCs/>
                <w:sz w:val="18"/>
                <w:szCs w:val="18"/>
                <w:lang w:eastAsia="en-GB"/>
              </w:rPr>
            </w:pPr>
            <w:r w:rsidRPr="00121808">
              <w:rPr>
                <w:rFonts w:ascii="Arial" w:eastAsia="Times New Roman" w:hAnsi="Arial" w:cs="Arial"/>
                <w:b/>
                <w:bCs/>
                <w:sz w:val="18"/>
                <w:szCs w:val="18"/>
                <w:lang w:eastAsia="en-GB"/>
              </w:rPr>
              <w:t>Year 12</w:t>
            </w:r>
          </w:p>
        </w:tc>
        <w:tc>
          <w:tcPr>
            <w:tcW w:w="2693" w:type="dxa"/>
            <w:gridSpan w:val="3"/>
            <w:vAlign w:val="bottom"/>
          </w:tcPr>
          <w:p w:rsidR="00282E35" w:rsidRPr="00121808" w:rsidRDefault="00282E35" w:rsidP="00E50C61">
            <w:pPr>
              <w:jc w:val="center"/>
              <w:rPr>
                <w:rFonts w:ascii="Arial" w:eastAsia="Times New Roman" w:hAnsi="Arial" w:cs="Arial"/>
                <w:b/>
                <w:bCs/>
                <w:sz w:val="18"/>
                <w:szCs w:val="18"/>
                <w:lang w:eastAsia="en-GB"/>
              </w:rPr>
            </w:pPr>
            <w:r w:rsidRPr="00121808">
              <w:rPr>
                <w:rFonts w:ascii="Arial" w:eastAsia="Times New Roman" w:hAnsi="Arial" w:cs="Arial"/>
                <w:b/>
                <w:bCs/>
                <w:sz w:val="18"/>
                <w:szCs w:val="18"/>
                <w:lang w:eastAsia="en-GB"/>
              </w:rPr>
              <w:t>Year 13</w:t>
            </w:r>
          </w:p>
        </w:tc>
        <w:tc>
          <w:tcPr>
            <w:tcW w:w="2552" w:type="dxa"/>
            <w:gridSpan w:val="3"/>
            <w:vAlign w:val="bottom"/>
          </w:tcPr>
          <w:p w:rsidR="00282E35" w:rsidRPr="00121808" w:rsidRDefault="00282E35" w:rsidP="00E50C61">
            <w:pPr>
              <w:jc w:val="center"/>
              <w:rPr>
                <w:rFonts w:ascii="Arial" w:eastAsia="Times New Roman" w:hAnsi="Arial" w:cs="Arial"/>
                <w:b/>
                <w:bCs/>
                <w:sz w:val="18"/>
                <w:szCs w:val="18"/>
                <w:lang w:eastAsia="en-GB"/>
              </w:rPr>
            </w:pPr>
            <w:r w:rsidRPr="00121808">
              <w:rPr>
                <w:rFonts w:ascii="Arial" w:eastAsia="Times New Roman" w:hAnsi="Arial" w:cs="Arial"/>
                <w:b/>
                <w:bCs/>
                <w:sz w:val="18"/>
                <w:szCs w:val="18"/>
                <w:lang w:eastAsia="en-GB"/>
              </w:rPr>
              <w:t>Year 14</w:t>
            </w:r>
          </w:p>
        </w:tc>
        <w:tc>
          <w:tcPr>
            <w:tcW w:w="2693" w:type="dxa"/>
            <w:gridSpan w:val="3"/>
            <w:vAlign w:val="bottom"/>
          </w:tcPr>
          <w:p w:rsidR="00282E35" w:rsidRPr="00121808" w:rsidRDefault="00282E35" w:rsidP="00E50C61">
            <w:pPr>
              <w:jc w:val="center"/>
              <w:rPr>
                <w:rFonts w:ascii="Arial" w:eastAsia="Times New Roman" w:hAnsi="Arial" w:cs="Arial"/>
                <w:b/>
                <w:bCs/>
                <w:sz w:val="18"/>
                <w:szCs w:val="18"/>
                <w:lang w:eastAsia="en-GB"/>
              </w:rPr>
            </w:pPr>
            <w:r w:rsidRPr="00121808">
              <w:rPr>
                <w:rFonts w:ascii="Arial" w:eastAsia="Times New Roman" w:hAnsi="Arial" w:cs="Arial"/>
                <w:b/>
                <w:bCs/>
                <w:sz w:val="18"/>
                <w:szCs w:val="18"/>
                <w:lang w:eastAsia="en-GB"/>
              </w:rPr>
              <w:t>Year 12-14</w:t>
            </w:r>
          </w:p>
        </w:tc>
      </w:tr>
      <w:tr w:rsidR="00282E35" w:rsidRPr="00121808" w:rsidTr="00E50C61">
        <w:trPr>
          <w:jc w:val="center"/>
        </w:trPr>
        <w:tc>
          <w:tcPr>
            <w:tcW w:w="851" w:type="dxa"/>
            <w:vAlign w:val="bottom"/>
          </w:tcPr>
          <w:p w:rsidR="00282E35" w:rsidRPr="00121808" w:rsidRDefault="00282E35" w:rsidP="00E50C61">
            <w:pPr>
              <w:jc w:val="center"/>
              <w:rPr>
                <w:rFonts w:ascii="Arial" w:eastAsia="Times New Roman" w:hAnsi="Arial" w:cs="Arial"/>
                <w:b/>
                <w:bCs/>
                <w:color w:val="000000"/>
                <w:sz w:val="18"/>
                <w:szCs w:val="18"/>
                <w:lang w:eastAsia="en-GB"/>
              </w:rPr>
            </w:pPr>
            <w:r w:rsidRPr="00121808">
              <w:rPr>
                <w:rFonts w:ascii="Arial" w:eastAsia="Times New Roman" w:hAnsi="Arial" w:cs="Arial"/>
                <w:b/>
                <w:bCs/>
                <w:color w:val="000000"/>
                <w:sz w:val="18"/>
                <w:szCs w:val="18"/>
                <w:lang w:eastAsia="en-GB"/>
              </w:rPr>
              <w:t>Jun14</w:t>
            </w:r>
          </w:p>
        </w:tc>
        <w:tc>
          <w:tcPr>
            <w:tcW w:w="851" w:type="dxa"/>
            <w:vAlign w:val="bottom"/>
          </w:tcPr>
          <w:p w:rsidR="00282E35" w:rsidRPr="00121808" w:rsidRDefault="00282E35" w:rsidP="00E50C61">
            <w:pPr>
              <w:jc w:val="center"/>
              <w:rPr>
                <w:rFonts w:ascii="Arial" w:eastAsia="Times New Roman" w:hAnsi="Arial" w:cs="Arial"/>
                <w:b/>
                <w:bCs/>
                <w:color w:val="000000"/>
                <w:sz w:val="18"/>
                <w:szCs w:val="18"/>
                <w:lang w:eastAsia="en-GB"/>
              </w:rPr>
            </w:pPr>
            <w:r w:rsidRPr="00121808">
              <w:rPr>
                <w:rFonts w:ascii="Arial" w:eastAsia="Times New Roman" w:hAnsi="Arial" w:cs="Arial"/>
                <w:b/>
                <w:bCs/>
                <w:color w:val="000000"/>
                <w:sz w:val="18"/>
                <w:szCs w:val="18"/>
                <w:lang w:eastAsia="en-GB"/>
              </w:rPr>
              <w:t>Jun15</w:t>
            </w:r>
          </w:p>
        </w:tc>
        <w:tc>
          <w:tcPr>
            <w:tcW w:w="992" w:type="dxa"/>
            <w:vAlign w:val="bottom"/>
          </w:tcPr>
          <w:p w:rsidR="00282E35" w:rsidRPr="00121808" w:rsidRDefault="00282E35" w:rsidP="00E50C61">
            <w:pPr>
              <w:jc w:val="center"/>
              <w:rPr>
                <w:rFonts w:ascii="Arial" w:eastAsia="Times New Roman" w:hAnsi="Arial" w:cs="Arial"/>
                <w:b/>
                <w:bCs/>
                <w:color w:val="000000"/>
                <w:sz w:val="18"/>
                <w:szCs w:val="18"/>
                <w:lang w:eastAsia="en-GB"/>
              </w:rPr>
            </w:pPr>
            <w:r w:rsidRPr="00121808">
              <w:rPr>
                <w:rFonts w:ascii="Arial" w:eastAsia="Times New Roman" w:hAnsi="Arial" w:cs="Arial"/>
                <w:b/>
                <w:bCs/>
                <w:color w:val="000000"/>
                <w:sz w:val="18"/>
                <w:szCs w:val="18"/>
                <w:lang w:eastAsia="en-GB"/>
              </w:rPr>
              <w:t>Variation</w:t>
            </w:r>
          </w:p>
        </w:tc>
        <w:tc>
          <w:tcPr>
            <w:tcW w:w="865" w:type="dxa"/>
            <w:vAlign w:val="bottom"/>
          </w:tcPr>
          <w:p w:rsidR="00282E35" w:rsidRPr="00121808" w:rsidRDefault="00282E35" w:rsidP="00E50C61">
            <w:pPr>
              <w:jc w:val="center"/>
              <w:rPr>
                <w:rFonts w:ascii="Arial" w:eastAsia="Times New Roman" w:hAnsi="Arial" w:cs="Arial"/>
                <w:b/>
                <w:bCs/>
                <w:color w:val="000000"/>
                <w:sz w:val="18"/>
                <w:szCs w:val="18"/>
                <w:lang w:eastAsia="en-GB"/>
              </w:rPr>
            </w:pPr>
            <w:r w:rsidRPr="00121808">
              <w:rPr>
                <w:rFonts w:ascii="Arial" w:eastAsia="Times New Roman" w:hAnsi="Arial" w:cs="Arial"/>
                <w:b/>
                <w:bCs/>
                <w:color w:val="000000"/>
                <w:sz w:val="18"/>
                <w:szCs w:val="18"/>
                <w:lang w:eastAsia="en-GB"/>
              </w:rPr>
              <w:t>Jun14</w:t>
            </w:r>
          </w:p>
        </w:tc>
        <w:tc>
          <w:tcPr>
            <w:tcW w:w="737" w:type="dxa"/>
            <w:vAlign w:val="bottom"/>
          </w:tcPr>
          <w:p w:rsidR="00282E35" w:rsidRPr="00121808" w:rsidRDefault="00282E35" w:rsidP="00E50C61">
            <w:pPr>
              <w:jc w:val="center"/>
              <w:rPr>
                <w:rFonts w:ascii="Arial" w:eastAsia="Times New Roman" w:hAnsi="Arial" w:cs="Arial"/>
                <w:b/>
                <w:bCs/>
                <w:color w:val="000000"/>
                <w:sz w:val="18"/>
                <w:szCs w:val="18"/>
                <w:lang w:eastAsia="en-GB"/>
              </w:rPr>
            </w:pPr>
            <w:r w:rsidRPr="00121808">
              <w:rPr>
                <w:rFonts w:ascii="Arial" w:eastAsia="Times New Roman" w:hAnsi="Arial" w:cs="Arial"/>
                <w:b/>
                <w:bCs/>
                <w:color w:val="000000"/>
                <w:sz w:val="18"/>
                <w:szCs w:val="18"/>
                <w:lang w:eastAsia="en-GB"/>
              </w:rPr>
              <w:t>Jun15</w:t>
            </w:r>
          </w:p>
        </w:tc>
        <w:tc>
          <w:tcPr>
            <w:tcW w:w="1091" w:type="dxa"/>
            <w:vAlign w:val="bottom"/>
          </w:tcPr>
          <w:p w:rsidR="00282E35" w:rsidRPr="00121808" w:rsidRDefault="00282E35" w:rsidP="00E50C61">
            <w:pPr>
              <w:jc w:val="center"/>
              <w:rPr>
                <w:rFonts w:ascii="Arial" w:eastAsia="Times New Roman" w:hAnsi="Arial" w:cs="Arial"/>
                <w:b/>
                <w:bCs/>
                <w:color w:val="000000"/>
                <w:sz w:val="18"/>
                <w:szCs w:val="18"/>
                <w:lang w:eastAsia="en-GB"/>
              </w:rPr>
            </w:pPr>
            <w:r w:rsidRPr="00121808">
              <w:rPr>
                <w:rFonts w:ascii="Arial" w:eastAsia="Times New Roman" w:hAnsi="Arial" w:cs="Arial"/>
                <w:b/>
                <w:bCs/>
                <w:color w:val="000000"/>
                <w:sz w:val="18"/>
                <w:szCs w:val="18"/>
                <w:lang w:eastAsia="en-GB"/>
              </w:rPr>
              <w:t>Variation</w:t>
            </w:r>
          </w:p>
        </w:tc>
        <w:tc>
          <w:tcPr>
            <w:tcW w:w="851" w:type="dxa"/>
            <w:vAlign w:val="bottom"/>
          </w:tcPr>
          <w:p w:rsidR="00282E35" w:rsidRPr="00121808" w:rsidRDefault="00282E35" w:rsidP="00E50C61">
            <w:pPr>
              <w:jc w:val="center"/>
              <w:rPr>
                <w:rFonts w:ascii="Arial" w:eastAsia="Times New Roman" w:hAnsi="Arial" w:cs="Arial"/>
                <w:b/>
                <w:bCs/>
                <w:color w:val="000000"/>
                <w:sz w:val="18"/>
                <w:szCs w:val="18"/>
                <w:lang w:eastAsia="en-GB"/>
              </w:rPr>
            </w:pPr>
            <w:r w:rsidRPr="00121808">
              <w:rPr>
                <w:rFonts w:ascii="Arial" w:eastAsia="Times New Roman" w:hAnsi="Arial" w:cs="Arial"/>
                <w:b/>
                <w:bCs/>
                <w:color w:val="000000"/>
                <w:sz w:val="18"/>
                <w:szCs w:val="18"/>
                <w:lang w:eastAsia="en-GB"/>
              </w:rPr>
              <w:t>Jun14</w:t>
            </w:r>
          </w:p>
        </w:tc>
        <w:tc>
          <w:tcPr>
            <w:tcW w:w="709" w:type="dxa"/>
            <w:vAlign w:val="bottom"/>
          </w:tcPr>
          <w:p w:rsidR="00282E35" w:rsidRPr="00121808" w:rsidRDefault="00282E35" w:rsidP="00E50C61">
            <w:pPr>
              <w:jc w:val="center"/>
              <w:rPr>
                <w:rFonts w:ascii="Arial" w:eastAsia="Times New Roman" w:hAnsi="Arial" w:cs="Arial"/>
                <w:b/>
                <w:bCs/>
                <w:color w:val="000000"/>
                <w:sz w:val="18"/>
                <w:szCs w:val="18"/>
                <w:lang w:eastAsia="en-GB"/>
              </w:rPr>
            </w:pPr>
            <w:r w:rsidRPr="00121808">
              <w:rPr>
                <w:rFonts w:ascii="Arial" w:eastAsia="Times New Roman" w:hAnsi="Arial" w:cs="Arial"/>
                <w:b/>
                <w:bCs/>
                <w:color w:val="000000"/>
                <w:sz w:val="18"/>
                <w:szCs w:val="18"/>
                <w:lang w:eastAsia="en-GB"/>
              </w:rPr>
              <w:t>Jun5</w:t>
            </w:r>
          </w:p>
        </w:tc>
        <w:tc>
          <w:tcPr>
            <w:tcW w:w="992" w:type="dxa"/>
            <w:vAlign w:val="bottom"/>
          </w:tcPr>
          <w:p w:rsidR="00282E35" w:rsidRPr="00121808" w:rsidRDefault="00282E35" w:rsidP="00E50C61">
            <w:pPr>
              <w:jc w:val="center"/>
              <w:rPr>
                <w:rFonts w:ascii="Arial" w:eastAsia="Times New Roman" w:hAnsi="Arial" w:cs="Arial"/>
                <w:b/>
                <w:bCs/>
                <w:color w:val="000000"/>
                <w:sz w:val="18"/>
                <w:szCs w:val="18"/>
                <w:lang w:eastAsia="en-GB"/>
              </w:rPr>
            </w:pPr>
            <w:r w:rsidRPr="00121808">
              <w:rPr>
                <w:rFonts w:ascii="Arial" w:eastAsia="Times New Roman" w:hAnsi="Arial" w:cs="Arial"/>
                <w:b/>
                <w:bCs/>
                <w:color w:val="000000"/>
                <w:sz w:val="18"/>
                <w:szCs w:val="18"/>
                <w:lang w:eastAsia="en-GB"/>
              </w:rPr>
              <w:t>Variation</w:t>
            </w:r>
          </w:p>
        </w:tc>
        <w:tc>
          <w:tcPr>
            <w:tcW w:w="850" w:type="dxa"/>
            <w:vAlign w:val="bottom"/>
          </w:tcPr>
          <w:p w:rsidR="00282E35" w:rsidRPr="00121808" w:rsidRDefault="00282E35" w:rsidP="00E50C61">
            <w:pPr>
              <w:jc w:val="center"/>
              <w:rPr>
                <w:rFonts w:ascii="Arial" w:eastAsia="Times New Roman" w:hAnsi="Arial" w:cs="Arial"/>
                <w:b/>
                <w:bCs/>
                <w:color w:val="000000"/>
                <w:sz w:val="18"/>
                <w:szCs w:val="18"/>
                <w:lang w:eastAsia="en-GB"/>
              </w:rPr>
            </w:pPr>
            <w:r w:rsidRPr="00121808">
              <w:rPr>
                <w:rFonts w:ascii="Arial" w:eastAsia="Times New Roman" w:hAnsi="Arial" w:cs="Arial"/>
                <w:b/>
                <w:bCs/>
                <w:color w:val="000000"/>
                <w:sz w:val="18"/>
                <w:szCs w:val="18"/>
                <w:lang w:eastAsia="en-GB"/>
              </w:rPr>
              <w:t>Jun14</w:t>
            </w:r>
          </w:p>
        </w:tc>
        <w:tc>
          <w:tcPr>
            <w:tcW w:w="851" w:type="dxa"/>
            <w:vAlign w:val="bottom"/>
          </w:tcPr>
          <w:p w:rsidR="00282E35" w:rsidRPr="00121808" w:rsidRDefault="00282E35" w:rsidP="00E50C61">
            <w:pPr>
              <w:jc w:val="center"/>
              <w:rPr>
                <w:rFonts w:ascii="Arial" w:eastAsia="Times New Roman" w:hAnsi="Arial" w:cs="Arial"/>
                <w:b/>
                <w:bCs/>
                <w:color w:val="000000"/>
                <w:sz w:val="18"/>
                <w:szCs w:val="18"/>
                <w:lang w:eastAsia="en-GB"/>
              </w:rPr>
            </w:pPr>
            <w:r w:rsidRPr="00121808">
              <w:rPr>
                <w:rFonts w:ascii="Arial" w:eastAsia="Times New Roman" w:hAnsi="Arial" w:cs="Arial"/>
                <w:b/>
                <w:bCs/>
                <w:color w:val="000000"/>
                <w:sz w:val="18"/>
                <w:szCs w:val="18"/>
                <w:lang w:eastAsia="en-GB"/>
              </w:rPr>
              <w:t>Jun15</w:t>
            </w:r>
          </w:p>
        </w:tc>
        <w:tc>
          <w:tcPr>
            <w:tcW w:w="992" w:type="dxa"/>
            <w:vAlign w:val="bottom"/>
          </w:tcPr>
          <w:p w:rsidR="00282E35" w:rsidRPr="00121808" w:rsidRDefault="00282E35" w:rsidP="00E50C61">
            <w:pPr>
              <w:jc w:val="center"/>
              <w:rPr>
                <w:rFonts w:ascii="Arial" w:eastAsia="Times New Roman" w:hAnsi="Arial" w:cs="Arial"/>
                <w:b/>
                <w:bCs/>
                <w:color w:val="000000"/>
                <w:sz w:val="18"/>
                <w:szCs w:val="18"/>
                <w:lang w:eastAsia="en-GB"/>
              </w:rPr>
            </w:pPr>
            <w:r w:rsidRPr="00121808">
              <w:rPr>
                <w:rFonts w:ascii="Arial" w:eastAsia="Times New Roman" w:hAnsi="Arial" w:cs="Arial"/>
                <w:b/>
                <w:bCs/>
                <w:color w:val="000000"/>
                <w:sz w:val="18"/>
                <w:szCs w:val="18"/>
                <w:lang w:eastAsia="en-GB"/>
              </w:rPr>
              <w:t>Variation</w:t>
            </w:r>
          </w:p>
        </w:tc>
      </w:tr>
      <w:tr w:rsidR="00282E35" w:rsidRPr="00121808" w:rsidTr="00E50C61">
        <w:trPr>
          <w:jc w:val="center"/>
        </w:trPr>
        <w:tc>
          <w:tcPr>
            <w:tcW w:w="851" w:type="dxa"/>
            <w:vAlign w:val="bottom"/>
          </w:tcPr>
          <w:p w:rsidR="00282E35" w:rsidRPr="00121808" w:rsidRDefault="00282E35" w:rsidP="00E50C61">
            <w:pPr>
              <w:jc w:val="center"/>
              <w:rPr>
                <w:rFonts w:ascii="Arial" w:eastAsia="Times New Roman" w:hAnsi="Arial" w:cs="Arial"/>
                <w:sz w:val="18"/>
                <w:szCs w:val="18"/>
                <w:lang w:eastAsia="en-GB"/>
              </w:rPr>
            </w:pPr>
            <w:r w:rsidRPr="00121808">
              <w:rPr>
                <w:rFonts w:ascii="Arial" w:eastAsia="Times New Roman" w:hAnsi="Arial" w:cs="Arial"/>
                <w:sz w:val="18"/>
                <w:szCs w:val="18"/>
                <w:lang w:eastAsia="en-GB"/>
              </w:rPr>
              <w:t>0.3%</w:t>
            </w:r>
          </w:p>
        </w:tc>
        <w:tc>
          <w:tcPr>
            <w:tcW w:w="851" w:type="dxa"/>
            <w:vAlign w:val="bottom"/>
          </w:tcPr>
          <w:p w:rsidR="00282E35" w:rsidRPr="00121808" w:rsidRDefault="00282E35" w:rsidP="00E50C61">
            <w:pPr>
              <w:jc w:val="center"/>
              <w:rPr>
                <w:rFonts w:ascii="Arial" w:eastAsia="Times New Roman" w:hAnsi="Arial" w:cs="Arial"/>
                <w:sz w:val="18"/>
                <w:szCs w:val="18"/>
                <w:lang w:eastAsia="en-GB"/>
              </w:rPr>
            </w:pPr>
            <w:r w:rsidRPr="00121808">
              <w:rPr>
                <w:rFonts w:ascii="Arial" w:eastAsia="Times New Roman" w:hAnsi="Arial" w:cs="Arial"/>
                <w:sz w:val="18"/>
                <w:szCs w:val="18"/>
                <w:lang w:eastAsia="en-GB"/>
              </w:rPr>
              <w:t>0.0%</w:t>
            </w:r>
          </w:p>
        </w:tc>
        <w:tc>
          <w:tcPr>
            <w:tcW w:w="992" w:type="dxa"/>
            <w:vAlign w:val="bottom"/>
          </w:tcPr>
          <w:p w:rsidR="00282E35" w:rsidRPr="00121808" w:rsidRDefault="00282E35" w:rsidP="00E50C61">
            <w:pPr>
              <w:jc w:val="center"/>
              <w:rPr>
                <w:rFonts w:ascii="Arial" w:eastAsia="Times New Roman" w:hAnsi="Arial" w:cs="Arial"/>
                <w:color w:val="000000"/>
                <w:sz w:val="18"/>
                <w:szCs w:val="18"/>
                <w:lang w:eastAsia="en-GB"/>
              </w:rPr>
            </w:pPr>
            <w:r w:rsidRPr="00121808">
              <w:rPr>
                <w:rFonts w:ascii="Arial" w:eastAsia="Times New Roman" w:hAnsi="Arial" w:cs="Arial"/>
                <w:color w:val="000000"/>
                <w:sz w:val="18"/>
                <w:szCs w:val="18"/>
                <w:lang w:eastAsia="en-GB"/>
              </w:rPr>
              <w:t>-0.3%</w:t>
            </w:r>
          </w:p>
        </w:tc>
        <w:tc>
          <w:tcPr>
            <w:tcW w:w="865" w:type="dxa"/>
            <w:vAlign w:val="bottom"/>
          </w:tcPr>
          <w:p w:rsidR="00282E35" w:rsidRPr="00121808" w:rsidRDefault="00282E35" w:rsidP="00E50C61">
            <w:pPr>
              <w:jc w:val="center"/>
              <w:rPr>
                <w:rFonts w:ascii="Arial" w:eastAsia="Times New Roman" w:hAnsi="Arial" w:cs="Arial"/>
                <w:sz w:val="18"/>
                <w:szCs w:val="18"/>
                <w:lang w:eastAsia="en-GB"/>
              </w:rPr>
            </w:pPr>
            <w:r w:rsidRPr="00121808">
              <w:rPr>
                <w:rFonts w:ascii="Arial" w:eastAsia="Times New Roman" w:hAnsi="Arial" w:cs="Arial"/>
                <w:sz w:val="18"/>
                <w:szCs w:val="18"/>
                <w:lang w:eastAsia="en-GB"/>
              </w:rPr>
              <w:t>1.6%</w:t>
            </w:r>
          </w:p>
        </w:tc>
        <w:tc>
          <w:tcPr>
            <w:tcW w:w="737" w:type="dxa"/>
            <w:vAlign w:val="bottom"/>
          </w:tcPr>
          <w:p w:rsidR="00282E35" w:rsidRPr="00121808" w:rsidRDefault="00282E35" w:rsidP="00E50C61">
            <w:pPr>
              <w:jc w:val="center"/>
              <w:rPr>
                <w:rFonts w:ascii="Arial" w:eastAsia="Times New Roman" w:hAnsi="Arial" w:cs="Arial"/>
                <w:sz w:val="18"/>
                <w:szCs w:val="18"/>
                <w:lang w:eastAsia="en-GB"/>
              </w:rPr>
            </w:pPr>
            <w:r w:rsidRPr="00121808">
              <w:rPr>
                <w:rFonts w:ascii="Arial" w:eastAsia="Times New Roman" w:hAnsi="Arial" w:cs="Arial"/>
                <w:sz w:val="18"/>
                <w:szCs w:val="18"/>
                <w:lang w:eastAsia="en-GB"/>
              </w:rPr>
              <w:t>0.0%</w:t>
            </w:r>
          </w:p>
        </w:tc>
        <w:tc>
          <w:tcPr>
            <w:tcW w:w="1091" w:type="dxa"/>
            <w:vAlign w:val="bottom"/>
          </w:tcPr>
          <w:p w:rsidR="00282E35" w:rsidRPr="00121808" w:rsidRDefault="00282E35" w:rsidP="00E50C61">
            <w:pPr>
              <w:jc w:val="center"/>
              <w:rPr>
                <w:rFonts w:ascii="Arial" w:eastAsia="Times New Roman" w:hAnsi="Arial" w:cs="Arial"/>
                <w:color w:val="000000"/>
                <w:sz w:val="18"/>
                <w:szCs w:val="18"/>
                <w:lang w:eastAsia="en-GB"/>
              </w:rPr>
            </w:pPr>
            <w:r w:rsidRPr="00121808">
              <w:rPr>
                <w:rFonts w:ascii="Arial" w:eastAsia="Times New Roman" w:hAnsi="Arial" w:cs="Arial"/>
                <w:color w:val="000000"/>
                <w:sz w:val="18"/>
                <w:szCs w:val="18"/>
                <w:lang w:eastAsia="en-GB"/>
              </w:rPr>
              <w:t>-1.6%</w:t>
            </w:r>
          </w:p>
        </w:tc>
        <w:tc>
          <w:tcPr>
            <w:tcW w:w="851" w:type="dxa"/>
            <w:vAlign w:val="bottom"/>
          </w:tcPr>
          <w:p w:rsidR="00282E35" w:rsidRPr="00121808" w:rsidRDefault="00282E35" w:rsidP="00E50C61">
            <w:pPr>
              <w:jc w:val="center"/>
              <w:rPr>
                <w:rFonts w:ascii="Arial" w:eastAsia="Times New Roman" w:hAnsi="Arial" w:cs="Arial"/>
                <w:sz w:val="18"/>
                <w:szCs w:val="18"/>
                <w:lang w:eastAsia="en-GB"/>
              </w:rPr>
            </w:pPr>
            <w:r w:rsidRPr="00121808">
              <w:rPr>
                <w:rFonts w:ascii="Arial" w:eastAsia="Times New Roman" w:hAnsi="Arial" w:cs="Arial"/>
                <w:sz w:val="18"/>
                <w:szCs w:val="18"/>
                <w:lang w:eastAsia="en-GB"/>
              </w:rPr>
              <w:t>6.5%</w:t>
            </w:r>
          </w:p>
        </w:tc>
        <w:tc>
          <w:tcPr>
            <w:tcW w:w="709" w:type="dxa"/>
            <w:vAlign w:val="bottom"/>
          </w:tcPr>
          <w:p w:rsidR="00282E35" w:rsidRPr="00121808" w:rsidRDefault="00282E35" w:rsidP="00E50C61">
            <w:pPr>
              <w:jc w:val="center"/>
              <w:rPr>
                <w:rFonts w:ascii="Arial" w:eastAsia="Times New Roman" w:hAnsi="Arial" w:cs="Arial"/>
                <w:sz w:val="18"/>
                <w:szCs w:val="18"/>
                <w:lang w:eastAsia="en-GB"/>
              </w:rPr>
            </w:pPr>
            <w:r w:rsidRPr="00121808">
              <w:rPr>
                <w:rFonts w:ascii="Arial" w:eastAsia="Times New Roman" w:hAnsi="Arial" w:cs="Arial"/>
                <w:sz w:val="18"/>
                <w:szCs w:val="18"/>
                <w:lang w:eastAsia="en-GB"/>
              </w:rPr>
              <w:t>3.8%</w:t>
            </w:r>
          </w:p>
        </w:tc>
        <w:tc>
          <w:tcPr>
            <w:tcW w:w="992" w:type="dxa"/>
            <w:vAlign w:val="bottom"/>
          </w:tcPr>
          <w:p w:rsidR="00282E35" w:rsidRPr="00121808" w:rsidRDefault="00282E35" w:rsidP="00E50C61">
            <w:pPr>
              <w:jc w:val="center"/>
              <w:rPr>
                <w:rFonts w:ascii="Arial" w:eastAsia="Times New Roman" w:hAnsi="Arial" w:cs="Arial"/>
                <w:color w:val="000000"/>
                <w:sz w:val="18"/>
                <w:szCs w:val="18"/>
                <w:lang w:eastAsia="en-GB"/>
              </w:rPr>
            </w:pPr>
            <w:r w:rsidRPr="00121808">
              <w:rPr>
                <w:rFonts w:ascii="Arial" w:eastAsia="Times New Roman" w:hAnsi="Arial" w:cs="Arial"/>
                <w:color w:val="000000"/>
                <w:sz w:val="18"/>
                <w:szCs w:val="18"/>
                <w:lang w:eastAsia="en-GB"/>
              </w:rPr>
              <w:t>-2.7%</w:t>
            </w:r>
          </w:p>
        </w:tc>
        <w:tc>
          <w:tcPr>
            <w:tcW w:w="850" w:type="dxa"/>
            <w:vAlign w:val="bottom"/>
          </w:tcPr>
          <w:p w:rsidR="00282E35" w:rsidRPr="00121808" w:rsidRDefault="00282E35" w:rsidP="00E50C61">
            <w:pPr>
              <w:jc w:val="center"/>
              <w:rPr>
                <w:rFonts w:ascii="Arial" w:eastAsia="Times New Roman" w:hAnsi="Arial" w:cs="Arial"/>
                <w:sz w:val="18"/>
                <w:szCs w:val="18"/>
                <w:lang w:eastAsia="en-GB"/>
              </w:rPr>
            </w:pPr>
            <w:r w:rsidRPr="00121808">
              <w:rPr>
                <w:rFonts w:ascii="Arial" w:eastAsia="Times New Roman" w:hAnsi="Arial" w:cs="Arial"/>
                <w:sz w:val="18"/>
                <w:szCs w:val="18"/>
                <w:lang w:eastAsia="en-GB"/>
              </w:rPr>
              <w:t>2.7%</w:t>
            </w:r>
          </w:p>
        </w:tc>
        <w:tc>
          <w:tcPr>
            <w:tcW w:w="851" w:type="dxa"/>
            <w:vAlign w:val="bottom"/>
          </w:tcPr>
          <w:p w:rsidR="00282E35" w:rsidRPr="00121808" w:rsidRDefault="00282E35" w:rsidP="00E50C61">
            <w:pPr>
              <w:jc w:val="center"/>
              <w:rPr>
                <w:rFonts w:ascii="Arial" w:eastAsia="Times New Roman" w:hAnsi="Arial" w:cs="Arial"/>
                <w:color w:val="000000"/>
                <w:sz w:val="18"/>
                <w:szCs w:val="18"/>
                <w:lang w:eastAsia="en-GB"/>
              </w:rPr>
            </w:pPr>
            <w:r w:rsidRPr="00121808">
              <w:rPr>
                <w:rFonts w:ascii="Arial" w:eastAsia="Times New Roman" w:hAnsi="Arial" w:cs="Arial"/>
                <w:color w:val="000000"/>
                <w:sz w:val="18"/>
                <w:szCs w:val="18"/>
                <w:lang w:eastAsia="en-GB"/>
              </w:rPr>
              <w:t>1.2%</w:t>
            </w:r>
          </w:p>
        </w:tc>
        <w:tc>
          <w:tcPr>
            <w:tcW w:w="992" w:type="dxa"/>
            <w:vAlign w:val="bottom"/>
          </w:tcPr>
          <w:p w:rsidR="00282E35" w:rsidRPr="00121808" w:rsidRDefault="00282E35" w:rsidP="00E50C61">
            <w:pPr>
              <w:jc w:val="center"/>
              <w:rPr>
                <w:rFonts w:ascii="Arial" w:eastAsia="Times New Roman" w:hAnsi="Arial" w:cs="Arial"/>
                <w:color w:val="000000"/>
                <w:sz w:val="18"/>
                <w:szCs w:val="18"/>
                <w:lang w:eastAsia="en-GB"/>
              </w:rPr>
            </w:pPr>
            <w:r w:rsidRPr="00121808">
              <w:rPr>
                <w:rFonts w:ascii="Arial" w:eastAsia="Times New Roman" w:hAnsi="Arial" w:cs="Arial"/>
                <w:color w:val="000000"/>
                <w:sz w:val="18"/>
                <w:szCs w:val="18"/>
                <w:lang w:eastAsia="en-GB"/>
              </w:rPr>
              <w:t>-1.5%</w:t>
            </w:r>
          </w:p>
        </w:tc>
      </w:tr>
      <w:tr w:rsidR="00282E35" w:rsidRPr="00121808" w:rsidTr="00E50C61">
        <w:trPr>
          <w:jc w:val="center"/>
        </w:trPr>
        <w:tc>
          <w:tcPr>
            <w:tcW w:w="851" w:type="dxa"/>
            <w:vAlign w:val="bottom"/>
          </w:tcPr>
          <w:p w:rsidR="00282E35" w:rsidRPr="00121808" w:rsidRDefault="00282E35" w:rsidP="00E50C61">
            <w:pPr>
              <w:jc w:val="center"/>
              <w:rPr>
                <w:rFonts w:ascii="Arial" w:eastAsia="Times New Roman" w:hAnsi="Arial" w:cs="Arial"/>
                <w:sz w:val="18"/>
                <w:szCs w:val="18"/>
                <w:lang w:eastAsia="en-GB"/>
              </w:rPr>
            </w:pPr>
            <w:r w:rsidRPr="00121808">
              <w:rPr>
                <w:rFonts w:ascii="Arial" w:eastAsia="Times New Roman" w:hAnsi="Arial" w:cs="Arial"/>
                <w:sz w:val="18"/>
                <w:szCs w:val="18"/>
                <w:lang w:eastAsia="en-GB"/>
              </w:rPr>
              <w:t>9</w:t>
            </w:r>
          </w:p>
        </w:tc>
        <w:tc>
          <w:tcPr>
            <w:tcW w:w="851" w:type="dxa"/>
            <w:vAlign w:val="bottom"/>
          </w:tcPr>
          <w:p w:rsidR="00282E35" w:rsidRPr="00121808" w:rsidRDefault="00282E35" w:rsidP="00E50C61">
            <w:pPr>
              <w:jc w:val="center"/>
              <w:rPr>
                <w:rFonts w:ascii="Arial" w:eastAsia="Times New Roman" w:hAnsi="Arial" w:cs="Arial"/>
                <w:sz w:val="18"/>
                <w:szCs w:val="18"/>
                <w:lang w:eastAsia="en-GB"/>
              </w:rPr>
            </w:pPr>
            <w:r w:rsidRPr="00121808">
              <w:rPr>
                <w:rFonts w:ascii="Arial" w:eastAsia="Times New Roman" w:hAnsi="Arial" w:cs="Arial"/>
                <w:sz w:val="18"/>
                <w:szCs w:val="18"/>
                <w:lang w:eastAsia="en-GB"/>
              </w:rPr>
              <w:t>0</w:t>
            </w:r>
          </w:p>
        </w:tc>
        <w:tc>
          <w:tcPr>
            <w:tcW w:w="992" w:type="dxa"/>
            <w:vAlign w:val="bottom"/>
          </w:tcPr>
          <w:p w:rsidR="00282E35" w:rsidRPr="00121808" w:rsidRDefault="00282E35" w:rsidP="00E50C61">
            <w:pPr>
              <w:jc w:val="center"/>
              <w:rPr>
                <w:rFonts w:ascii="Arial" w:eastAsia="Times New Roman" w:hAnsi="Arial" w:cs="Arial"/>
                <w:color w:val="000000"/>
                <w:sz w:val="18"/>
                <w:szCs w:val="18"/>
                <w:lang w:eastAsia="en-GB"/>
              </w:rPr>
            </w:pPr>
            <w:r w:rsidRPr="00121808">
              <w:rPr>
                <w:rFonts w:ascii="Arial" w:eastAsia="Times New Roman" w:hAnsi="Arial" w:cs="Arial"/>
                <w:color w:val="000000"/>
                <w:sz w:val="18"/>
                <w:szCs w:val="18"/>
                <w:lang w:eastAsia="en-GB"/>
              </w:rPr>
              <w:t>-9</w:t>
            </w:r>
          </w:p>
        </w:tc>
        <w:tc>
          <w:tcPr>
            <w:tcW w:w="865" w:type="dxa"/>
            <w:vAlign w:val="bottom"/>
          </w:tcPr>
          <w:p w:rsidR="00282E35" w:rsidRPr="00121808" w:rsidRDefault="00282E35" w:rsidP="00E50C61">
            <w:pPr>
              <w:jc w:val="center"/>
              <w:rPr>
                <w:rFonts w:ascii="Arial" w:eastAsia="Times New Roman" w:hAnsi="Arial" w:cs="Arial"/>
                <w:sz w:val="18"/>
                <w:szCs w:val="18"/>
                <w:lang w:eastAsia="en-GB"/>
              </w:rPr>
            </w:pPr>
            <w:r w:rsidRPr="00121808">
              <w:rPr>
                <w:rFonts w:ascii="Arial" w:eastAsia="Times New Roman" w:hAnsi="Arial" w:cs="Arial"/>
                <w:sz w:val="18"/>
                <w:szCs w:val="18"/>
                <w:lang w:eastAsia="en-GB"/>
              </w:rPr>
              <w:t>52</w:t>
            </w:r>
          </w:p>
        </w:tc>
        <w:tc>
          <w:tcPr>
            <w:tcW w:w="737" w:type="dxa"/>
            <w:vAlign w:val="bottom"/>
          </w:tcPr>
          <w:p w:rsidR="00282E35" w:rsidRPr="00121808" w:rsidRDefault="00282E35" w:rsidP="00E50C61">
            <w:pPr>
              <w:jc w:val="center"/>
              <w:rPr>
                <w:rFonts w:ascii="Arial" w:eastAsia="Times New Roman" w:hAnsi="Arial" w:cs="Arial"/>
                <w:sz w:val="18"/>
                <w:szCs w:val="18"/>
                <w:lang w:eastAsia="en-GB"/>
              </w:rPr>
            </w:pPr>
            <w:r w:rsidRPr="00121808">
              <w:rPr>
                <w:rFonts w:ascii="Arial" w:eastAsia="Times New Roman" w:hAnsi="Arial" w:cs="Arial"/>
                <w:sz w:val="18"/>
                <w:szCs w:val="18"/>
                <w:lang w:eastAsia="en-GB"/>
              </w:rPr>
              <w:t>0</w:t>
            </w:r>
          </w:p>
        </w:tc>
        <w:tc>
          <w:tcPr>
            <w:tcW w:w="1091" w:type="dxa"/>
            <w:vAlign w:val="bottom"/>
          </w:tcPr>
          <w:p w:rsidR="00282E35" w:rsidRPr="00121808" w:rsidRDefault="00282E35" w:rsidP="00E50C61">
            <w:pPr>
              <w:jc w:val="center"/>
              <w:rPr>
                <w:rFonts w:ascii="Arial" w:eastAsia="Times New Roman" w:hAnsi="Arial" w:cs="Arial"/>
                <w:color w:val="000000"/>
                <w:sz w:val="18"/>
                <w:szCs w:val="18"/>
                <w:lang w:eastAsia="en-GB"/>
              </w:rPr>
            </w:pPr>
            <w:r w:rsidRPr="00121808">
              <w:rPr>
                <w:rFonts w:ascii="Arial" w:eastAsia="Times New Roman" w:hAnsi="Arial" w:cs="Arial"/>
                <w:color w:val="000000"/>
                <w:sz w:val="18"/>
                <w:szCs w:val="18"/>
                <w:lang w:eastAsia="en-GB"/>
              </w:rPr>
              <w:t>-52</w:t>
            </w:r>
          </w:p>
        </w:tc>
        <w:tc>
          <w:tcPr>
            <w:tcW w:w="851" w:type="dxa"/>
            <w:vAlign w:val="bottom"/>
          </w:tcPr>
          <w:p w:rsidR="00282E35" w:rsidRPr="00121808" w:rsidRDefault="00282E35" w:rsidP="00E50C61">
            <w:pPr>
              <w:jc w:val="center"/>
              <w:rPr>
                <w:rFonts w:ascii="Arial" w:eastAsia="Times New Roman" w:hAnsi="Arial" w:cs="Arial"/>
                <w:sz w:val="18"/>
                <w:szCs w:val="18"/>
                <w:lang w:eastAsia="en-GB"/>
              </w:rPr>
            </w:pPr>
            <w:r w:rsidRPr="00121808">
              <w:rPr>
                <w:rFonts w:ascii="Arial" w:eastAsia="Times New Roman" w:hAnsi="Arial" w:cs="Arial"/>
                <w:sz w:val="18"/>
                <w:szCs w:val="18"/>
                <w:lang w:eastAsia="en-GB"/>
              </w:rPr>
              <w:t>209</w:t>
            </w:r>
          </w:p>
        </w:tc>
        <w:tc>
          <w:tcPr>
            <w:tcW w:w="709" w:type="dxa"/>
            <w:vAlign w:val="bottom"/>
          </w:tcPr>
          <w:p w:rsidR="00282E35" w:rsidRPr="00121808" w:rsidRDefault="00282E35" w:rsidP="00E50C61">
            <w:pPr>
              <w:jc w:val="center"/>
              <w:rPr>
                <w:rFonts w:ascii="Arial" w:eastAsia="Times New Roman" w:hAnsi="Arial" w:cs="Arial"/>
                <w:sz w:val="18"/>
                <w:szCs w:val="18"/>
                <w:lang w:eastAsia="en-GB"/>
              </w:rPr>
            </w:pPr>
            <w:r w:rsidRPr="00121808">
              <w:rPr>
                <w:rFonts w:ascii="Arial" w:eastAsia="Times New Roman" w:hAnsi="Arial" w:cs="Arial"/>
                <w:sz w:val="18"/>
                <w:szCs w:val="18"/>
                <w:lang w:eastAsia="en-GB"/>
              </w:rPr>
              <w:t>121</w:t>
            </w:r>
          </w:p>
        </w:tc>
        <w:tc>
          <w:tcPr>
            <w:tcW w:w="992" w:type="dxa"/>
            <w:vAlign w:val="bottom"/>
          </w:tcPr>
          <w:p w:rsidR="00282E35" w:rsidRPr="00121808" w:rsidRDefault="00282E35" w:rsidP="00E50C61">
            <w:pPr>
              <w:jc w:val="center"/>
              <w:rPr>
                <w:rFonts w:ascii="Arial" w:eastAsia="Times New Roman" w:hAnsi="Arial" w:cs="Arial"/>
                <w:color w:val="000000"/>
                <w:sz w:val="18"/>
                <w:szCs w:val="18"/>
                <w:lang w:eastAsia="en-GB"/>
              </w:rPr>
            </w:pPr>
            <w:r w:rsidRPr="00121808">
              <w:rPr>
                <w:rFonts w:ascii="Arial" w:eastAsia="Times New Roman" w:hAnsi="Arial" w:cs="Arial"/>
                <w:color w:val="000000"/>
                <w:sz w:val="18"/>
                <w:szCs w:val="18"/>
                <w:lang w:eastAsia="en-GB"/>
              </w:rPr>
              <w:t>-88</w:t>
            </w:r>
          </w:p>
        </w:tc>
        <w:tc>
          <w:tcPr>
            <w:tcW w:w="850" w:type="dxa"/>
            <w:vAlign w:val="bottom"/>
          </w:tcPr>
          <w:p w:rsidR="00282E35" w:rsidRPr="00121808" w:rsidRDefault="00282E35" w:rsidP="00E50C61">
            <w:pPr>
              <w:jc w:val="center"/>
              <w:rPr>
                <w:rFonts w:ascii="Arial" w:eastAsia="Times New Roman" w:hAnsi="Arial" w:cs="Arial"/>
                <w:sz w:val="18"/>
                <w:szCs w:val="18"/>
                <w:lang w:eastAsia="en-GB"/>
              </w:rPr>
            </w:pPr>
            <w:r w:rsidRPr="00121808">
              <w:rPr>
                <w:rFonts w:ascii="Arial" w:eastAsia="Times New Roman" w:hAnsi="Arial" w:cs="Arial"/>
                <w:sz w:val="18"/>
                <w:szCs w:val="18"/>
                <w:lang w:eastAsia="en-GB"/>
              </w:rPr>
              <w:t>270</w:t>
            </w:r>
          </w:p>
        </w:tc>
        <w:tc>
          <w:tcPr>
            <w:tcW w:w="851" w:type="dxa"/>
            <w:vAlign w:val="bottom"/>
          </w:tcPr>
          <w:p w:rsidR="00282E35" w:rsidRPr="00121808" w:rsidRDefault="00282E35" w:rsidP="00E50C61">
            <w:pPr>
              <w:jc w:val="center"/>
              <w:rPr>
                <w:rFonts w:ascii="Arial" w:eastAsia="Times New Roman" w:hAnsi="Arial" w:cs="Arial"/>
                <w:color w:val="000000"/>
                <w:sz w:val="18"/>
                <w:szCs w:val="18"/>
                <w:lang w:eastAsia="en-GB"/>
              </w:rPr>
            </w:pPr>
            <w:r w:rsidRPr="00121808">
              <w:rPr>
                <w:rFonts w:ascii="Arial" w:eastAsia="Times New Roman" w:hAnsi="Arial" w:cs="Arial"/>
                <w:color w:val="000000"/>
                <w:sz w:val="18"/>
                <w:szCs w:val="18"/>
                <w:lang w:eastAsia="en-GB"/>
              </w:rPr>
              <w:t>121</w:t>
            </w:r>
          </w:p>
        </w:tc>
        <w:tc>
          <w:tcPr>
            <w:tcW w:w="992" w:type="dxa"/>
            <w:vAlign w:val="bottom"/>
          </w:tcPr>
          <w:p w:rsidR="00282E35" w:rsidRPr="00121808" w:rsidRDefault="00282E35" w:rsidP="00E50C61">
            <w:pPr>
              <w:jc w:val="center"/>
              <w:rPr>
                <w:rFonts w:ascii="Arial" w:eastAsia="Times New Roman" w:hAnsi="Arial" w:cs="Arial"/>
                <w:color w:val="000000"/>
                <w:sz w:val="18"/>
                <w:szCs w:val="18"/>
                <w:lang w:eastAsia="en-GB"/>
              </w:rPr>
            </w:pPr>
            <w:r w:rsidRPr="00121808">
              <w:rPr>
                <w:rFonts w:ascii="Arial" w:eastAsia="Times New Roman" w:hAnsi="Arial" w:cs="Arial"/>
                <w:color w:val="000000"/>
                <w:sz w:val="18"/>
                <w:szCs w:val="18"/>
                <w:lang w:eastAsia="en-GB"/>
              </w:rPr>
              <w:t>-149</w:t>
            </w:r>
          </w:p>
        </w:tc>
      </w:tr>
    </w:tbl>
    <w:p w:rsidR="00282E35" w:rsidRPr="00121808" w:rsidRDefault="00282E35" w:rsidP="00282E35">
      <w:pPr>
        <w:spacing w:after="0" w:line="240" w:lineRule="auto"/>
        <w:rPr>
          <w:rFonts w:ascii="Arial" w:eastAsia="Times New Roman" w:hAnsi="Arial" w:cs="Arial"/>
          <w:lang w:eastAsia="en-GB"/>
        </w:rPr>
      </w:pPr>
      <w:r w:rsidRPr="00121808">
        <w:rPr>
          <w:rFonts w:ascii="Arial" w:eastAsia="Times New Roman" w:hAnsi="Arial" w:cs="Arial"/>
          <w:sz w:val="18"/>
          <w:szCs w:val="18"/>
          <w:lang w:eastAsia="en-GB"/>
        </w:rPr>
        <w:t>Data Source: West London Partnership Support Unit</w:t>
      </w:r>
    </w:p>
    <w:p w:rsidR="00282E35" w:rsidRDefault="00282E35" w:rsidP="00282E35">
      <w:pPr>
        <w:spacing w:after="0" w:line="240" w:lineRule="auto"/>
        <w:rPr>
          <w:rFonts w:eastAsia="Times New Roman" w:cs="Arial"/>
          <w:lang w:eastAsia="en-GB"/>
        </w:rPr>
      </w:pPr>
    </w:p>
    <w:p w:rsidR="00282E35" w:rsidRPr="00121808" w:rsidRDefault="00282E35" w:rsidP="00282E35">
      <w:pPr>
        <w:spacing w:after="0" w:line="240" w:lineRule="auto"/>
        <w:jc w:val="both"/>
        <w:rPr>
          <w:rFonts w:eastAsia="Times New Roman" w:cs="Arial"/>
          <w:lang w:eastAsia="en-GB"/>
        </w:rPr>
      </w:pPr>
      <w:r w:rsidRPr="00121808">
        <w:rPr>
          <w:rFonts w:eastAsia="Times New Roman" w:cs="Arial"/>
          <w:lang w:eastAsia="en-GB"/>
        </w:rPr>
        <w:t xml:space="preserve">Barnet is performing better in </w:t>
      </w:r>
      <w:r w:rsidR="00702B67">
        <w:rPr>
          <w:rFonts w:eastAsia="Times New Roman" w:cs="Arial"/>
          <w:lang w:eastAsia="en-GB"/>
        </w:rPr>
        <w:t>all three categories against</w:t>
      </w:r>
      <w:r w:rsidRPr="00121808">
        <w:rPr>
          <w:rFonts w:eastAsia="Times New Roman" w:cs="Arial"/>
          <w:lang w:eastAsia="en-GB"/>
        </w:rPr>
        <w:t xml:space="preserve"> statistical neighb</w:t>
      </w:r>
      <w:r w:rsidR="00702B67">
        <w:rPr>
          <w:rFonts w:eastAsia="Times New Roman" w:cs="Arial"/>
          <w:lang w:eastAsia="en-GB"/>
        </w:rPr>
        <w:t>ours. The mean Indicator for</w:t>
      </w:r>
      <w:r w:rsidRPr="00121808">
        <w:rPr>
          <w:rFonts w:eastAsia="Times New Roman" w:cs="Arial"/>
          <w:lang w:eastAsia="en-GB"/>
        </w:rPr>
        <w:t xml:space="preserve"> statistical neighbours in May 2015 is 86.2% </w:t>
      </w:r>
      <w:r w:rsidR="007F2301">
        <w:rPr>
          <w:rFonts w:eastAsia="Times New Roman" w:cs="Arial"/>
          <w:lang w:eastAsia="en-GB"/>
        </w:rPr>
        <w:t xml:space="preserve">in </w:t>
      </w:r>
      <w:r w:rsidRPr="00121808">
        <w:rPr>
          <w:rFonts w:eastAsia="Times New Roman" w:cs="Arial"/>
          <w:lang w:eastAsia="en-GB"/>
        </w:rPr>
        <w:t>year 12-14 in learning, 3.9% NEET and  5.9% Not Known.</w:t>
      </w:r>
    </w:p>
    <w:p w:rsidR="00282E35" w:rsidRPr="001503CE" w:rsidRDefault="00282E35" w:rsidP="00282E35">
      <w:pPr>
        <w:pStyle w:val="Heading2"/>
        <w:keepNext w:val="0"/>
        <w:keepLines w:val="0"/>
        <w:jc w:val="both"/>
      </w:pPr>
      <w:bookmarkStart w:id="869" w:name="_Toc426723378"/>
      <w:bookmarkStart w:id="870" w:name="_Toc431225205"/>
      <w:r>
        <w:t xml:space="preserve">Prevention and </w:t>
      </w:r>
      <w:r w:rsidRPr="00D37F63">
        <w:t>Early Intervention</w:t>
      </w:r>
      <w:bookmarkEnd w:id="869"/>
      <w:bookmarkEnd w:id="870"/>
      <w:r w:rsidRPr="00D37F63">
        <w:t xml:space="preserve"> </w:t>
      </w:r>
    </w:p>
    <w:p w:rsidR="00282E35" w:rsidRPr="00B1135D" w:rsidRDefault="00282E35" w:rsidP="00282E35">
      <w:pPr>
        <w:jc w:val="both"/>
        <w:rPr>
          <w:rFonts w:cs="Arial"/>
        </w:rPr>
      </w:pPr>
      <w:r>
        <w:rPr>
          <w:rFonts w:cs="Arial"/>
        </w:rPr>
        <w:t xml:space="preserve">Prevention and </w:t>
      </w:r>
      <w:r w:rsidRPr="00B1135D">
        <w:rPr>
          <w:rFonts w:cs="Arial"/>
        </w:rPr>
        <w:t xml:space="preserve">Early Intervention </w:t>
      </w:r>
      <w:r>
        <w:rPr>
          <w:rFonts w:cs="Arial"/>
        </w:rPr>
        <w:t xml:space="preserve">is </w:t>
      </w:r>
      <w:r w:rsidRPr="00B1135D">
        <w:rPr>
          <w:rFonts w:cs="Arial"/>
        </w:rPr>
        <w:t>about tackling problems experienced by children and families as early as possible to improve</w:t>
      </w:r>
      <w:r>
        <w:rPr>
          <w:rFonts w:cs="Arial"/>
        </w:rPr>
        <w:t xml:space="preserve"> outcomes, and to lower costs. </w:t>
      </w:r>
      <w:r w:rsidRPr="00B1135D">
        <w:rPr>
          <w:rFonts w:cs="Arial"/>
        </w:rPr>
        <w:t>Barnet’s approach to</w:t>
      </w:r>
      <w:r>
        <w:rPr>
          <w:rFonts w:cs="Arial"/>
        </w:rPr>
        <w:t xml:space="preserve"> Prevention and </w:t>
      </w:r>
      <w:r w:rsidRPr="00B1135D">
        <w:rPr>
          <w:rFonts w:cs="Arial"/>
        </w:rPr>
        <w:t xml:space="preserve">Early Intervention has been organised according to three guiding principles: </w:t>
      </w:r>
      <w:proofErr w:type="spellStart"/>
      <w:r w:rsidRPr="00B1135D">
        <w:rPr>
          <w:rFonts w:cs="Arial"/>
        </w:rPr>
        <w:t>i</w:t>
      </w:r>
      <w:proofErr w:type="spellEnd"/>
      <w:r w:rsidRPr="00B1135D">
        <w:rPr>
          <w:rFonts w:cs="Arial"/>
        </w:rPr>
        <w:t xml:space="preserve">) </w:t>
      </w:r>
      <w:r w:rsidR="007F2301">
        <w:rPr>
          <w:rFonts w:cs="Arial"/>
        </w:rPr>
        <w:t xml:space="preserve">to </w:t>
      </w:r>
      <w:r w:rsidRPr="00B1135D">
        <w:rPr>
          <w:rFonts w:cs="Arial"/>
        </w:rPr>
        <w:t xml:space="preserve">intervene as early as possible; ii) </w:t>
      </w:r>
      <w:r w:rsidR="007F2301">
        <w:rPr>
          <w:rFonts w:cs="Arial"/>
        </w:rPr>
        <w:t xml:space="preserve">to </w:t>
      </w:r>
      <w:r>
        <w:rPr>
          <w:rFonts w:cs="Arial"/>
        </w:rPr>
        <w:t>t</w:t>
      </w:r>
      <w:r w:rsidRPr="00B1135D">
        <w:rPr>
          <w:rFonts w:cs="Arial"/>
        </w:rPr>
        <w:t>ake a whole family approach; and iii)</w:t>
      </w:r>
      <w:r w:rsidR="007F2301">
        <w:rPr>
          <w:rFonts w:cs="Arial"/>
        </w:rPr>
        <w:t xml:space="preserve"> to</w:t>
      </w:r>
      <w:r w:rsidRPr="00B1135D">
        <w:rPr>
          <w:rFonts w:cs="Arial"/>
        </w:rPr>
        <w:t xml:space="preserve"> use evidence</w:t>
      </w:r>
      <w:r>
        <w:rPr>
          <w:rFonts w:cs="Arial"/>
        </w:rPr>
        <w:t>-</w:t>
      </w:r>
      <w:r w:rsidRPr="00B1135D">
        <w:rPr>
          <w:rFonts w:cs="Arial"/>
        </w:rPr>
        <w:t>based monitoring systems.</w:t>
      </w:r>
    </w:p>
    <w:p w:rsidR="00282E35" w:rsidRDefault="00282E35" w:rsidP="00282E35">
      <w:pPr>
        <w:jc w:val="both"/>
        <w:rPr>
          <w:rFonts w:cs="Arial"/>
        </w:rPr>
      </w:pPr>
      <w:r w:rsidRPr="00B1135D">
        <w:rPr>
          <w:rFonts w:cs="Arial"/>
        </w:rPr>
        <w:t xml:space="preserve">A local needs analysis identified </w:t>
      </w:r>
      <w:r w:rsidR="007F2301">
        <w:rPr>
          <w:rFonts w:cs="Arial"/>
        </w:rPr>
        <w:t>eight</w:t>
      </w:r>
      <w:r w:rsidRPr="00B1135D">
        <w:rPr>
          <w:rFonts w:cs="Arial"/>
        </w:rPr>
        <w:t xml:space="preserve"> ‘themes’ or problems which are most likely to drive poor outcomes for Barnet families: </w:t>
      </w:r>
    </w:p>
    <w:p w:rsidR="00282E35" w:rsidRPr="008503CD" w:rsidRDefault="00282E35" w:rsidP="008921BF">
      <w:pPr>
        <w:pStyle w:val="ListParagraph"/>
        <w:numPr>
          <w:ilvl w:val="0"/>
          <w:numId w:val="95"/>
        </w:numPr>
        <w:ind w:left="0" w:firstLine="0"/>
        <w:jc w:val="both"/>
        <w:rPr>
          <w:rFonts w:cs="Arial"/>
        </w:rPr>
      </w:pPr>
      <w:r w:rsidRPr="008503CD">
        <w:rPr>
          <w:rFonts w:cs="Arial"/>
        </w:rPr>
        <w:t>Domestic violence</w:t>
      </w:r>
    </w:p>
    <w:p w:rsidR="00282E35" w:rsidRPr="008503CD" w:rsidRDefault="00282E35" w:rsidP="008921BF">
      <w:pPr>
        <w:pStyle w:val="ListParagraph"/>
        <w:numPr>
          <w:ilvl w:val="0"/>
          <w:numId w:val="95"/>
        </w:numPr>
        <w:ind w:left="0" w:firstLine="0"/>
        <w:jc w:val="both"/>
        <w:rPr>
          <w:rFonts w:cs="Arial"/>
        </w:rPr>
      </w:pPr>
      <w:r>
        <w:rPr>
          <w:rFonts w:cs="Arial"/>
        </w:rPr>
        <w:t>A</w:t>
      </w:r>
      <w:r w:rsidRPr="008503CD">
        <w:rPr>
          <w:rFonts w:cs="Arial"/>
        </w:rPr>
        <w:t>lcohol and/or drug misuse</w:t>
      </w:r>
    </w:p>
    <w:p w:rsidR="00282E35" w:rsidRPr="008503CD" w:rsidRDefault="00282E35" w:rsidP="008921BF">
      <w:pPr>
        <w:pStyle w:val="ListParagraph"/>
        <w:numPr>
          <w:ilvl w:val="0"/>
          <w:numId w:val="95"/>
        </w:numPr>
        <w:ind w:left="0" w:firstLine="0"/>
        <w:jc w:val="both"/>
        <w:rPr>
          <w:rFonts w:cs="Arial"/>
        </w:rPr>
      </w:pPr>
      <w:r>
        <w:rPr>
          <w:rFonts w:cs="Arial"/>
        </w:rPr>
        <w:t>M</w:t>
      </w:r>
      <w:r w:rsidRPr="008503CD">
        <w:rPr>
          <w:rFonts w:cs="Arial"/>
        </w:rPr>
        <w:t>ental health</w:t>
      </w:r>
    </w:p>
    <w:p w:rsidR="00282E35" w:rsidRDefault="00282E35" w:rsidP="008921BF">
      <w:pPr>
        <w:pStyle w:val="ListParagraph"/>
        <w:numPr>
          <w:ilvl w:val="0"/>
          <w:numId w:val="95"/>
        </w:numPr>
        <w:ind w:left="0" w:firstLine="0"/>
        <w:jc w:val="both"/>
        <w:rPr>
          <w:rFonts w:cs="Arial"/>
        </w:rPr>
      </w:pPr>
      <w:r>
        <w:rPr>
          <w:rFonts w:cs="Arial"/>
        </w:rPr>
        <w:t>P</w:t>
      </w:r>
      <w:r w:rsidRPr="008503CD">
        <w:rPr>
          <w:rFonts w:cs="Arial"/>
        </w:rPr>
        <w:t>arenting and neglect</w:t>
      </w:r>
    </w:p>
    <w:p w:rsidR="00282E35" w:rsidRDefault="00282E35" w:rsidP="008921BF">
      <w:pPr>
        <w:pStyle w:val="ListParagraph"/>
        <w:numPr>
          <w:ilvl w:val="0"/>
          <w:numId w:val="95"/>
        </w:numPr>
        <w:ind w:left="0" w:firstLine="0"/>
        <w:jc w:val="both"/>
        <w:rPr>
          <w:rFonts w:cs="Arial"/>
        </w:rPr>
      </w:pPr>
      <w:r>
        <w:rPr>
          <w:rFonts w:cs="Arial"/>
        </w:rPr>
        <w:t>Unemployment</w:t>
      </w:r>
    </w:p>
    <w:p w:rsidR="00282E35" w:rsidRDefault="00282E35" w:rsidP="008921BF">
      <w:pPr>
        <w:pStyle w:val="ListParagraph"/>
        <w:numPr>
          <w:ilvl w:val="0"/>
          <w:numId w:val="95"/>
        </w:numPr>
        <w:ind w:left="0" w:firstLine="0"/>
        <w:jc w:val="both"/>
        <w:rPr>
          <w:rFonts w:cs="Arial"/>
        </w:rPr>
      </w:pPr>
      <w:r>
        <w:rPr>
          <w:rFonts w:cs="Arial"/>
        </w:rPr>
        <w:t>Involvement with police</w:t>
      </w:r>
    </w:p>
    <w:p w:rsidR="00282E35" w:rsidRDefault="00282E35" w:rsidP="008921BF">
      <w:pPr>
        <w:pStyle w:val="ListParagraph"/>
        <w:numPr>
          <w:ilvl w:val="0"/>
          <w:numId w:val="95"/>
        </w:numPr>
        <w:ind w:left="0" w:firstLine="0"/>
        <w:jc w:val="both"/>
        <w:rPr>
          <w:rFonts w:cs="Arial"/>
        </w:rPr>
      </w:pPr>
      <w:r>
        <w:rPr>
          <w:rFonts w:cs="Arial"/>
        </w:rPr>
        <w:lastRenderedPageBreak/>
        <w:t>Missing from school</w:t>
      </w:r>
    </w:p>
    <w:p w:rsidR="00282E35" w:rsidRDefault="00282E35" w:rsidP="008921BF">
      <w:pPr>
        <w:pStyle w:val="ListParagraph"/>
        <w:numPr>
          <w:ilvl w:val="0"/>
          <w:numId w:val="95"/>
        </w:numPr>
        <w:ind w:left="0" w:firstLine="0"/>
        <w:jc w:val="both"/>
        <w:rPr>
          <w:rFonts w:cs="Arial"/>
        </w:rPr>
      </w:pPr>
      <w:r>
        <w:rPr>
          <w:rFonts w:cs="Arial"/>
        </w:rPr>
        <w:t>Child sexual exploitation</w:t>
      </w:r>
    </w:p>
    <w:p w:rsidR="00282E35" w:rsidRPr="0053578D" w:rsidRDefault="00282E35" w:rsidP="00282E35">
      <w:pPr>
        <w:jc w:val="both"/>
        <w:rPr>
          <w:rFonts w:cs="Arial"/>
        </w:rPr>
      </w:pPr>
      <w:r>
        <w:rPr>
          <w:rFonts w:cs="Arial"/>
        </w:rPr>
        <w:t>The needs analysis found that the ‘toxic trio’ of domestic violence</w:t>
      </w:r>
      <w:r w:rsidRPr="008503CD">
        <w:rPr>
          <w:rFonts w:cs="Arial"/>
        </w:rPr>
        <w:t>, alcohol/drugs and men</w:t>
      </w:r>
      <w:r>
        <w:rPr>
          <w:rFonts w:cs="Arial"/>
        </w:rPr>
        <w:t xml:space="preserve">tal health were significant factors triggering referrals to social care. </w:t>
      </w:r>
      <w:r w:rsidR="005C0290">
        <w:rPr>
          <w:rFonts w:cs="Arial"/>
        </w:rPr>
        <w:t>Aligning e</w:t>
      </w:r>
      <w:r>
        <w:rPr>
          <w:rFonts w:cs="Arial"/>
        </w:rPr>
        <w:t>arly</w:t>
      </w:r>
      <w:r>
        <w:t xml:space="preserve"> i</w:t>
      </w:r>
      <w:r w:rsidR="005C0290">
        <w:t xml:space="preserve">ntervention and assessment </w:t>
      </w:r>
      <w:r>
        <w:t xml:space="preserve">to these </w:t>
      </w:r>
      <w:r w:rsidR="00DD3A76">
        <w:t>themes</w:t>
      </w:r>
      <w:r>
        <w:t xml:space="preserve"> will help to counteract projected pressures on social care services and other targeted and specialist resources. </w:t>
      </w:r>
    </w:p>
    <w:p w:rsidR="00282E35" w:rsidRPr="00B1135D" w:rsidRDefault="00282E35" w:rsidP="00282E35">
      <w:pPr>
        <w:jc w:val="both"/>
        <w:rPr>
          <w:rFonts w:cs="Arial"/>
        </w:rPr>
      </w:pPr>
      <w:r>
        <w:rPr>
          <w:rFonts w:cs="Arial"/>
        </w:rPr>
        <w:t xml:space="preserve">The Barnet Early Help Offer consists of a </w:t>
      </w:r>
      <w:r w:rsidRPr="00B1135D">
        <w:rPr>
          <w:rFonts w:cs="Arial"/>
        </w:rPr>
        <w:t xml:space="preserve">set of services which </w:t>
      </w:r>
      <w:r>
        <w:rPr>
          <w:rFonts w:cs="Arial"/>
          <w:color w:val="000000" w:themeColor="text1"/>
        </w:rPr>
        <w:t xml:space="preserve">deliver a Prevention and </w:t>
      </w:r>
      <w:r w:rsidRPr="00B1135D">
        <w:rPr>
          <w:rFonts w:cs="Arial"/>
          <w:color w:val="000000" w:themeColor="text1"/>
        </w:rPr>
        <w:t>Early Intervention approach</w:t>
      </w:r>
      <w:r>
        <w:rPr>
          <w:rFonts w:cs="Arial"/>
          <w:color w:val="000000" w:themeColor="text1"/>
        </w:rPr>
        <w:t>;</w:t>
      </w:r>
      <w:r>
        <w:rPr>
          <w:rFonts w:cs="Arial"/>
        </w:rPr>
        <w:t xml:space="preserve"> it </w:t>
      </w:r>
      <w:r w:rsidRPr="00B1135D">
        <w:rPr>
          <w:rFonts w:cs="Arial"/>
        </w:rPr>
        <w:t>is f</w:t>
      </w:r>
      <w:r>
        <w:rPr>
          <w:rFonts w:cs="Arial"/>
        </w:rPr>
        <w:t>ormed of the following key components</w:t>
      </w:r>
      <w:r w:rsidRPr="00B1135D">
        <w:rPr>
          <w:rFonts w:cs="Arial"/>
        </w:rPr>
        <w:t xml:space="preserve">: </w:t>
      </w:r>
    </w:p>
    <w:p w:rsidR="00282E35" w:rsidRPr="00D37F63" w:rsidRDefault="00282E35" w:rsidP="008921BF">
      <w:pPr>
        <w:pStyle w:val="ListParagraph"/>
        <w:numPr>
          <w:ilvl w:val="0"/>
          <w:numId w:val="108"/>
        </w:numPr>
        <w:spacing w:after="0"/>
        <w:jc w:val="both"/>
        <w:rPr>
          <w:rFonts w:cs="Arial"/>
        </w:rPr>
      </w:pPr>
      <w:r w:rsidRPr="00D37F63">
        <w:rPr>
          <w:rFonts w:cs="Arial"/>
        </w:rPr>
        <w:t>A Front door/triaging service- which assesses and signposts cases to early help services</w:t>
      </w:r>
    </w:p>
    <w:p w:rsidR="00282E35" w:rsidRPr="00D37F63" w:rsidRDefault="00282E35" w:rsidP="008921BF">
      <w:pPr>
        <w:pStyle w:val="ListParagraph"/>
        <w:numPr>
          <w:ilvl w:val="0"/>
          <w:numId w:val="108"/>
        </w:numPr>
        <w:spacing w:after="0"/>
        <w:jc w:val="both"/>
        <w:rPr>
          <w:rFonts w:cs="Arial"/>
        </w:rPr>
      </w:pPr>
      <w:r w:rsidRPr="00D37F63">
        <w:rPr>
          <w:rFonts w:cs="Arial"/>
        </w:rPr>
        <w:t>A core set of council early help services including Children’s Centres</w:t>
      </w:r>
      <w:r>
        <w:rPr>
          <w:rFonts w:cs="Arial"/>
        </w:rPr>
        <w:t>,</w:t>
      </w:r>
      <w:r w:rsidRPr="00D37F63">
        <w:rPr>
          <w:rFonts w:cs="Arial"/>
        </w:rPr>
        <w:t xml:space="preserve"> the Intensive Family Focus Team and  Youth Services</w:t>
      </w:r>
    </w:p>
    <w:p w:rsidR="00282E35" w:rsidRPr="00D37F63" w:rsidRDefault="00282E35" w:rsidP="008921BF">
      <w:pPr>
        <w:pStyle w:val="ListParagraph"/>
        <w:numPr>
          <w:ilvl w:val="0"/>
          <w:numId w:val="108"/>
        </w:numPr>
        <w:spacing w:after="0"/>
        <w:jc w:val="both"/>
        <w:rPr>
          <w:rFonts w:cs="Arial"/>
        </w:rPr>
      </w:pPr>
      <w:r w:rsidRPr="00D37F63">
        <w:rPr>
          <w:rFonts w:cs="Arial"/>
        </w:rPr>
        <w:t>A set of commissioned services, where the council procures early help services from third parties – for example Child and Adolescent Mental Health Services</w:t>
      </w:r>
      <w:r>
        <w:rPr>
          <w:rFonts w:cs="Arial"/>
        </w:rPr>
        <w:t xml:space="preserve"> (CAMHS)</w:t>
      </w:r>
    </w:p>
    <w:p w:rsidR="00282E35" w:rsidRPr="00D37F63" w:rsidRDefault="00282E35" w:rsidP="008921BF">
      <w:pPr>
        <w:pStyle w:val="ListParagraph"/>
        <w:numPr>
          <w:ilvl w:val="0"/>
          <w:numId w:val="108"/>
        </w:numPr>
        <w:spacing w:after="240"/>
        <w:jc w:val="both"/>
        <w:rPr>
          <w:rFonts w:cs="Arial"/>
        </w:rPr>
      </w:pPr>
      <w:r w:rsidRPr="00D37F63">
        <w:rPr>
          <w:rFonts w:cs="Arial"/>
        </w:rPr>
        <w:t>Services provided by partners</w:t>
      </w:r>
      <w:r>
        <w:rPr>
          <w:rFonts w:cs="Arial"/>
        </w:rPr>
        <w:t xml:space="preserve">, </w:t>
      </w:r>
      <w:r w:rsidRPr="00D37F63">
        <w:rPr>
          <w:rFonts w:cs="Arial"/>
        </w:rPr>
        <w:t xml:space="preserve">such as services provided by the voluntary sector which are not commissioned by the </w:t>
      </w:r>
      <w:r>
        <w:rPr>
          <w:rFonts w:cs="Arial"/>
        </w:rPr>
        <w:t>c</w:t>
      </w:r>
      <w:r w:rsidRPr="00D37F63">
        <w:rPr>
          <w:rFonts w:cs="Arial"/>
        </w:rPr>
        <w:t xml:space="preserve">ouncil. </w:t>
      </w:r>
    </w:p>
    <w:p w:rsidR="00282E35" w:rsidRDefault="00EA5799" w:rsidP="00282E35">
      <w:pPr>
        <w:jc w:val="both"/>
        <w:rPr>
          <w:rFonts w:cs="Arial"/>
        </w:rPr>
      </w:pPr>
      <w:r>
        <w:rPr>
          <w:rFonts w:cs="Arial"/>
        </w:rPr>
        <w:t xml:space="preserve">The Council is </w:t>
      </w:r>
      <w:r w:rsidR="00282E35" w:rsidRPr="00B1135D">
        <w:rPr>
          <w:rFonts w:cs="Arial"/>
        </w:rPr>
        <w:t>reviewing the above offer</w:t>
      </w:r>
      <w:r w:rsidR="005C0290">
        <w:rPr>
          <w:rFonts w:cs="Arial"/>
        </w:rPr>
        <w:t xml:space="preserve"> to ensure it is line with the eight</w:t>
      </w:r>
      <w:r w:rsidR="00282E35" w:rsidRPr="00B1135D">
        <w:rPr>
          <w:rFonts w:cs="Arial"/>
        </w:rPr>
        <w:t xml:space="preserve"> themes i</w:t>
      </w:r>
      <w:r w:rsidR="00702B67">
        <w:rPr>
          <w:rFonts w:cs="Arial"/>
        </w:rPr>
        <w:t>dentified in the</w:t>
      </w:r>
      <w:r w:rsidR="00282E35">
        <w:rPr>
          <w:rFonts w:cs="Arial"/>
        </w:rPr>
        <w:t xml:space="preserve"> needs analysis and is better integrated with partner agencies.</w:t>
      </w:r>
      <w:r w:rsidR="00282E35" w:rsidRPr="00B1135D">
        <w:rPr>
          <w:rFonts w:cs="Arial"/>
        </w:rPr>
        <w:t xml:space="preserve"> Children and famil</w:t>
      </w:r>
      <w:r w:rsidR="00282E35">
        <w:rPr>
          <w:rFonts w:cs="Arial"/>
        </w:rPr>
        <w:t xml:space="preserve">ies fall into four categories of need, identified in the table below. Early identification of problems, assessment and intervention is achieved through the Common Assessment </w:t>
      </w:r>
      <w:r w:rsidR="00DD3A76">
        <w:rPr>
          <w:rFonts w:cs="Arial"/>
        </w:rPr>
        <w:t>Framework (</w:t>
      </w:r>
      <w:r w:rsidR="00282E35">
        <w:rPr>
          <w:rFonts w:cs="Arial"/>
        </w:rPr>
        <w:t>CAF).</w:t>
      </w:r>
    </w:p>
    <w:p w:rsidR="00282E35" w:rsidRPr="00B1135D" w:rsidRDefault="00282E35" w:rsidP="00282E35">
      <w:pPr>
        <w:pStyle w:val="Caption"/>
        <w:rPr>
          <w:rFonts w:cs="Arial"/>
        </w:rPr>
      </w:pPr>
      <w:r>
        <w:t xml:space="preserve">Table </w:t>
      </w:r>
      <w:fldSimple w:instr=" STYLEREF 1 \s ">
        <w:r w:rsidR="001663C2">
          <w:rPr>
            <w:noProof/>
          </w:rPr>
          <w:t>8</w:t>
        </w:r>
      </w:fldSimple>
      <w:r>
        <w:noBreakHyphen/>
      </w:r>
      <w:fldSimple w:instr=" SEQ Table \* ARABIC \s 1 ">
        <w:r w:rsidR="001663C2">
          <w:rPr>
            <w:noProof/>
          </w:rPr>
          <w:t>9</w:t>
        </w:r>
      </w:fldSimple>
      <w:r>
        <w:t>: Levels of Need</w:t>
      </w:r>
    </w:p>
    <w:tbl>
      <w:tblPr>
        <w:tblStyle w:val="TableGrid"/>
        <w:tblW w:w="8930" w:type="dxa"/>
        <w:tblInd w:w="392" w:type="dxa"/>
        <w:tblLayout w:type="fixed"/>
        <w:tblLook w:val="04A0" w:firstRow="1" w:lastRow="0" w:firstColumn="1" w:lastColumn="0" w:noHBand="0" w:noVBand="1"/>
      </w:tblPr>
      <w:tblGrid>
        <w:gridCol w:w="1134"/>
        <w:gridCol w:w="7796"/>
      </w:tblGrid>
      <w:tr w:rsidR="00282E35" w:rsidRPr="00B1135D" w:rsidTr="00E50C61">
        <w:tc>
          <w:tcPr>
            <w:tcW w:w="1134" w:type="dxa"/>
            <w:shd w:val="clear" w:color="auto" w:fill="BFBFBF" w:themeFill="background1" w:themeFillShade="BF"/>
          </w:tcPr>
          <w:p w:rsidR="00282E35" w:rsidRPr="003104EC" w:rsidRDefault="00282E35" w:rsidP="00E50C61">
            <w:pPr>
              <w:jc w:val="center"/>
              <w:rPr>
                <w:rFonts w:eastAsia="Times New Roman" w:cs="Times New Roman"/>
                <w:b/>
                <w:bCs/>
                <w:sz w:val="20"/>
                <w:szCs w:val="20"/>
                <w:lang w:eastAsia="en-GB"/>
              </w:rPr>
            </w:pPr>
            <w:r w:rsidRPr="003104EC">
              <w:rPr>
                <w:rFonts w:eastAsia="Times New Roman" w:cs="Times New Roman"/>
                <w:b/>
                <w:bCs/>
                <w:sz w:val="20"/>
                <w:szCs w:val="20"/>
                <w:lang w:eastAsia="en-GB"/>
              </w:rPr>
              <w:t>Level of need</w:t>
            </w:r>
          </w:p>
        </w:tc>
        <w:tc>
          <w:tcPr>
            <w:tcW w:w="7796" w:type="dxa"/>
            <w:shd w:val="clear" w:color="auto" w:fill="BFBFBF" w:themeFill="background1" w:themeFillShade="BF"/>
          </w:tcPr>
          <w:p w:rsidR="00282E35" w:rsidRPr="003104EC" w:rsidRDefault="00282E35" w:rsidP="00E50C61">
            <w:pPr>
              <w:jc w:val="center"/>
              <w:rPr>
                <w:rFonts w:eastAsia="Times New Roman" w:cs="Times New Roman"/>
                <w:b/>
                <w:bCs/>
                <w:sz w:val="20"/>
                <w:szCs w:val="20"/>
                <w:lang w:eastAsia="en-GB"/>
              </w:rPr>
            </w:pPr>
            <w:r w:rsidRPr="003104EC">
              <w:rPr>
                <w:rFonts w:eastAsia="Times New Roman" w:cs="Times New Roman"/>
                <w:b/>
                <w:bCs/>
                <w:sz w:val="20"/>
                <w:szCs w:val="20"/>
                <w:lang w:eastAsia="en-GB"/>
              </w:rPr>
              <w:t>Definition of this type of Need</w:t>
            </w:r>
          </w:p>
        </w:tc>
      </w:tr>
      <w:tr w:rsidR="00282E35" w:rsidRPr="00B1135D" w:rsidTr="00E50C61">
        <w:tc>
          <w:tcPr>
            <w:tcW w:w="1134" w:type="dxa"/>
          </w:tcPr>
          <w:p w:rsidR="00282E35" w:rsidRPr="003104EC" w:rsidRDefault="00282E35" w:rsidP="00E50C61">
            <w:pPr>
              <w:spacing w:line="360" w:lineRule="auto"/>
              <w:rPr>
                <w:rFonts w:cs="Arial"/>
                <w:b/>
                <w:sz w:val="20"/>
                <w:szCs w:val="20"/>
              </w:rPr>
            </w:pPr>
            <w:r w:rsidRPr="003104EC">
              <w:rPr>
                <w:rFonts w:cs="Arial"/>
                <w:b/>
                <w:sz w:val="20"/>
                <w:szCs w:val="20"/>
              </w:rPr>
              <w:t xml:space="preserve">Level 1 </w:t>
            </w:r>
          </w:p>
        </w:tc>
        <w:tc>
          <w:tcPr>
            <w:tcW w:w="7796" w:type="dxa"/>
          </w:tcPr>
          <w:p w:rsidR="00282E35" w:rsidRPr="003104EC" w:rsidRDefault="00282E35" w:rsidP="00E50C61">
            <w:pPr>
              <w:rPr>
                <w:rFonts w:cs="Arial"/>
                <w:sz w:val="20"/>
                <w:szCs w:val="20"/>
              </w:rPr>
            </w:pPr>
            <w:r w:rsidRPr="003104EC">
              <w:rPr>
                <w:rFonts w:cs="Arial"/>
                <w:sz w:val="20"/>
                <w:szCs w:val="20"/>
              </w:rPr>
              <w:t>No identified additional needs. Response services are universal services</w:t>
            </w:r>
          </w:p>
          <w:p w:rsidR="00282E35" w:rsidRPr="003104EC" w:rsidRDefault="00282E35" w:rsidP="00E50C61">
            <w:pPr>
              <w:spacing w:line="360" w:lineRule="auto"/>
              <w:rPr>
                <w:rFonts w:cs="Arial"/>
                <w:sz w:val="20"/>
                <w:szCs w:val="20"/>
              </w:rPr>
            </w:pPr>
          </w:p>
        </w:tc>
      </w:tr>
      <w:tr w:rsidR="00282E35" w:rsidRPr="00B1135D" w:rsidTr="00E50C61">
        <w:tc>
          <w:tcPr>
            <w:tcW w:w="1134" w:type="dxa"/>
          </w:tcPr>
          <w:p w:rsidR="00282E35" w:rsidRPr="003104EC" w:rsidRDefault="00282E35" w:rsidP="00E50C61">
            <w:pPr>
              <w:spacing w:line="360" w:lineRule="auto"/>
              <w:rPr>
                <w:rFonts w:cs="Arial"/>
                <w:b/>
                <w:sz w:val="20"/>
                <w:szCs w:val="20"/>
              </w:rPr>
            </w:pPr>
            <w:r w:rsidRPr="003104EC">
              <w:rPr>
                <w:rFonts w:cs="Arial"/>
                <w:b/>
                <w:sz w:val="20"/>
                <w:szCs w:val="20"/>
              </w:rPr>
              <w:t>Level 2</w:t>
            </w:r>
          </w:p>
        </w:tc>
        <w:tc>
          <w:tcPr>
            <w:tcW w:w="7796" w:type="dxa"/>
          </w:tcPr>
          <w:p w:rsidR="00282E35" w:rsidRPr="003104EC" w:rsidRDefault="00282E35" w:rsidP="00E50C61">
            <w:pPr>
              <w:rPr>
                <w:rFonts w:cs="Arial"/>
                <w:sz w:val="20"/>
                <w:szCs w:val="20"/>
              </w:rPr>
            </w:pPr>
            <w:r w:rsidRPr="003104EC">
              <w:rPr>
                <w:rFonts w:cs="Arial"/>
                <w:sz w:val="20"/>
                <w:szCs w:val="20"/>
              </w:rPr>
              <w:t>Child’s needs are not clear, not known or not being met. This is the threshold for beginning a Common Assessment. Response services are universal support services and/or targeted services</w:t>
            </w:r>
          </w:p>
        </w:tc>
      </w:tr>
      <w:tr w:rsidR="00282E35" w:rsidRPr="00B1135D" w:rsidTr="00E50C61">
        <w:tc>
          <w:tcPr>
            <w:tcW w:w="1134" w:type="dxa"/>
          </w:tcPr>
          <w:p w:rsidR="00282E35" w:rsidRPr="003104EC" w:rsidRDefault="00282E35" w:rsidP="00E50C61">
            <w:pPr>
              <w:spacing w:line="360" w:lineRule="auto"/>
              <w:rPr>
                <w:rFonts w:cs="Arial"/>
                <w:b/>
                <w:sz w:val="20"/>
                <w:szCs w:val="20"/>
              </w:rPr>
            </w:pPr>
            <w:r w:rsidRPr="003104EC">
              <w:rPr>
                <w:rFonts w:cs="Arial"/>
                <w:b/>
                <w:sz w:val="20"/>
                <w:szCs w:val="20"/>
              </w:rPr>
              <w:t>Level 3</w:t>
            </w:r>
          </w:p>
        </w:tc>
        <w:tc>
          <w:tcPr>
            <w:tcW w:w="7796" w:type="dxa"/>
          </w:tcPr>
          <w:p w:rsidR="00282E35" w:rsidRPr="003104EC" w:rsidRDefault="00282E35" w:rsidP="00E50C61">
            <w:pPr>
              <w:rPr>
                <w:rFonts w:cs="Arial"/>
                <w:sz w:val="20"/>
                <w:szCs w:val="20"/>
              </w:rPr>
            </w:pPr>
            <w:r w:rsidRPr="003104EC">
              <w:rPr>
                <w:rFonts w:cs="Arial"/>
                <w:sz w:val="20"/>
                <w:szCs w:val="20"/>
              </w:rPr>
              <w:t>Complex needs likely to require longer term intervention from statutory and/or specialist services. High level additional unmet needs - this will usually require a targeted integrated response, which will usually include a specialist service</w:t>
            </w:r>
          </w:p>
        </w:tc>
      </w:tr>
      <w:tr w:rsidR="00282E35" w:rsidRPr="00B1135D" w:rsidTr="00E50C61">
        <w:tc>
          <w:tcPr>
            <w:tcW w:w="1134" w:type="dxa"/>
          </w:tcPr>
          <w:p w:rsidR="00282E35" w:rsidRPr="003104EC" w:rsidRDefault="00282E35" w:rsidP="00E50C61">
            <w:pPr>
              <w:spacing w:line="360" w:lineRule="auto"/>
              <w:rPr>
                <w:rFonts w:cs="Arial"/>
                <w:b/>
                <w:sz w:val="20"/>
                <w:szCs w:val="20"/>
              </w:rPr>
            </w:pPr>
            <w:r w:rsidRPr="003104EC">
              <w:rPr>
                <w:rFonts w:cs="Arial"/>
                <w:b/>
                <w:sz w:val="20"/>
                <w:szCs w:val="20"/>
              </w:rPr>
              <w:t>Level 4</w:t>
            </w:r>
          </w:p>
        </w:tc>
        <w:tc>
          <w:tcPr>
            <w:tcW w:w="7796" w:type="dxa"/>
          </w:tcPr>
          <w:p w:rsidR="00282E35" w:rsidRPr="003104EC" w:rsidRDefault="00282E35" w:rsidP="00E50C61">
            <w:pPr>
              <w:rPr>
                <w:rFonts w:cs="Arial"/>
                <w:sz w:val="20"/>
                <w:szCs w:val="20"/>
              </w:rPr>
            </w:pPr>
            <w:r w:rsidRPr="003104EC">
              <w:rPr>
                <w:rFonts w:cs="Arial"/>
                <w:sz w:val="20"/>
                <w:szCs w:val="20"/>
              </w:rPr>
              <w:t>Acute needs, requiring statutory intensive support. This in particular includes the threshold for child protection which will require Children’s Social Care Intervention</w:t>
            </w:r>
          </w:p>
        </w:tc>
      </w:tr>
    </w:tbl>
    <w:p w:rsidR="00282E35" w:rsidRDefault="00282E35" w:rsidP="00282E35">
      <w:pPr>
        <w:pStyle w:val="Heading3"/>
        <w:keepNext w:val="0"/>
        <w:keepLines w:val="0"/>
        <w:spacing w:line="271" w:lineRule="auto"/>
        <w:jc w:val="both"/>
      </w:pPr>
      <w:r w:rsidRPr="00783E35">
        <w:t>Key</w:t>
      </w:r>
      <w:r>
        <w:t xml:space="preserve"> Issues</w:t>
      </w:r>
    </w:p>
    <w:p w:rsidR="00282E35" w:rsidRDefault="00282E35" w:rsidP="008921BF">
      <w:pPr>
        <w:pStyle w:val="ListParagraph"/>
        <w:numPr>
          <w:ilvl w:val="0"/>
          <w:numId w:val="102"/>
        </w:numPr>
        <w:jc w:val="both"/>
        <w:rPr>
          <w:rFonts w:cs="Arial"/>
        </w:rPr>
      </w:pPr>
      <w:r>
        <w:rPr>
          <w:rFonts w:cs="Arial"/>
        </w:rPr>
        <w:t>Strengthen the Barnet integrated offer of services across partner agencies to support children and families.</w:t>
      </w:r>
    </w:p>
    <w:p w:rsidR="00282E35" w:rsidRPr="0096212D" w:rsidRDefault="00282E35" w:rsidP="008921BF">
      <w:pPr>
        <w:pStyle w:val="ListParagraph"/>
        <w:numPr>
          <w:ilvl w:val="0"/>
          <w:numId w:val="102"/>
        </w:numPr>
        <w:jc w:val="both"/>
        <w:rPr>
          <w:rFonts w:cs="Arial"/>
        </w:rPr>
      </w:pPr>
      <w:r w:rsidRPr="0096212D">
        <w:rPr>
          <w:rFonts w:cs="Arial"/>
        </w:rPr>
        <w:t>Continue to build on work which has already started in remodelling services. Barnet has prioritised early years as part of its</w:t>
      </w:r>
      <w:r>
        <w:rPr>
          <w:rFonts w:cs="Arial"/>
        </w:rPr>
        <w:t xml:space="preserve"> prevention and </w:t>
      </w:r>
      <w:r w:rsidRPr="0096212D">
        <w:rPr>
          <w:rFonts w:cs="Arial"/>
        </w:rPr>
        <w:t>early intervention approach and has completed a comprehensive 18</w:t>
      </w:r>
      <w:r>
        <w:rPr>
          <w:rFonts w:cs="Arial"/>
        </w:rPr>
        <w:t xml:space="preserve"> </w:t>
      </w:r>
      <w:r w:rsidRPr="0096212D">
        <w:rPr>
          <w:rFonts w:cs="Arial"/>
        </w:rPr>
        <w:t>month ‘Early Years Review’. The review has recommended a locality model which is currently being developed. Barnet’s 13 children’s centres will be grouped into three ‘localities’ with the aim of focusing on identifying and supporting the most vulnerable and allowing staff and resources to be used more flexibly.</w:t>
      </w:r>
    </w:p>
    <w:p w:rsidR="00282E35" w:rsidRPr="0096212D" w:rsidRDefault="00282E35" w:rsidP="008921BF">
      <w:pPr>
        <w:pStyle w:val="ListParagraph"/>
        <w:numPr>
          <w:ilvl w:val="0"/>
          <w:numId w:val="102"/>
        </w:numPr>
        <w:jc w:val="both"/>
        <w:rPr>
          <w:rFonts w:cs="Arial"/>
        </w:rPr>
      </w:pPr>
      <w:r>
        <w:rPr>
          <w:rFonts w:cs="Arial"/>
        </w:rPr>
        <w:lastRenderedPageBreak/>
        <w:t>Development of s</w:t>
      </w:r>
      <w:r w:rsidRPr="0096212D">
        <w:rPr>
          <w:rFonts w:cs="Arial"/>
        </w:rPr>
        <w:t xml:space="preserve">ervices to support children on the </w:t>
      </w:r>
      <w:r>
        <w:rPr>
          <w:rFonts w:cs="Arial"/>
        </w:rPr>
        <w:t>edge of care, specifically</w:t>
      </w:r>
      <w:r w:rsidRPr="0096212D">
        <w:rPr>
          <w:rFonts w:cs="Arial"/>
        </w:rPr>
        <w:t xml:space="preserve"> </w:t>
      </w:r>
      <w:r>
        <w:rPr>
          <w:rFonts w:cs="Arial"/>
        </w:rPr>
        <w:t xml:space="preserve">in the </w:t>
      </w:r>
      <w:r w:rsidRPr="0096212D">
        <w:rPr>
          <w:rFonts w:cs="Arial"/>
        </w:rPr>
        <w:t>10-15 age group</w:t>
      </w:r>
      <w:r>
        <w:rPr>
          <w:rFonts w:cs="Arial"/>
        </w:rPr>
        <w:t>,</w:t>
      </w:r>
      <w:r w:rsidRPr="0096212D">
        <w:rPr>
          <w:rFonts w:cs="Arial"/>
        </w:rPr>
        <w:t xml:space="preserve"> </w:t>
      </w:r>
      <w:r>
        <w:rPr>
          <w:rFonts w:cs="Arial"/>
        </w:rPr>
        <w:t xml:space="preserve">which </w:t>
      </w:r>
      <w:r w:rsidRPr="0096212D">
        <w:rPr>
          <w:rFonts w:cs="Arial"/>
        </w:rPr>
        <w:t>support children and their f</w:t>
      </w:r>
      <w:r>
        <w:rPr>
          <w:rFonts w:cs="Arial"/>
        </w:rPr>
        <w:t xml:space="preserve">amilies in the community and </w:t>
      </w:r>
      <w:r w:rsidRPr="0096212D">
        <w:rPr>
          <w:rFonts w:cs="Arial"/>
        </w:rPr>
        <w:t>prevent the need for children to become looked</w:t>
      </w:r>
      <w:r>
        <w:rPr>
          <w:rFonts w:cs="Arial"/>
        </w:rPr>
        <w:t>-</w:t>
      </w:r>
      <w:r w:rsidRPr="0096212D">
        <w:rPr>
          <w:rFonts w:cs="Arial"/>
        </w:rPr>
        <w:t>after</w:t>
      </w:r>
      <w:r w:rsidR="005C0290">
        <w:rPr>
          <w:rFonts w:cs="Arial"/>
        </w:rPr>
        <w:t>.</w:t>
      </w:r>
    </w:p>
    <w:p w:rsidR="00282E35" w:rsidRDefault="00282E35" w:rsidP="008921BF">
      <w:pPr>
        <w:pStyle w:val="ListParagraph"/>
        <w:numPr>
          <w:ilvl w:val="0"/>
          <w:numId w:val="102"/>
        </w:numPr>
        <w:jc w:val="both"/>
        <w:rPr>
          <w:rFonts w:cs="Arial"/>
        </w:rPr>
      </w:pPr>
      <w:r w:rsidRPr="003104EC">
        <w:rPr>
          <w:rFonts w:cs="Arial"/>
        </w:rPr>
        <w:t>Update and strengthen the monitoring of CAFs and outcomes to ensure more needs</w:t>
      </w:r>
      <w:r w:rsidR="005C0290">
        <w:rPr>
          <w:rFonts w:cs="Arial"/>
        </w:rPr>
        <w:t xml:space="preserve"> are being</w:t>
      </w:r>
      <w:r w:rsidRPr="003104EC">
        <w:rPr>
          <w:rFonts w:cs="Arial"/>
        </w:rPr>
        <w:t xml:space="preserve"> met via the introduction of e-CAF; this will join up with phase II of the Troubled </w:t>
      </w:r>
      <w:r w:rsidR="005C0290">
        <w:rPr>
          <w:rFonts w:cs="Arial"/>
        </w:rPr>
        <w:t>F</w:t>
      </w:r>
      <w:r w:rsidRPr="003104EC">
        <w:rPr>
          <w:rFonts w:cs="Arial"/>
        </w:rPr>
        <w:t>amilies programme.</w:t>
      </w:r>
    </w:p>
    <w:p w:rsidR="00282E35" w:rsidRDefault="00282E35" w:rsidP="008921BF">
      <w:pPr>
        <w:pStyle w:val="ListParagraph"/>
        <w:numPr>
          <w:ilvl w:val="0"/>
          <w:numId w:val="102"/>
        </w:numPr>
        <w:jc w:val="both"/>
        <w:rPr>
          <w:rFonts w:cs="Arial"/>
        </w:rPr>
      </w:pPr>
      <w:r>
        <w:rPr>
          <w:rFonts w:cs="Arial"/>
        </w:rPr>
        <w:t>E</w:t>
      </w:r>
      <w:r w:rsidRPr="003104EC">
        <w:rPr>
          <w:rFonts w:cs="Arial"/>
        </w:rPr>
        <w:t>xpand the</w:t>
      </w:r>
      <w:r w:rsidR="00702B67">
        <w:rPr>
          <w:rFonts w:cs="Arial"/>
        </w:rPr>
        <w:t xml:space="preserve"> reach of the CAF in some of the</w:t>
      </w:r>
      <w:r w:rsidRPr="003104EC">
        <w:rPr>
          <w:rFonts w:cs="Arial"/>
        </w:rPr>
        <w:t xml:space="preserve"> most deprived schools. For example</w:t>
      </w:r>
      <w:r w:rsidR="005C0290">
        <w:rPr>
          <w:rFonts w:cs="Arial"/>
        </w:rPr>
        <w:t>,</w:t>
      </w:r>
      <w:r w:rsidRPr="003104EC">
        <w:rPr>
          <w:rFonts w:cs="Arial"/>
        </w:rPr>
        <w:t xml:space="preserve"> </w:t>
      </w:r>
      <w:r>
        <w:rPr>
          <w:rFonts w:cs="Arial"/>
        </w:rPr>
        <w:t>four</w:t>
      </w:r>
      <w:r w:rsidRPr="003104EC">
        <w:rPr>
          <w:rFonts w:cs="Arial"/>
        </w:rPr>
        <w:t xml:space="preserve"> schools with moderate to high deprivation percentages initiated </w:t>
      </w:r>
      <w:r w:rsidR="005C0290">
        <w:rPr>
          <w:rFonts w:cs="Arial"/>
        </w:rPr>
        <w:t xml:space="preserve">zero </w:t>
      </w:r>
      <w:r w:rsidRPr="003104EC">
        <w:rPr>
          <w:rFonts w:cs="Arial"/>
        </w:rPr>
        <w:t xml:space="preserve">CAFs in 2012/13 and 2013/14.  As part of the Early Intervention Strategy </w:t>
      </w:r>
      <w:r w:rsidR="00EA5799">
        <w:rPr>
          <w:rFonts w:cs="Arial"/>
        </w:rPr>
        <w:t>a</w:t>
      </w:r>
      <w:r w:rsidRPr="003104EC">
        <w:rPr>
          <w:rFonts w:cs="Arial"/>
        </w:rPr>
        <w:t xml:space="preserve"> strategic approach to</w:t>
      </w:r>
      <w:r w:rsidR="00EA5799">
        <w:rPr>
          <w:rFonts w:cs="Arial"/>
        </w:rPr>
        <w:t xml:space="preserve"> schools and Early Intervention is currently being developed, including considerable</w:t>
      </w:r>
      <w:r w:rsidRPr="003104EC">
        <w:rPr>
          <w:rFonts w:cs="Arial"/>
        </w:rPr>
        <w:t xml:space="preserve"> use of the pupil premium.</w:t>
      </w:r>
    </w:p>
    <w:p w:rsidR="00282E35" w:rsidRDefault="00282E35" w:rsidP="008921BF">
      <w:pPr>
        <w:pStyle w:val="ListParagraph"/>
        <w:numPr>
          <w:ilvl w:val="0"/>
          <w:numId w:val="102"/>
        </w:numPr>
        <w:spacing w:after="0"/>
        <w:jc w:val="both"/>
        <w:rPr>
          <w:rFonts w:cs="Arial"/>
        </w:rPr>
      </w:pPr>
      <w:r w:rsidRPr="00783E35">
        <w:rPr>
          <w:rFonts w:cs="Arial"/>
        </w:rPr>
        <w:t xml:space="preserve">Improve practice in relation to obtaining the voice of the child and working with </w:t>
      </w:r>
      <w:r>
        <w:rPr>
          <w:rFonts w:cs="Arial"/>
        </w:rPr>
        <w:t>diversity</w:t>
      </w:r>
    </w:p>
    <w:p w:rsidR="00282E35" w:rsidRPr="00783E35" w:rsidRDefault="00282E35" w:rsidP="008921BF">
      <w:pPr>
        <w:pStyle w:val="ListParagraph"/>
        <w:numPr>
          <w:ilvl w:val="0"/>
          <w:numId w:val="102"/>
        </w:numPr>
        <w:spacing w:after="0"/>
        <w:jc w:val="both"/>
        <w:rPr>
          <w:rFonts w:cs="Arial"/>
        </w:rPr>
      </w:pPr>
      <w:r w:rsidRPr="00783E35">
        <w:rPr>
          <w:rFonts w:cs="Arial"/>
        </w:rPr>
        <w:t xml:space="preserve">Increase the </w:t>
      </w:r>
      <w:r>
        <w:rPr>
          <w:rFonts w:cs="Arial"/>
        </w:rPr>
        <w:t>percentage</w:t>
      </w:r>
      <w:r w:rsidRPr="00783E35">
        <w:rPr>
          <w:rFonts w:cs="Arial"/>
        </w:rPr>
        <w:t xml:space="preserve"> of needs met/successful interventions in family support work and ensure plans are purposeful and interventions are focused</w:t>
      </w:r>
      <w:r w:rsidR="005C0290">
        <w:rPr>
          <w:rFonts w:cs="Arial"/>
        </w:rPr>
        <w:t>.</w:t>
      </w:r>
    </w:p>
    <w:p w:rsidR="00282E35" w:rsidRPr="005B40CD" w:rsidRDefault="00702B67" w:rsidP="008921BF">
      <w:pPr>
        <w:pStyle w:val="ListParagraph"/>
        <w:numPr>
          <w:ilvl w:val="0"/>
          <w:numId w:val="102"/>
        </w:numPr>
        <w:spacing w:after="0"/>
        <w:jc w:val="both"/>
        <w:rPr>
          <w:rFonts w:cs="Arial"/>
        </w:rPr>
      </w:pPr>
      <w:r>
        <w:rPr>
          <w:rFonts w:cs="Arial"/>
        </w:rPr>
        <w:t>Improve the</w:t>
      </w:r>
      <w:r w:rsidR="00282E35" w:rsidRPr="005B40CD">
        <w:rPr>
          <w:rFonts w:cs="Arial"/>
        </w:rPr>
        <w:t xml:space="preserve"> quality assurance </w:t>
      </w:r>
      <w:r w:rsidR="00DD3A76" w:rsidRPr="005B40CD">
        <w:rPr>
          <w:rFonts w:cs="Arial"/>
        </w:rPr>
        <w:t>processes from</w:t>
      </w:r>
      <w:r w:rsidR="00282E35" w:rsidRPr="005B40CD">
        <w:rPr>
          <w:rFonts w:cs="Arial"/>
        </w:rPr>
        <w:t xml:space="preserve"> ‘good’ to ‘best in class’, by drawing on best practice in other </w:t>
      </w:r>
      <w:r w:rsidR="00282E35">
        <w:rPr>
          <w:rFonts w:cs="Arial"/>
        </w:rPr>
        <w:t>Borough</w:t>
      </w:r>
      <w:r w:rsidR="00282E35" w:rsidRPr="005B40CD">
        <w:rPr>
          <w:rFonts w:cs="Arial"/>
        </w:rPr>
        <w:t>s</w:t>
      </w:r>
      <w:r w:rsidR="005C0290">
        <w:rPr>
          <w:rFonts w:cs="Arial"/>
        </w:rPr>
        <w:t>.</w:t>
      </w:r>
      <w:r w:rsidR="00282E35" w:rsidRPr="005B40CD">
        <w:rPr>
          <w:rFonts w:cs="Arial"/>
        </w:rPr>
        <w:t xml:space="preserve"> </w:t>
      </w:r>
    </w:p>
    <w:p w:rsidR="00282E35" w:rsidRPr="00BC6093" w:rsidRDefault="00282E35" w:rsidP="00282E35">
      <w:pPr>
        <w:pStyle w:val="Heading3"/>
        <w:keepNext w:val="0"/>
        <w:keepLines w:val="0"/>
        <w:spacing w:line="271" w:lineRule="auto"/>
        <w:jc w:val="both"/>
      </w:pPr>
      <w:r w:rsidRPr="00BC6093">
        <w:t>Multi-Agency Safeguarding Hub</w:t>
      </w:r>
    </w:p>
    <w:p w:rsidR="00282E35" w:rsidRDefault="00282E35" w:rsidP="00282E35">
      <w:pPr>
        <w:jc w:val="both"/>
      </w:pPr>
      <w:r w:rsidRPr="00BC6093">
        <w:t>All agencies or individuals contacting Family Services with information, concerns or a query about a child or family are received through the Multi-Agency Safeguarding Hub (MASH). A number of these contacts will meet the thresh</w:t>
      </w:r>
      <w:r>
        <w:t xml:space="preserve">old for a social care referral. </w:t>
      </w:r>
      <w:r w:rsidRPr="00BC6093">
        <w:t>In Barnet, contacts received into the MASH consistently exceed</w:t>
      </w:r>
      <w:r>
        <w:t xml:space="preserve"> </w:t>
      </w:r>
      <w:r w:rsidRPr="00BC6093">
        <w:t xml:space="preserve">3,000 per quarter. Contact rates nationally and across London have been increasing since 2013.  </w:t>
      </w:r>
    </w:p>
    <w:p w:rsidR="00282E35" w:rsidRPr="0085713D" w:rsidRDefault="002D4909" w:rsidP="00282E35">
      <w:pPr>
        <w:pStyle w:val="Heading3"/>
      </w:pPr>
      <w:r>
        <w:t>Children S</w:t>
      </w:r>
      <w:r w:rsidR="00282E35" w:rsidRPr="0085713D">
        <w:t>upported by Social Care - Children in Need (CIN)</w:t>
      </w:r>
    </w:p>
    <w:p w:rsidR="00282E35" w:rsidRPr="00BC6093" w:rsidRDefault="00282E35" w:rsidP="00282E35">
      <w:pPr>
        <w:spacing w:after="0"/>
        <w:jc w:val="both"/>
        <w:rPr>
          <w:rFonts w:cs="Arial"/>
        </w:rPr>
      </w:pPr>
      <w:r w:rsidRPr="00BC6093">
        <w:rPr>
          <w:rFonts w:cs="Arial"/>
        </w:rPr>
        <w:t>Children in Need are assessed as in need of support under Section 17 of the Children Act 1989, and due to challenging family situations or other forms of disadvantage are entitled to a range and level of services appropriate to their needs.</w:t>
      </w:r>
    </w:p>
    <w:p w:rsidR="00282E35" w:rsidRPr="00BC6093" w:rsidRDefault="00282E35" w:rsidP="00282E35">
      <w:pPr>
        <w:pStyle w:val="NoSpacing"/>
        <w:jc w:val="both"/>
      </w:pPr>
    </w:p>
    <w:p w:rsidR="00282E35" w:rsidRDefault="00282E35" w:rsidP="00282E35">
      <w:pPr>
        <w:jc w:val="both"/>
      </w:pPr>
      <w:r w:rsidRPr="00BC6093">
        <w:t xml:space="preserve">Barnet’s Children in Need numbers saw a marked increase in 2010/11, but have remained consistently stable for the past 5 years. The graph below shows the Children in Need rate per 10,000 children. </w:t>
      </w:r>
    </w:p>
    <w:p w:rsidR="00282E35" w:rsidRPr="00200E28" w:rsidRDefault="00282E35" w:rsidP="00282E35">
      <w:pPr>
        <w:pStyle w:val="Caption"/>
      </w:pPr>
      <w:r>
        <w:t xml:space="preserve">Figure </w:t>
      </w:r>
      <w:fldSimple w:instr=" STYLEREF 1 \s ">
        <w:r w:rsidR="001663C2">
          <w:rPr>
            <w:noProof/>
          </w:rPr>
          <w:t>8</w:t>
        </w:r>
      </w:fldSimple>
      <w:r w:rsidR="00943DC2">
        <w:noBreakHyphen/>
      </w:r>
      <w:fldSimple w:instr=" SEQ Figure \* ARABIC \s 1 ">
        <w:r w:rsidR="001663C2">
          <w:rPr>
            <w:noProof/>
          </w:rPr>
          <w:t>7</w:t>
        </w:r>
      </w:fldSimple>
      <w:r>
        <w:rPr>
          <w:noProof/>
          <w:lang w:eastAsia="en-GB"/>
        </w:rPr>
        <w:drawing>
          <wp:anchor distT="0" distB="0" distL="114300" distR="114300" simplePos="0" relativeHeight="251815936" behindDoc="1" locked="0" layoutInCell="1" allowOverlap="1" wp14:anchorId="4DA76F90" wp14:editId="2B6FC294">
            <wp:simplePos x="0" y="0"/>
            <wp:positionH relativeFrom="column">
              <wp:posOffset>177800</wp:posOffset>
            </wp:positionH>
            <wp:positionV relativeFrom="paragraph">
              <wp:posOffset>212090</wp:posOffset>
            </wp:positionV>
            <wp:extent cx="5497830" cy="1994535"/>
            <wp:effectExtent l="0" t="0" r="26670" b="24765"/>
            <wp:wrapTight wrapText="bothSides">
              <wp:wrapPolygon edited="0">
                <wp:start x="0" y="0"/>
                <wp:lineTo x="0" y="21662"/>
                <wp:lineTo x="21630" y="21662"/>
                <wp:lineTo x="21630" y="0"/>
                <wp:lineTo x="0" y="0"/>
              </wp:wrapPolygon>
            </wp:wrapTight>
            <wp:docPr id="98" name="Chart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14:sizeRelH relativeFrom="page">
              <wp14:pctWidth>0</wp14:pctWidth>
            </wp14:sizeRelH>
            <wp14:sizeRelV relativeFrom="page">
              <wp14:pctHeight>0</wp14:pctHeight>
            </wp14:sizeRelV>
          </wp:anchor>
        </w:drawing>
      </w:r>
      <w:r w:rsidRPr="00933638">
        <w:rPr>
          <w:b w:val="0"/>
          <w:i/>
        </w:rPr>
        <w:t>:</w:t>
      </w:r>
      <w:r w:rsidR="00CD1E0A">
        <w:rPr>
          <w:b w:val="0"/>
          <w:i/>
        </w:rPr>
        <w:t xml:space="preserve"> </w:t>
      </w:r>
      <w:r w:rsidR="00CD1E0A" w:rsidRPr="00CD1E0A">
        <w:t>Children in Need</w:t>
      </w:r>
      <w:r w:rsidRPr="00933638">
        <w:rPr>
          <w:b w:val="0"/>
          <w:i/>
        </w:rPr>
        <w:t xml:space="preserve"> </w:t>
      </w:r>
      <w:r w:rsidRPr="00200E28">
        <w:t xml:space="preserve">Rates per 10,000 of Referrals to Children’s Social Care </w:t>
      </w:r>
    </w:p>
    <w:p w:rsidR="00282E35" w:rsidRPr="00200E28" w:rsidRDefault="00282E35" w:rsidP="00282E35">
      <w:pPr>
        <w:spacing w:after="0" w:line="240" w:lineRule="auto"/>
      </w:pPr>
      <w:r w:rsidRPr="00200E28">
        <w:t>Source: L</w:t>
      </w:r>
      <w:r w:rsidR="00404154">
        <w:t>ocal Authority Interactive Tool</w:t>
      </w:r>
    </w:p>
    <w:p w:rsidR="00282E35" w:rsidRDefault="00282E35" w:rsidP="00282E35">
      <w:pPr>
        <w:spacing w:after="0" w:line="240" w:lineRule="auto"/>
      </w:pPr>
    </w:p>
    <w:p w:rsidR="00282E35" w:rsidRDefault="00282E35" w:rsidP="00EE4904">
      <w:pPr>
        <w:spacing w:after="0" w:line="240" w:lineRule="auto"/>
        <w:jc w:val="both"/>
      </w:pPr>
      <w:r w:rsidRPr="00BC6093">
        <w:lastRenderedPageBreak/>
        <w:t>Since 2009, Barnet’s rate of Children in Need, when compared to London, England and its Statistical Neighbours, has remained low</w:t>
      </w:r>
      <w:r>
        <w:t>. The trend for London, England and statistica</w:t>
      </w:r>
      <w:r w:rsidR="00CA0069">
        <w:t>l neighbours has shown increased</w:t>
      </w:r>
      <w:r>
        <w:t xml:space="preserve"> rates.</w:t>
      </w:r>
      <w:r w:rsidRPr="00BC6093">
        <w:t xml:space="preserve"> </w:t>
      </w:r>
    </w:p>
    <w:p w:rsidR="00282E35" w:rsidRDefault="00282E35" w:rsidP="00EE4904">
      <w:pPr>
        <w:spacing w:after="0" w:line="240" w:lineRule="auto"/>
        <w:jc w:val="both"/>
      </w:pPr>
    </w:p>
    <w:p w:rsidR="00282E35" w:rsidRDefault="00282E35" w:rsidP="00EE4904">
      <w:pPr>
        <w:jc w:val="both"/>
      </w:pPr>
      <w:r w:rsidRPr="00191A85">
        <w:t xml:space="preserve">Children aged </w:t>
      </w:r>
      <w:r>
        <w:t>between 5</w:t>
      </w:r>
      <w:r w:rsidRPr="00191A85">
        <w:t xml:space="preserve"> - 9 and 10 - 15 are the largest age group</w:t>
      </w:r>
      <w:r>
        <w:t xml:space="preserve"> within this population, each making up 29%</w:t>
      </w:r>
      <w:r w:rsidR="00CA0069">
        <w:t xml:space="preserve"> of the total population</w:t>
      </w:r>
      <w:r w:rsidRPr="00191A85">
        <w:t xml:space="preserve">. </w:t>
      </w:r>
      <w:r>
        <w:t xml:space="preserve">This is closely </w:t>
      </w:r>
      <w:r w:rsidRPr="00191A85">
        <w:t>followed by 1 - 4 years, who make up 25%</w:t>
      </w:r>
      <w:r>
        <w:t>. Overall, the age of Barnet’s Children in N</w:t>
      </w:r>
      <w:r w:rsidRPr="00191A85">
        <w:t xml:space="preserve">eed is skewed towards younger age bands. </w:t>
      </w:r>
    </w:p>
    <w:p w:rsidR="00282E35" w:rsidRDefault="00282E35" w:rsidP="00EE4904">
      <w:pPr>
        <w:jc w:val="both"/>
      </w:pPr>
      <w:r>
        <w:t>The figure below shows the number of referrals b</w:t>
      </w:r>
      <w:r w:rsidR="00CA0069">
        <w:t>y referral source for the</w:t>
      </w:r>
      <w:r>
        <w:t xml:space="preserve"> quarter </w:t>
      </w:r>
      <w:r w:rsidR="00CA0069">
        <w:t xml:space="preserve">1 </w:t>
      </w:r>
      <w:r>
        <w:t>April –</w:t>
      </w:r>
      <w:r w:rsidR="00CA0069">
        <w:t xml:space="preserve"> 30</w:t>
      </w:r>
      <w:r>
        <w:t xml:space="preserve"> June 2015.</w:t>
      </w:r>
    </w:p>
    <w:p w:rsidR="00282E35" w:rsidRDefault="00282E35" w:rsidP="00282E35">
      <w:pPr>
        <w:pStyle w:val="Caption"/>
      </w:pPr>
      <w:r>
        <w:t xml:space="preserve">Figure </w:t>
      </w:r>
      <w:fldSimple w:instr=" STYLEREF 1 \s ">
        <w:r w:rsidR="001663C2">
          <w:rPr>
            <w:noProof/>
          </w:rPr>
          <w:t>8</w:t>
        </w:r>
      </w:fldSimple>
      <w:r w:rsidR="00943DC2">
        <w:noBreakHyphen/>
      </w:r>
      <w:fldSimple w:instr=" SEQ Figure \* ARABIC \s 1 ">
        <w:r w:rsidR="001663C2">
          <w:rPr>
            <w:noProof/>
          </w:rPr>
          <w:t>8</w:t>
        </w:r>
      </w:fldSimple>
      <w:r w:rsidR="00404154">
        <w:t>: Referrals by referral s</w:t>
      </w:r>
      <w:r>
        <w:t>ource, April-June 2015</w:t>
      </w:r>
    </w:p>
    <w:p w:rsidR="00282E35" w:rsidRPr="00D5084B" w:rsidRDefault="00282E35" w:rsidP="00282E35">
      <w:pPr>
        <w:rPr>
          <w:b/>
          <w:i/>
        </w:rPr>
      </w:pPr>
      <w:r>
        <w:rPr>
          <w:noProof/>
          <w:lang w:eastAsia="en-GB"/>
        </w:rPr>
        <w:drawing>
          <wp:inline distT="0" distB="0" distL="0" distR="0" wp14:anchorId="79886461" wp14:editId="007FDB6C">
            <wp:extent cx="5937662" cy="4678878"/>
            <wp:effectExtent l="0" t="0" r="25400" b="26670"/>
            <wp:docPr id="99" name="Chart 9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p>
    <w:p w:rsidR="00282E35" w:rsidRPr="00282E35" w:rsidRDefault="00282E35" w:rsidP="00282E35">
      <w:pPr>
        <w:pStyle w:val="NoSpacing"/>
        <w:jc w:val="both"/>
        <w:rPr>
          <w:sz w:val="22"/>
          <w:szCs w:val="22"/>
        </w:rPr>
      </w:pPr>
      <w:r w:rsidRPr="00282E35">
        <w:rPr>
          <w:sz w:val="22"/>
          <w:szCs w:val="22"/>
        </w:rPr>
        <w:t>There are currently (June 2015) 455 service users aged 0-25</w:t>
      </w:r>
      <w:r w:rsidRPr="00282E35">
        <w:rPr>
          <w:rStyle w:val="FootnoteReference"/>
          <w:sz w:val="22"/>
          <w:szCs w:val="22"/>
        </w:rPr>
        <w:footnoteReference w:id="127"/>
      </w:r>
      <w:r w:rsidRPr="00282E35">
        <w:rPr>
          <w:sz w:val="22"/>
          <w:szCs w:val="22"/>
        </w:rPr>
        <w:t xml:space="preserve"> who have noted a Disability as an Active Category of Need. </w:t>
      </w:r>
    </w:p>
    <w:p w:rsidR="00282E35" w:rsidRDefault="00282E35" w:rsidP="00282E35">
      <w:pPr>
        <w:pStyle w:val="NoSpacing"/>
      </w:pPr>
    </w:p>
    <w:p w:rsidR="00282E35" w:rsidRDefault="00282E35" w:rsidP="00282E35">
      <w:pPr>
        <w:pStyle w:val="NoSpacing"/>
      </w:pPr>
    </w:p>
    <w:p w:rsidR="00282E35" w:rsidRDefault="00282E35" w:rsidP="00282E35">
      <w:pPr>
        <w:pStyle w:val="NoSpacing"/>
      </w:pPr>
    </w:p>
    <w:p w:rsidR="00282E35" w:rsidRDefault="00282E35" w:rsidP="00282E35">
      <w:pPr>
        <w:pStyle w:val="NoSpacing"/>
      </w:pPr>
    </w:p>
    <w:p w:rsidR="00282E35" w:rsidRDefault="00282E35" w:rsidP="00282E35">
      <w:pPr>
        <w:pStyle w:val="NoSpacing"/>
      </w:pPr>
    </w:p>
    <w:p w:rsidR="00282E35" w:rsidRDefault="00282E35" w:rsidP="00282E35">
      <w:pPr>
        <w:pStyle w:val="NoSpacing"/>
      </w:pPr>
    </w:p>
    <w:p w:rsidR="00282E35" w:rsidRPr="00B43D82" w:rsidRDefault="00282E35" w:rsidP="00282E35">
      <w:pPr>
        <w:pStyle w:val="Caption"/>
      </w:pPr>
      <w:r>
        <w:lastRenderedPageBreak/>
        <w:t xml:space="preserve">Figure </w:t>
      </w:r>
      <w:fldSimple w:instr=" STYLEREF 1 \s ">
        <w:r w:rsidR="001663C2">
          <w:rPr>
            <w:noProof/>
          </w:rPr>
          <w:t>8</w:t>
        </w:r>
      </w:fldSimple>
      <w:r w:rsidR="00943DC2">
        <w:noBreakHyphen/>
      </w:r>
      <w:fldSimple w:instr=" SEQ Figure \* ARABIC \s 1 ">
        <w:r w:rsidR="001663C2">
          <w:rPr>
            <w:noProof/>
          </w:rPr>
          <w:t>9</w:t>
        </w:r>
      </w:fldSimple>
      <w:r>
        <w:t xml:space="preserve">: </w:t>
      </w:r>
      <w:r w:rsidRPr="00B43D82">
        <w:rPr>
          <w:lang w:val="en-US"/>
        </w:rPr>
        <w:t>CWD - Nature of Disability aged 0-25</w:t>
      </w:r>
    </w:p>
    <w:p w:rsidR="00282E35" w:rsidRDefault="00282E35" w:rsidP="00282E35">
      <w:pPr>
        <w:pStyle w:val="NoSpacing"/>
      </w:pPr>
      <w:r>
        <w:rPr>
          <w:noProof/>
          <w:lang w:eastAsia="en-GB"/>
        </w:rPr>
        <w:drawing>
          <wp:inline distT="0" distB="0" distL="0" distR="0" wp14:anchorId="44116D37" wp14:editId="6B97AC8C">
            <wp:extent cx="6000750" cy="3009900"/>
            <wp:effectExtent l="0" t="0" r="19050" b="19050"/>
            <wp:docPr id="100" name="Chart 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p>
    <w:p w:rsidR="00282E35" w:rsidRDefault="00282E35" w:rsidP="00282E35">
      <w:pPr>
        <w:pStyle w:val="NoSpacing"/>
      </w:pPr>
      <w:r>
        <w:t>Source</w:t>
      </w:r>
      <w:r w:rsidR="00BD695A">
        <w:t>:</w:t>
      </w:r>
      <w:r>
        <w:t xml:space="preserve"> ICS June 2015</w:t>
      </w:r>
    </w:p>
    <w:p w:rsidR="00282E35" w:rsidRDefault="00282E35" w:rsidP="00282E35">
      <w:pPr>
        <w:pStyle w:val="NoSpacing"/>
      </w:pPr>
    </w:p>
    <w:p w:rsidR="00282E35" w:rsidRPr="00282E35" w:rsidRDefault="00282E35" w:rsidP="00282E35">
      <w:pPr>
        <w:pStyle w:val="NoSpacing"/>
        <w:jc w:val="both"/>
        <w:rPr>
          <w:sz w:val="22"/>
          <w:szCs w:val="22"/>
        </w:rPr>
      </w:pPr>
      <w:r w:rsidRPr="00282E35">
        <w:rPr>
          <w:sz w:val="22"/>
          <w:szCs w:val="22"/>
        </w:rPr>
        <w:t>Of those Children in Need with</w:t>
      </w:r>
      <w:r w:rsidR="00BD695A">
        <w:rPr>
          <w:sz w:val="22"/>
          <w:szCs w:val="22"/>
        </w:rPr>
        <w:t xml:space="preserve"> a</w:t>
      </w:r>
      <w:r w:rsidRPr="00282E35">
        <w:rPr>
          <w:sz w:val="22"/>
          <w:szCs w:val="22"/>
        </w:rPr>
        <w:t xml:space="preserve"> disability, the highest percentage had</w:t>
      </w:r>
      <w:r w:rsidR="00BD695A">
        <w:rPr>
          <w:sz w:val="22"/>
          <w:szCs w:val="22"/>
        </w:rPr>
        <w:t xml:space="preserve"> a learning disability (25%) or</w:t>
      </w:r>
      <w:r w:rsidR="004C1136">
        <w:rPr>
          <w:sz w:val="22"/>
          <w:szCs w:val="22"/>
        </w:rPr>
        <w:t xml:space="preserve"> a</w:t>
      </w:r>
      <w:r w:rsidRPr="00282E35">
        <w:rPr>
          <w:sz w:val="22"/>
          <w:szCs w:val="22"/>
        </w:rPr>
        <w:t>utism (25%)</w:t>
      </w:r>
      <w:r w:rsidR="00BD695A">
        <w:rPr>
          <w:sz w:val="22"/>
          <w:szCs w:val="22"/>
        </w:rPr>
        <w:t>.</w:t>
      </w:r>
    </w:p>
    <w:p w:rsidR="00282E35" w:rsidRPr="001F18DE" w:rsidRDefault="002D4909" w:rsidP="00282E35">
      <w:pPr>
        <w:pStyle w:val="Heading3"/>
        <w:keepNext w:val="0"/>
        <w:keepLines w:val="0"/>
        <w:spacing w:line="271" w:lineRule="auto"/>
      </w:pPr>
      <w:r>
        <w:t>Children Supported by S</w:t>
      </w:r>
      <w:r w:rsidR="00282E35">
        <w:t xml:space="preserve">ocial </w:t>
      </w:r>
      <w:r>
        <w:t>C</w:t>
      </w:r>
      <w:r w:rsidR="00282E35">
        <w:t>are - Children</w:t>
      </w:r>
      <w:r>
        <w:t xml:space="preserve"> S</w:t>
      </w:r>
      <w:r w:rsidR="00282E35" w:rsidRPr="001F18DE">
        <w:t xml:space="preserve">ubject to a </w:t>
      </w:r>
      <w:r w:rsidR="00282E35">
        <w:t>C</w:t>
      </w:r>
      <w:r w:rsidR="00282E35" w:rsidRPr="001F18DE">
        <w:t>hild Protection Plan</w:t>
      </w:r>
    </w:p>
    <w:p w:rsidR="00282E35" w:rsidRPr="00282E35" w:rsidRDefault="00282E35" w:rsidP="00282E35">
      <w:pPr>
        <w:pStyle w:val="NoSpacing"/>
        <w:jc w:val="both"/>
        <w:rPr>
          <w:sz w:val="22"/>
          <w:szCs w:val="22"/>
        </w:rPr>
      </w:pPr>
      <w:r w:rsidRPr="00282E35">
        <w:rPr>
          <w:sz w:val="22"/>
          <w:szCs w:val="22"/>
        </w:rPr>
        <w:t>A child at risk may be subject to a Child Protection Plan, which is intended to keep the child safe, promote their welfare and support their wider family to care for them. As of February 2015, 234 children in Barnet were subject to a Child Protection Plan. The largest category of abuse is shown to be neglect, at 47%, followed by emotional abuse (30%), physical abuse (19%), and sexual abuse (4%). Neglect has risen at a slightly higher rate than ot</w:t>
      </w:r>
      <w:r w:rsidR="00EE4904">
        <w:rPr>
          <w:sz w:val="22"/>
          <w:szCs w:val="22"/>
        </w:rPr>
        <w:t>her categories in recent years.</w:t>
      </w:r>
    </w:p>
    <w:p w:rsidR="00282E35" w:rsidRDefault="00282E35" w:rsidP="00282E35">
      <w:pPr>
        <w:spacing w:after="0" w:line="240" w:lineRule="auto"/>
        <w:rPr>
          <w:rFonts w:cs="Arial"/>
        </w:rPr>
      </w:pPr>
    </w:p>
    <w:p w:rsidR="00282E35" w:rsidRDefault="00282E35" w:rsidP="00282E35">
      <w:pPr>
        <w:spacing w:after="0" w:line="240" w:lineRule="auto"/>
        <w:jc w:val="both"/>
        <w:rPr>
          <w:rFonts w:cs="Arial"/>
        </w:rPr>
      </w:pPr>
      <w:r>
        <w:rPr>
          <w:rFonts w:cs="Arial"/>
        </w:rPr>
        <w:t xml:space="preserve">The table below illustrates that the number of children subject to a Child Protection Plan has increased since 2009, with a peak in 2012. </w:t>
      </w:r>
    </w:p>
    <w:p w:rsidR="00282E35" w:rsidRDefault="00282E35" w:rsidP="00282E35">
      <w:pPr>
        <w:spacing w:after="0" w:line="240" w:lineRule="auto"/>
        <w:rPr>
          <w:rFonts w:cs="Arial"/>
        </w:rPr>
      </w:pPr>
    </w:p>
    <w:p w:rsidR="00282E35" w:rsidRDefault="00282E35" w:rsidP="00282E35">
      <w:pPr>
        <w:pStyle w:val="Caption"/>
        <w:rPr>
          <w:b w:val="0"/>
          <w:i/>
          <w:iCs/>
        </w:rPr>
      </w:pPr>
      <w:r>
        <w:t xml:space="preserve">Table </w:t>
      </w:r>
      <w:fldSimple w:instr=" STYLEREF 1 \s ">
        <w:r w:rsidR="001663C2">
          <w:rPr>
            <w:noProof/>
          </w:rPr>
          <w:t>8</w:t>
        </w:r>
      </w:fldSimple>
      <w:r>
        <w:noBreakHyphen/>
      </w:r>
      <w:fldSimple w:instr=" SEQ Table \* ARABIC \s 1 ">
        <w:r w:rsidR="001663C2">
          <w:rPr>
            <w:noProof/>
          </w:rPr>
          <w:t>10</w:t>
        </w:r>
      </w:fldSimple>
      <w:r>
        <w:t xml:space="preserve">: </w:t>
      </w:r>
      <w:r w:rsidRPr="00B60632">
        <w:rPr>
          <w:iCs/>
        </w:rPr>
        <w:t>Number of Children subject to a Child Protection Plan</w:t>
      </w:r>
    </w:p>
    <w:tbl>
      <w:tblPr>
        <w:tblpPr w:leftFromText="180" w:rightFromText="180" w:vertAnchor="text" w:horzAnchor="margin" w:tblpXSpec="center" w:tblpY="13"/>
        <w:tblW w:w="8472" w:type="dxa"/>
        <w:tblCellMar>
          <w:left w:w="0" w:type="dxa"/>
          <w:right w:w="0" w:type="dxa"/>
        </w:tblCellMar>
        <w:tblLook w:val="04A0" w:firstRow="1" w:lastRow="0" w:firstColumn="1" w:lastColumn="0" w:noHBand="0" w:noVBand="1"/>
      </w:tblPr>
      <w:tblGrid>
        <w:gridCol w:w="2695"/>
        <w:gridCol w:w="622"/>
        <w:gridCol w:w="653"/>
        <w:gridCol w:w="622"/>
        <w:gridCol w:w="709"/>
        <w:gridCol w:w="709"/>
        <w:gridCol w:w="709"/>
        <w:gridCol w:w="1753"/>
      </w:tblGrid>
      <w:tr w:rsidR="00282E35" w:rsidRPr="00DE7DF1" w:rsidTr="002D4909">
        <w:trPr>
          <w:trHeight w:val="315"/>
        </w:trPr>
        <w:tc>
          <w:tcPr>
            <w:tcW w:w="2695" w:type="dxa"/>
            <w:tcBorders>
              <w:top w:val="single" w:sz="8" w:space="0" w:color="auto"/>
              <w:left w:val="single" w:sz="8" w:space="0" w:color="auto"/>
              <w:bottom w:val="single" w:sz="8" w:space="0" w:color="auto"/>
              <w:right w:val="single" w:sz="8" w:space="0" w:color="auto"/>
            </w:tcBorders>
            <w:shd w:val="clear" w:color="auto" w:fill="BFBFBF"/>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b/>
                <w:bCs/>
                <w:color w:val="000000"/>
                <w:sz w:val="20"/>
                <w:szCs w:val="20"/>
                <w:lang w:eastAsia="en-GB"/>
              </w:rPr>
            </w:pPr>
            <w:r w:rsidRPr="00DE7DF1">
              <w:rPr>
                <w:rFonts w:ascii="Calibri" w:eastAsia="Calibri" w:hAnsi="Calibri" w:cs="Times New Roman"/>
                <w:b/>
                <w:bCs/>
                <w:color w:val="000000"/>
                <w:sz w:val="20"/>
                <w:szCs w:val="20"/>
                <w:lang w:val="en-US" w:eastAsia="en-GB"/>
              </w:rPr>
              <w:t>Year</w:t>
            </w:r>
          </w:p>
        </w:tc>
        <w:tc>
          <w:tcPr>
            <w:tcW w:w="622" w:type="dxa"/>
            <w:tcBorders>
              <w:top w:val="single" w:sz="8" w:space="0" w:color="auto"/>
              <w:left w:val="nil"/>
              <w:bottom w:val="single" w:sz="8" w:space="0" w:color="auto"/>
              <w:right w:val="single" w:sz="8" w:space="0" w:color="auto"/>
            </w:tcBorders>
            <w:shd w:val="clear" w:color="auto" w:fill="BFBFBF"/>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b/>
                <w:bCs/>
                <w:color w:val="000000"/>
                <w:sz w:val="20"/>
                <w:szCs w:val="20"/>
                <w:lang w:eastAsia="en-GB"/>
              </w:rPr>
            </w:pPr>
            <w:r w:rsidRPr="00DE7DF1">
              <w:rPr>
                <w:rFonts w:ascii="Calibri" w:eastAsia="Calibri" w:hAnsi="Calibri" w:cs="Times New Roman"/>
                <w:b/>
                <w:bCs/>
                <w:color w:val="000000"/>
                <w:sz w:val="20"/>
                <w:szCs w:val="20"/>
                <w:lang w:val="en-US" w:eastAsia="en-GB"/>
              </w:rPr>
              <w:t>2009</w:t>
            </w:r>
          </w:p>
        </w:tc>
        <w:tc>
          <w:tcPr>
            <w:tcW w:w="653" w:type="dxa"/>
            <w:tcBorders>
              <w:top w:val="single" w:sz="8" w:space="0" w:color="auto"/>
              <w:left w:val="nil"/>
              <w:bottom w:val="single" w:sz="8" w:space="0" w:color="auto"/>
              <w:right w:val="single" w:sz="8" w:space="0" w:color="auto"/>
            </w:tcBorders>
            <w:shd w:val="clear" w:color="auto" w:fill="BFBFBF"/>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b/>
                <w:bCs/>
                <w:color w:val="000000"/>
                <w:sz w:val="20"/>
                <w:szCs w:val="20"/>
                <w:lang w:eastAsia="en-GB"/>
              </w:rPr>
            </w:pPr>
            <w:r w:rsidRPr="00DE7DF1">
              <w:rPr>
                <w:rFonts w:ascii="Calibri" w:eastAsia="Calibri" w:hAnsi="Calibri" w:cs="Times New Roman"/>
                <w:b/>
                <w:bCs/>
                <w:color w:val="000000"/>
                <w:sz w:val="20"/>
                <w:szCs w:val="20"/>
                <w:lang w:val="en-US" w:eastAsia="en-GB"/>
              </w:rPr>
              <w:t>2010</w:t>
            </w:r>
          </w:p>
        </w:tc>
        <w:tc>
          <w:tcPr>
            <w:tcW w:w="622" w:type="dxa"/>
            <w:tcBorders>
              <w:top w:val="single" w:sz="8" w:space="0" w:color="auto"/>
              <w:left w:val="nil"/>
              <w:bottom w:val="single" w:sz="8" w:space="0" w:color="auto"/>
              <w:right w:val="single" w:sz="8" w:space="0" w:color="auto"/>
            </w:tcBorders>
            <w:shd w:val="clear" w:color="auto" w:fill="BFBFBF"/>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b/>
                <w:bCs/>
                <w:color w:val="000000"/>
                <w:sz w:val="20"/>
                <w:szCs w:val="20"/>
                <w:lang w:eastAsia="en-GB"/>
              </w:rPr>
            </w:pPr>
            <w:r w:rsidRPr="00DE7DF1">
              <w:rPr>
                <w:rFonts w:ascii="Calibri" w:eastAsia="Calibri" w:hAnsi="Calibri" w:cs="Times New Roman"/>
                <w:b/>
                <w:bCs/>
                <w:color w:val="000000"/>
                <w:sz w:val="20"/>
                <w:szCs w:val="20"/>
                <w:lang w:val="en-US" w:eastAsia="en-GB"/>
              </w:rPr>
              <w:t>2011</w:t>
            </w:r>
          </w:p>
        </w:tc>
        <w:tc>
          <w:tcPr>
            <w:tcW w:w="709" w:type="dxa"/>
            <w:tcBorders>
              <w:top w:val="single" w:sz="8" w:space="0" w:color="auto"/>
              <w:left w:val="nil"/>
              <w:bottom w:val="single" w:sz="8" w:space="0" w:color="auto"/>
              <w:right w:val="single" w:sz="8" w:space="0" w:color="auto"/>
            </w:tcBorders>
            <w:shd w:val="clear" w:color="auto" w:fill="BFBFBF"/>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b/>
                <w:bCs/>
                <w:color w:val="000000"/>
                <w:sz w:val="20"/>
                <w:szCs w:val="20"/>
                <w:lang w:eastAsia="en-GB"/>
              </w:rPr>
            </w:pPr>
            <w:r w:rsidRPr="00DE7DF1">
              <w:rPr>
                <w:rFonts w:ascii="Calibri" w:eastAsia="Calibri" w:hAnsi="Calibri" w:cs="Times New Roman"/>
                <w:b/>
                <w:bCs/>
                <w:color w:val="000000"/>
                <w:sz w:val="20"/>
                <w:szCs w:val="20"/>
                <w:lang w:val="en-US" w:eastAsia="en-GB"/>
              </w:rPr>
              <w:t>2012</w:t>
            </w:r>
          </w:p>
        </w:tc>
        <w:tc>
          <w:tcPr>
            <w:tcW w:w="709" w:type="dxa"/>
            <w:tcBorders>
              <w:top w:val="single" w:sz="8" w:space="0" w:color="auto"/>
              <w:left w:val="nil"/>
              <w:bottom w:val="single" w:sz="8" w:space="0" w:color="auto"/>
              <w:right w:val="single" w:sz="8" w:space="0" w:color="auto"/>
            </w:tcBorders>
            <w:shd w:val="clear" w:color="auto" w:fill="BFBFBF"/>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b/>
                <w:bCs/>
                <w:color w:val="000000"/>
                <w:sz w:val="20"/>
                <w:szCs w:val="20"/>
                <w:lang w:eastAsia="en-GB"/>
              </w:rPr>
            </w:pPr>
            <w:r w:rsidRPr="00DE7DF1">
              <w:rPr>
                <w:rFonts w:ascii="Calibri" w:eastAsia="Calibri" w:hAnsi="Calibri" w:cs="Times New Roman"/>
                <w:b/>
                <w:bCs/>
                <w:color w:val="000000"/>
                <w:sz w:val="20"/>
                <w:szCs w:val="20"/>
                <w:lang w:val="en-US" w:eastAsia="en-GB"/>
              </w:rPr>
              <w:t>2013</w:t>
            </w:r>
          </w:p>
        </w:tc>
        <w:tc>
          <w:tcPr>
            <w:tcW w:w="709" w:type="dxa"/>
            <w:tcBorders>
              <w:top w:val="single" w:sz="8" w:space="0" w:color="auto"/>
              <w:left w:val="nil"/>
              <w:bottom w:val="single" w:sz="8" w:space="0" w:color="auto"/>
              <w:right w:val="single" w:sz="8" w:space="0" w:color="auto"/>
            </w:tcBorders>
            <w:shd w:val="clear" w:color="auto" w:fill="BFBFBF"/>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b/>
                <w:bCs/>
                <w:color w:val="000000"/>
                <w:sz w:val="20"/>
                <w:szCs w:val="20"/>
                <w:lang w:eastAsia="en-GB"/>
              </w:rPr>
            </w:pPr>
            <w:r w:rsidRPr="00DE7DF1">
              <w:rPr>
                <w:rFonts w:ascii="Calibri" w:eastAsia="Calibri" w:hAnsi="Calibri" w:cs="Times New Roman"/>
                <w:b/>
                <w:bCs/>
                <w:color w:val="000000"/>
                <w:sz w:val="20"/>
                <w:szCs w:val="20"/>
                <w:lang w:val="en-US" w:eastAsia="en-GB"/>
              </w:rPr>
              <w:t>2014</w:t>
            </w:r>
          </w:p>
        </w:tc>
        <w:tc>
          <w:tcPr>
            <w:tcW w:w="1753" w:type="dxa"/>
            <w:tcBorders>
              <w:top w:val="single" w:sz="8" w:space="0" w:color="auto"/>
              <w:left w:val="nil"/>
              <w:bottom w:val="single" w:sz="8" w:space="0" w:color="auto"/>
              <w:right w:val="single" w:sz="8" w:space="0" w:color="auto"/>
            </w:tcBorders>
            <w:shd w:val="clear" w:color="auto" w:fill="BFBFBF"/>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b/>
                <w:bCs/>
                <w:color w:val="000000"/>
                <w:sz w:val="20"/>
                <w:szCs w:val="20"/>
                <w:lang w:eastAsia="en-GB"/>
              </w:rPr>
            </w:pPr>
            <w:r w:rsidRPr="00DE7DF1">
              <w:rPr>
                <w:rFonts w:ascii="Calibri" w:eastAsia="Calibri" w:hAnsi="Calibri" w:cs="Times New Roman"/>
                <w:b/>
                <w:bCs/>
                <w:color w:val="000000"/>
                <w:sz w:val="20"/>
                <w:szCs w:val="20"/>
                <w:lang w:val="en-US" w:eastAsia="en-GB"/>
              </w:rPr>
              <w:t>As at 28 February 2015</w:t>
            </w:r>
          </w:p>
        </w:tc>
      </w:tr>
      <w:tr w:rsidR="00282E35" w:rsidRPr="00DE7DF1" w:rsidTr="002D4909">
        <w:trPr>
          <w:trHeight w:val="428"/>
        </w:trPr>
        <w:tc>
          <w:tcPr>
            <w:tcW w:w="2695" w:type="dxa"/>
            <w:tcBorders>
              <w:top w:val="nil"/>
              <w:left w:val="single" w:sz="8" w:space="0" w:color="auto"/>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rPr>
                <w:rFonts w:ascii="Calibri" w:eastAsia="Calibri" w:hAnsi="Calibri" w:cs="Times New Roman"/>
                <w:color w:val="000000"/>
                <w:sz w:val="20"/>
                <w:szCs w:val="20"/>
                <w:lang w:eastAsia="en-GB"/>
              </w:rPr>
            </w:pPr>
            <w:r w:rsidRPr="00DE7DF1">
              <w:rPr>
                <w:rFonts w:ascii="Calibri" w:eastAsia="Calibri" w:hAnsi="Calibri" w:cs="Times New Roman"/>
                <w:color w:val="000000"/>
                <w:sz w:val="20"/>
                <w:szCs w:val="20"/>
                <w:lang w:val="en-US" w:eastAsia="en-GB"/>
              </w:rPr>
              <w:t>Number of Children Subject to a Child Protection Plan</w:t>
            </w:r>
          </w:p>
        </w:tc>
        <w:tc>
          <w:tcPr>
            <w:tcW w:w="622"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color w:val="000000"/>
                <w:sz w:val="20"/>
                <w:szCs w:val="20"/>
                <w:lang w:eastAsia="en-GB"/>
              </w:rPr>
            </w:pPr>
            <w:r w:rsidRPr="00DE7DF1">
              <w:rPr>
                <w:rFonts w:ascii="Calibri" w:eastAsia="Calibri" w:hAnsi="Calibri" w:cs="Times New Roman"/>
                <w:color w:val="000000"/>
                <w:sz w:val="20"/>
                <w:szCs w:val="20"/>
                <w:lang w:val="en-US" w:eastAsia="en-GB"/>
              </w:rPr>
              <w:t>152</w:t>
            </w:r>
          </w:p>
        </w:tc>
        <w:tc>
          <w:tcPr>
            <w:tcW w:w="6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color w:val="000000"/>
                <w:sz w:val="20"/>
                <w:szCs w:val="20"/>
                <w:lang w:eastAsia="en-GB"/>
              </w:rPr>
            </w:pPr>
            <w:r w:rsidRPr="00DE7DF1">
              <w:rPr>
                <w:rFonts w:ascii="Calibri" w:eastAsia="Calibri" w:hAnsi="Calibri" w:cs="Times New Roman"/>
                <w:color w:val="000000"/>
                <w:sz w:val="20"/>
                <w:szCs w:val="20"/>
                <w:lang w:val="en-US" w:eastAsia="en-GB"/>
              </w:rPr>
              <w:t>201</w:t>
            </w:r>
          </w:p>
        </w:tc>
        <w:tc>
          <w:tcPr>
            <w:tcW w:w="622"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color w:val="000000"/>
                <w:sz w:val="20"/>
                <w:szCs w:val="20"/>
                <w:lang w:eastAsia="en-GB"/>
              </w:rPr>
            </w:pPr>
            <w:r w:rsidRPr="00DE7DF1">
              <w:rPr>
                <w:rFonts w:ascii="Calibri" w:eastAsia="Calibri" w:hAnsi="Calibri" w:cs="Times New Roman"/>
                <w:color w:val="000000"/>
                <w:sz w:val="20"/>
                <w:szCs w:val="20"/>
                <w:lang w:val="en-US" w:eastAsia="en-GB"/>
              </w:rPr>
              <w:t>210</w:t>
            </w:r>
          </w:p>
        </w:tc>
        <w:tc>
          <w:tcPr>
            <w:tcW w:w="709"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color w:val="000000"/>
                <w:sz w:val="20"/>
                <w:szCs w:val="20"/>
                <w:lang w:eastAsia="en-GB"/>
              </w:rPr>
            </w:pPr>
            <w:r w:rsidRPr="00DE7DF1">
              <w:rPr>
                <w:rFonts w:ascii="Calibri" w:eastAsia="Calibri" w:hAnsi="Calibri" w:cs="Times New Roman"/>
                <w:color w:val="000000"/>
                <w:sz w:val="20"/>
                <w:szCs w:val="20"/>
                <w:lang w:val="en-US" w:eastAsia="en-GB"/>
              </w:rPr>
              <w:t>256</w:t>
            </w:r>
          </w:p>
        </w:tc>
        <w:tc>
          <w:tcPr>
            <w:tcW w:w="709"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color w:val="000000"/>
                <w:sz w:val="20"/>
                <w:szCs w:val="20"/>
                <w:lang w:eastAsia="en-GB"/>
              </w:rPr>
            </w:pPr>
            <w:r w:rsidRPr="00DE7DF1">
              <w:rPr>
                <w:rFonts w:ascii="Calibri" w:eastAsia="Calibri" w:hAnsi="Calibri" w:cs="Times New Roman"/>
                <w:color w:val="000000"/>
                <w:sz w:val="20"/>
                <w:szCs w:val="20"/>
                <w:lang w:val="en-US" w:eastAsia="en-GB"/>
              </w:rPr>
              <w:t>206</w:t>
            </w:r>
          </w:p>
        </w:tc>
        <w:tc>
          <w:tcPr>
            <w:tcW w:w="709"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color w:val="000000"/>
                <w:sz w:val="20"/>
                <w:szCs w:val="20"/>
                <w:lang w:eastAsia="en-GB"/>
              </w:rPr>
            </w:pPr>
            <w:r w:rsidRPr="00DE7DF1">
              <w:rPr>
                <w:rFonts w:ascii="Calibri" w:eastAsia="Calibri" w:hAnsi="Calibri" w:cs="Times New Roman"/>
                <w:color w:val="000000"/>
                <w:sz w:val="20"/>
                <w:szCs w:val="20"/>
                <w:lang w:val="en-US" w:eastAsia="en-GB"/>
              </w:rPr>
              <w:t>208</w:t>
            </w:r>
          </w:p>
        </w:tc>
        <w:tc>
          <w:tcPr>
            <w:tcW w:w="17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color w:val="000000"/>
                <w:sz w:val="20"/>
                <w:szCs w:val="20"/>
                <w:lang w:eastAsia="en-GB"/>
              </w:rPr>
            </w:pPr>
            <w:r w:rsidRPr="00DE7DF1">
              <w:rPr>
                <w:rFonts w:ascii="Calibri" w:eastAsia="Calibri" w:hAnsi="Calibri" w:cs="Times New Roman"/>
                <w:color w:val="000000"/>
                <w:sz w:val="20"/>
                <w:szCs w:val="20"/>
                <w:lang w:val="en-US" w:eastAsia="en-GB"/>
              </w:rPr>
              <w:t>234</w:t>
            </w:r>
          </w:p>
        </w:tc>
      </w:tr>
      <w:tr w:rsidR="00282E35" w:rsidRPr="00DE7DF1" w:rsidTr="002D4909">
        <w:trPr>
          <w:trHeight w:val="315"/>
        </w:trPr>
        <w:tc>
          <w:tcPr>
            <w:tcW w:w="2695" w:type="dxa"/>
            <w:tcBorders>
              <w:top w:val="nil"/>
              <w:left w:val="single" w:sz="8" w:space="0" w:color="auto"/>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3817F8" w:rsidRDefault="00282E35" w:rsidP="00E50C61">
            <w:pPr>
              <w:spacing w:after="0" w:line="240" w:lineRule="auto"/>
              <w:rPr>
                <w:rFonts w:ascii="Calibri" w:eastAsia="Calibri" w:hAnsi="Calibri" w:cs="Times New Roman"/>
                <w:b/>
                <w:color w:val="000000"/>
                <w:sz w:val="20"/>
                <w:szCs w:val="20"/>
                <w:lang w:eastAsia="en-GB"/>
              </w:rPr>
            </w:pPr>
            <w:r w:rsidRPr="003817F8">
              <w:rPr>
                <w:rFonts w:ascii="Calibri" w:eastAsia="Calibri" w:hAnsi="Calibri" w:cs="Times New Roman"/>
                <w:b/>
                <w:color w:val="000000"/>
                <w:sz w:val="20"/>
                <w:szCs w:val="20"/>
                <w:lang w:val="en-US" w:eastAsia="en-GB"/>
              </w:rPr>
              <w:t>Neglect</w:t>
            </w:r>
          </w:p>
        </w:tc>
        <w:tc>
          <w:tcPr>
            <w:tcW w:w="622"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color w:val="000000"/>
                <w:sz w:val="20"/>
                <w:szCs w:val="20"/>
                <w:lang w:eastAsia="en-GB"/>
              </w:rPr>
            </w:pPr>
            <w:r w:rsidRPr="00DE7DF1">
              <w:rPr>
                <w:rFonts w:ascii="Calibri" w:eastAsia="Calibri" w:hAnsi="Calibri" w:cs="Times New Roman"/>
                <w:color w:val="000000"/>
                <w:sz w:val="20"/>
                <w:szCs w:val="20"/>
                <w:lang w:val="en-US" w:eastAsia="en-GB"/>
              </w:rPr>
              <w:t>70</w:t>
            </w:r>
          </w:p>
        </w:tc>
        <w:tc>
          <w:tcPr>
            <w:tcW w:w="6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color w:val="000000"/>
                <w:sz w:val="20"/>
                <w:szCs w:val="20"/>
                <w:lang w:eastAsia="en-GB"/>
              </w:rPr>
            </w:pPr>
            <w:r w:rsidRPr="00DE7DF1">
              <w:rPr>
                <w:rFonts w:ascii="Calibri" w:eastAsia="Calibri" w:hAnsi="Calibri" w:cs="Times New Roman"/>
                <w:color w:val="000000"/>
                <w:sz w:val="20"/>
                <w:szCs w:val="20"/>
                <w:lang w:val="en-US" w:eastAsia="en-GB"/>
              </w:rPr>
              <w:t>76</w:t>
            </w:r>
          </w:p>
        </w:tc>
        <w:tc>
          <w:tcPr>
            <w:tcW w:w="622"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color w:val="000000"/>
                <w:sz w:val="20"/>
                <w:szCs w:val="20"/>
                <w:lang w:eastAsia="en-GB"/>
              </w:rPr>
            </w:pPr>
            <w:r w:rsidRPr="00DE7DF1">
              <w:rPr>
                <w:rFonts w:ascii="Calibri" w:eastAsia="Calibri" w:hAnsi="Calibri" w:cs="Times New Roman"/>
                <w:color w:val="000000"/>
                <w:sz w:val="20"/>
                <w:szCs w:val="20"/>
                <w:lang w:val="en-US" w:eastAsia="en-GB"/>
              </w:rPr>
              <w:t>97</w:t>
            </w:r>
          </w:p>
        </w:tc>
        <w:tc>
          <w:tcPr>
            <w:tcW w:w="709"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color w:val="000000"/>
                <w:sz w:val="20"/>
                <w:szCs w:val="20"/>
                <w:lang w:eastAsia="en-GB"/>
              </w:rPr>
            </w:pPr>
            <w:r w:rsidRPr="00DE7DF1">
              <w:rPr>
                <w:rFonts w:ascii="Calibri" w:eastAsia="Calibri" w:hAnsi="Calibri" w:cs="Times New Roman"/>
                <w:color w:val="000000"/>
                <w:sz w:val="20"/>
                <w:szCs w:val="20"/>
                <w:lang w:val="en-US" w:eastAsia="en-GB"/>
              </w:rPr>
              <w:t>97</w:t>
            </w:r>
          </w:p>
        </w:tc>
        <w:tc>
          <w:tcPr>
            <w:tcW w:w="709"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color w:val="000000"/>
                <w:sz w:val="20"/>
                <w:szCs w:val="20"/>
                <w:lang w:eastAsia="en-GB"/>
              </w:rPr>
            </w:pPr>
            <w:r w:rsidRPr="00DE7DF1">
              <w:rPr>
                <w:rFonts w:ascii="Calibri" w:eastAsia="Calibri" w:hAnsi="Calibri" w:cs="Times New Roman"/>
                <w:color w:val="000000"/>
                <w:sz w:val="20"/>
                <w:szCs w:val="20"/>
                <w:lang w:val="en-US" w:eastAsia="en-GB"/>
              </w:rPr>
              <w:t>81</w:t>
            </w:r>
          </w:p>
        </w:tc>
        <w:tc>
          <w:tcPr>
            <w:tcW w:w="709"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color w:val="000000"/>
                <w:sz w:val="20"/>
                <w:szCs w:val="20"/>
                <w:lang w:eastAsia="en-GB"/>
              </w:rPr>
            </w:pPr>
            <w:r w:rsidRPr="00DE7DF1">
              <w:rPr>
                <w:rFonts w:ascii="Calibri" w:eastAsia="Calibri" w:hAnsi="Calibri" w:cs="Times New Roman"/>
                <w:color w:val="000000"/>
                <w:sz w:val="20"/>
                <w:szCs w:val="20"/>
                <w:lang w:val="en-US" w:eastAsia="en-GB"/>
              </w:rPr>
              <w:t>94</w:t>
            </w:r>
          </w:p>
        </w:tc>
        <w:tc>
          <w:tcPr>
            <w:tcW w:w="17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color w:val="000000"/>
                <w:sz w:val="20"/>
                <w:szCs w:val="20"/>
                <w:lang w:eastAsia="en-GB"/>
              </w:rPr>
            </w:pPr>
            <w:r w:rsidRPr="00DE7DF1">
              <w:rPr>
                <w:rFonts w:ascii="Calibri" w:eastAsia="Calibri" w:hAnsi="Calibri" w:cs="Times New Roman"/>
                <w:color w:val="000000"/>
                <w:sz w:val="20"/>
                <w:szCs w:val="20"/>
                <w:lang w:val="en-US" w:eastAsia="en-GB"/>
              </w:rPr>
              <w:t>109</w:t>
            </w:r>
          </w:p>
        </w:tc>
      </w:tr>
      <w:tr w:rsidR="00282E35" w:rsidRPr="00DE7DF1" w:rsidTr="002D4909">
        <w:trPr>
          <w:trHeight w:val="315"/>
        </w:trPr>
        <w:tc>
          <w:tcPr>
            <w:tcW w:w="2695" w:type="dxa"/>
            <w:tcBorders>
              <w:top w:val="nil"/>
              <w:left w:val="single" w:sz="8" w:space="0" w:color="auto"/>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rPr>
                <w:rFonts w:ascii="Calibri" w:eastAsia="Calibri" w:hAnsi="Calibri" w:cs="Times New Roman"/>
                <w:color w:val="000000"/>
                <w:sz w:val="20"/>
                <w:szCs w:val="20"/>
                <w:lang w:eastAsia="en-GB"/>
              </w:rPr>
            </w:pPr>
            <w:r w:rsidRPr="00DE7DF1">
              <w:rPr>
                <w:rFonts w:ascii="Calibri" w:eastAsia="Calibri" w:hAnsi="Calibri" w:cs="Times New Roman"/>
                <w:color w:val="000000"/>
                <w:sz w:val="20"/>
                <w:szCs w:val="20"/>
                <w:lang w:eastAsia="en-GB"/>
              </w:rPr>
              <w:t>%</w:t>
            </w:r>
          </w:p>
        </w:tc>
        <w:tc>
          <w:tcPr>
            <w:tcW w:w="622"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b/>
                <w:bCs/>
                <w:color w:val="000000"/>
                <w:sz w:val="20"/>
                <w:szCs w:val="20"/>
                <w:lang w:eastAsia="en-GB"/>
              </w:rPr>
            </w:pPr>
            <w:r w:rsidRPr="00DE7DF1">
              <w:rPr>
                <w:rFonts w:ascii="Calibri" w:eastAsia="Calibri" w:hAnsi="Calibri" w:cs="Times New Roman"/>
                <w:b/>
                <w:bCs/>
                <w:color w:val="000000"/>
                <w:sz w:val="20"/>
                <w:szCs w:val="20"/>
                <w:lang w:eastAsia="en-GB"/>
              </w:rPr>
              <w:t>46%</w:t>
            </w:r>
          </w:p>
        </w:tc>
        <w:tc>
          <w:tcPr>
            <w:tcW w:w="6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b/>
                <w:bCs/>
                <w:color w:val="000000"/>
                <w:sz w:val="20"/>
                <w:szCs w:val="20"/>
                <w:lang w:eastAsia="en-GB"/>
              </w:rPr>
            </w:pPr>
            <w:r w:rsidRPr="00DE7DF1">
              <w:rPr>
                <w:rFonts w:ascii="Calibri" w:eastAsia="Calibri" w:hAnsi="Calibri" w:cs="Times New Roman"/>
                <w:b/>
                <w:bCs/>
                <w:color w:val="000000"/>
                <w:sz w:val="20"/>
                <w:szCs w:val="20"/>
                <w:lang w:eastAsia="en-GB"/>
              </w:rPr>
              <w:t>38%</w:t>
            </w:r>
          </w:p>
        </w:tc>
        <w:tc>
          <w:tcPr>
            <w:tcW w:w="622"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b/>
                <w:bCs/>
                <w:color w:val="000000"/>
                <w:sz w:val="20"/>
                <w:szCs w:val="20"/>
                <w:lang w:eastAsia="en-GB"/>
              </w:rPr>
            </w:pPr>
            <w:r w:rsidRPr="00DE7DF1">
              <w:rPr>
                <w:rFonts w:ascii="Calibri" w:eastAsia="Calibri" w:hAnsi="Calibri" w:cs="Times New Roman"/>
                <w:b/>
                <w:bCs/>
                <w:color w:val="000000"/>
                <w:sz w:val="20"/>
                <w:szCs w:val="20"/>
                <w:lang w:eastAsia="en-GB"/>
              </w:rPr>
              <w:t>46%</w:t>
            </w:r>
          </w:p>
        </w:tc>
        <w:tc>
          <w:tcPr>
            <w:tcW w:w="709"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b/>
                <w:bCs/>
                <w:color w:val="000000"/>
                <w:sz w:val="20"/>
                <w:szCs w:val="20"/>
                <w:lang w:eastAsia="en-GB"/>
              </w:rPr>
            </w:pPr>
            <w:r w:rsidRPr="00DE7DF1">
              <w:rPr>
                <w:rFonts w:ascii="Calibri" w:eastAsia="Calibri" w:hAnsi="Calibri" w:cs="Times New Roman"/>
                <w:b/>
                <w:bCs/>
                <w:color w:val="000000"/>
                <w:sz w:val="20"/>
                <w:szCs w:val="20"/>
                <w:lang w:eastAsia="en-GB"/>
              </w:rPr>
              <w:t>38%</w:t>
            </w:r>
          </w:p>
        </w:tc>
        <w:tc>
          <w:tcPr>
            <w:tcW w:w="709"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b/>
                <w:bCs/>
                <w:color w:val="000000"/>
                <w:sz w:val="20"/>
                <w:szCs w:val="20"/>
                <w:lang w:eastAsia="en-GB"/>
              </w:rPr>
            </w:pPr>
            <w:r w:rsidRPr="00DE7DF1">
              <w:rPr>
                <w:rFonts w:ascii="Calibri" w:eastAsia="Calibri" w:hAnsi="Calibri" w:cs="Times New Roman"/>
                <w:b/>
                <w:bCs/>
                <w:color w:val="000000"/>
                <w:sz w:val="20"/>
                <w:szCs w:val="20"/>
                <w:lang w:eastAsia="en-GB"/>
              </w:rPr>
              <w:t>39%</w:t>
            </w:r>
          </w:p>
        </w:tc>
        <w:tc>
          <w:tcPr>
            <w:tcW w:w="709"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b/>
                <w:bCs/>
                <w:color w:val="000000"/>
                <w:sz w:val="20"/>
                <w:szCs w:val="20"/>
                <w:lang w:eastAsia="en-GB"/>
              </w:rPr>
            </w:pPr>
            <w:r w:rsidRPr="00DE7DF1">
              <w:rPr>
                <w:rFonts w:ascii="Calibri" w:eastAsia="Calibri" w:hAnsi="Calibri" w:cs="Times New Roman"/>
                <w:b/>
                <w:bCs/>
                <w:color w:val="000000"/>
                <w:sz w:val="20"/>
                <w:szCs w:val="20"/>
                <w:lang w:eastAsia="en-GB"/>
              </w:rPr>
              <w:t>45%</w:t>
            </w:r>
          </w:p>
        </w:tc>
        <w:tc>
          <w:tcPr>
            <w:tcW w:w="17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color w:val="000000"/>
                <w:sz w:val="20"/>
                <w:szCs w:val="20"/>
                <w:lang w:eastAsia="en-GB"/>
              </w:rPr>
            </w:pPr>
            <w:r w:rsidRPr="00DE7DF1">
              <w:rPr>
                <w:rFonts w:ascii="Calibri" w:eastAsia="Calibri" w:hAnsi="Calibri" w:cs="Times New Roman"/>
                <w:color w:val="000000"/>
                <w:sz w:val="20"/>
                <w:szCs w:val="20"/>
                <w:lang w:eastAsia="en-GB"/>
              </w:rPr>
              <w:t> </w:t>
            </w:r>
          </w:p>
        </w:tc>
      </w:tr>
      <w:tr w:rsidR="00282E35" w:rsidRPr="00DE7DF1" w:rsidTr="002D4909">
        <w:trPr>
          <w:trHeight w:val="315"/>
        </w:trPr>
        <w:tc>
          <w:tcPr>
            <w:tcW w:w="2695" w:type="dxa"/>
            <w:tcBorders>
              <w:top w:val="nil"/>
              <w:left w:val="single" w:sz="8" w:space="0" w:color="auto"/>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3817F8" w:rsidRDefault="00282E35" w:rsidP="00E50C61">
            <w:pPr>
              <w:spacing w:after="0" w:line="240" w:lineRule="auto"/>
              <w:rPr>
                <w:rFonts w:ascii="Calibri" w:eastAsia="Calibri" w:hAnsi="Calibri" w:cs="Times New Roman"/>
                <w:b/>
                <w:color w:val="000000"/>
                <w:sz w:val="20"/>
                <w:szCs w:val="20"/>
                <w:lang w:eastAsia="en-GB"/>
              </w:rPr>
            </w:pPr>
            <w:r w:rsidRPr="003817F8">
              <w:rPr>
                <w:rFonts w:ascii="Calibri" w:eastAsia="Calibri" w:hAnsi="Calibri" w:cs="Times New Roman"/>
                <w:b/>
                <w:color w:val="000000"/>
                <w:sz w:val="20"/>
                <w:szCs w:val="20"/>
                <w:lang w:val="en-US" w:eastAsia="en-GB"/>
              </w:rPr>
              <w:t>Emotional</w:t>
            </w:r>
          </w:p>
        </w:tc>
        <w:tc>
          <w:tcPr>
            <w:tcW w:w="622"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color w:val="000000"/>
                <w:sz w:val="20"/>
                <w:szCs w:val="20"/>
                <w:lang w:eastAsia="en-GB"/>
              </w:rPr>
            </w:pPr>
            <w:r w:rsidRPr="00DE7DF1">
              <w:rPr>
                <w:rFonts w:ascii="Calibri" w:eastAsia="Calibri" w:hAnsi="Calibri" w:cs="Times New Roman"/>
                <w:color w:val="000000"/>
                <w:sz w:val="20"/>
                <w:szCs w:val="20"/>
                <w:lang w:val="en-US" w:eastAsia="en-GB"/>
              </w:rPr>
              <w:t>62</w:t>
            </w:r>
          </w:p>
        </w:tc>
        <w:tc>
          <w:tcPr>
            <w:tcW w:w="6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color w:val="000000"/>
                <w:sz w:val="20"/>
                <w:szCs w:val="20"/>
                <w:lang w:eastAsia="en-GB"/>
              </w:rPr>
            </w:pPr>
            <w:r w:rsidRPr="00DE7DF1">
              <w:rPr>
                <w:rFonts w:ascii="Calibri" w:eastAsia="Calibri" w:hAnsi="Calibri" w:cs="Times New Roman"/>
                <w:color w:val="000000"/>
                <w:sz w:val="20"/>
                <w:szCs w:val="20"/>
                <w:lang w:val="en-US" w:eastAsia="en-GB"/>
              </w:rPr>
              <w:t>86</w:t>
            </w:r>
          </w:p>
        </w:tc>
        <w:tc>
          <w:tcPr>
            <w:tcW w:w="622"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color w:val="000000"/>
                <w:sz w:val="20"/>
                <w:szCs w:val="20"/>
                <w:lang w:eastAsia="en-GB"/>
              </w:rPr>
            </w:pPr>
            <w:r w:rsidRPr="00DE7DF1">
              <w:rPr>
                <w:rFonts w:ascii="Calibri" w:eastAsia="Calibri" w:hAnsi="Calibri" w:cs="Times New Roman"/>
                <w:color w:val="000000"/>
                <w:sz w:val="20"/>
                <w:szCs w:val="20"/>
                <w:lang w:val="en-US" w:eastAsia="en-GB"/>
              </w:rPr>
              <w:t>77</w:t>
            </w:r>
          </w:p>
        </w:tc>
        <w:tc>
          <w:tcPr>
            <w:tcW w:w="709"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color w:val="000000"/>
                <w:sz w:val="20"/>
                <w:szCs w:val="20"/>
                <w:lang w:eastAsia="en-GB"/>
              </w:rPr>
            </w:pPr>
            <w:r w:rsidRPr="00DE7DF1">
              <w:rPr>
                <w:rFonts w:ascii="Calibri" w:eastAsia="Calibri" w:hAnsi="Calibri" w:cs="Times New Roman"/>
                <w:color w:val="000000"/>
                <w:sz w:val="20"/>
                <w:szCs w:val="20"/>
                <w:lang w:val="en-US" w:eastAsia="en-GB"/>
              </w:rPr>
              <w:t>93</w:t>
            </w:r>
          </w:p>
        </w:tc>
        <w:tc>
          <w:tcPr>
            <w:tcW w:w="709"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color w:val="000000"/>
                <w:sz w:val="20"/>
                <w:szCs w:val="20"/>
                <w:lang w:eastAsia="en-GB"/>
              </w:rPr>
            </w:pPr>
            <w:r w:rsidRPr="00DE7DF1">
              <w:rPr>
                <w:rFonts w:ascii="Calibri" w:eastAsia="Calibri" w:hAnsi="Calibri" w:cs="Times New Roman"/>
                <w:color w:val="000000"/>
                <w:sz w:val="20"/>
                <w:szCs w:val="20"/>
                <w:lang w:val="en-US" w:eastAsia="en-GB"/>
              </w:rPr>
              <w:t>66</w:t>
            </w:r>
          </w:p>
        </w:tc>
        <w:tc>
          <w:tcPr>
            <w:tcW w:w="709"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color w:val="000000"/>
                <w:sz w:val="20"/>
                <w:szCs w:val="20"/>
                <w:lang w:eastAsia="en-GB"/>
              </w:rPr>
            </w:pPr>
            <w:r w:rsidRPr="00DE7DF1">
              <w:rPr>
                <w:rFonts w:ascii="Calibri" w:eastAsia="Calibri" w:hAnsi="Calibri" w:cs="Times New Roman"/>
                <w:color w:val="000000"/>
                <w:sz w:val="20"/>
                <w:szCs w:val="20"/>
                <w:lang w:val="en-US" w:eastAsia="en-GB"/>
              </w:rPr>
              <w:t>67</w:t>
            </w:r>
          </w:p>
        </w:tc>
        <w:tc>
          <w:tcPr>
            <w:tcW w:w="17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color w:val="000000"/>
                <w:sz w:val="20"/>
                <w:szCs w:val="20"/>
                <w:lang w:eastAsia="en-GB"/>
              </w:rPr>
            </w:pPr>
            <w:r w:rsidRPr="00DE7DF1">
              <w:rPr>
                <w:rFonts w:ascii="Calibri" w:eastAsia="Calibri" w:hAnsi="Calibri" w:cs="Times New Roman"/>
                <w:color w:val="000000"/>
                <w:sz w:val="20"/>
                <w:szCs w:val="20"/>
                <w:lang w:val="en-US" w:eastAsia="en-GB"/>
              </w:rPr>
              <w:t>71</w:t>
            </w:r>
          </w:p>
        </w:tc>
      </w:tr>
      <w:tr w:rsidR="00282E35" w:rsidRPr="00DE7DF1" w:rsidTr="002D4909">
        <w:trPr>
          <w:trHeight w:val="315"/>
        </w:trPr>
        <w:tc>
          <w:tcPr>
            <w:tcW w:w="2695" w:type="dxa"/>
            <w:tcBorders>
              <w:top w:val="nil"/>
              <w:left w:val="single" w:sz="8" w:space="0" w:color="auto"/>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rPr>
                <w:rFonts w:ascii="Calibri" w:eastAsia="Calibri" w:hAnsi="Calibri" w:cs="Times New Roman"/>
                <w:color w:val="000000"/>
                <w:sz w:val="20"/>
                <w:szCs w:val="20"/>
                <w:lang w:eastAsia="en-GB"/>
              </w:rPr>
            </w:pPr>
            <w:r w:rsidRPr="00DE7DF1">
              <w:rPr>
                <w:rFonts w:ascii="Calibri" w:eastAsia="Calibri" w:hAnsi="Calibri" w:cs="Times New Roman"/>
                <w:color w:val="000000"/>
                <w:sz w:val="20"/>
                <w:szCs w:val="20"/>
                <w:lang w:eastAsia="en-GB"/>
              </w:rPr>
              <w:t>%</w:t>
            </w:r>
          </w:p>
        </w:tc>
        <w:tc>
          <w:tcPr>
            <w:tcW w:w="622"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b/>
                <w:bCs/>
                <w:color w:val="000000"/>
                <w:sz w:val="20"/>
                <w:szCs w:val="20"/>
                <w:lang w:eastAsia="en-GB"/>
              </w:rPr>
            </w:pPr>
            <w:r w:rsidRPr="00DE7DF1">
              <w:rPr>
                <w:rFonts w:ascii="Calibri" w:eastAsia="Calibri" w:hAnsi="Calibri" w:cs="Times New Roman"/>
                <w:b/>
                <w:bCs/>
                <w:color w:val="000000"/>
                <w:sz w:val="20"/>
                <w:szCs w:val="20"/>
                <w:lang w:eastAsia="en-GB"/>
              </w:rPr>
              <w:t>41%</w:t>
            </w:r>
          </w:p>
        </w:tc>
        <w:tc>
          <w:tcPr>
            <w:tcW w:w="6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b/>
                <w:bCs/>
                <w:color w:val="000000"/>
                <w:sz w:val="20"/>
                <w:szCs w:val="20"/>
                <w:lang w:eastAsia="en-GB"/>
              </w:rPr>
            </w:pPr>
            <w:r w:rsidRPr="00DE7DF1">
              <w:rPr>
                <w:rFonts w:ascii="Calibri" w:eastAsia="Calibri" w:hAnsi="Calibri" w:cs="Times New Roman"/>
                <w:b/>
                <w:bCs/>
                <w:color w:val="000000"/>
                <w:sz w:val="20"/>
                <w:szCs w:val="20"/>
                <w:lang w:eastAsia="en-GB"/>
              </w:rPr>
              <w:t>43%</w:t>
            </w:r>
          </w:p>
        </w:tc>
        <w:tc>
          <w:tcPr>
            <w:tcW w:w="622"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b/>
                <w:bCs/>
                <w:color w:val="000000"/>
                <w:sz w:val="20"/>
                <w:szCs w:val="20"/>
                <w:lang w:eastAsia="en-GB"/>
              </w:rPr>
            </w:pPr>
            <w:r w:rsidRPr="00DE7DF1">
              <w:rPr>
                <w:rFonts w:ascii="Calibri" w:eastAsia="Calibri" w:hAnsi="Calibri" w:cs="Times New Roman"/>
                <w:b/>
                <w:bCs/>
                <w:color w:val="000000"/>
                <w:sz w:val="20"/>
                <w:szCs w:val="20"/>
                <w:lang w:eastAsia="en-GB"/>
              </w:rPr>
              <w:t>37%</w:t>
            </w:r>
          </w:p>
        </w:tc>
        <w:tc>
          <w:tcPr>
            <w:tcW w:w="709"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b/>
                <w:bCs/>
                <w:color w:val="000000"/>
                <w:sz w:val="20"/>
                <w:szCs w:val="20"/>
                <w:lang w:eastAsia="en-GB"/>
              </w:rPr>
            </w:pPr>
            <w:r w:rsidRPr="00DE7DF1">
              <w:rPr>
                <w:rFonts w:ascii="Calibri" w:eastAsia="Calibri" w:hAnsi="Calibri" w:cs="Times New Roman"/>
                <w:b/>
                <w:bCs/>
                <w:color w:val="000000"/>
                <w:sz w:val="20"/>
                <w:szCs w:val="20"/>
                <w:lang w:eastAsia="en-GB"/>
              </w:rPr>
              <w:t>36%</w:t>
            </w:r>
          </w:p>
        </w:tc>
        <w:tc>
          <w:tcPr>
            <w:tcW w:w="709"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b/>
                <w:bCs/>
                <w:color w:val="000000"/>
                <w:sz w:val="20"/>
                <w:szCs w:val="20"/>
                <w:lang w:eastAsia="en-GB"/>
              </w:rPr>
            </w:pPr>
            <w:r w:rsidRPr="00DE7DF1">
              <w:rPr>
                <w:rFonts w:ascii="Calibri" w:eastAsia="Calibri" w:hAnsi="Calibri" w:cs="Times New Roman"/>
                <w:b/>
                <w:bCs/>
                <w:color w:val="000000"/>
                <w:sz w:val="20"/>
                <w:szCs w:val="20"/>
                <w:lang w:eastAsia="en-GB"/>
              </w:rPr>
              <w:t>32%</w:t>
            </w:r>
          </w:p>
        </w:tc>
        <w:tc>
          <w:tcPr>
            <w:tcW w:w="709"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b/>
                <w:bCs/>
                <w:color w:val="000000"/>
                <w:sz w:val="20"/>
                <w:szCs w:val="20"/>
                <w:lang w:eastAsia="en-GB"/>
              </w:rPr>
            </w:pPr>
            <w:r w:rsidRPr="00DE7DF1">
              <w:rPr>
                <w:rFonts w:ascii="Calibri" w:eastAsia="Calibri" w:hAnsi="Calibri" w:cs="Times New Roman"/>
                <w:b/>
                <w:bCs/>
                <w:color w:val="000000"/>
                <w:sz w:val="20"/>
                <w:szCs w:val="20"/>
                <w:lang w:eastAsia="en-GB"/>
              </w:rPr>
              <w:t>32%</w:t>
            </w:r>
          </w:p>
        </w:tc>
        <w:tc>
          <w:tcPr>
            <w:tcW w:w="17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color w:val="000000"/>
                <w:sz w:val="20"/>
                <w:szCs w:val="20"/>
                <w:lang w:eastAsia="en-GB"/>
              </w:rPr>
            </w:pPr>
            <w:r w:rsidRPr="00DE7DF1">
              <w:rPr>
                <w:rFonts w:ascii="Calibri" w:eastAsia="Calibri" w:hAnsi="Calibri" w:cs="Times New Roman"/>
                <w:color w:val="000000"/>
                <w:sz w:val="20"/>
                <w:szCs w:val="20"/>
                <w:lang w:eastAsia="en-GB"/>
              </w:rPr>
              <w:t> </w:t>
            </w:r>
          </w:p>
        </w:tc>
      </w:tr>
      <w:tr w:rsidR="00282E35" w:rsidRPr="00DE7DF1" w:rsidTr="002D4909">
        <w:trPr>
          <w:trHeight w:val="315"/>
        </w:trPr>
        <w:tc>
          <w:tcPr>
            <w:tcW w:w="2695" w:type="dxa"/>
            <w:tcBorders>
              <w:top w:val="nil"/>
              <w:left w:val="single" w:sz="8" w:space="0" w:color="auto"/>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3817F8" w:rsidRDefault="00282E35" w:rsidP="00E50C61">
            <w:pPr>
              <w:spacing w:after="0" w:line="240" w:lineRule="auto"/>
              <w:rPr>
                <w:rFonts w:ascii="Calibri" w:eastAsia="Calibri" w:hAnsi="Calibri" w:cs="Times New Roman"/>
                <w:b/>
                <w:color w:val="000000"/>
                <w:sz w:val="20"/>
                <w:szCs w:val="20"/>
                <w:lang w:eastAsia="en-GB"/>
              </w:rPr>
            </w:pPr>
            <w:r w:rsidRPr="003817F8">
              <w:rPr>
                <w:rFonts w:ascii="Calibri" w:eastAsia="Calibri" w:hAnsi="Calibri" w:cs="Times New Roman"/>
                <w:b/>
                <w:color w:val="000000"/>
                <w:sz w:val="20"/>
                <w:szCs w:val="20"/>
                <w:lang w:val="en-US" w:eastAsia="en-GB"/>
              </w:rPr>
              <w:t>Physical</w:t>
            </w:r>
          </w:p>
        </w:tc>
        <w:tc>
          <w:tcPr>
            <w:tcW w:w="622"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color w:val="000000"/>
                <w:sz w:val="20"/>
                <w:szCs w:val="20"/>
                <w:lang w:eastAsia="en-GB"/>
              </w:rPr>
            </w:pPr>
            <w:r w:rsidRPr="00DE7DF1">
              <w:rPr>
                <w:rFonts w:ascii="Calibri" w:eastAsia="Calibri" w:hAnsi="Calibri" w:cs="Times New Roman"/>
                <w:color w:val="000000"/>
                <w:sz w:val="20"/>
                <w:szCs w:val="20"/>
                <w:lang w:val="en-US" w:eastAsia="en-GB"/>
              </w:rPr>
              <w:t>17</w:t>
            </w:r>
          </w:p>
        </w:tc>
        <w:tc>
          <w:tcPr>
            <w:tcW w:w="6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color w:val="000000"/>
                <w:sz w:val="20"/>
                <w:szCs w:val="20"/>
                <w:lang w:eastAsia="en-GB"/>
              </w:rPr>
            </w:pPr>
            <w:r w:rsidRPr="00DE7DF1">
              <w:rPr>
                <w:rFonts w:ascii="Calibri" w:eastAsia="Calibri" w:hAnsi="Calibri" w:cs="Times New Roman"/>
                <w:color w:val="000000"/>
                <w:sz w:val="20"/>
                <w:szCs w:val="20"/>
                <w:lang w:val="en-US" w:eastAsia="en-GB"/>
              </w:rPr>
              <w:t>33</w:t>
            </w:r>
          </w:p>
        </w:tc>
        <w:tc>
          <w:tcPr>
            <w:tcW w:w="622"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color w:val="000000"/>
                <w:sz w:val="20"/>
                <w:szCs w:val="20"/>
                <w:lang w:eastAsia="en-GB"/>
              </w:rPr>
            </w:pPr>
            <w:r w:rsidRPr="00DE7DF1">
              <w:rPr>
                <w:rFonts w:ascii="Calibri" w:eastAsia="Calibri" w:hAnsi="Calibri" w:cs="Times New Roman"/>
                <w:color w:val="000000"/>
                <w:sz w:val="20"/>
                <w:szCs w:val="20"/>
                <w:lang w:val="en-US" w:eastAsia="en-GB"/>
              </w:rPr>
              <w:t>28</w:t>
            </w:r>
          </w:p>
        </w:tc>
        <w:tc>
          <w:tcPr>
            <w:tcW w:w="709"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color w:val="000000"/>
                <w:sz w:val="20"/>
                <w:szCs w:val="20"/>
                <w:lang w:eastAsia="en-GB"/>
              </w:rPr>
            </w:pPr>
            <w:r w:rsidRPr="00DE7DF1">
              <w:rPr>
                <w:rFonts w:ascii="Calibri" w:eastAsia="Calibri" w:hAnsi="Calibri" w:cs="Times New Roman"/>
                <w:color w:val="000000"/>
                <w:sz w:val="20"/>
                <w:szCs w:val="20"/>
                <w:lang w:val="en-US" w:eastAsia="en-GB"/>
              </w:rPr>
              <w:t>51</w:t>
            </w:r>
          </w:p>
        </w:tc>
        <w:tc>
          <w:tcPr>
            <w:tcW w:w="709"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color w:val="000000"/>
                <w:sz w:val="20"/>
                <w:szCs w:val="20"/>
                <w:lang w:eastAsia="en-GB"/>
              </w:rPr>
            </w:pPr>
            <w:r w:rsidRPr="00DE7DF1">
              <w:rPr>
                <w:rFonts w:ascii="Calibri" w:eastAsia="Calibri" w:hAnsi="Calibri" w:cs="Times New Roman"/>
                <w:color w:val="000000"/>
                <w:sz w:val="20"/>
                <w:szCs w:val="20"/>
                <w:lang w:val="en-US" w:eastAsia="en-GB"/>
              </w:rPr>
              <w:t>44</w:t>
            </w:r>
          </w:p>
        </w:tc>
        <w:tc>
          <w:tcPr>
            <w:tcW w:w="709"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color w:val="000000"/>
                <w:sz w:val="20"/>
                <w:szCs w:val="20"/>
                <w:lang w:eastAsia="en-GB"/>
              </w:rPr>
            </w:pPr>
            <w:r w:rsidRPr="00DE7DF1">
              <w:rPr>
                <w:rFonts w:ascii="Calibri" w:eastAsia="Calibri" w:hAnsi="Calibri" w:cs="Times New Roman"/>
                <w:color w:val="000000"/>
                <w:sz w:val="20"/>
                <w:szCs w:val="20"/>
                <w:lang w:val="en-US" w:eastAsia="en-GB"/>
              </w:rPr>
              <w:t>42</w:t>
            </w:r>
          </w:p>
        </w:tc>
        <w:tc>
          <w:tcPr>
            <w:tcW w:w="17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color w:val="000000"/>
                <w:sz w:val="20"/>
                <w:szCs w:val="20"/>
                <w:lang w:eastAsia="en-GB"/>
              </w:rPr>
            </w:pPr>
            <w:r w:rsidRPr="00DE7DF1">
              <w:rPr>
                <w:rFonts w:ascii="Calibri" w:eastAsia="Calibri" w:hAnsi="Calibri" w:cs="Times New Roman"/>
                <w:color w:val="000000"/>
                <w:sz w:val="20"/>
                <w:szCs w:val="20"/>
                <w:lang w:val="en-US" w:eastAsia="en-GB"/>
              </w:rPr>
              <w:t>45</w:t>
            </w:r>
          </w:p>
        </w:tc>
      </w:tr>
      <w:tr w:rsidR="00282E35" w:rsidRPr="00DE7DF1" w:rsidTr="002D4909">
        <w:trPr>
          <w:trHeight w:val="315"/>
        </w:trPr>
        <w:tc>
          <w:tcPr>
            <w:tcW w:w="2695" w:type="dxa"/>
            <w:tcBorders>
              <w:top w:val="nil"/>
              <w:left w:val="single" w:sz="8" w:space="0" w:color="auto"/>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rPr>
                <w:rFonts w:ascii="Calibri" w:eastAsia="Calibri" w:hAnsi="Calibri" w:cs="Times New Roman"/>
                <w:color w:val="000000"/>
                <w:sz w:val="20"/>
                <w:szCs w:val="20"/>
                <w:lang w:eastAsia="en-GB"/>
              </w:rPr>
            </w:pPr>
            <w:r w:rsidRPr="00DE7DF1">
              <w:rPr>
                <w:rFonts w:ascii="Calibri" w:eastAsia="Calibri" w:hAnsi="Calibri" w:cs="Times New Roman"/>
                <w:color w:val="000000"/>
                <w:sz w:val="20"/>
                <w:szCs w:val="20"/>
                <w:lang w:eastAsia="en-GB"/>
              </w:rPr>
              <w:t>%</w:t>
            </w:r>
          </w:p>
        </w:tc>
        <w:tc>
          <w:tcPr>
            <w:tcW w:w="622"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b/>
                <w:bCs/>
                <w:color w:val="000000"/>
                <w:sz w:val="20"/>
                <w:szCs w:val="20"/>
                <w:lang w:eastAsia="en-GB"/>
              </w:rPr>
            </w:pPr>
            <w:r w:rsidRPr="00DE7DF1">
              <w:rPr>
                <w:rFonts w:ascii="Calibri" w:eastAsia="Calibri" w:hAnsi="Calibri" w:cs="Times New Roman"/>
                <w:b/>
                <w:bCs/>
                <w:color w:val="000000"/>
                <w:sz w:val="20"/>
                <w:szCs w:val="20"/>
                <w:lang w:eastAsia="en-GB"/>
              </w:rPr>
              <w:t>11%</w:t>
            </w:r>
          </w:p>
        </w:tc>
        <w:tc>
          <w:tcPr>
            <w:tcW w:w="6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b/>
                <w:bCs/>
                <w:color w:val="000000"/>
                <w:sz w:val="20"/>
                <w:szCs w:val="20"/>
                <w:lang w:eastAsia="en-GB"/>
              </w:rPr>
            </w:pPr>
            <w:r w:rsidRPr="00DE7DF1">
              <w:rPr>
                <w:rFonts w:ascii="Calibri" w:eastAsia="Calibri" w:hAnsi="Calibri" w:cs="Times New Roman"/>
                <w:b/>
                <w:bCs/>
                <w:color w:val="000000"/>
                <w:sz w:val="20"/>
                <w:szCs w:val="20"/>
                <w:lang w:eastAsia="en-GB"/>
              </w:rPr>
              <w:t>16%</w:t>
            </w:r>
          </w:p>
        </w:tc>
        <w:tc>
          <w:tcPr>
            <w:tcW w:w="622"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b/>
                <w:bCs/>
                <w:color w:val="000000"/>
                <w:sz w:val="20"/>
                <w:szCs w:val="20"/>
                <w:lang w:eastAsia="en-GB"/>
              </w:rPr>
            </w:pPr>
            <w:r w:rsidRPr="00DE7DF1">
              <w:rPr>
                <w:rFonts w:ascii="Calibri" w:eastAsia="Calibri" w:hAnsi="Calibri" w:cs="Times New Roman"/>
                <w:b/>
                <w:bCs/>
                <w:color w:val="000000"/>
                <w:sz w:val="20"/>
                <w:szCs w:val="20"/>
                <w:lang w:eastAsia="en-GB"/>
              </w:rPr>
              <w:t>13%</w:t>
            </w:r>
          </w:p>
        </w:tc>
        <w:tc>
          <w:tcPr>
            <w:tcW w:w="709"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b/>
                <w:bCs/>
                <w:color w:val="000000"/>
                <w:sz w:val="20"/>
                <w:szCs w:val="20"/>
                <w:lang w:eastAsia="en-GB"/>
              </w:rPr>
            </w:pPr>
            <w:r w:rsidRPr="00DE7DF1">
              <w:rPr>
                <w:rFonts w:ascii="Calibri" w:eastAsia="Calibri" w:hAnsi="Calibri" w:cs="Times New Roman"/>
                <w:b/>
                <w:bCs/>
                <w:color w:val="000000"/>
                <w:sz w:val="20"/>
                <w:szCs w:val="20"/>
                <w:lang w:eastAsia="en-GB"/>
              </w:rPr>
              <w:t>20%</w:t>
            </w:r>
          </w:p>
        </w:tc>
        <w:tc>
          <w:tcPr>
            <w:tcW w:w="709"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b/>
                <w:bCs/>
                <w:color w:val="000000"/>
                <w:sz w:val="20"/>
                <w:szCs w:val="20"/>
                <w:lang w:eastAsia="en-GB"/>
              </w:rPr>
            </w:pPr>
            <w:r w:rsidRPr="00DE7DF1">
              <w:rPr>
                <w:rFonts w:ascii="Calibri" w:eastAsia="Calibri" w:hAnsi="Calibri" w:cs="Times New Roman"/>
                <w:b/>
                <w:bCs/>
                <w:color w:val="000000"/>
                <w:sz w:val="20"/>
                <w:szCs w:val="20"/>
                <w:lang w:eastAsia="en-GB"/>
              </w:rPr>
              <w:t>21%</w:t>
            </w:r>
          </w:p>
        </w:tc>
        <w:tc>
          <w:tcPr>
            <w:tcW w:w="709"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b/>
                <w:bCs/>
                <w:color w:val="000000"/>
                <w:sz w:val="20"/>
                <w:szCs w:val="20"/>
                <w:lang w:eastAsia="en-GB"/>
              </w:rPr>
            </w:pPr>
            <w:r w:rsidRPr="00DE7DF1">
              <w:rPr>
                <w:rFonts w:ascii="Calibri" w:eastAsia="Calibri" w:hAnsi="Calibri" w:cs="Times New Roman"/>
                <w:b/>
                <w:bCs/>
                <w:color w:val="000000"/>
                <w:sz w:val="20"/>
                <w:szCs w:val="20"/>
                <w:lang w:eastAsia="en-GB"/>
              </w:rPr>
              <w:t>20%</w:t>
            </w:r>
          </w:p>
        </w:tc>
        <w:tc>
          <w:tcPr>
            <w:tcW w:w="17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color w:val="000000"/>
                <w:sz w:val="20"/>
                <w:szCs w:val="20"/>
                <w:lang w:eastAsia="en-GB"/>
              </w:rPr>
            </w:pPr>
            <w:r w:rsidRPr="00DE7DF1">
              <w:rPr>
                <w:rFonts w:ascii="Calibri" w:eastAsia="Calibri" w:hAnsi="Calibri" w:cs="Times New Roman"/>
                <w:color w:val="000000"/>
                <w:sz w:val="20"/>
                <w:szCs w:val="20"/>
                <w:lang w:eastAsia="en-GB"/>
              </w:rPr>
              <w:t> </w:t>
            </w:r>
          </w:p>
        </w:tc>
      </w:tr>
      <w:tr w:rsidR="00282E35" w:rsidRPr="00DE7DF1" w:rsidTr="002D4909">
        <w:trPr>
          <w:trHeight w:val="315"/>
        </w:trPr>
        <w:tc>
          <w:tcPr>
            <w:tcW w:w="2695" w:type="dxa"/>
            <w:tcBorders>
              <w:top w:val="nil"/>
              <w:left w:val="single" w:sz="8" w:space="0" w:color="auto"/>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3817F8" w:rsidRDefault="00282E35" w:rsidP="00E50C61">
            <w:pPr>
              <w:spacing w:after="0" w:line="240" w:lineRule="auto"/>
              <w:rPr>
                <w:rFonts w:ascii="Calibri" w:eastAsia="Calibri" w:hAnsi="Calibri" w:cs="Times New Roman"/>
                <w:b/>
                <w:color w:val="000000"/>
                <w:sz w:val="20"/>
                <w:szCs w:val="20"/>
                <w:lang w:eastAsia="en-GB"/>
              </w:rPr>
            </w:pPr>
            <w:r w:rsidRPr="003817F8">
              <w:rPr>
                <w:rFonts w:ascii="Calibri" w:eastAsia="Calibri" w:hAnsi="Calibri" w:cs="Times New Roman"/>
                <w:b/>
                <w:color w:val="000000"/>
                <w:sz w:val="20"/>
                <w:szCs w:val="20"/>
                <w:lang w:val="en-US" w:eastAsia="en-GB"/>
              </w:rPr>
              <w:t>Sexual</w:t>
            </w:r>
          </w:p>
        </w:tc>
        <w:tc>
          <w:tcPr>
            <w:tcW w:w="622"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color w:val="000000"/>
                <w:sz w:val="20"/>
                <w:szCs w:val="20"/>
                <w:lang w:eastAsia="en-GB"/>
              </w:rPr>
            </w:pPr>
            <w:r w:rsidRPr="00DE7DF1">
              <w:rPr>
                <w:rFonts w:ascii="Calibri" w:eastAsia="Calibri" w:hAnsi="Calibri" w:cs="Times New Roman"/>
                <w:color w:val="000000"/>
                <w:sz w:val="20"/>
                <w:szCs w:val="20"/>
                <w:lang w:val="en-US" w:eastAsia="en-GB"/>
              </w:rPr>
              <w:t>2</w:t>
            </w:r>
          </w:p>
        </w:tc>
        <w:tc>
          <w:tcPr>
            <w:tcW w:w="6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color w:val="000000"/>
                <w:sz w:val="20"/>
                <w:szCs w:val="20"/>
                <w:lang w:eastAsia="en-GB"/>
              </w:rPr>
            </w:pPr>
            <w:r w:rsidRPr="00DE7DF1">
              <w:rPr>
                <w:rFonts w:ascii="Calibri" w:eastAsia="Calibri" w:hAnsi="Calibri" w:cs="Times New Roman"/>
                <w:color w:val="000000"/>
                <w:sz w:val="20"/>
                <w:szCs w:val="20"/>
                <w:lang w:val="en-US" w:eastAsia="en-GB"/>
              </w:rPr>
              <w:t>6</w:t>
            </w:r>
          </w:p>
        </w:tc>
        <w:tc>
          <w:tcPr>
            <w:tcW w:w="622"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color w:val="000000"/>
                <w:sz w:val="20"/>
                <w:szCs w:val="20"/>
                <w:lang w:eastAsia="en-GB"/>
              </w:rPr>
            </w:pPr>
            <w:r w:rsidRPr="00DE7DF1">
              <w:rPr>
                <w:rFonts w:ascii="Calibri" w:eastAsia="Calibri" w:hAnsi="Calibri" w:cs="Times New Roman"/>
                <w:color w:val="000000"/>
                <w:sz w:val="20"/>
                <w:szCs w:val="20"/>
                <w:lang w:val="en-US" w:eastAsia="en-GB"/>
              </w:rPr>
              <w:t>6</w:t>
            </w:r>
          </w:p>
        </w:tc>
        <w:tc>
          <w:tcPr>
            <w:tcW w:w="709"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color w:val="000000"/>
                <w:sz w:val="20"/>
                <w:szCs w:val="20"/>
                <w:lang w:eastAsia="en-GB"/>
              </w:rPr>
            </w:pPr>
            <w:r w:rsidRPr="00DE7DF1">
              <w:rPr>
                <w:rFonts w:ascii="Calibri" w:eastAsia="Calibri" w:hAnsi="Calibri" w:cs="Times New Roman"/>
                <w:color w:val="000000"/>
                <w:sz w:val="20"/>
                <w:szCs w:val="20"/>
                <w:lang w:val="en-US" w:eastAsia="en-GB"/>
              </w:rPr>
              <w:t>15</w:t>
            </w:r>
          </w:p>
        </w:tc>
        <w:tc>
          <w:tcPr>
            <w:tcW w:w="709"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color w:val="000000"/>
                <w:sz w:val="20"/>
                <w:szCs w:val="20"/>
                <w:lang w:eastAsia="en-GB"/>
              </w:rPr>
            </w:pPr>
            <w:r w:rsidRPr="00DE7DF1">
              <w:rPr>
                <w:rFonts w:ascii="Calibri" w:eastAsia="Calibri" w:hAnsi="Calibri" w:cs="Times New Roman"/>
                <w:color w:val="000000"/>
                <w:sz w:val="20"/>
                <w:szCs w:val="20"/>
                <w:lang w:val="en-US" w:eastAsia="en-GB"/>
              </w:rPr>
              <w:t>11</w:t>
            </w:r>
          </w:p>
        </w:tc>
        <w:tc>
          <w:tcPr>
            <w:tcW w:w="709"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color w:val="000000"/>
                <w:sz w:val="20"/>
                <w:szCs w:val="20"/>
                <w:lang w:eastAsia="en-GB"/>
              </w:rPr>
            </w:pPr>
            <w:r w:rsidRPr="00DE7DF1">
              <w:rPr>
                <w:rFonts w:ascii="Calibri" w:eastAsia="Calibri" w:hAnsi="Calibri" w:cs="Times New Roman"/>
                <w:color w:val="000000"/>
                <w:sz w:val="20"/>
                <w:szCs w:val="20"/>
                <w:lang w:val="en-US" w:eastAsia="en-GB"/>
              </w:rPr>
              <w:t>4</w:t>
            </w:r>
          </w:p>
        </w:tc>
        <w:tc>
          <w:tcPr>
            <w:tcW w:w="17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color w:val="000000"/>
                <w:sz w:val="20"/>
                <w:szCs w:val="20"/>
                <w:lang w:eastAsia="en-GB"/>
              </w:rPr>
            </w:pPr>
            <w:r w:rsidRPr="00DE7DF1">
              <w:rPr>
                <w:rFonts w:ascii="Calibri" w:eastAsia="Calibri" w:hAnsi="Calibri" w:cs="Times New Roman"/>
                <w:color w:val="000000"/>
                <w:sz w:val="20"/>
                <w:szCs w:val="20"/>
                <w:lang w:val="en-US" w:eastAsia="en-GB"/>
              </w:rPr>
              <w:t>9</w:t>
            </w:r>
          </w:p>
        </w:tc>
      </w:tr>
      <w:tr w:rsidR="00282E35" w:rsidRPr="00DE7DF1" w:rsidTr="002D4909">
        <w:trPr>
          <w:trHeight w:val="315"/>
        </w:trPr>
        <w:tc>
          <w:tcPr>
            <w:tcW w:w="2695" w:type="dxa"/>
            <w:tcBorders>
              <w:top w:val="nil"/>
              <w:left w:val="single" w:sz="8" w:space="0" w:color="auto"/>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rPr>
                <w:rFonts w:ascii="Calibri" w:eastAsia="Calibri" w:hAnsi="Calibri" w:cs="Times New Roman"/>
                <w:color w:val="000000"/>
                <w:sz w:val="20"/>
                <w:szCs w:val="20"/>
                <w:lang w:eastAsia="en-GB"/>
              </w:rPr>
            </w:pPr>
            <w:r w:rsidRPr="00DE7DF1">
              <w:rPr>
                <w:rFonts w:ascii="Calibri" w:eastAsia="Calibri" w:hAnsi="Calibri" w:cs="Times New Roman"/>
                <w:color w:val="000000"/>
                <w:sz w:val="20"/>
                <w:szCs w:val="20"/>
                <w:lang w:eastAsia="en-GB"/>
              </w:rPr>
              <w:t>%</w:t>
            </w:r>
          </w:p>
        </w:tc>
        <w:tc>
          <w:tcPr>
            <w:tcW w:w="622"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b/>
                <w:bCs/>
                <w:color w:val="000000"/>
                <w:sz w:val="20"/>
                <w:szCs w:val="20"/>
                <w:lang w:eastAsia="en-GB"/>
              </w:rPr>
            </w:pPr>
            <w:r w:rsidRPr="00DE7DF1">
              <w:rPr>
                <w:rFonts w:ascii="Calibri" w:eastAsia="Calibri" w:hAnsi="Calibri" w:cs="Times New Roman"/>
                <w:b/>
                <w:bCs/>
                <w:color w:val="000000"/>
                <w:sz w:val="20"/>
                <w:szCs w:val="20"/>
                <w:lang w:eastAsia="en-GB"/>
              </w:rPr>
              <w:t>1%</w:t>
            </w:r>
          </w:p>
        </w:tc>
        <w:tc>
          <w:tcPr>
            <w:tcW w:w="6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b/>
                <w:bCs/>
                <w:color w:val="000000"/>
                <w:sz w:val="20"/>
                <w:szCs w:val="20"/>
                <w:lang w:eastAsia="en-GB"/>
              </w:rPr>
            </w:pPr>
            <w:r w:rsidRPr="00DE7DF1">
              <w:rPr>
                <w:rFonts w:ascii="Calibri" w:eastAsia="Calibri" w:hAnsi="Calibri" w:cs="Times New Roman"/>
                <w:b/>
                <w:bCs/>
                <w:color w:val="000000"/>
                <w:sz w:val="20"/>
                <w:szCs w:val="20"/>
                <w:lang w:eastAsia="en-GB"/>
              </w:rPr>
              <w:t>3%</w:t>
            </w:r>
          </w:p>
        </w:tc>
        <w:tc>
          <w:tcPr>
            <w:tcW w:w="622"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b/>
                <w:bCs/>
                <w:color w:val="000000"/>
                <w:sz w:val="20"/>
                <w:szCs w:val="20"/>
                <w:lang w:eastAsia="en-GB"/>
              </w:rPr>
            </w:pPr>
            <w:r w:rsidRPr="00DE7DF1">
              <w:rPr>
                <w:rFonts w:ascii="Calibri" w:eastAsia="Calibri" w:hAnsi="Calibri" w:cs="Times New Roman"/>
                <w:b/>
                <w:bCs/>
                <w:color w:val="000000"/>
                <w:sz w:val="20"/>
                <w:szCs w:val="20"/>
                <w:lang w:eastAsia="en-GB"/>
              </w:rPr>
              <w:t>3%</w:t>
            </w:r>
          </w:p>
        </w:tc>
        <w:tc>
          <w:tcPr>
            <w:tcW w:w="709"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b/>
                <w:bCs/>
                <w:color w:val="000000"/>
                <w:sz w:val="20"/>
                <w:szCs w:val="20"/>
                <w:lang w:eastAsia="en-GB"/>
              </w:rPr>
            </w:pPr>
            <w:r w:rsidRPr="00DE7DF1">
              <w:rPr>
                <w:rFonts w:ascii="Calibri" w:eastAsia="Calibri" w:hAnsi="Calibri" w:cs="Times New Roman"/>
                <w:b/>
                <w:bCs/>
                <w:color w:val="000000"/>
                <w:sz w:val="20"/>
                <w:szCs w:val="20"/>
                <w:lang w:eastAsia="en-GB"/>
              </w:rPr>
              <w:t>6%</w:t>
            </w:r>
          </w:p>
        </w:tc>
        <w:tc>
          <w:tcPr>
            <w:tcW w:w="709"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b/>
                <w:bCs/>
                <w:color w:val="000000"/>
                <w:sz w:val="20"/>
                <w:szCs w:val="20"/>
                <w:lang w:eastAsia="en-GB"/>
              </w:rPr>
            </w:pPr>
            <w:r w:rsidRPr="00DE7DF1">
              <w:rPr>
                <w:rFonts w:ascii="Calibri" w:eastAsia="Calibri" w:hAnsi="Calibri" w:cs="Times New Roman"/>
                <w:b/>
                <w:bCs/>
                <w:color w:val="000000"/>
                <w:sz w:val="20"/>
                <w:szCs w:val="20"/>
                <w:lang w:eastAsia="en-GB"/>
              </w:rPr>
              <w:t>5%</w:t>
            </w:r>
          </w:p>
        </w:tc>
        <w:tc>
          <w:tcPr>
            <w:tcW w:w="709"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b/>
                <w:bCs/>
                <w:color w:val="000000"/>
                <w:sz w:val="20"/>
                <w:szCs w:val="20"/>
                <w:lang w:eastAsia="en-GB"/>
              </w:rPr>
            </w:pPr>
            <w:r w:rsidRPr="00DE7DF1">
              <w:rPr>
                <w:rFonts w:ascii="Calibri" w:eastAsia="Calibri" w:hAnsi="Calibri" w:cs="Times New Roman"/>
                <w:b/>
                <w:bCs/>
                <w:color w:val="000000"/>
                <w:sz w:val="20"/>
                <w:szCs w:val="20"/>
                <w:lang w:eastAsia="en-GB"/>
              </w:rPr>
              <w:t>2%</w:t>
            </w:r>
          </w:p>
        </w:tc>
        <w:tc>
          <w:tcPr>
            <w:tcW w:w="17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rsidR="00282E35" w:rsidRPr="00DE7DF1" w:rsidRDefault="00282E35" w:rsidP="00E50C61">
            <w:pPr>
              <w:spacing w:after="0" w:line="240" w:lineRule="auto"/>
              <w:jc w:val="center"/>
              <w:rPr>
                <w:rFonts w:ascii="Calibri" w:eastAsia="Calibri" w:hAnsi="Calibri" w:cs="Times New Roman"/>
                <w:color w:val="000000"/>
                <w:sz w:val="20"/>
                <w:szCs w:val="20"/>
                <w:lang w:eastAsia="en-GB"/>
              </w:rPr>
            </w:pPr>
            <w:r w:rsidRPr="00DE7DF1">
              <w:rPr>
                <w:rFonts w:ascii="Calibri" w:eastAsia="Calibri" w:hAnsi="Calibri" w:cs="Times New Roman"/>
                <w:color w:val="000000"/>
                <w:sz w:val="20"/>
                <w:szCs w:val="20"/>
                <w:lang w:eastAsia="en-GB"/>
              </w:rPr>
              <w:t> </w:t>
            </w:r>
          </w:p>
        </w:tc>
      </w:tr>
    </w:tbl>
    <w:p w:rsidR="00282E35" w:rsidRPr="00BD695A" w:rsidRDefault="00282E35" w:rsidP="00BD695A">
      <w:pPr>
        <w:pStyle w:val="NoSpacing"/>
      </w:pPr>
      <w:r w:rsidRPr="00BD695A">
        <w:t xml:space="preserve">Source: Data extract from ICS data pulled 28 February 2015           </w:t>
      </w:r>
    </w:p>
    <w:p w:rsidR="00282E35" w:rsidRPr="001F18DE" w:rsidRDefault="00282E35" w:rsidP="00282E35">
      <w:pPr>
        <w:pStyle w:val="Heading3"/>
        <w:keepNext w:val="0"/>
        <w:keepLines w:val="0"/>
        <w:spacing w:line="271" w:lineRule="auto"/>
      </w:pPr>
      <w:r w:rsidRPr="001F18DE">
        <w:t>Looked After Children (LAC)</w:t>
      </w:r>
    </w:p>
    <w:p w:rsidR="00282E35" w:rsidRPr="00B37020" w:rsidRDefault="00282E35" w:rsidP="00282E35">
      <w:pPr>
        <w:pStyle w:val="NoSpacing"/>
        <w:jc w:val="both"/>
        <w:rPr>
          <w:sz w:val="22"/>
          <w:szCs w:val="22"/>
        </w:rPr>
      </w:pPr>
      <w:r w:rsidRPr="00B37020">
        <w:rPr>
          <w:sz w:val="22"/>
          <w:szCs w:val="22"/>
        </w:rPr>
        <w:lastRenderedPageBreak/>
        <w:t>Barnet’s rate of Looked After Children per 10,000 children under 18 is low when comp</w:t>
      </w:r>
      <w:r w:rsidR="00BD695A">
        <w:rPr>
          <w:sz w:val="22"/>
          <w:szCs w:val="22"/>
        </w:rPr>
        <w:t xml:space="preserve">ared to London, England, and </w:t>
      </w:r>
      <w:r w:rsidRPr="00B37020">
        <w:rPr>
          <w:sz w:val="22"/>
          <w:szCs w:val="22"/>
        </w:rPr>
        <w:t xml:space="preserve">statistical neighbours. The numbers of LAC over the past </w:t>
      </w:r>
      <w:r w:rsidR="00BD695A">
        <w:rPr>
          <w:sz w:val="22"/>
          <w:szCs w:val="22"/>
        </w:rPr>
        <w:t>seven</w:t>
      </w:r>
      <w:r w:rsidRPr="00B37020">
        <w:rPr>
          <w:sz w:val="22"/>
          <w:szCs w:val="22"/>
        </w:rPr>
        <w:t xml:space="preserve"> years has remained relatively stable</w:t>
      </w:r>
      <w:r w:rsidR="00BD695A">
        <w:rPr>
          <w:sz w:val="22"/>
          <w:szCs w:val="22"/>
        </w:rPr>
        <w:t>,</w:t>
      </w:r>
      <w:r w:rsidRPr="00B37020">
        <w:rPr>
          <w:sz w:val="22"/>
          <w:szCs w:val="22"/>
        </w:rPr>
        <w:t xml:space="preserve"> with an average of 308 children. In 2014, Barnet had a rate of 36 children in care per 10,000.  </w:t>
      </w:r>
    </w:p>
    <w:p w:rsidR="00282E35" w:rsidRPr="00B37020" w:rsidRDefault="00282E35" w:rsidP="00282E35">
      <w:pPr>
        <w:pStyle w:val="NoSpacing"/>
        <w:rPr>
          <w:sz w:val="22"/>
          <w:szCs w:val="22"/>
        </w:rPr>
      </w:pPr>
    </w:p>
    <w:p w:rsidR="00282E35" w:rsidRPr="00B37020" w:rsidRDefault="00282E35" w:rsidP="00282E35">
      <w:pPr>
        <w:pStyle w:val="NoSpacing"/>
        <w:jc w:val="both"/>
        <w:rPr>
          <w:sz w:val="22"/>
          <w:szCs w:val="22"/>
        </w:rPr>
      </w:pPr>
      <w:r w:rsidRPr="00B37020">
        <w:rPr>
          <w:sz w:val="22"/>
          <w:szCs w:val="22"/>
        </w:rPr>
        <w:t xml:space="preserve">The trend over the past ten years shows Barnet’s rate gradually reducing year on year, from a rate similar to England to a rate significantly lower.  Barnet’s rate of Looked After Children (36 children per 10,000 under 18) is low when compared to London, England, and </w:t>
      </w:r>
      <w:r w:rsidR="00BD695A">
        <w:rPr>
          <w:sz w:val="22"/>
          <w:szCs w:val="22"/>
        </w:rPr>
        <w:t>s</w:t>
      </w:r>
      <w:r w:rsidRPr="00B37020">
        <w:rPr>
          <w:sz w:val="22"/>
          <w:szCs w:val="22"/>
        </w:rPr>
        <w:t xml:space="preserve">tatistical </w:t>
      </w:r>
      <w:r w:rsidR="00BD695A">
        <w:rPr>
          <w:sz w:val="22"/>
          <w:szCs w:val="22"/>
        </w:rPr>
        <w:t>n</w:t>
      </w:r>
      <w:r w:rsidRPr="00B37020">
        <w:rPr>
          <w:sz w:val="22"/>
          <w:szCs w:val="22"/>
        </w:rPr>
        <w:t>eighbours. This suggests that children in Barnet are suppor</w:t>
      </w:r>
      <w:r w:rsidR="00BD695A">
        <w:rPr>
          <w:sz w:val="22"/>
          <w:szCs w:val="22"/>
        </w:rPr>
        <w:t>ted effectively to remain with</w:t>
      </w:r>
      <w:r w:rsidRPr="00B37020">
        <w:rPr>
          <w:sz w:val="22"/>
          <w:szCs w:val="22"/>
        </w:rPr>
        <w:t xml:space="preserve"> their families, where possible. </w:t>
      </w:r>
      <w:r w:rsidRPr="00B37020">
        <w:rPr>
          <w:rFonts w:cs="TT3DD0o00"/>
          <w:sz w:val="22"/>
          <w:szCs w:val="22"/>
        </w:rPr>
        <w:t>However, i</w:t>
      </w:r>
      <w:r w:rsidR="00BD695A">
        <w:rPr>
          <w:rFonts w:cs="TT3DD0o00"/>
          <w:sz w:val="22"/>
          <w:szCs w:val="22"/>
        </w:rPr>
        <w:t>n relation to actual number of L</w:t>
      </w:r>
      <w:r w:rsidRPr="00B37020">
        <w:rPr>
          <w:rFonts w:cs="TT3DD0o00"/>
          <w:sz w:val="22"/>
          <w:szCs w:val="22"/>
        </w:rPr>
        <w:t>ooked</w:t>
      </w:r>
      <w:r w:rsidR="00BD695A">
        <w:rPr>
          <w:rFonts w:cs="TT3DD0o00"/>
          <w:sz w:val="22"/>
          <w:szCs w:val="22"/>
        </w:rPr>
        <w:t xml:space="preserve"> After C</w:t>
      </w:r>
      <w:r w:rsidRPr="00B37020">
        <w:rPr>
          <w:rFonts w:cs="TT3DD0o00"/>
          <w:sz w:val="22"/>
          <w:szCs w:val="22"/>
        </w:rPr>
        <w:t>hildren, as opposed to the rate, Barnet has one of the highest numbers</w:t>
      </w:r>
      <w:r w:rsidR="00BD695A">
        <w:rPr>
          <w:rFonts w:cs="TT3DD0o00"/>
          <w:sz w:val="22"/>
          <w:szCs w:val="22"/>
        </w:rPr>
        <w:t xml:space="preserve">. </w:t>
      </w:r>
      <w:r w:rsidR="00DD3A76">
        <w:rPr>
          <w:rFonts w:cs="TT3DD0o00"/>
          <w:sz w:val="22"/>
          <w:szCs w:val="22"/>
        </w:rPr>
        <w:t>This</w:t>
      </w:r>
      <w:r w:rsidR="00BD695A">
        <w:rPr>
          <w:rFonts w:cs="TT3DD0o00"/>
          <w:sz w:val="22"/>
          <w:szCs w:val="22"/>
        </w:rPr>
        <w:t xml:space="preserve"> is due to the Borough’s </w:t>
      </w:r>
      <w:r w:rsidRPr="00B37020">
        <w:rPr>
          <w:rFonts w:cs="TT3DD0o00"/>
          <w:sz w:val="22"/>
          <w:szCs w:val="22"/>
        </w:rPr>
        <w:t xml:space="preserve">population size, </w:t>
      </w:r>
      <w:r w:rsidRPr="00B37020">
        <w:rPr>
          <w:sz w:val="22"/>
          <w:szCs w:val="22"/>
        </w:rPr>
        <w:t>which is predicted to be the highest in London in 2015.</w:t>
      </w:r>
    </w:p>
    <w:p w:rsidR="00282E35" w:rsidRDefault="00282E35" w:rsidP="00282E35">
      <w:pPr>
        <w:pStyle w:val="NoSpacing"/>
      </w:pPr>
    </w:p>
    <w:p w:rsidR="00282E35" w:rsidRDefault="00282E35" w:rsidP="002D4909">
      <w:pPr>
        <w:pStyle w:val="Caption"/>
        <w:spacing w:after="0"/>
        <w:rPr>
          <w:b w:val="0"/>
          <w:i/>
          <w:noProof/>
          <w:lang w:eastAsia="en-GB"/>
        </w:rPr>
      </w:pPr>
      <w:r>
        <w:rPr>
          <w:noProof/>
          <w:lang w:eastAsia="en-GB"/>
        </w:rPr>
        <w:drawing>
          <wp:anchor distT="0" distB="0" distL="114300" distR="114300" simplePos="0" relativeHeight="251816960" behindDoc="1" locked="0" layoutInCell="1" allowOverlap="1" wp14:anchorId="34C36CCC" wp14:editId="4831A434">
            <wp:simplePos x="0" y="0"/>
            <wp:positionH relativeFrom="column">
              <wp:posOffset>38100</wp:posOffset>
            </wp:positionH>
            <wp:positionV relativeFrom="paragraph">
              <wp:posOffset>186690</wp:posOffset>
            </wp:positionV>
            <wp:extent cx="5705475" cy="1790700"/>
            <wp:effectExtent l="0" t="0" r="9525" b="19050"/>
            <wp:wrapTight wrapText="bothSides">
              <wp:wrapPolygon edited="0">
                <wp:start x="0" y="0"/>
                <wp:lineTo x="0" y="21600"/>
                <wp:lineTo x="21564" y="21600"/>
                <wp:lineTo x="21564" y="0"/>
                <wp:lineTo x="0" y="0"/>
              </wp:wrapPolygon>
            </wp:wrapTight>
            <wp:docPr id="101" name="Chart 10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14:sizeRelH relativeFrom="page">
              <wp14:pctWidth>0</wp14:pctWidth>
            </wp14:sizeRelH>
            <wp14:sizeRelV relativeFrom="page">
              <wp14:pctHeight>0</wp14:pctHeight>
            </wp14:sizeRelV>
          </wp:anchor>
        </w:drawing>
      </w:r>
      <w:r>
        <w:t xml:space="preserve">Figure </w:t>
      </w:r>
      <w:fldSimple w:instr=" STYLEREF 1 \s ">
        <w:r w:rsidR="001663C2">
          <w:rPr>
            <w:noProof/>
          </w:rPr>
          <w:t>8</w:t>
        </w:r>
      </w:fldSimple>
      <w:r w:rsidR="00943DC2">
        <w:noBreakHyphen/>
      </w:r>
      <w:fldSimple w:instr=" SEQ Figure \* ARABIC \s 1 ">
        <w:r w:rsidR="001663C2">
          <w:rPr>
            <w:noProof/>
          </w:rPr>
          <w:t>10</w:t>
        </w:r>
      </w:fldSimple>
      <w:r>
        <w:t xml:space="preserve">: </w:t>
      </w:r>
      <w:r w:rsidRPr="0002735D">
        <w:rPr>
          <w:noProof/>
          <w:lang w:eastAsia="en-GB"/>
        </w:rPr>
        <w:t>Looked After Children per 10,000</w:t>
      </w:r>
    </w:p>
    <w:p w:rsidR="00282E35" w:rsidRDefault="00282E35" w:rsidP="002D4909">
      <w:pPr>
        <w:spacing w:after="0" w:line="240" w:lineRule="auto"/>
      </w:pPr>
      <w:r>
        <w:t>Source: LAIT</w:t>
      </w:r>
    </w:p>
    <w:p w:rsidR="002D4909" w:rsidRPr="001F18DE" w:rsidRDefault="002D4909" w:rsidP="002D4909">
      <w:pPr>
        <w:spacing w:after="0" w:line="240" w:lineRule="auto"/>
        <w:rPr>
          <w:b/>
          <w:i/>
          <w:noProof/>
          <w:lang w:eastAsia="en-GB"/>
        </w:rPr>
      </w:pPr>
    </w:p>
    <w:p w:rsidR="00282E35" w:rsidRPr="00255393" w:rsidRDefault="00282E35" w:rsidP="00282E35">
      <w:pPr>
        <w:jc w:val="both"/>
        <w:rPr>
          <w:iCs/>
        </w:rPr>
      </w:pPr>
      <w:r w:rsidRPr="009A1C8B">
        <w:t xml:space="preserve">The most common ethnicity for Barnet’s Looked After Children is White </w:t>
      </w:r>
      <w:r w:rsidR="00A07ABC">
        <w:t>(</w:t>
      </w:r>
      <w:r w:rsidRPr="009A1C8B">
        <w:t>49%</w:t>
      </w:r>
      <w:r w:rsidR="00A07ABC">
        <w:t>)</w:t>
      </w:r>
      <w:r w:rsidRPr="009A1C8B">
        <w:t xml:space="preserve">, followed by Mixed and Black </w:t>
      </w:r>
      <w:r w:rsidR="00A07ABC">
        <w:t>or Black British ethnicity</w:t>
      </w:r>
      <w:r>
        <w:t xml:space="preserve"> </w:t>
      </w:r>
      <w:r w:rsidR="00A07ABC">
        <w:t>(</w:t>
      </w:r>
      <w:r w:rsidRPr="009A1C8B">
        <w:t>18%</w:t>
      </w:r>
      <w:r w:rsidR="00A07ABC">
        <w:t>)</w:t>
      </w:r>
      <w:r w:rsidRPr="009A1C8B">
        <w:t>.</w:t>
      </w:r>
      <w:r w:rsidRPr="009A1C8B">
        <w:rPr>
          <w:b/>
        </w:rPr>
        <w:t xml:space="preserve"> </w:t>
      </w:r>
      <w:r w:rsidRPr="009A1C8B">
        <w:rPr>
          <w:iCs/>
        </w:rPr>
        <w:t>Barnet and London both have a much lower proportion of White children in care than across England</w:t>
      </w:r>
      <w:r w:rsidR="00A07ABC">
        <w:rPr>
          <w:iCs/>
        </w:rPr>
        <w:t>,</w:t>
      </w:r>
      <w:r w:rsidRPr="009A1C8B">
        <w:rPr>
          <w:iCs/>
        </w:rPr>
        <w:t xml:space="preserve"> shown in Figure 3 below, which reflects the </w:t>
      </w:r>
      <w:r w:rsidRPr="00354BF7">
        <w:rPr>
          <w:iCs/>
        </w:rPr>
        <w:t>more ethnically diverse population across London. Compared to London, Barnet has a slightly higher proportion of Mixed and White Children in Care, and slightly lower proportions of Black or Asian Children.</w:t>
      </w:r>
    </w:p>
    <w:p w:rsidR="00282E35" w:rsidRPr="005B40CD" w:rsidRDefault="00282E35" w:rsidP="00282E35">
      <w:pPr>
        <w:pStyle w:val="Caption"/>
        <w:rPr>
          <w:iCs/>
        </w:rPr>
      </w:pPr>
      <w:r>
        <w:t xml:space="preserve">Table </w:t>
      </w:r>
      <w:fldSimple w:instr=" STYLEREF 1 \s ">
        <w:r w:rsidR="001663C2">
          <w:rPr>
            <w:noProof/>
          </w:rPr>
          <w:t>8</w:t>
        </w:r>
      </w:fldSimple>
      <w:r>
        <w:noBreakHyphen/>
      </w:r>
      <w:fldSimple w:instr=" SEQ Table \* ARABIC \s 1 ">
        <w:r w:rsidR="001663C2">
          <w:rPr>
            <w:noProof/>
          </w:rPr>
          <w:t>11</w:t>
        </w:r>
      </w:fldSimple>
      <w:r w:rsidRPr="005904A7">
        <w:rPr>
          <w:b w:val="0"/>
        </w:rPr>
        <w:t xml:space="preserve">: </w:t>
      </w:r>
      <w:r w:rsidRPr="005904A7">
        <w:rPr>
          <w:iCs/>
        </w:rPr>
        <w:t>Ethnicity of Barnet’s Looked After Children</w:t>
      </w:r>
    </w:p>
    <w:tbl>
      <w:tblPr>
        <w:tblStyle w:val="MediumGrid3-Accent3"/>
        <w:tblW w:w="6568" w:type="dxa"/>
        <w:jc w:val="center"/>
        <w:tblInd w:w="30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74"/>
        <w:gridCol w:w="1560"/>
        <w:gridCol w:w="1134"/>
      </w:tblGrid>
      <w:tr w:rsidR="00282E35" w:rsidRPr="00933638" w:rsidTr="00E50C6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74" w:type="dxa"/>
            <w:tcBorders>
              <w:top w:val="none" w:sz="0" w:space="0" w:color="auto"/>
              <w:left w:val="none" w:sz="0" w:space="0" w:color="auto"/>
              <w:bottom w:val="none" w:sz="0" w:space="0" w:color="auto"/>
              <w:right w:val="none" w:sz="0" w:space="0" w:color="auto"/>
            </w:tcBorders>
            <w:shd w:val="clear" w:color="auto" w:fill="BFBFBF" w:themeFill="background1" w:themeFillShade="BF"/>
            <w:vAlign w:val="center"/>
          </w:tcPr>
          <w:p w:rsidR="00282E35" w:rsidRPr="00933638" w:rsidRDefault="00282E35" w:rsidP="00E50C61">
            <w:pPr>
              <w:jc w:val="center"/>
              <w:rPr>
                <w:rFonts w:asciiTheme="minorHAnsi" w:eastAsiaTheme="minorHAnsi" w:hAnsiTheme="minorHAnsi" w:cstheme="minorBidi"/>
                <w:bCs w:val="0"/>
                <w:iCs/>
                <w:color w:val="auto"/>
                <w:sz w:val="22"/>
                <w:szCs w:val="22"/>
                <w:lang w:val="en-GB"/>
              </w:rPr>
            </w:pPr>
            <w:r w:rsidRPr="00933638">
              <w:rPr>
                <w:rFonts w:asciiTheme="minorHAnsi" w:eastAsiaTheme="minorHAnsi" w:hAnsiTheme="minorHAnsi" w:cstheme="minorBidi"/>
                <w:bCs w:val="0"/>
                <w:iCs/>
                <w:color w:val="auto"/>
                <w:sz w:val="22"/>
                <w:szCs w:val="22"/>
                <w:lang w:val="en-GB"/>
              </w:rPr>
              <w:t>Ethnicity as at 28 February 2015</w:t>
            </w:r>
          </w:p>
        </w:tc>
        <w:tc>
          <w:tcPr>
            <w:tcW w:w="1560" w:type="dxa"/>
            <w:tcBorders>
              <w:top w:val="none" w:sz="0" w:space="0" w:color="auto"/>
              <w:left w:val="none" w:sz="0" w:space="0" w:color="auto"/>
              <w:bottom w:val="none" w:sz="0" w:space="0" w:color="auto"/>
              <w:right w:val="none" w:sz="0" w:space="0" w:color="auto"/>
            </w:tcBorders>
            <w:shd w:val="clear" w:color="auto" w:fill="BFBFBF" w:themeFill="background1" w:themeFillShade="BF"/>
            <w:vAlign w:val="center"/>
          </w:tcPr>
          <w:p w:rsidR="00282E35" w:rsidRPr="00933638" w:rsidRDefault="00282E35" w:rsidP="00E50C61">
            <w:pPr>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bCs w:val="0"/>
                <w:iCs/>
                <w:color w:val="auto"/>
                <w:sz w:val="22"/>
                <w:szCs w:val="22"/>
                <w:lang w:val="en-GB"/>
              </w:rPr>
            </w:pPr>
            <w:r w:rsidRPr="00933638">
              <w:rPr>
                <w:rFonts w:asciiTheme="minorHAnsi" w:eastAsiaTheme="minorHAnsi" w:hAnsiTheme="minorHAnsi" w:cstheme="minorBidi"/>
                <w:bCs w:val="0"/>
                <w:iCs/>
                <w:color w:val="auto"/>
                <w:sz w:val="22"/>
                <w:szCs w:val="22"/>
                <w:lang w:val="en-GB"/>
              </w:rPr>
              <w:t>Number of Children</w:t>
            </w:r>
          </w:p>
        </w:tc>
        <w:tc>
          <w:tcPr>
            <w:tcW w:w="1134" w:type="dxa"/>
            <w:tcBorders>
              <w:top w:val="none" w:sz="0" w:space="0" w:color="auto"/>
              <w:left w:val="none" w:sz="0" w:space="0" w:color="auto"/>
              <w:bottom w:val="none" w:sz="0" w:space="0" w:color="auto"/>
              <w:right w:val="none" w:sz="0" w:space="0" w:color="auto"/>
            </w:tcBorders>
            <w:shd w:val="clear" w:color="auto" w:fill="BFBFBF" w:themeFill="background1" w:themeFillShade="BF"/>
            <w:vAlign w:val="center"/>
          </w:tcPr>
          <w:p w:rsidR="00282E35" w:rsidRPr="00933638" w:rsidRDefault="00282E35" w:rsidP="00E50C61">
            <w:pPr>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bCs w:val="0"/>
                <w:iCs/>
                <w:color w:val="auto"/>
                <w:sz w:val="22"/>
                <w:szCs w:val="22"/>
                <w:lang w:val="en-GB"/>
              </w:rPr>
            </w:pPr>
            <w:r w:rsidRPr="00933638">
              <w:rPr>
                <w:rFonts w:asciiTheme="minorHAnsi" w:eastAsiaTheme="minorHAnsi" w:hAnsiTheme="minorHAnsi" w:cstheme="minorBidi"/>
                <w:bCs w:val="0"/>
                <w:iCs/>
                <w:color w:val="auto"/>
                <w:sz w:val="22"/>
                <w:szCs w:val="22"/>
                <w:lang w:val="en-GB"/>
              </w:rPr>
              <w:t>%</w:t>
            </w:r>
          </w:p>
        </w:tc>
      </w:tr>
      <w:tr w:rsidR="00282E35" w:rsidRPr="00933638" w:rsidTr="00E50C6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74" w:type="dxa"/>
            <w:tcBorders>
              <w:top w:val="none" w:sz="0" w:space="0" w:color="auto"/>
              <w:left w:val="none" w:sz="0" w:space="0" w:color="auto"/>
              <w:bottom w:val="none" w:sz="0" w:space="0" w:color="auto"/>
              <w:right w:val="none" w:sz="0" w:space="0" w:color="auto"/>
            </w:tcBorders>
            <w:shd w:val="clear" w:color="auto" w:fill="auto"/>
            <w:vAlign w:val="center"/>
          </w:tcPr>
          <w:p w:rsidR="00282E35" w:rsidRPr="00933638" w:rsidRDefault="00282E35" w:rsidP="00E50C61">
            <w:pPr>
              <w:jc w:val="center"/>
              <w:rPr>
                <w:rFonts w:asciiTheme="minorHAnsi" w:eastAsiaTheme="minorHAnsi" w:hAnsiTheme="minorHAnsi" w:cstheme="minorBidi"/>
                <w:b w:val="0"/>
                <w:bCs w:val="0"/>
                <w:iCs/>
                <w:color w:val="auto"/>
                <w:sz w:val="22"/>
                <w:szCs w:val="22"/>
                <w:lang w:val="en-GB"/>
              </w:rPr>
            </w:pPr>
            <w:r w:rsidRPr="00933638">
              <w:rPr>
                <w:rFonts w:asciiTheme="minorHAnsi" w:eastAsiaTheme="minorHAnsi" w:hAnsiTheme="minorHAnsi" w:cstheme="minorBidi"/>
                <w:b w:val="0"/>
                <w:bCs w:val="0"/>
                <w:iCs/>
                <w:color w:val="auto"/>
                <w:sz w:val="22"/>
                <w:szCs w:val="22"/>
                <w:lang w:val="en-GB"/>
              </w:rPr>
              <w:t>White</w:t>
            </w:r>
          </w:p>
        </w:tc>
        <w:tc>
          <w:tcPr>
            <w:tcW w:w="1560" w:type="dxa"/>
            <w:tcBorders>
              <w:top w:val="none" w:sz="0" w:space="0" w:color="auto"/>
              <w:left w:val="none" w:sz="0" w:space="0" w:color="auto"/>
              <w:bottom w:val="none" w:sz="0" w:space="0" w:color="auto"/>
              <w:right w:val="none" w:sz="0" w:space="0" w:color="auto"/>
            </w:tcBorders>
            <w:shd w:val="clear" w:color="auto" w:fill="auto"/>
            <w:vAlign w:val="center"/>
          </w:tcPr>
          <w:p w:rsidR="00282E35" w:rsidRPr="00933638" w:rsidRDefault="00282E35" w:rsidP="00E50C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iCs/>
                <w:sz w:val="22"/>
                <w:szCs w:val="22"/>
                <w:lang w:val="en-GB"/>
              </w:rPr>
            </w:pPr>
            <w:r w:rsidRPr="00933638">
              <w:rPr>
                <w:rFonts w:asciiTheme="minorHAnsi" w:eastAsiaTheme="minorHAnsi" w:hAnsiTheme="minorHAnsi" w:cstheme="minorBidi"/>
                <w:iCs/>
                <w:sz w:val="22"/>
                <w:szCs w:val="22"/>
                <w:lang w:val="en-GB"/>
              </w:rPr>
              <w:t>148</w:t>
            </w:r>
          </w:p>
        </w:tc>
        <w:tc>
          <w:tcPr>
            <w:tcW w:w="1134" w:type="dxa"/>
            <w:tcBorders>
              <w:top w:val="none" w:sz="0" w:space="0" w:color="auto"/>
              <w:left w:val="none" w:sz="0" w:space="0" w:color="auto"/>
              <w:bottom w:val="none" w:sz="0" w:space="0" w:color="auto"/>
              <w:right w:val="none" w:sz="0" w:space="0" w:color="auto"/>
            </w:tcBorders>
            <w:shd w:val="clear" w:color="auto" w:fill="auto"/>
            <w:vAlign w:val="center"/>
          </w:tcPr>
          <w:p w:rsidR="00282E35" w:rsidRPr="00933638" w:rsidRDefault="00282E35" w:rsidP="00E50C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iCs/>
                <w:sz w:val="22"/>
                <w:szCs w:val="22"/>
                <w:lang w:val="en-GB"/>
              </w:rPr>
            </w:pPr>
            <w:r w:rsidRPr="00933638">
              <w:rPr>
                <w:rFonts w:asciiTheme="minorHAnsi" w:eastAsiaTheme="minorHAnsi" w:hAnsiTheme="minorHAnsi" w:cstheme="minorBidi"/>
                <w:iCs/>
                <w:sz w:val="22"/>
                <w:szCs w:val="22"/>
                <w:lang w:val="en-GB"/>
              </w:rPr>
              <w:t>48%</w:t>
            </w:r>
          </w:p>
        </w:tc>
      </w:tr>
      <w:tr w:rsidR="00282E35" w:rsidRPr="00933638" w:rsidTr="00E50C61">
        <w:trPr>
          <w:jc w:val="center"/>
        </w:trPr>
        <w:tc>
          <w:tcPr>
            <w:cnfStyle w:val="001000000000" w:firstRow="0" w:lastRow="0" w:firstColumn="1" w:lastColumn="0" w:oddVBand="0" w:evenVBand="0" w:oddHBand="0" w:evenHBand="0" w:firstRowFirstColumn="0" w:firstRowLastColumn="0" w:lastRowFirstColumn="0" w:lastRowLastColumn="0"/>
            <w:tcW w:w="3874" w:type="dxa"/>
            <w:tcBorders>
              <w:left w:val="none" w:sz="0" w:space="0" w:color="auto"/>
              <w:bottom w:val="none" w:sz="0" w:space="0" w:color="auto"/>
              <w:right w:val="none" w:sz="0" w:space="0" w:color="auto"/>
            </w:tcBorders>
            <w:shd w:val="clear" w:color="auto" w:fill="auto"/>
            <w:vAlign w:val="center"/>
          </w:tcPr>
          <w:p w:rsidR="00282E35" w:rsidRPr="00933638" w:rsidRDefault="00282E35" w:rsidP="00E50C61">
            <w:pPr>
              <w:jc w:val="center"/>
              <w:rPr>
                <w:rFonts w:asciiTheme="minorHAnsi" w:eastAsiaTheme="minorHAnsi" w:hAnsiTheme="minorHAnsi" w:cstheme="minorBidi"/>
                <w:b w:val="0"/>
                <w:bCs w:val="0"/>
                <w:iCs/>
                <w:color w:val="auto"/>
                <w:sz w:val="22"/>
                <w:szCs w:val="22"/>
                <w:lang w:val="en-GB"/>
              </w:rPr>
            </w:pPr>
            <w:r w:rsidRPr="00933638">
              <w:rPr>
                <w:rFonts w:asciiTheme="minorHAnsi" w:eastAsiaTheme="minorHAnsi" w:hAnsiTheme="minorHAnsi" w:cstheme="minorBidi"/>
                <w:b w:val="0"/>
                <w:bCs w:val="0"/>
                <w:iCs/>
                <w:color w:val="auto"/>
                <w:sz w:val="22"/>
                <w:szCs w:val="22"/>
                <w:lang w:val="en-GB"/>
              </w:rPr>
              <w:t>Mixed</w:t>
            </w:r>
          </w:p>
        </w:tc>
        <w:tc>
          <w:tcPr>
            <w:tcW w:w="1560" w:type="dxa"/>
            <w:shd w:val="clear" w:color="auto" w:fill="auto"/>
            <w:vAlign w:val="center"/>
          </w:tcPr>
          <w:p w:rsidR="00282E35" w:rsidRPr="00933638" w:rsidRDefault="00282E35" w:rsidP="00E50C61">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iCs/>
                <w:sz w:val="22"/>
                <w:szCs w:val="22"/>
                <w:lang w:val="en-GB"/>
              </w:rPr>
            </w:pPr>
            <w:r w:rsidRPr="00933638">
              <w:rPr>
                <w:rFonts w:asciiTheme="minorHAnsi" w:eastAsiaTheme="minorHAnsi" w:hAnsiTheme="minorHAnsi" w:cstheme="minorBidi"/>
                <w:iCs/>
                <w:sz w:val="22"/>
                <w:szCs w:val="22"/>
                <w:lang w:val="en-GB"/>
              </w:rPr>
              <w:t>56</w:t>
            </w:r>
          </w:p>
        </w:tc>
        <w:tc>
          <w:tcPr>
            <w:tcW w:w="1134" w:type="dxa"/>
            <w:shd w:val="clear" w:color="auto" w:fill="auto"/>
            <w:vAlign w:val="center"/>
          </w:tcPr>
          <w:p w:rsidR="00282E35" w:rsidRPr="00933638" w:rsidRDefault="00282E35" w:rsidP="00E50C61">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iCs/>
                <w:sz w:val="22"/>
                <w:szCs w:val="22"/>
                <w:lang w:val="en-GB"/>
              </w:rPr>
            </w:pPr>
            <w:r w:rsidRPr="00933638">
              <w:rPr>
                <w:rFonts w:asciiTheme="minorHAnsi" w:eastAsiaTheme="minorHAnsi" w:hAnsiTheme="minorHAnsi" w:cstheme="minorBidi"/>
                <w:iCs/>
                <w:sz w:val="22"/>
                <w:szCs w:val="22"/>
                <w:lang w:val="en-GB"/>
              </w:rPr>
              <w:t>18%</w:t>
            </w:r>
          </w:p>
        </w:tc>
      </w:tr>
      <w:tr w:rsidR="00282E35" w:rsidRPr="00933638" w:rsidTr="00E50C6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74" w:type="dxa"/>
            <w:tcBorders>
              <w:top w:val="none" w:sz="0" w:space="0" w:color="auto"/>
              <w:left w:val="none" w:sz="0" w:space="0" w:color="auto"/>
              <w:bottom w:val="none" w:sz="0" w:space="0" w:color="auto"/>
              <w:right w:val="none" w:sz="0" w:space="0" w:color="auto"/>
            </w:tcBorders>
            <w:shd w:val="clear" w:color="auto" w:fill="auto"/>
            <w:vAlign w:val="center"/>
          </w:tcPr>
          <w:p w:rsidR="00282E35" w:rsidRPr="00933638" w:rsidRDefault="00282E35" w:rsidP="00E50C61">
            <w:pPr>
              <w:jc w:val="center"/>
              <w:rPr>
                <w:rFonts w:asciiTheme="minorHAnsi" w:eastAsiaTheme="minorHAnsi" w:hAnsiTheme="minorHAnsi" w:cstheme="minorBidi"/>
                <w:b w:val="0"/>
                <w:bCs w:val="0"/>
                <w:iCs/>
                <w:color w:val="auto"/>
                <w:sz w:val="22"/>
                <w:szCs w:val="22"/>
                <w:lang w:val="en-GB"/>
              </w:rPr>
            </w:pPr>
            <w:r w:rsidRPr="00933638">
              <w:rPr>
                <w:rFonts w:asciiTheme="minorHAnsi" w:eastAsiaTheme="minorHAnsi" w:hAnsiTheme="minorHAnsi" w:cstheme="minorBidi"/>
                <w:b w:val="0"/>
                <w:bCs w:val="0"/>
                <w:iCs/>
                <w:color w:val="auto"/>
                <w:sz w:val="22"/>
                <w:szCs w:val="22"/>
                <w:lang w:val="en-GB"/>
              </w:rPr>
              <w:t>Black or Black British</w:t>
            </w:r>
          </w:p>
        </w:tc>
        <w:tc>
          <w:tcPr>
            <w:tcW w:w="1560" w:type="dxa"/>
            <w:tcBorders>
              <w:top w:val="none" w:sz="0" w:space="0" w:color="auto"/>
              <w:left w:val="none" w:sz="0" w:space="0" w:color="auto"/>
              <w:bottom w:val="none" w:sz="0" w:space="0" w:color="auto"/>
              <w:right w:val="none" w:sz="0" w:space="0" w:color="auto"/>
            </w:tcBorders>
            <w:shd w:val="clear" w:color="auto" w:fill="auto"/>
            <w:vAlign w:val="center"/>
          </w:tcPr>
          <w:p w:rsidR="00282E35" w:rsidRPr="00933638" w:rsidRDefault="00282E35" w:rsidP="00E50C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iCs/>
                <w:sz w:val="22"/>
                <w:szCs w:val="22"/>
                <w:lang w:val="en-GB"/>
              </w:rPr>
            </w:pPr>
            <w:r w:rsidRPr="00933638">
              <w:rPr>
                <w:rFonts w:asciiTheme="minorHAnsi" w:eastAsiaTheme="minorHAnsi" w:hAnsiTheme="minorHAnsi" w:cstheme="minorBidi"/>
                <w:iCs/>
                <w:sz w:val="22"/>
                <w:szCs w:val="22"/>
                <w:lang w:val="en-GB"/>
              </w:rPr>
              <w:t>55</w:t>
            </w:r>
          </w:p>
        </w:tc>
        <w:tc>
          <w:tcPr>
            <w:tcW w:w="1134" w:type="dxa"/>
            <w:tcBorders>
              <w:top w:val="none" w:sz="0" w:space="0" w:color="auto"/>
              <w:left w:val="none" w:sz="0" w:space="0" w:color="auto"/>
              <w:bottom w:val="none" w:sz="0" w:space="0" w:color="auto"/>
              <w:right w:val="none" w:sz="0" w:space="0" w:color="auto"/>
            </w:tcBorders>
            <w:shd w:val="clear" w:color="auto" w:fill="auto"/>
            <w:vAlign w:val="center"/>
          </w:tcPr>
          <w:p w:rsidR="00282E35" w:rsidRPr="00933638" w:rsidRDefault="00282E35" w:rsidP="00E50C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iCs/>
                <w:sz w:val="22"/>
                <w:szCs w:val="22"/>
                <w:lang w:val="en-GB"/>
              </w:rPr>
            </w:pPr>
            <w:r w:rsidRPr="00933638">
              <w:rPr>
                <w:rFonts w:asciiTheme="minorHAnsi" w:eastAsiaTheme="minorHAnsi" w:hAnsiTheme="minorHAnsi" w:cstheme="minorBidi"/>
                <w:iCs/>
                <w:sz w:val="22"/>
                <w:szCs w:val="22"/>
                <w:lang w:val="en-GB"/>
              </w:rPr>
              <w:t>18%</w:t>
            </w:r>
          </w:p>
        </w:tc>
      </w:tr>
      <w:tr w:rsidR="00282E35" w:rsidRPr="00933638" w:rsidTr="00E50C61">
        <w:trPr>
          <w:jc w:val="center"/>
        </w:trPr>
        <w:tc>
          <w:tcPr>
            <w:cnfStyle w:val="001000000000" w:firstRow="0" w:lastRow="0" w:firstColumn="1" w:lastColumn="0" w:oddVBand="0" w:evenVBand="0" w:oddHBand="0" w:evenHBand="0" w:firstRowFirstColumn="0" w:firstRowLastColumn="0" w:lastRowFirstColumn="0" w:lastRowLastColumn="0"/>
            <w:tcW w:w="3874" w:type="dxa"/>
            <w:tcBorders>
              <w:left w:val="none" w:sz="0" w:space="0" w:color="auto"/>
              <w:bottom w:val="none" w:sz="0" w:space="0" w:color="auto"/>
              <w:right w:val="none" w:sz="0" w:space="0" w:color="auto"/>
            </w:tcBorders>
            <w:shd w:val="clear" w:color="auto" w:fill="auto"/>
            <w:vAlign w:val="center"/>
          </w:tcPr>
          <w:p w:rsidR="00282E35" w:rsidRPr="00933638" w:rsidRDefault="00282E35" w:rsidP="00E50C61">
            <w:pPr>
              <w:jc w:val="center"/>
              <w:rPr>
                <w:rFonts w:asciiTheme="minorHAnsi" w:eastAsiaTheme="minorHAnsi" w:hAnsiTheme="minorHAnsi" w:cstheme="minorBidi"/>
                <w:b w:val="0"/>
                <w:bCs w:val="0"/>
                <w:iCs/>
                <w:color w:val="auto"/>
                <w:sz w:val="22"/>
                <w:szCs w:val="22"/>
                <w:lang w:val="en-GB"/>
              </w:rPr>
            </w:pPr>
            <w:r w:rsidRPr="00933638">
              <w:rPr>
                <w:rFonts w:asciiTheme="minorHAnsi" w:eastAsiaTheme="minorHAnsi" w:hAnsiTheme="minorHAnsi" w:cstheme="minorBidi"/>
                <w:b w:val="0"/>
                <w:bCs w:val="0"/>
                <w:iCs/>
                <w:color w:val="auto"/>
                <w:sz w:val="22"/>
                <w:szCs w:val="22"/>
                <w:lang w:val="en-GB"/>
              </w:rPr>
              <w:t>Any Other</w:t>
            </w:r>
          </w:p>
        </w:tc>
        <w:tc>
          <w:tcPr>
            <w:tcW w:w="1560" w:type="dxa"/>
            <w:shd w:val="clear" w:color="auto" w:fill="auto"/>
            <w:vAlign w:val="center"/>
          </w:tcPr>
          <w:p w:rsidR="00282E35" w:rsidRPr="00933638" w:rsidRDefault="00282E35" w:rsidP="00E50C61">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iCs/>
                <w:sz w:val="22"/>
                <w:szCs w:val="22"/>
                <w:lang w:val="en-GB"/>
              </w:rPr>
            </w:pPr>
            <w:r w:rsidRPr="00933638">
              <w:rPr>
                <w:rFonts w:asciiTheme="minorHAnsi" w:eastAsiaTheme="minorHAnsi" w:hAnsiTheme="minorHAnsi" w:cstheme="minorBidi"/>
                <w:iCs/>
                <w:sz w:val="22"/>
                <w:szCs w:val="22"/>
                <w:lang w:val="en-GB"/>
              </w:rPr>
              <w:t>20</w:t>
            </w:r>
          </w:p>
        </w:tc>
        <w:tc>
          <w:tcPr>
            <w:tcW w:w="1134" w:type="dxa"/>
            <w:shd w:val="clear" w:color="auto" w:fill="auto"/>
            <w:vAlign w:val="center"/>
          </w:tcPr>
          <w:p w:rsidR="00282E35" w:rsidRPr="00933638" w:rsidRDefault="00282E35" w:rsidP="00E50C61">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iCs/>
                <w:sz w:val="22"/>
                <w:szCs w:val="22"/>
                <w:lang w:val="en-GB"/>
              </w:rPr>
            </w:pPr>
            <w:r w:rsidRPr="00933638">
              <w:rPr>
                <w:rFonts w:asciiTheme="minorHAnsi" w:eastAsiaTheme="minorHAnsi" w:hAnsiTheme="minorHAnsi" w:cstheme="minorBidi"/>
                <w:iCs/>
                <w:sz w:val="22"/>
                <w:szCs w:val="22"/>
                <w:lang w:val="en-GB"/>
              </w:rPr>
              <w:t>6%</w:t>
            </w:r>
          </w:p>
        </w:tc>
      </w:tr>
      <w:tr w:rsidR="00282E35" w:rsidRPr="00933638" w:rsidTr="00E50C6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74" w:type="dxa"/>
            <w:tcBorders>
              <w:top w:val="none" w:sz="0" w:space="0" w:color="auto"/>
              <w:left w:val="none" w:sz="0" w:space="0" w:color="auto"/>
              <w:bottom w:val="none" w:sz="0" w:space="0" w:color="auto"/>
              <w:right w:val="none" w:sz="0" w:space="0" w:color="auto"/>
            </w:tcBorders>
            <w:shd w:val="clear" w:color="auto" w:fill="auto"/>
            <w:vAlign w:val="center"/>
          </w:tcPr>
          <w:p w:rsidR="00282E35" w:rsidRPr="00933638" w:rsidRDefault="00282E35" w:rsidP="00E50C61">
            <w:pPr>
              <w:jc w:val="center"/>
              <w:rPr>
                <w:rFonts w:asciiTheme="minorHAnsi" w:eastAsiaTheme="minorHAnsi" w:hAnsiTheme="minorHAnsi" w:cstheme="minorBidi"/>
                <w:b w:val="0"/>
                <w:bCs w:val="0"/>
                <w:iCs/>
                <w:color w:val="auto"/>
                <w:sz w:val="22"/>
                <w:szCs w:val="22"/>
                <w:lang w:val="en-GB"/>
              </w:rPr>
            </w:pPr>
            <w:r w:rsidRPr="00933638">
              <w:rPr>
                <w:rFonts w:asciiTheme="minorHAnsi" w:eastAsiaTheme="minorHAnsi" w:hAnsiTheme="minorHAnsi" w:cstheme="minorBidi"/>
                <w:b w:val="0"/>
                <w:bCs w:val="0"/>
                <w:iCs/>
                <w:color w:val="auto"/>
                <w:sz w:val="22"/>
                <w:szCs w:val="22"/>
                <w:lang w:val="en-GB"/>
              </w:rPr>
              <w:t>Asian or Asian British</w:t>
            </w:r>
          </w:p>
        </w:tc>
        <w:tc>
          <w:tcPr>
            <w:tcW w:w="1560" w:type="dxa"/>
            <w:tcBorders>
              <w:top w:val="none" w:sz="0" w:space="0" w:color="auto"/>
              <w:left w:val="none" w:sz="0" w:space="0" w:color="auto"/>
              <w:bottom w:val="none" w:sz="0" w:space="0" w:color="auto"/>
              <w:right w:val="none" w:sz="0" w:space="0" w:color="auto"/>
            </w:tcBorders>
            <w:shd w:val="clear" w:color="auto" w:fill="auto"/>
            <w:vAlign w:val="center"/>
          </w:tcPr>
          <w:p w:rsidR="00282E35" w:rsidRPr="00933638" w:rsidRDefault="00282E35" w:rsidP="00E50C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iCs/>
                <w:sz w:val="22"/>
                <w:szCs w:val="22"/>
                <w:lang w:val="en-GB"/>
              </w:rPr>
            </w:pPr>
            <w:r w:rsidRPr="00933638">
              <w:rPr>
                <w:rFonts w:asciiTheme="minorHAnsi" w:eastAsiaTheme="minorHAnsi" w:hAnsiTheme="minorHAnsi" w:cstheme="minorBidi"/>
                <w:iCs/>
                <w:sz w:val="22"/>
                <w:szCs w:val="22"/>
                <w:lang w:val="en-GB"/>
              </w:rPr>
              <w:t>15</w:t>
            </w:r>
          </w:p>
        </w:tc>
        <w:tc>
          <w:tcPr>
            <w:tcW w:w="1134" w:type="dxa"/>
            <w:tcBorders>
              <w:top w:val="none" w:sz="0" w:space="0" w:color="auto"/>
              <w:left w:val="none" w:sz="0" w:space="0" w:color="auto"/>
              <w:bottom w:val="none" w:sz="0" w:space="0" w:color="auto"/>
              <w:right w:val="none" w:sz="0" w:space="0" w:color="auto"/>
            </w:tcBorders>
            <w:shd w:val="clear" w:color="auto" w:fill="auto"/>
            <w:vAlign w:val="center"/>
          </w:tcPr>
          <w:p w:rsidR="00282E35" w:rsidRPr="00933638" w:rsidRDefault="00282E35" w:rsidP="00E50C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iCs/>
                <w:sz w:val="22"/>
                <w:szCs w:val="22"/>
                <w:lang w:val="en-GB"/>
              </w:rPr>
            </w:pPr>
            <w:r w:rsidRPr="00933638">
              <w:rPr>
                <w:rFonts w:asciiTheme="minorHAnsi" w:eastAsiaTheme="minorHAnsi" w:hAnsiTheme="minorHAnsi" w:cstheme="minorBidi"/>
                <w:iCs/>
                <w:sz w:val="22"/>
                <w:szCs w:val="22"/>
                <w:lang w:val="en-GB"/>
              </w:rPr>
              <w:t>5%</w:t>
            </w:r>
          </w:p>
        </w:tc>
      </w:tr>
      <w:tr w:rsidR="00282E35" w:rsidRPr="00933638" w:rsidTr="00E50C61">
        <w:trPr>
          <w:jc w:val="center"/>
        </w:trPr>
        <w:tc>
          <w:tcPr>
            <w:cnfStyle w:val="001000000000" w:firstRow="0" w:lastRow="0" w:firstColumn="1" w:lastColumn="0" w:oddVBand="0" w:evenVBand="0" w:oddHBand="0" w:evenHBand="0" w:firstRowFirstColumn="0" w:firstRowLastColumn="0" w:lastRowFirstColumn="0" w:lastRowLastColumn="0"/>
            <w:tcW w:w="3874" w:type="dxa"/>
            <w:tcBorders>
              <w:left w:val="none" w:sz="0" w:space="0" w:color="auto"/>
              <w:bottom w:val="none" w:sz="0" w:space="0" w:color="auto"/>
              <w:right w:val="none" w:sz="0" w:space="0" w:color="auto"/>
            </w:tcBorders>
            <w:shd w:val="clear" w:color="auto" w:fill="auto"/>
            <w:vAlign w:val="center"/>
          </w:tcPr>
          <w:p w:rsidR="00282E35" w:rsidRPr="00933638" w:rsidRDefault="00282E35" w:rsidP="00E50C61">
            <w:pPr>
              <w:jc w:val="center"/>
              <w:rPr>
                <w:rFonts w:asciiTheme="minorHAnsi" w:eastAsiaTheme="minorHAnsi" w:hAnsiTheme="minorHAnsi" w:cstheme="minorBidi"/>
                <w:b w:val="0"/>
                <w:bCs w:val="0"/>
                <w:iCs/>
                <w:color w:val="auto"/>
                <w:sz w:val="22"/>
                <w:szCs w:val="22"/>
                <w:lang w:val="en-GB"/>
              </w:rPr>
            </w:pPr>
            <w:r w:rsidRPr="00933638">
              <w:rPr>
                <w:rFonts w:asciiTheme="minorHAnsi" w:eastAsiaTheme="minorHAnsi" w:hAnsiTheme="minorHAnsi" w:cstheme="minorBidi"/>
                <w:b w:val="0"/>
                <w:bCs w:val="0"/>
                <w:iCs/>
                <w:color w:val="auto"/>
                <w:sz w:val="22"/>
                <w:szCs w:val="22"/>
                <w:lang w:val="en-GB"/>
              </w:rPr>
              <w:t>Not stated</w:t>
            </w:r>
          </w:p>
        </w:tc>
        <w:tc>
          <w:tcPr>
            <w:tcW w:w="1560" w:type="dxa"/>
            <w:shd w:val="clear" w:color="auto" w:fill="auto"/>
            <w:vAlign w:val="center"/>
          </w:tcPr>
          <w:p w:rsidR="00282E35" w:rsidRPr="00933638" w:rsidRDefault="00282E35" w:rsidP="00E50C61">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iCs/>
                <w:sz w:val="22"/>
                <w:szCs w:val="22"/>
                <w:lang w:val="en-GB"/>
              </w:rPr>
            </w:pPr>
            <w:r w:rsidRPr="00933638">
              <w:rPr>
                <w:rFonts w:asciiTheme="minorHAnsi" w:eastAsiaTheme="minorHAnsi" w:hAnsiTheme="minorHAnsi" w:cstheme="minorBidi"/>
                <w:iCs/>
                <w:sz w:val="22"/>
                <w:szCs w:val="22"/>
                <w:lang w:val="en-GB"/>
              </w:rPr>
              <w:t>13</w:t>
            </w:r>
          </w:p>
        </w:tc>
        <w:tc>
          <w:tcPr>
            <w:tcW w:w="1134" w:type="dxa"/>
            <w:shd w:val="clear" w:color="auto" w:fill="auto"/>
            <w:vAlign w:val="center"/>
          </w:tcPr>
          <w:p w:rsidR="00282E35" w:rsidRPr="00933638" w:rsidRDefault="00282E35" w:rsidP="00E50C61">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iCs/>
                <w:sz w:val="22"/>
                <w:szCs w:val="22"/>
                <w:lang w:val="en-GB"/>
              </w:rPr>
            </w:pPr>
            <w:r w:rsidRPr="00933638">
              <w:rPr>
                <w:rFonts w:asciiTheme="minorHAnsi" w:eastAsiaTheme="minorHAnsi" w:hAnsiTheme="minorHAnsi" w:cstheme="minorBidi"/>
                <w:iCs/>
                <w:sz w:val="22"/>
                <w:szCs w:val="22"/>
                <w:lang w:val="en-GB"/>
              </w:rPr>
              <w:t>4%</w:t>
            </w:r>
          </w:p>
        </w:tc>
      </w:tr>
      <w:tr w:rsidR="00282E35" w:rsidRPr="00933638" w:rsidTr="00E50C6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74" w:type="dxa"/>
            <w:tcBorders>
              <w:top w:val="none" w:sz="0" w:space="0" w:color="auto"/>
              <w:left w:val="none" w:sz="0" w:space="0" w:color="auto"/>
              <w:bottom w:val="none" w:sz="0" w:space="0" w:color="auto"/>
              <w:right w:val="none" w:sz="0" w:space="0" w:color="auto"/>
            </w:tcBorders>
            <w:shd w:val="clear" w:color="auto" w:fill="auto"/>
            <w:vAlign w:val="center"/>
          </w:tcPr>
          <w:p w:rsidR="00282E35" w:rsidRPr="00933638" w:rsidRDefault="00282E35" w:rsidP="00E50C61">
            <w:pPr>
              <w:jc w:val="center"/>
              <w:rPr>
                <w:rFonts w:asciiTheme="minorHAnsi" w:eastAsiaTheme="minorHAnsi" w:hAnsiTheme="minorHAnsi" w:cstheme="minorBidi"/>
                <w:b w:val="0"/>
                <w:bCs w:val="0"/>
                <w:iCs/>
                <w:color w:val="auto"/>
                <w:sz w:val="22"/>
                <w:szCs w:val="22"/>
                <w:lang w:val="en-GB"/>
              </w:rPr>
            </w:pPr>
            <w:r w:rsidRPr="00933638">
              <w:rPr>
                <w:rFonts w:asciiTheme="minorHAnsi" w:eastAsiaTheme="minorHAnsi" w:hAnsiTheme="minorHAnsi" w:cstheme="minorBidi"/>
                <w:b w:val="0"/>
                <w:bCs w:val="0"/>
                <w:iCs/>
                <w:color w:val="auto"/>
                <w:sz w:val="22"/>
                <w:szCs w:val="22"/>
                <w:lang w:val="en-GB"/>
              </w:rPr>
              <w:t>Gypsy/Roma</w:t>
            </w:r>
          </w:p>
        </w:tc>
        <w:tc>
          <w:tcPr>
            <w:tcW w:w="1560" w:type="dxa"/>
            <w:tcBorders>
              <w:top w:val="none" w:sz="0" w:space="0" w:color="auto"/>
              <w:left w:val="none" w:sz="0" w:space="0" w:color="auto"/>
              <w:bottom w:val="none" w:sz="0" w:space="0" w:color="auto"/>
              <w:right w:val="none" w:sz="0" w:space="0" w:color="auto"/>
            </w:tcBorders>
            <w:shd w:val="clear" w:color="auto" w:fill="auto"/>
            <w:vAlign w:val="center"/>
          </w:tcPr>
          <w:p w:rsidR="00282E35" w:rsidRPr="00933638" w:rsidRDefault="00282E35" w:rsidP="00E50C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iCs/>
                <w:sz w:val="22"/>
                <w:szCs w:val="22"/>
                <w:lang w:val="en-GB"/>
              </w:rPr>
            </w:pPr>
            <w:r w:rsidRPr="00933638">
              <w:rPr>
                <w:rFonts w:asciiTheme="minorHAnsi" w:eastAsiaTheme="minorHAnsi" w:hAnsiTheme="minorHAnsi" w:cstheme="minorBidi"/>
                <w:iCs/>
                <w:sz w:val="22"/>
                <w:szCs w:val="22"/>
                <w:lang w:val="en-GB"/>
              </w:rPr>
              <w:t>1</w:t>
            </w:r>
          </w:p>
        </w:tc>
        <w:tc>
          <w:tcPr>
            <w:tcW w:w="1134" w:type="dxa"/>
            <w:tcBorders>
              <w:top w:val="none" w:sz="0" w:space="0" w:color="auto"/>
              <w:left w:val="none" w:sz="0" w:space="0" w:color="auto"/>
              <w:bottom w:val="none" w:sz="0" w:space="0" w:color="auto"/>
              <w:right w:val="none" w:sz="0" w:space="0" w:color="auto"/>
            </w:tcBorders>
            <w:shd w:val="clear" w:color="auto" w:fill="auto"/>
            <w:vAlign w:val="center"/>
          </w:tcPr>
          <w:p w:rsidR="00282E35" w:rsidRPr="00933638" w:rsidRDefault="00282E35" w:rsidP="00E50C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iCs/>
                <w:sz w:val="22"/>
                <w:szCs w:val="22"/>
                <w:lang w:val="en-GB"/>
              </w:rPr>
            </w:pPr>
            <w:r w:rsidRPr="00933638">
              <w:rPr>
                <w:rFonts w:asciiTheme="minorHAnsi" w:eastAsiaTheme="minorHAnsi" w:hAnsiTheme="minorHAnsi" w:cstheme="minorBidi"/>
                <w:iCs/>
                <w:sz w:val="22"/>
                <w:szCs w:val="22"/>
                <w:lang w:val="en-GB"/>
              </w:rPr>
              <w:t>0%</w:t>
            </w:r>
          </w:p>
        </w:tc>
      </w:tr>
    </w:tbl>
    <w:p w:rsidR="00282E35" w:rsidRPr="00A07ABC" w:rsidRDefault="00282E35" w:rsidP="00A07ABC">
      <w:r w:rsidRPr="00A07ABC">
        <w:t>Source: Data extract from ICS data pulled 28 February 2015</w:t>
      </w:r>
    </w:p>
    <w:p w:rsidR="00282E35" w:rsidRDefault="00282E35" w:rsidP="00282E35">
      <w:pPr>
        <w:jc w:val="both"/>
      </w:pPr>
      <w:r w:rsidRPr="00354BF7">
        <w:t>The predominant age for children becoming Looked After i</w:t>
      </w:r>
      <w:r>
        <w:t>s</w:t>
      </w:r>
      <w:r w:rsidRPr="00354BF7">
        <w:t xml:space="preserve"> 10 – 15</w:t>
      </w:r>
      <w:r>
        <w:t xml:space="preserve"> years (</w:t>
      </w:r>
      <w:r w:rsidRPr="00354BF7">
        <w:t>38% of the</w:t>
      </w:r>
      <w:r>
        <w:t xml:space="preserve"> Barnet</w:t>
      </w:r>
      <w:r w:rsidRPr="00354BF7">
        <w:t xml:space="preserve"> coh</w:t>
      </w:r>
      <w:r w:rsidR="00A07ABC">
        <w:t>ort fall</w:t>
      </w:r>
      <w:r>
        <w:t xml:space="preserve"> into this age band). C</w:t>
      </w:r>
      <w:r w:rsidRPr="00354BF7">
        <w:t>hildren aged 5 –</w:t>
      </w:r>
      <w:r w:rsidRPr="009A1C8B">
        <w:t xml:space="preserve"> 9</w:t>
      </w:r>
      <w:r>
        <w:t xml:space="preserve"> years make up </w:t>
      </w:r>
      <w:r w:rsidRPr="009A1C8B">
        <w:t>25%</w:t>
      </w:r>
      <w:r>
        <w:t xml:space="preserve"> of the cohort</w:t>
      </w:r>
      <w:r w:rsidRPr="009A1C8B">
        <w:t>.</w:t>
      </w:r>
      <w:r w:rsidRPr="00354BF7">
        <w:rPr>
          <w:bCs/>
          <w:color w:val="000000"/>
        </w:rPr>
        <w:t xml:space="preserve"> 60%</w:t>
      </w:r>
      <w:r>
        <w:rPr>
          <w:bCs/>
          <w:color w:val="000000"/>
        </w:rPr>
        <w:t xml:space="preserve"> of children</w:t>
      </w:r>
      <w:r w:rsidRPr="00354BF7">
        <w:rPr>
          <w:bCs/>
          <w:color w:val="000000"/>
        </w:rPr>
        <w:t xml:space="preserve"> currently in Barnet’s care</w:t>
      </w:r>
      <w:r>
        <w:rPr>
          <w:bCs/>
          <w:color w:val="000000"/>
        </w:rPr>
        <w:t xml:space="preserve"> are males,</w:t>
      </w:r>
      <w:r w:rsidRPr="00354BF7">
        <w:rPr>
          <w:bCs/>
          <w:color w:val="000000"/>
        </w:rPr>
        <w:t xml:space="preserve"> compared to 40% of females.  This is reflective </w:t>
      </w:r>
      <w:r w:rsidRPr="00110DCB">
        <w:rPr>
          <w:bCs/>
          <w:color w:val="000000"/>
        </w:rPr>
        <w:t>of the</w:t>
      </w:r>
      <w:r>
        <w:rPr>
          <w:b/>
          <w:bCs/>
          <w:color w:val="000000"/>
        </w:rPr>
        <w:t xml:space="preserve"> </w:t>
      </w:r>
      <w:r w:rsidRPr="00110DCB">
        <w:rPr>
          <w:bCs/>
          <w:color w:val="000000"/>
        </w:rPr>
        <w:t>na</w:t>
      </w:r>
      <w:r w:rsidRPr="00354BF7">
        <w:rPr>
          <w:bCs/>
          <w:color w:val="000000"/>
        </w:rPr>
        <w:t>tional picture</w:t>
      </w:r>
      <w:r>
        <w:rPr>
          <w:bCs/>
          <w:color w:val="000000"/>
        </w:rPr>
        <w:t>.</w:t>
      </w:r>
    </w:p>
    <w:p w:rsidR="00282E35" w:rsidRDefault="00A07ABC" w:rsidP="00282E35">
      <w:pPr>
        <w:jc w:val="both"/>
      </w:pPr>
      <w:r>
        <w:lastRenderedPageBreak/>
        <w:t>Barnet has a high</w:t>
      </w:r>
      <w:r w:rsidR="00282E35" w:rsidRPr="00B26EBC">
        <w:t xml:space="preserve"> proportion of Children in Care in residential placement</w:t>
      </w:r>
      <w:r w:rsidR="00282E35">
        <w:rPr>
          <w:rStyle w:val="FootnoteReference"/>
        </w:rPr>
        <w:footnoteReference w:id="128"/>
      </w:r>
      <w:r w:rsidR="00282E35" w:rsidRPr="00B26EBC">
        <w:t xml:space="preserve"> </w:t>
      </w:r>
      <w:r w:rsidR="00282E35">
        <w:t xml:space="preserve"> which stands at 22% (March 2014)</w:t>
      </w:r>
      <w:r>
        <w:t xml:space="preserve">, this is both </w:t>
      </w:r>
      <w:r w:rsidR="00282E35">
        <w:t xml:space="preserve">higher </w:t>
      </w:r>
      <w:r w:rsidR="00282E35" w:rsidRPr="00B26EBC">
        <w:t>than London and national averages.</w:t>
      </w:r>
      <w:r w:rsidR="00282E35">
        <w:t xml:space="preserve"> 25.4%</w:t>
      </w:r>
      <w:r w:rsidR="00282E35" w:rsidRPr="009916B9">
        <w:t xml:space="preserve"> of children and young</w:t>
      </w:r>
      <w:r w:rsidR="00282E35">
        <w:t xml:space="preserve"> people are placed out of Borough.  Children placed in foster care as at March 2014 was 69%,</w:t>
      </w:r>
      <w:r>
        <w:t xml:space="preserve"> which is </w:t>
      </w:r>
      <w:r w:rsidR="00282E35">
        <w:t xml:space="preserve">below statistical neighbours (73%) and the England average </w:t>
      </w:r>
      <w:r>
        <w:t>(</w:t>
      </w:r>
      <w:r w:rsidR="00282E35">
        <w:t>75%</w:t>
      </w:r>
      <w:r>
        <w:t>)</w:t>
      </w:r>
      <w:r w:rsidR="00282E35">
        <w:t xml:space="preserve">.  There is considerable demand for increased foster placements locally and significant demand pressures relating to the cost of out of Borough placements and specialist placements for children and young people with complex needs. Gaps in the provision of </w:t>
      </w:r>
      <w:r w:rsidR="00282E35" w:rsidRPr="006D0338">
        <w:t>in-house foster placements</w:t>
      </w:r>
      <w:r w:rsidR="00282E35">
        <w:t xml:space="preserve"> are identified as:</w:t>
      </w:r>
      <w:r w:rsidR="00282E35" w:rsidRPr="006D0338">
        <w:t xml:space="preserve"> </w:t>
      </w:r>
      <w:r w:rsidR="00282E35">
        <w:t>children over the age of 11, sibling</w:t>
      </w:r>
      <w:r w:rsidR="00282E35" w:rsidRPr="006D0338">
        <w:t xml:space="preserve"> groups</w:t>
      </w:r>
      <w:r w:rsidR="00282E35">
        <w:t>, and c</w:t>
      </w:r>
      <w:r w:rsidR="00282E35" w:rsidRPr="006D0338">
        <w:t>hildren with complex emotional and behavioural needs</w:t>
      </w:r>
      <w:r w:rsidR="00282E35">
        <w:t>.</w:t>
      </w:r>
    </w:p>
    <w:p w:rsidR="00A07ABC" w:rsidRDefault="00282E35" w:rsidP="00282E35">
      <w:pPr>
        <w:jc w:val="both"/>
      </w:pPr>
      <w:r w:rsidRPr="009A5F3D">
        <w:t>SEN rates for</w:t>
      </w:r>
      <w:r>
        <w:t xml:space="preserve"> Barnet L</w:t>
      </w:r>
      <w:r w:rsidR="00A07ABC">
        <w:t xml:space="preserve">ooked After Children </w:t>
      </w:r>
      <w:r>
        <w:t>are much</w:t>
      </w:r>
      <w:r w:rsidRPr="009A5F3D">
        <w:t xml:space="preserve"> higher tha</w:t>
      </w:r>
      <w:r>
        <w:t>n for Barnet pupils</w:t>
      </w:r>
      <w:r w:rsidR="00A07ABC">
        <w:t xml:space="preserve"> generally and higher than the </w:t>
      </w:r>
      <w:r w:rsidRPr="009A5F3D">
        <w:t xml:space="preserve">England </w:t>
      </w:r>
      <w:r>
        <w:t xml:space="preserve">rate. </w:t>
      </w:r>
      <w:r w:rsidR="00A07ABC">
        <w:t>At key stage</w:t>
      </w:r>
      <w:r w:rsidR="00A07ABC" w:rsidRPr="00C74CEB">
        <w:t xml:space="preserve">4 </w:t>
      </w:r>
      <w:r w:rsidR="00A07ABC">
        <w:t>(</w:t>
      </w:r>
      <w:r w:rsidR="00A07ABC" w:rsidRPr="00C74CEB">
        <w:t>2010-14</w:t>
      </w:r>
      <w:r w:rsidR="00A07ABC">
        <w:t>) attainment of Barnet pupils who are Looked After Children (5 A*- C including English and Maths)</w:t>
      </w:r>
      <w:r w:rsidR="00A07ABC" w:rsidRPr="00C74CEB">
        <w:t xml:space="preserve"> </w:t>
      </w:r>
      <w:r w:rsidR="00A07ABC">
        <w:t>is better than the national attainment for Looked After Children</w:t>
      </w:r>
      <w:r w:rsidR="00A07ABC" w:rsidRPr="00C74CEB">
        <w:t xml:space="preserve">, but well below that of all pupils in Barnet and nationally. </w:t>
      </w:r>
    </w:p>
    <w:p w:rsidR="00282E35" w:rsidRPr="001170C1" w:rsidRDefault="00282E35" w:rsidP="00282E35">
      <w:pPr>
        <w:pStyle w:val="Heading3"/>
        <w:keepNext w:val="0"/>
        <w:keepLines w:val="0"/>
        <w:spacing w:line="271" w:lineRule="auto"/>
      </w:pPr>
      <w:r w:rsidRPr="001F18DE">
        <w:t>Care Leavers</w:t>
      </w:r>
    </w:p>
    <w:p w:rsidR="00282E35" w:rsidRDefault="00282E35" w:rsidP="00282E35">
      <w:pPr>
        <w:pStyle w:val="NoSpacing"/>
        <w:jc w:val="both"/>
        <w:rPr>
          <w:sz w:val="22"/>
          <w:szCs w:val="22"/>
        </w:rPr>
      </w:pPr>
      <w:r w:rsidRPr="00B37020">
        <w:rPr>
          <w:sz w:val="22"/>
          <w:szCs w:val="22"/>
        </w:rPr>
        <w:t>A Care Leaver is a young person who has been looked after away from home by a local authority for at least 13 weeks since the age of 14, and who was still in care on their 16</w:t>
      </w:r>
      <w:r w:rsidRPr="00D865E1">
        <w:rPr>
          <w:sz w:val="22"/>
          <w:szCs w:val="22"/>
          <w:vertAlign w:val="superscript"/>
        </w:rPr>
        <w:t>th</w:t>
      </w:r>
      <w:r w:rsidR="00D865E1">
        <w:rPr>
          <w:sz w:val="22"/>
          <w:szCs w:val="22"/>
        </w:rPr>
        <w:t xml:space="preserve"> </w:t>
      </w:r>
      <w:r w:rsidRPr="00B37020">
        <w:rPr>
          <w:sz w:val="22"/>
          <w:szCs w:val="22"/>
        </w:rPr>
        <w:t>birthday. Barnet’s number of Care Leavers has remained relatively unchanged since 2010. As of February 2015 there were 279 Care Leavers in Barnet.</w:t>
      </w:r>
    </w:p>
    <w:p w:rsidR="00282E35" w:rsidRPr="00B37020" w:rsidRDefault="00282E35" w:rsidP="00282E35">
      <w:pPr>
        <w:pStyle w:val="NoSpacing"/>
        <w:jc w:val="both"/>
        <w:rPr>
          <w:sz w:val="22"/>
          <w:szCs w:val="22"/>
        </w:rPr>
      </w:pPr>
    </w:p>
    <w:p w:rsidR="00282E35" w:rsidRPr="00B37020" w:rsidRDefault="00282E35" w:rsidP="00282E35">
      <w:pPr>
        <w:spacing w:after="0" w:line="240" w:lineRule="auto"/>
        <w:rPr>
          <w:rFonts w:cs="Arial"/>
        </w:rPr>
      </w:pPr>
      <w:r w:rsidRPr="00B37020">
        <w:rPr>
          <w:rFonts w:cs="Arial"/>
        </w:rPr>
        <w:t xml:space="preserve">For the past 2 years, Barnet’s rate of Care Leavers in Suitable Accommodation has been higher than </w:t>
      </w:r>
      <w:r w:rsidR="00A07ABC">
        <w:rPr>
          <w:rFonts w:cs="Arial"/>
        </w:rPr>
        <w:t xml:space="preserve">that of London, England and </w:t>
      </w:r>
      <w:r w:rsidRPr="00B37020">
        <w:rPr>
          <w:rFonts w:cs="Arial"/>
        </w:rPr>
        <w:t xml:space="preserve">statistical neighbours. </w:t>
      </w:r>
    </w:p>
    <w:p w:rsidR="00282E35" w:rsidRDefault="00282E35" w:rsidP="00282E35">
      <w:pPr>
        <w:spacing w:after="0" w:line="240" w:lineRule="auto"/>
        <w:rPr>
          <w:rFonts w:cs="Arial"/>
        </w:rPr>
      </w:pPr>
    </w:p>
    <w:p w:rsidR="00282E35" w:rsidRPr="009A1C8B" w:rsidRDefault="00282E35" w:rsidP="00282E35">
      <w:pPr>
        <w:pStyle w:val="Caption"/>
        <w:rPr>
          <w:rFonts w:cs="Arial"/>
        </w:rPr>
      </w:pPr>
      <w:r>
        <w:t xml:space="preserve">Table </w:t>
      </w:r>
      <w:fldSimple w:instr=" STYLEREF 1 \s ">
        <w:r w:rsidR="001663C2">
          <w:rPr>
            <w:noProof/>
          </w:rPr>
          <w:t>8</w:t>
        </w:r>
      </w:fldSimple>
      <w:r>
        <w:noBreakHyphen/>
      </w:r>
      <w:fldSimple w:instr=" SEQ Table \* ARABIC \s 1 ">
        <w:r w:rsidR="001663C2">
          <w:rPr>
            <w:noProof/>
          </w:rPr>
          <w:t>12</w:t>
        </w:r>
      </w:fldSimple>
      <w:r>
        <w:t>: Number of Care Leavers in Barnet</w:t>
      </w:r>
    </w:p>
    <w:tbl>
      <w:tblPr>
        <w:tblStyle w:val="MediumGrid3-Accent3"/>
        <w:tblW w:w="0" w:type="auto"/>
        <w:jc w:val="center"/>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E0" w:firstRow="1" w:lastRow="1" w:firstColumn="1" w:lastColumn="0" w:noHBand="0" w:noVBand="0"/>
      </w:tblPr>
      <w:tblGrid>
        <w:gridCol w:w="2410"/>
        <w:gridCol w:w="851"/>
        <w:gridCol w:w="850"/>
        <w:gridCol w:w="797"/>
        <w:gridCol w:w="763"/>
        <w:gridCol w:w="992"/>
        <w:gridCol w:w="992"/>
        <w:gridCol w:w="1134"/>
      </w:tblGrid>
      <w:tr w:rsidR="00282E35" w:rsidRPr="005E412C" w:rsidTr="00E50C6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10" w:type="dxa"/>
            <w:tcBorders>
              <w:top w:val="none" w:sz="0" w:space="0" w:color="auto"/>
              <w:left w:val="none" w:sz="0" w:space="0" w:color="auto"/>
              <w:bottom w:val="none" w:sz="0" w:space="0" w:color="auto"/>
              <w:right w:val="none" w:sz="0" w:space="0" w:color="auto"/>
            </w:tcBorders>
            <w:shd w:val="clear" w:color="auto" w:fill="BFBFBF" w:themeFill="background1" w:themeFillShade="BF"/>
            <w:vAlign w:val="center"/>
          </w:tcPr>
          <w:p w:rsidR="00282E35" w:rsidRPr="00933638" w:rsidRDefault="00282E35" w:rsidP="00E50C61">
            <w:pPr>
              <w:jc w:val="center"/>
              <w:rPr>
                <w:rFonts w:asciiTheme="minorHAnsi" w:eastAsiaTheme="minorHAnsi" w:hAnsiTheme="minorHAnsi" w:cs="Arial"/>
                <w:bCs w:val="0"/>
                <w:color w:val="auto"/>
                <w:sz w:val="22"/>
                <w:szCs w:val="22"/>
                <w:lang w:val="en-GB"/>
              </w:rPr>
            </w:pPr>
            <w:r w:rsidRPr="00933638">
              <w:rPr>
                <w:rFonts w:asciiTheme="minorHAnsi" w:eastAsiaTheme="minorHAnsi" w:hAnsiTheme="minorHAnsi" w:cs="Arial"/>
                <w:bCs w:val="0"/>
                <w:color w:val="auto"/>
                <w:sz w:val="22"/>
                <w:szCs w:val="22"/>
                <w:lang w:val="en-GB"/>
              </w:rPr>
              <w:t>Year</w:t>
            </w:r>
          </w:p>
        </w:tc>
        <w:tc>
          <w:tcPr>
            <w:cnfStyle w:val="000010000000" w:firstRow="0" w:lastRow="0" w:firstColumn="0" w:lastColumn="0" w:oddVBand="1" w:evenVBand="0" w:oddHBand="0" w:evenHBand="0" w:firstRowFirstColumn="0" w:firstRowLastColumn="0" w:lastRowFirstColumn="0" w:lastRowLastColumn="0"/>
            <w:tcW w:w="851" w:type="dxa"/>
            <w:tcBorders>
              <w:top w:val="none" w:sz="0" w:space="0" w:color="auto"/>
              <w:left w:val="none" w:sz="0" w:space="0" w:color="auto"/>
              <w:bottom w:val="none" w:sz="0" w:space="0" w:color="auto"/>
              <w:right w:val="none" w:sz="0" w:space="0" w:color="auto"/>
            </w:tcBorders>
            <w:shd w:val="clear" w:color="auto" w:fill="BFBFBF" w:themeFill="background1" w:themeFillShade="BF"/>
            <w:vAlign w:val="center"/>
          </w:tcPr>
          <w:p w:rsidR="00282E35" w:rsidRPr="00933638" w:rsidRDefault="00282E35" w:rsidP="00E50C61">
            <w:pPr>
              <w:jc w:val="center"/>
              <w:rPr>
                <w:rFonts w:asciiTheme="minorHAnsi" w:eastAsiaTheme="minorHAnsi" w:hAnsiTheme="minorHAnsi" w:cs="Arial"/>
                <w:bCs w:val="0"/>
                <w:color w:val="auto"/>
                <w:sz w:val="22"/>
                <w:szCs w:val="22"/>
                <w:lang w:val="en-GB"/>
              </w:rPr>
            </w:pPr>
            <w:r w:rsidRPr="00933638">
              <w:rPr>
                <w:rFonts w:asciiTheme="minorHAnsi" w:eastAsiaTheme="minorHAnsi" w:hAnsiTheme="minorHAnsi" w:cs="Arial"/>
                <w:bCs w:val="0"/>
                <w:color w:val="auto"/>
                <w:sz w:val="22"/>
                <w:szCs w:val="22"/>
                <w:lang w:val="en-GB"/>
              </w:rPr>
              <w:t>2009</w:t>
            </w:r>
          </w:p>
        </w:tc>
        <w:tc>
          <w:tcPr>
            <w:tcW w:w="850" w:type="dxa"/>
            <w:tcBorders>
              <w:top w:val="none" w:sz="0" w:space="0" w:color="auto"/>
              <w:left w:val="none" w:sz="0" w:space="0" w:color="auto"/>
              <w:bottom w:val="none" w:sz="0" w:space="0" w:color="auto"/>
              <w:right w:val="none" w:sz="0" w:space="0" w:color="auto"/>
            </w:tcBorders>
            <w:shd w:val="clear" w:color="auto" w:fill="BFBFBF" w:themeFill="background1" w:themeFillShade="BF"/>
            <w:vAlign w:val="center"/>
          </w:tcPr>
          <w:p w:rsidR="00282E35" w:rsidRPr="00933638" w:rsidRDefault="00282E35" w:rsidP="00E50C61">
            <w:pPr>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Arial"/>
                <w:bCs w:val="0"/>
                <w:color w:val="auto"/>
                <w:sz w:val="22"/>
                <w:szCs w:val="22"/>
                <w:lang w:val="en-GB"/>
              </w:rPr>
            </w:pPr>
            <w:r w:rsidRPr="00933638">
              <w:rPr>
                <w:rFonts w:asciiTheme="minorHAnsi" w:eastAsiaTheme="minorHAnsi" w:hAnsiTheme="minorHAnsi" w:cs="Arial"/>
                <w:bCs w:val="0"/>
                <w:color w:val="auto"/>
                <w:sz w:val="22"/>
                <w:szCs w:val="22"/>
                <w:lang w:val="en-GB"/>
              </w:rPr>
              <w:t>2010</w:t>
            </w:r>
          </w:p>
        </w:tc>
        <w:tc>
          <w:tcPr>
            <w:cnfStyle w:val="000010000000" w:firstRow="0" w:lastRow="0" w:firstColumn="0" w:lastColumn="0" w:oddVBand="1" w:evenVBand="0" w:oddHBand="0" w:evenHBand="0" w:firstRowFirstColumn="0" w:firstRowLastColumn="0" w:lastRowFirstColumn="0" w:lastRowLastColumn="0"/>
            <w:tcW w:w="797" w:type="dxa"/>
            <w:tcBorders>
              <w:top w:val="none" w:sz="0" w:space="0" w:color="auto"/>
              <w:left w:val="none" w:sz="0" w:space="0" w:color="auto"/>
              <w:bottom w:val="none" w:sz="0" w:space="0" w:color="auto"/>
              <w:right w:val="none" w:sz="0" w:space="0" w:color="auto"/>
            </w:tcBorders>
            <w:shd w:val="clear" w:color="auto" w:fill="BFBFBF" w:themeFill="background1" w:themeFillShade="BF"/>
            <w:vAlign w:val="center"/>
          </w:tcPr>
          <w:p w:rsidR="00282E35" w:rsidRPr="00933638" w:rsidRDefault="00282E35" w:rsidP="00E50C61">
            <w:pPr>
              <w:jc w:val="center"/>
              <w:rPr>
                <w:rFonts w:asciiTheme="minorHAnsi" w:eastAsiaTheme="minorHAnsi" w:hAnsiTheme="minorHAnsi" w:cs="Arial"/>
                <w:bCs w:val="0"/>
                <w:color w:val="auto"/>
                <w:sz w:val="22"/>
                <w:szCs w:val="22"/>
                <w:lang w:val="en-GB"/>
              </w:rPr>
            </w:pPr>
            <w:r w:rsidRPr="00933638">
              <w:rPr>
                <w:rFonts w:asciiTheme="minorHAnsi" w:eastAsiaTheme="minorHAnsi" w:hAnsiTheme="minorHAnsi" w:cs="Arial"/>
                <w:bCs w:val="0"/>
                <w:color w:val="auto"/>
                <w:sz w:val="22"/>
                <w:szCs w:val="22"/>
                <w:lang w:val="en-GB"/>
              </w:rPr>
              <w:t>2011</w:t>
            </w:r>
          </w:p>
        </w:tc>
        <w:tc>
          <w:tcPr>
            <w:tcW w:w="763" w:type="dxa"/>
            <w:tcBorders>
              <w:top w:val="none" w:sz="0" w:space="0" w:color="auto"/>
              <w:left w:val="none" w:sz="0" w:space="0" w:color="auto"/>
              <w:bottom w:val="none" w:sz="0" w:space="0" w:color="auto"/>
              <w:right w:val="none" w:sz="0" w:space="0" w:color="auto"/>
            </w:tcBorders>
            <w:shd w:val="clear" w:color="auto" w:fill="BFBFBF" w:themeFill="background1" w:themeFillShade="BF"/>
            <w:vAlign w:val="center"/>
          </w:tcPr>
          <w:p w:rsidR="00282E35" w:rsidRPr="00933638" w:rsidRDefault="00282E35" w:rsidP="00E50C61">
            <w:pPr>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Arial"/>
                <w:bCs w:val="0"/>
                <w:color w:val="auto"/>
                <w:sz w:val="22"/>
                <w:szCs w:val="22"/>
                <w:lang w:val="en-GB"/>
              </w:rPr>
            </w:pPr>
            <w:r w:rsidRPr="00933638">
              <w:rPr>
                <w:rFonts w:asciiTheme="minorHAnsi" w:eastAsiaTheme="minorHAnsi" w:hAnsiTheme="minorHAnsi" w:cs="Arial"/>
                <w:bCs w:val="0"/>
                <w:color w:val="auto"/>
                <w:sz w:val="22"/>
                <w:szCs w:val="22"/>
                <w:lang w:val="en-GB"/>
              </w:rPr>
              <w:t>2012</w:t>
            </w:r>
          </w:p>
        </w:tc>
        <w:tc>
          <w:tcPr>
            <w:cnfStyle w:val="000010000000" w:firstRow="0" w:lastRow="0" w:firstColumn="0" w:lastColumn="0" w:oddVBand="1" w:evenVBand="0" w:oddHBand="0" w:evenHBand="0" w:firstRowFirstColumn="0" w:firstRowLastColumn="0" w:lastRowFirstColumn="0" w:lastRowLastColumn="0"/>
            <w:tcW w:w="992" w:type="dxa"/>
            <w:tcBorders>
              <w:top w:val="none" w:sz="0" w:space="0" w:color="auto"/>
              <w:left w:val="none" w:sz="0" w:space="0" w:color="auto"/>
              <w:bottom w:val="none" w:sz="0" w:space="0" w:color="auto"/>
              <w:right w:val="none" w:sz="0" w:space="0" w:color="auto"/>
            </w:tcBorders>
            <w:shd w:val="clear" w:color="auto" w:fill="BFBFBF" w:themeFill="background1" w:themeFillShade="BF"/>
            <w:vAlign w:val="center"/>
          </w:tcPr>
          <w:p w:rsidR="00282E35" w:rsidRPr="00933638" w:rsidRDefault="00282E35" w:rsidP="00E50C61">
            <w:pPr>
              <w:jc w:val="center"/>
              <w:rPr>
                <w:rFonts w:asciiTheme="minorHAnsi" w:eastAsiaTheme="minorHAnsi" w:hAnsiTheme="minorHAnsi" w:cs="Arial"/>
                <w:bCs w:val="0"/>
                <w:color w:val="auto"/>
                <w:sz w:val="22"/>
                <w:szCs w:val="22"/>
                <w:lang w:val="en-GB"/>
              </w:rPr>
            </w:pPr>
            <w:r w:rsidRPr="00933638">
              <w:rPr>
                <w:rFonts w:asciiTheme="minorHAnsi" w:eastAsiaTheme="minorHAnsi" w:hAnsiTheme="minorHAnsi" w:cs="Arial"/>
                <w:bCs w:val="0"/>
                <w:color w:val="auto"/>
                <w:sz w:val="22"/>
                <w:szCs w:val="22"/>
                <w:lang w:val="en-GB"/>
              </w:rPr>
              <w:t>2013</w:t>
            </w:r>
          </w:p>
        </w:tc>
        <w:tc>
          <w:tcPr>
            <w:tcW w:w="992" w:type="dxa"/>
            <w:tcBorders>
              <w:top w:val="none" w:sz="0" w:space="0" w:color="auto"/>
              <w:left w:val="none" w:sz="0" w:space="0" w:color="auto"/>
              <w:bottom w:val="none" w:sz="0" w:space="0" w:color="auto"/>
              <w:right w:val="none" w:sz="0" w:space="0" w:color="auto"/>
            </w:tcBorders>
            <w:shd w:val="clear" w:color="auto" w:fill="BFBFBF" w:themeFill="background1" w:themeFillShade="BF"/>
            <w:vAlign w:val="center"/>
          </w:tcPr>
          <w:p w:rsidR="00282E35" w:rsidRPr="00933638" w:rsidRDefault="00282E35" w:rsidP="00E50C61">
            <w:pPr>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Arial"/>
                <w:bCs w:val="0"/>
                <w:color w:val="auto"/>
                <w:sz w:val="22"/>
                <w:szCs w:val="22"/>
                <w:lang w:val="en-GB"/>
              </w:rPr>
            </w:pPr>
            <w:r w:rsidRPr="00933638">
              <w:rPr>
                <w:rFonts w:asciiTheme="minorHAnsi" w:eastAsiaTheme="minorHAnsi" w:hAnsiTheme="minorHAnsi" w:cs="Arial"/>
                <w:bCs w:val="0"/>
                <w:color w:val="auto"/>
                <w:sz w:val="22"/>
                <w:szCs w:val="22"/>
                <w:lang w:val="en-GB"/>
              </w:rPr>
              <w:t>2014</w:t>
            </w:r>
          </w:p>
        </w:tc>
        <w:tc>
          <w:tcPr>
            <w:cnfStyle w:val="000010000000" w:firstRow="0" w:lastRow="0" w:firstColumn="0" w:lastColumn="0" w:oddVBand="1" w:evenVBand="0" w:oddHBand="0" w:evenHBand="0" w:firstRowFirstColumn="0" w:firstRowLastColumn="0" w:lastRowFirstColumn="0" w:lastRowLastColumn="0"/>
            <w:tcW w:w="1134" w:type="dxa"/>
            <w:tcBorders>
              <w:top w:val="none" w:sz="0" w:space="0" w:color="auto"/>
              <w:left w:val="none" w:sz="0" w:space="0" w:color="auto"/>
              <w:bottom w:val="none" w:sz="0" w:space="0" w:color="auto"/>
              <w:right w:val="none" w:sz="0" w:space="0" w:color="auto"/>
            </w:tcBorders>
            <w:shd w:val="clear" w:color="auto" w:fill="BFBFBF" w:themeFill="background1" w:themeFillShade="BF"/>
            <w:vAlign w:val="center"/>
          </w:tcPr>
          <w:p w:rsidR="00282E35" w:rsidRPr="00933638" w:rsidRDefault="00282E35" w:rsidP="00E50C61">
            <w:pPr>
              <w:jc w:val="center"/>
              <w:rPr>
                <w:rFonts w:asciiTheme="minorHAnsi" w:eastAsiaTheme="minorHAnsi" w:hAnsiTheme="minorHAnsi" w:cs="Arial"/>
                <w:bCs w:val="0"/>
                <w:color w:val="auto"/>
                <w:sz w:val="22"/>
                <w:szCs w:val="22"/>
                <w:lang w:val="en-GB"/>
              </w:rPr>
            </w:pPr>
            <w:r w:rsidRPr="00933638">
              <w:rPr>
                <w:rFonts w:asciiTheme="minorHAnsi" w:eastAsiaTheme="minorHAnsi" w:hAnsiTheme="minorHAnsi" w:cs="Arial"/>
                <w:bCs w:val="0"/>
                <w:color w:val="auto"/>
                <w:sz w:val="22"/>
                <w:szCs w:val="22"/>
                <w:lang w:val="en-GB"/>
              </w:rPr>
              <w:t>Feb 2015</w:t>
            </w:r>
          </w:p>
        </w:tc>
      </w:tr>
      <w:tr w:rsidR="00282E35" w:rsidRPr="005E412C" w:rsidTr="00E50C61">
        <w:trPr>
          <w:cnfStyle w:val="010000000000" w:firstRow="0" w:lastRow="1"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10" w:type="dxa"/>
            <w:tcBorders>
              <w:top w:val="none" w:sz="0" w:space="0" w:color="auto"/>
              <w:left w:val="none" w:sz="0" w:space="0" w:color="auto"/>
              <w:bottom w:val="none" w:sz="0" w:space="0" w:color="auto"/>
              <w:right w:val="none" w:sz="0" w:space="0" w:color="auto"/>
            </w:tcBorders>
            <w:shd w:val="clear" w:color="auto" w:fill="auto"/>
            <w:vAlign w:val="center"/>
          </w:tcPr>
          <w:p w:rsidR="00282E35" w:rsidRPr="00933638" w:rsidRDefault="00282E35" w:rsidP="00E50C61">
            <w:pPr>
              <w:jc w:val="center"/>
              <w:rPr>
                <w:rFonts w:asciiTheme="minorHAnsi" w:eastAsiaTheme="minorHAnsi" w:hAnsiTheme="minorHAnsi" w:cs="Arial"/>
                <w:b w:val="0"/>
                <w:bCs w:val="0"/>
                <w:color w:val="auto"/>
                <w:sz w:val="22"/>
                <w:szCs w:val="22"/>
                <w:lang w:val="en-GB"/>
              </w:rPr>
            </w:pPr>
            <w:r w:rsidRPr="00933638">
              <w:rPr>
                <w:rFonts w:asciiTheme="minorHAnsi" w:eastAsiaTheme="minorHAnsi" w:hAnsiTheme="minorHAnsi" w:cs="Arial"/>
                <w:b w:val="0"/>
                <w:bCs w:val="0"/>
                <w:color w:val="auto"/>
                <w:sz w:val="22"/>
                <w:szCs w:val="22"/>
                <w:lang w:val="en-GB"/>
              </w:rPr>
              <w:t>Number of Care Leavers</w:t>
            </w:r>
          </w:p>
        </w:tc>
        <w:tc>
          <w:tcPr>
            <w:cnfStyle w:val="000010000000" w:firstRow="0" w:lastRow="0" w:firstColumn="0" w:lastColumn="0" w:oddVBand="1" w:evenVBand="0" w:oddHBand="0" w:evenHBand="0" w:firstRowFirstColumn="0" w:firstRowLastColumn="0" w:lastRowFirstColumn="0" w:lastRowLastColumn="0"/>
            <w:tcW w:w="851" w:type="dxa"/>
            <w:tcBorders>
              <w:top w:val="none" w:sz="0" w:space="0" w:color="auto"/>
              <w:left w:val="none" w:sz="0" w:space="0" w:color="auto"/>
              <w:bottom w:val="none" w:sz="0" w:space="0" w:color="auto"/>
              <w:right w:val="none" w:sz="0" w:space="0" w:color="auto"/>
            </w:tcBorders>
            <w:shd w:val="clear" w:color="auto" w:fill="auto"/>
            <w:vAlign w:val="center"/>
          </w:tcPr>
          <w:p w:rsidR="00282E35" w:rsidRPr="00933638" w:rsidRDefault="00282E35" w:rsidP="00E50C61">
            <w:pPr>
              <w:jc w:val="center"/>
              <w:rPr>
                <w:rFonts w:asciiTheme="minorHAnsi" w:eastAsiaTheme="minorHAnsi" w:hAnsiTheme="minorHAnsi" w:cs="Arial"/>
                <w:b w:val="0"/>
                <w:bCs w:val="0"/>
                <w:color w:val="auto"/>
                <w:sz w:val="22"/>
                <w:szCs w:val="22"/>
                <w:lang w:val="en-GB"/>
              </w:rPr>
            </w:pPr>
            <w:r w:rsidRPr="00933638">
              <w:rPr>
                <w:rFonts w:asciiTheme="minorHAnsi" w:eastAsiaTheme="minorHAnsi" w:hAnsiTheme="minorHAnsi" w:cs="Arial"/>
                <w:b w:val="0"/>
                <w:bCs w:val="0"/>
                <w:color w:val="auto"/>
                <w:sz w:val="22"/>
                <w:szCs w:val="22"/>
                <w:lang w:val="en-GB"/>
              </w:rPr>
              <w:t>297</w:t>
            </w:r>
          </w:p>
        </w:tc>
        <w:tc>
          <w:tcPr>
            <w:tcW w:w="850" w:type="dxa"/>
            <w:tcBorders>
              <w:top w:val="none" w:sz="0" w:space="0" w:color="auto"/>
              <w:left w:val="none" w:sz="0" w:space="0" w:color="auto"/>
              <w:bottom w:val="none" w:sz="0" w:space="0" w:color="auto"/>
              <w:right w:val="none" w:sz="0" w:space="0" w:color="auto"/>
            </w:tcBorders>
            <w:shd w:val="clear" w:color="auto" w:fill="auto"/>
            <w:vAlign w:val="center"/>
          </w:tcPr>
          <w:p w:rsidR="00282E35" w:rsidRPr="00933638" w:rsidRDefault="00282E35" w:rsidP="00E50C61">
            <w:pPr>
              <w:jc w:val="center"/>
              <w:cnfStyle w:val="010000000000" w:firstRow="0" w:lastRow="1" w:firstColumn="0" w:lastColumn="0" w:oddVBand="0" w:evenVBand="0" w:oddHBand="0" w:evenHBand="0" w:firstRowFirstColumn="0" w:firstRowLastColumn="0" w:lastRowFirstColumn="0" w:lastRowLastColumn="0"/>
              <w:rPr>
                <w:rFonts w:asciiTheme="minorHAnsi" w:eastAsiaTheme="minorHAnsi" w:hAnsiTheme="minorHAnsi" w:cs="Arial"/>
                <w:b w:val="0"/>
                <w:bCs w:val="0"/>
                <w:color w:val="auto"/>
                <w:sz w:val="22"/>
                <w:szCs w:val="22"/>
                <w:lang w:val="en-GB"/>
              </w:rPr>
            </w:pPr>
            <w:r w:rsidRPr="00933638">
              <w:rPr>
                <w:rFonts w:asciiTheme="minorHAnsi" w:eastAsiaTheme="minorHAnsi" w:hAnsiTheme="minorHAnsi" w:cs="Arial"/>
                <w:b w:val="0"/>
                <w:bCs w:val="0"/>
                <w:color w:val="auto"/>
                <w:sz w:val="22"/>
                <w:szCs w:val="22"/>
                <w:lang w:val="en-GB"/>
              </w:rPr>
              <w:t>278</w:t>
            </w:r>
          </w:p>
        </w:tc>
        <w:tc>
          <w:tcPr>
            <w:cnfStyle w:val="000010000000" w:firstRow="0" w:lastRow="0" w:firstColumn="0" w:lastColumn="0" w:oddVBand="1" w:evenVBand="0" w:oddHBand="0" w:evenHBand="0" w:firstRowFirstColumn="0" w:firstRowLastColumn="0" w:lastRowFirstColumn="0" w:lastRowLastColumn="0"/>
            <w:tcW w:w="797" w:type="dxa"/>
            <w:tcBorders>
              <w:top w:val="none" w:sz="0" w:space="0" w:color="auto"/>
              <w:left w:val="none" w:sz="0" w:space="0" w:color="auto"/>
              <w:bottom w:val="none" w:sz="0" w:space="0" w:color="auto"/>
              <w:right w:val="none" w:sz="0" w:space="0" w:color="auto"/>
            </w:tcBorders>
            <w:shd w:val="clear" w:color="auto" w:fill="auto"/>
            <w:vAlign w:val="center"/>
          </w:tcPr>
          <w:p w:rsidR="00282E35" w:rsidRPr="00933638" w:rsidRDefault="00282E35" w:rsidP="00E50C61">
            <w:pPr>
              <w:jc w:val="center"/>
              <w:rPr>
                <w:rFonts w:asciiTheme="minorHAnsi" w:eastAsiaTheme="minorHAnsi" w:hAnsiTheme="minorHAnsi" w:cs="Arial"/>
                <w:b w:val="0"/>
                <w:bCs w:val="0"/>
                <w:color w:val="auto"/>
                <w:sz w:val="22"/>
                <w:szCs w:val="22"/>
                <w:lang w:val="en-GB"/>
              </w:rPr>
            </w:pPr>
            <w:r w:rsidRPr="00933638">
              <w:rPr>
                <w:rFonts w:asciiTheme="minorHAnsi" w:eastAsiaTheme="minorHAnsi" w:hAnsiTheme="minorHAnsi" w:cs="Arial"/>
                <w:b w:val="0"/>
                <w:bCs w:val="0"/>
                <w:color w:val="auto"/>
                <w:sz w:val="22"/>
                <w:szCs w:val="22"/>
                <w:lang w:val="en-GB"/>
              </w:rPr>
              <w:t>266</w:t>
            </w:r>
          </w:p>
        </w:tc>
        <w:tc>
          <w:tcPr>
            <w:tcW w:w="763" w:type="dxa"/>
            <w:tcBorders>
              <w:top w:val="none" w:sz="0" w:space="0" w:color="auto"/>
              <w:left w:val="none" w:sz="0" w:space="0" w:color="auto"/>
              <w:bottom w:val="none" w:sz="0" w:space="0" w:color="auto"/>
              <w:right w:val="none" w:sz="0" w:space="0" w:color="auto"/>
            </w:tcBorders>
            <w:shd w:val="clear" w:color="auto" w:fill="auto"/>
            <w:vAlign w:val="center"/>
          </w:tcPr>
          <w:p w:rsidR="00282E35" w:rsidRPr="00933638" w:rsidRDefault="00282E35" w:rsidP="00E50C61">
            <w:pPr>
              <w:jc w:val="center"/>
              <w:cnfStyle w:val="010000000000" w:firstRow="0" w:lastRow="1" w:firstColumn="0" w:lastColumn="0" w:oddVBand="0" w:evenVBand="0" w:oddHBand="0" w:evenHBand="0" w:firstRowFirstColumn="0" w:firstRowLastColumn="0" w:lastRowFirstColumn="0" w:lastRowLastColumn="0"/>
              <w:rPr>
                <w:rFonts w:asciiTheme="minorHAnsi" w:eastAsiaTheme="minorHAnsi" w:hAnsiTheme="minorHAnsi" w:cs="Arial"/>
                <w:b w:val="0"/>
                <w:bCs w:val="0"/>
                <w:color w:val="auto"/>
                <w:sz w:val="22"/>
                <w:szCs w:val="22"/>
                <w:lang w:val="en-GB"/>
              </w:rPr>
            </w:pPr>
            <w:r w:rsidRPr="00933638">
              <w:rPr>
                <w:rFonts w:asciiTheme="minorHAnsi" w:eastAsiaTheme="minorHAnsi" w:hAnsiTheme="minorHAnsi" w:cs="Arial"/>
                <w:b w:val="0"/>
                <w:bCs w:val="0"/>
                <w:color w:val="auto"/>
                <w:sz w:val="22"/>
                <w:szCs w:val="22"/>
                <w:lang w:val="en-GB"/>
              </w:rPr>
              <w:t>274</w:t>
            </w:r>
          </w:p>
        </w:tc>
        <w:tc>
          <w:tcPr>
            <w:cnfStyle w:val="000010000000" w:firstRow="0" w:lastRow="0" w:firstColumn="0" w:lastColumn="0" w:oddVBand="1" w:evenVBand="0" w:oddHBand="0" w:evenHBand="0" w:firstRowFirstColumn="0" w:firstRowLastColumn="0" w:lastRowFirstColumn="0" w:lastRowLastColumn="0"/>
            <w:tcW w:w="992" w:type="dxa"/>
            <w:tcBorders>
              <w:top w:val="none" w:sz="0" w:space="0" w:color="auto"/>
              <w:left w:val="none" w:sz="0" w:space="0" w:color="auto"/>
              <w:bottom w:val="none" w:sz="0" w:space="0" w:color="auto"/>
              <w:right w:val="none" w:sz="0" w:space="0" w:color="auto"/>
            </w:tcBorders>
            <w:shd w:val="clear" w:color="auto" w:fill="auto"/>
            <w:vAlign w:val="center"/>
          </w:tcPr>
          <w:p w:rsidR="00282E35" w:rsidRPr="00933638" w:rsidRDefault="00282E35" w:rsidP="00E50C61">
            <w:pPr>
              <w:jc w:val="center"/>
              <w:rPr>
                <w:rFonts w:asciiTheme="minorHAnsi" w:eastAsiaTheme="minorHAnsi" w:hAnsiTheme="minorHAnsi" w:cs="Arial"/>
                <w:b w:val="0"/>
                <w:bCs w:val="0"/>
                <w:color w:val="auto"/>
                <w:sz w:val="22"/>
                <w:szCs w:val="22"/>
                <w:lang w:val="en-GB"/>
              </w:rPr>
            </w:pPr>
            <w:r w:rsidRPr="00933638">
              <w:rPr>
                <w:rFonts w:asciiTheme="minorHAnsi" w:eastAsiaTheme="minorHAnsi" w:hAnsiTheme="minorHAnsi" w:cs="Arial"/>
                <w:b w:val="0"/>
                <w:bCs w:val="0"/>
                <w:color w:val="auto"/>
                <w:sz w:val="22"/>
                <w:szCs w:val="22"/>
                <w:lang w:val="en-GB"/>
              </w:rPr>
              <w:t>267</w:t>
            </w:r>
          </w:p>
        </w:tc>
        <w:tc>
          <w:tcPr>
            <w:tcW w:w="992" w:type="dxa"/>
            <w:tcBorders>
              <w:top w:val="none" w:sz="0" w:space="0" w:color="auto"/>
              <w:left w:val="none" w:sz="0" w:space="0" w:color="auto"/>
              <w:bottom w:val="none" w:sz="0" w:space="0" w:color="auto"/>
              <w:right w:val="none" w:sz="0" w:space="0" w:color="auto"/>
            </w:tcBorders>
            <w:shd w:val="clear" w:color="auto" w:fill="auto"/>
            <w:vAlign w:val="center"/>
          </w:tcPr>
          <w:p w:rsidR="00282E35" w:rsidRPr="00933638" w:rsidRDefault="00282E35" w:rsidP="00E50C61">
            <w:pPr>
              <w:jc w:val="center"/>
              <w:cnfStyle w:val="010000000000" w:firstRow="0" w:lastRow="1" w:firstColumn="0" w:lastColumn="0" w:oddVBand="0" w:evenVBand="0" w:oddHBand="0" w:evenHBand="0" w:firstRowFirstColumn="0" w:firstRowLastColumn="0" w:lastRowFirstColumn="0" w:lastRowLastColumn="0"/>
              <w:rPr>
                <w:rFonts w:asciiTheme="minorHAnsi" w:eastAsiaTheme="minorHAnsi" w:hAnsiTheme="minorHAnsi" w:cs="Arial"/>
                <w:b w:val="0"/>
                <w:bCs w:val="0"/>
                <w:color w:val="auto"/>
                <w:sz w:val="22"/>
                <w:szCs w:val="22"/>
                <w:lang w:val="en-GB"/>
              </w:rPr>
            </w:pPr>
            <w:r w:rsidRPr="00933638">
              <w:rPr>
                <w:rFonts w:asciiTheme="minorHAnsi" w:eastAsiaTheme="minorHAnsi" w:hAnsiTheme="minorHAnsi" w:cs="Arial"/>
                <w:b w:val="0"/>
                <w:bCs w:val="0"/>
                <w:color w:val="auto"/>
                <w:sz w:val="22"/>
                <w:szCs w:val="22"/>
                <w:lang w:val="en-GB"/>
              </w:rPr>
              <w:t>266</w:t>
            </w:r>
          </w:p>
        </w:tc>
        <w:tc>
          <w:tcPr>
            <w:cnfStyle w:val="000010000000" w:firstRow="0" w:lastRow="0" w:firstColumn="0" w:lastColumn="0" w:oddVBand="1" w:evenVBand="0" w:oddHBand="0" w:evenHBand="0" w:firstRowFirstColumn="0" w:firstRowLastColumn="0" w:lastRowFirstColumn="0" w:lastRowLastColumn="0"/>
            <w:tcW w:w="1134" w:type="dxa"/>
            <w:tcBorders>
              <w:top w:val="none" w:sz="0" w:space="0" w:color="auto"/>
              <w:left w:val="none" w:sz="0" w:space="0" w:color="auto"/>
              <w:bottom w:val="none" w:sz="0" w:space="0" w:color="auto"/>
              <w:right w:val="none" w:sz="0" w:space="0" w:color="auto"/>
            </w:tcBorders>
            <w:shd w:val="clear" w:color="auto" w:fill="auto"/>
            <w:vAlign w:val="center"/>
          </w:tcPr>
          <w:p w:rsidR="00282E35" w:rsidRPr="00933638" w:rsidRDefault="00282E35" w:rsidP="00E50C61">
            <w:pPr>
              <w:jc w:val="center"/>
              <w:rPr>
                <w:rFonts w:asciiTheme="minorHAnsi" w:eastAsiaTheme="minorHAnsi" w:hAnsiTheme="minorHAnsi" w:cs="Arial"/>
                <w:b w:val="0"/>
                <w:bCs w:val="0"/>
                <w:color w:val="auto"/>
                <w:sz w:val="22"/>
                <w:szCs w:val="22"/>
                <w:lang w:val="en-GB"/>
              </w:rPr>
            </w:pPr>
            <w:r w:rsidRPr="00933638">
              <w:rPr>
                <w:rFonts w:asciiTheme="minorHAnsi" w:eastAsiaTheme="minorHAnsi" w:hAnsiTheme="minorHAnsi" w:cs="Arial"/>
                <w:b w:val="0"/>
                <w:bCs w:val="0"/>
                <w:color w:val="auto"/>
                <w:sz w:val="22"/>
                <w:szCs w:val="22"/>
                <w:lang w:val="en-GB"/>
              </w:rPr>
              <w:t>279</w:t>
            </w:r>
          </w:p>
        </w:tc>
      </w:tr>
    </w:tbl>
    <w:p w:rsidR="00282E35" w:rsidRDefault="00282E35" w:rsidP="00282E35">
      <w:pPr>
        <w:pStyle w:val="NoSpacing"/>
      </w:pPr>
    </w:p>
    <w:p w:rsidR="00282E35" w:rsidRPr="00D37F63" w:rsidRDefault="00282E35" w:rsidP="00282E35">
      <w:pPr>
        <w:jc w:val="both"/>
        <w:rPr>
          <w:rFonts w:cs="Arial"/>
        </w:rPr>
      </w:pPr>
      <w:r w:rsidRPr="009A1C8B">
        <w:rPr>
          <w:rFonts w:cs="Arial"/>
        </w:rPr>
        <w:t>The graph below shows th</w:t>
      </w:r>
      <w:r w:rsidR="00D865E1">
        <w:rPr>
          <w:rFonts w:cs="Arial"/>
        </w:rPr>
        <w:t xml:space="preserve">at Barnet’s Care Leavers in </w:t>
      </w:r>
      <w:r w:rsidRPr="009A1C8B">
        <w:rPr>
          <w:rFonts w:cs="Arial"/>
        </w:rPr>
        <w:t>Education, Employment or Training</w:t>
      </w:r>
      <w:r w:rsidR="00D865E1">
        <w:rPr>
          <w:rFonts w:cs="Arial"/>
        </w:rPr>
        <w:t xml:space="preserve"> (EET)</w:t>
      </w:r>
      <w:r w:rsidRPr="009A1C8B">
        <w:rPr>
          <w:rFonts w:cs="Arial"/>
        </w:rPr>
        <w:t xml:space="preserve"> has fluctuated since 2005. In 2014, Barnet’s rat</w:t>
      </w:r>
      <w:r w:rsidR="00D865E1">
        <w:rPr>
          <w:rFonts w:cs="Arial"/>
        </w:rPr>
        <w:t>e was similar to London and</w:t>
      </w:r>
      <w:r w:rsidRPr="009A1C8B">
        <w:rPr>
          <w:rFonts w:cs="Arial"/>
        </w:rPr>
        <w:t xml:space="preserve"> statistical neighbours and higher than England. All comparators have seen a decline in figures, with one of the lowest percentages of Care Leavers in</w:t>
      </w:r>
      <w:r w:rsidR="00D865E1">
        <w:rPr>
          <w:rFonts w:cs="Arial"/>
        </w:rPr>
        <w:t xml:space="preserve"> EET when compared to the past nine</w:t>
      </w:r>
      <w:r w:rsidRPr="009A1C8B">
        <w:rPr>
          <w:rFonts w:cs="Arial"/>
        </w:rPr>
        <w:t xml:space="preserve"> years.</w:t>
      </w:r>
      <w:r>
        <w:rPr>
          <w:rFonts w:cs="Arial"/>
        </w:rPr>
        <w:t xml:space="preserve">  </w:t>
      </w:r>
    </w:p>
    <w:p w:rsidR="00282E35" w:rsidRPr="00C347D2" w:rsidRDefault="00282E35" w:rsidP="00282E35">
      <w:pPr>
        <w:pStyle w:val="Caption"/>
        <w:rPr>
          <w:rFonts w:cs="Arial"/>
        </w:rPr>
      </w:pPr>
      <w:r>
        <w:rPr>
          <w:noProof/>
          <w:lang w:eastAsia="en-GB"/>
        </w:rPr>
        <w:drawing>
          <wp:anchor distT="0" distB="0" distL="114300" distR="114300" simplePos="0" relativeHeight="251817984" behindDoc="1" locked="0" layoutInCell="1" allowOverlap="1" wp14:anchorId="33752D6B" wp14:editId="315C2323">
            <wp:simplePos x="0" y="0"/>
            <wp:positionH relativeFrom="column">
              <wp:posOffset>-76200</wp:posOffset>
            </wp:positionH>
            <wp:positionV relativeFrom="paragraph">
              <wp:posOffset>292100</wp:posOffset>
            </wp:positionV>
            <wp:extent cx="6019800" cy="1809750"/>
            <wp:effectExtent l="0" t="0" r="19050" b="19050"/>
            <wp:wrapTight wrapText="bothSides">
              <wp:wrapPolygon edited="0">
                <wp:start x="0" y="0"/>
                <wp:lineTo x="0" y="21600"/>
                <wp:lineTo x="21600" y="21600"/>
                <wp:lineTo x="21600" y="0"/>
                <wp:lineTo x="0" y="0"/>
              </wp:wrapPolygon>
            </wp:wrapTight>
            <wp:docPr id="102" name="Chart 10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14:sizeRelH relativeFrom="page">
              <wp14:pctWidth>0</wp14:pctWidth>
            </wp14:sizeRelH>
            <wp14:sizeRelV relativeFrom="page">
              <wp14:pctHeight>0</wp14:pctHeight>
            </wp14:sizeRelV>
          </wp:anchor>
        </w:drawing>
      </w:r>
      <w:r>
        <w:t xml:space="preserve">Figure </w:t>
      </w:r>
      <w:fldSimple w:instr=" STYLEREF 1 \s ">
        <w:r w:rsidR="001663C2">
          <w:rPr>
            <w:noProof/>
          </w:rPr>
          <w:t>8</w:t>
        </w:r>
      </w:fldSimple>
      <w:r w:rsidR="00943DC2">
        <w:noBreakHyphen/>
      </w:r>
      <w:fldSimple w:instr=" SEQ Figure \* ARABIC \s 1 ">
        <w:r w:rsidR="001663C2">
          <w:rPr>
            <w:noProof/>
          </w:rPr>
          <w:t>11</w:t>
        </w:r>
      </w:fldSimple>
      <w:r>
        <w:t>:</w:t>
      </w:r>
      <w:r w:rsidRPr="00C347D2">
        <w:t xml:space="preserve"> </w:t>
      </w:r>
      <w:r w:rsidRPr="00C347D2">
        <w:rPr>
          <w:rFonts w:cs="Arial"/>
        </w:rPr>
        <w:t xml:space="preserve">Care Leavers (aged 19, 20 and 21) – Education, Employment and Training </w:t>
      </w:r>
    </w:p>
    <w:p w:rsidR="00282E35" w:rsidRPr="00C347D2" w:rsidRDefault="00282E35" w:rsidP="00282E35">
      <w:pPr>
        <w:jc w:val="both"/>
        <w:rPr>
          <w:rFonts w:cs="Arial"/>
        </w:rPr>
      </w:pPr>
      <w:r w:rsidRPr="00C347D2">
        <w:rPr>
          <w:rFonts w:cs="Arial"/>
        </w:rPr>
        <w:t>Source: LAIT</w:t>
      </w:r>
    </w:p>
    <w:p w:rsidR="00282E35" w:rsidRDefault="00282E35" w:rsidP="00282E35">
      <w:pPr>
        <w:pStyle w:val="Heading2"/>
        <w:keepNext w:val="0"/>
        <w:keepLines w:val="0"/>
      </w:pPr>
      <w:bookmarkStart w:id="871" w:name="_Toc426723379"/>
      <w:bookmarkStart w:id="872" w:name="_Toc431225206"/>
      <w:r>
        <w:lastRenderedPageBreak/>
        <w:t xml:space="preserve">Young People who </w:t>
      </w:r>
      <w:r w:rsidR="002D4909">
        <w:t>O</w:t>
      </w:r>
      <w:r>
        <w:t xml:space="preserve">ffend or </w:t>
      </w:r>
      <w:r w:rsidR="00404154">
        <w:t>R</w:t>
      </w:r>
      <w:r>
        <w:t>eoffend</w:t>
      </w:r>
      <w:bookmarkEnd w:id="871"/>
      <w:bookmarkEnd w:id="872"/>
    </w:p>
    <w:p w:rsidR="00282E35" w:rsidRDefault="00282E35" w:rsidP="00282E35">
      <w:pPr>
        <w:pStyle w:val="Heading3"/>
        <w:keepNext w:val="0"/>
        <w:keepLines w:val="0"/>
        <w:spacing w:line="271" w:lineRule="auto"/>
      </w:pPr>
      <w:r w:rsidRPr="00B1135D">
        <w:t>First Time Entrants</w:t>
      </w:r>
      <w:r>
        <w:t xml:space="preserve"> (FTE)</w:t>
      </w:r>
    </w:p>
    <w:p w:rsidR="00282E35" w:rsidRPr="00ED3705" w:rsidRDefault="00282E35" w:rsidP="00282E35">
      <w:pPr>
        <w:jc w:val="both"/>
      </w:pPr>
      <w:r w:rsidRPr="00B1135D">
        <w:rPr>
          <w:rFonts w:cs="Arial"/>
          <w:kern w:val="24"/>
        </w:rPr>
        <w:t>A first time entrant is defined as a young person aged under 18 at the time of their offence entering into the justice system for the first time</w:t>
      </w:r>
      <w:r>
        <w:rPr>
          <w:rFonts w:cs="Arial"/>
          <w:kern w:val="24"/>
        </w:rPr>
        <w:t>. The data in Figure 8-12</w:t>
      </w:r>
      <w:r w:rsidRPr="00B1135D">
        <w:rPr>
          <w:rFonts w:cs="Arial"/>
          <w:kern w:val="24"/>
        </w:rPr>
        <w:t xml:space="preserve"> represents the most recently published figures from the Youth Justice Board.</w:t>
      </w:r>
      <w:r>
        <w:t xml:space="preserve"> </w:t>
      </w:r>
      <w:r w:rsidRPr="00B1135D">
        <w:rPr>
          <w:rFonts w:cs="Arial"/>
          <w:kern w:val="24"/>
        </w:rPr>
        <w:t>Barnet continues to have a lower FTE per 100,000 rate compared to National and London figures.</w:t>
      </w:r>
    </w:p>
    <w:p w:rsidR="00282E35" w:rsidRPr="008503CD" w:rsidRDefault="00282E35" w:rsidP="00C63154">
      <w:pPr>
        <w:pStyle w:val="Caption"/>
        <w:spacing w:after="0"/>
        <w:rPr>
          <w:rFonts w:eastAsiaTheme="minorEastAsia" w:cs="Arial"/>
          <w:b w:val="0"/>
          <w:i/>
          <w:kern w:val="24"/>
          <w:szCs w:val="22"/>
        </w:rPr>
      </w:pPr>
      <w:r w:rsidRPr="00B1135D">
        <w:rPr>
          <w:rFonts w:cs="Arial"/>
          <w:noProof/>
          <w:lang w:eastAsia="en-GB"/>
        </w:rPr>
        <w:drawing>
          <wp:anchor distT="0" distB="0" distL="114300" distR="114300" simplePos="0" relativeHeight="251819008" behindDoc="1" locked="0" layoutInCell="1" allowOverlap="1" wp14:anchorId="36BCB135" wp14:editId="7FE720A2">
            <wp:simplePos x="0" y="0"/>
            <wp:positionH relativeFrom="column">
              <wp:posOffset>0</wp:posOffset>
            </wp:positionH>
            <wp:positionV relativeFrom="paragraph">
              <wp:posOffset>211455</wp:posOffset>
            </wp:positionV>
            <wp:extent cx="5876925" cy="2114550"/>
            <wp:effectExtent l="0" t="0" r="9525" b="19050"/>
            <wp:wrapTight wrapText="bothSides">
              <wp:wrapPolygon edited="0">
                <wp:start x="0" y="0"/>
                <wp:lineTo x="0" y="21600"/>
                <wp:lineTo x="21565" y="21600"/>
                <wp:lineTo x="21565" y="0"/>
                <wp:lineTo x="0" y="0"/>
              </wp:wrapPolygon>
            </wp:wrapTight>
            <wp:docPr id="103" name="Chart 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14:sizeRelH relativeFrom="page">
              <wp14:pctWidth>0</wp14:pctWidth>
            </wp14:sizeRelH>
            <wp14:sizeRelV relativeFrom="page">
              <wp14:pctHeight>0</wp14:pctHeight>
            </wp14:sizeRelV>
          </wp:anchor>
        </w:drawing>
      </w:r>
      <w:r>
        <w:t xml:space="preserve">Figure </w:t>
      </w:r>
      <w:fldSimple w:instr=" STYLEREF 1 \s ">
        <w:r w:rsidR="001663C2">
          <w:rPr>
            <w:noProof/>
          </w:rPr>
          <w:t>8</w:t>
        </w:r>
      </w:fldSimple>
      <w:r w:rsidR="00943DC2">
        <w:noBreakHyphen/>
      </w:r>
      <w:fldSimple w:instr=" SEQ Figure \* ARABIC \s 1 ">
        <w:r w:rsidR="001663C2">
          <w:rPr>
            <w:noProof/>
          </w:rPr>
          <w:t>12</w:t>
        </w:r>
      </w:fldSimple>
      <w:r>
        <w:t xml:space="preserve">: </w:t>
      </w:r>
      <w:r w:rsidRPr="00B749D2">
        <w:rPr>
          <w:rFonts w:cs="Arial"/>
        </w:rPr>
        <w:t>Rate of First Time Entrants per 100,000</w:t>
      </w:r>
    </w:p>
    <w:p w:rsidR="00282E35" w:rsidRDefault="00282E35" w:rsidP="00C63154">
      <w:pPr>
        <w:spacing w:after="0" w:line="240" w:lineRule="auto"/>
        <w:rPr>
          <w:rFonts w:cs="Arial"/>
        </w:rPr>
      </w:pPr>
      <w:r>
        <w:rPr>
          <w:rFonts w:cs="Arial"/>
        </w:rPr>
        <w:t xml:space="preserve">Source: </w:t>
      </w:r>
      <w:r w:rsidR="003949A0">
        <w:rPr>
          <w:rFonts w:cs="Arial"/>
        </w:rPr>
        <w:t>Youth Justice Management information System</w:t>
      </w:r>
    </w:p>
    <w:p w:rsidR="00282E35" w:rsidRDefault="00282E35" w:rsidP="00282E35">
      <w:pPr>
        <w:pStyle w:val="NormalWeb"/>
        <w:spacing w:before="0" w:beforeAutospacing="0" w:after="0" w:afterAutospacing="0"/>
        <w:textAlignment w:val="baseline"/>
        <w:rPr>
          <w:rFonts w:asciiTheme="minorHAnsi" w:eastAsiaTheme="minorEastAsia" w:hAnsiTheme="minorHAnsi" w:cs="Arial"/>
          <w:kern w:val="24"/>
          <w:sz w:val="22"/>
          <w:szCs w:val="22"/>
        </w:rPr>
      </w:pPr>
    </w:p>
    <w:p w:rsidR="00282E35" w:rsidRPr="00C74CEB" w:rsidRDefault="00282E35" w:rsidP="00282E35">
      <w:pPr>
        <w:pStyle w:val="NormalWeb"/>
        <w:spacing w:before="0" w:beforeAutospacing="0" w:after="0" w:afterAutospacing="0"/>
        <w:jc w:val="both"/>
        <w:textAlignment w:val="baseline"/>
        <w:rPr>
          <w:rFonts w:asciiTheme="minorHAnsi" w:hAnsiTheme="minorHAnsi"/>
          <w:sz w:val="22"/>
          <w:szCs w:val="22"/>
        </w:rPr>
      </w:pPr>
      <w:r w:rsidRPr="00B1135D">
        <w:rPr>
          <w:rFonts w:asciiTheme="minorHAnsi" w:eastAsiaTheme="minorEastAsia" w:hAnsiTheme="minorHAnsi" w:cs="Arial"/>
          <w:kern w:val="24"/>
          <w:sz w:val="22"/>
          <w:szCs w:val="22"/>
        </w:rPr>
        <w:t>There is a need to improve access to C</w:t>
      </w:r>
      <w:r w:rsidR="00D865E1">
        <w:rPr>
          <w:rFonts w:asciiTheme="minorHAnsi" w:eastAsiaTheme="minorEastAsia" w:hAnsiTheme="minorHAnsi" w:cs="Arial"/>
          <w:kern w:val="24"/>
          <w:sz w:val="22"/>
          <w:szCs w:val="22"/>
        </w:rPr>
        <w:t>hild and Adolescent Mental Health Services</w:t>
      </w:r>
      <w:r w:rsidRPr="00B1135D">
        <w:rPr>
          <w:rFonts w:asciiTheme="minorHAnsi" w:eastAsiaTheme="minorEastAsia" w:hAnsiTheme="minorHAnsi" w:cs="Arial"/>
          <w:kern w:val="24"/>
          <w:sz w:val="22"/>
          <w:szCs w:val="22"/>
        </w:rPr>
        <w:t>, Speech &amp; Language Therapy and school nurse provisions as well as additional access to mentors. If these provision issues were resolved, the service would be better equipped to engage with young people before they enter the justice system and become FTEs. This is likely to have a positive impact on</w:t>
      </w:r>
      <w:r w:rsidR="00D865E1">
        <w:rPr>
          <w:rFonts w:asciiTheme="minorHAnsi" w:eastAsiaTheme="minorEastAsia" w:hAnsiTheme="minorHAnsi" w:cs="Arial"/>
          <w:kern w:val="24"/>
          <w:sz w:val="22"/>
          <w:szCs w:val="22"/>
        </w:rPr>
        <w:t xml:space="preserve"> Barnet’s</w:t>
      </w:r>
      <w:r w:rsidRPr="00B1135D">
        <w:rPr>
          <w:rFonts w:asciiTheme="minorHAnsi" w:eastAsiaTheme="minorEastAsia" w:hAnsiTheme="minorHAnsi" w:cs="Arial"/>
          <w:kern w:val="24"/>
          <w:sz w:val="22"/>
          <w:szCs w:val="22"/>
        </w:rPr>
        <w:t xml:space="preserve"> already low FTE numbers.</w:t>
      </w:r>
    </w:p>
    <w:p w:rsidR="00282E35" w:rsidRDefault="00282E35" w:rsidP="00282E35">
      <w:pPr>
        <w:pStyle w:val="Heading3"/>
        <w:keepNext w:val="0"/>
        <w:keepLines w:val="0"/>
        <w:spacing w:line="271" w:lineRule="auto"/>
        <w:rPr>
          <w:rFonts w:eastAsiaTheme="minorEastAsia"/>
        </w:rPr>
      </w:pPr>
      <w:r w:rsidRPr="00B1135D">
        <w:rPr>
          <w:rFonts w:eastAsiaTheme="minorEastAsia"/>
        </w:rPr>
        <w:t>Re-Offending</w:t>
      </w:r>
    </w:p>
    <w:p w:rsidR="00282E35" w:rsidRPr="00B1135D" w:rsidRDefault="00282E35" w:rsidP="00282E35">
      <w:pPr>
        <w:pStyle w:val="NormalWeb"/>
        <w:spacing w:before="0" w:beforeAutospacing="0" w:after="0" w:afterAutospacing="0"/>
        <w:jc w:val="both"/>
        <w:textAlignment w:val="baseline"/>
        <w:rPr>
          <w:rFonts w:asciiTheme="minorHAnsi" w:hAnsiTheme="minorHAnsi"/>
          <w:sz w:val="22"/>
          <w:szCs w:val="22"/>
        </w:rPr>
      </w:pPr>
      <w:r w:rsidRPr="00B1135D">
        <w:rPr>
          <w:rFonts w:asciiTheme="minorHAnsi" w:eastAsiaTheme="minorEastAsia" w:hAnsiTheme="minorHAnsi" w:cs="Arial"/>
          <w:kern w:val="24"/>
          <w:sz w:val="22"/>
          <w:szCs w:val="22"/>
        </w:rPr>
        <w:t>A young person aged 17 or under at the time of their offence, is tracked for 12 months and their re-offending behav</w:t>
      </w:r>
      <w:r>
        <w:rPr>
          <w:rFonts w:asciiTheme="minorHAnsi" w:eastAsiaTheme="minorEastAsia" w:hAnsiTheme="minorHAnsi" w:cs="Arial"/>
          <w:kern w:val="24"/>
          <w:sz w:val="22"/>
          <w:szCs w:val="22"/>
        </w:rPr>
        <w:t xml:space="preserve">iour </w:t>
      </w:r>
      <w:r w:rsidR="00064A7A">
        <w:rPr>
          <w:rFonts w:asciiTheme="minorHAnsi" w:eastAsiaTheme="minorEastAsia" w:hAnsiTheme="minorHAnsi" w:cs="Arial"/>
          <w:kern w:val="24"/>
          <w:sz w:val="22"/>
          <w:szCs w:val="22"/>
        </w:rPr>
        <w:t xml:space="preserve">is </w:t>
      </w:r>
      <w:r>
        <w:rPr>
          <w:rFonts w:asciiTheme="minorHAnsi" w:eastAsiaTheme="minorEastAsia" w:hAnsiTheme="minorHAnsi" w:cs="Arial"/>
          <w:kern w:val="24"/>
          <w:sz w:val="22"/>
          <w:szCs w:val="22"/>
        </w:rPr>
        <w:t>reported on. The data in Figure 2</w:t>
      </w:r>
      <w:r w:rsidRPr="00B1135D">
        <w:rPr>
          <w:rFonts w:asciiTheme="minorHAnsi" w:eastAsiaTheme="minorEastAsia" w:hAnsiTheme="minorHAnsi" w:cs="Arial"/>
          <w:kern w:val="24"/>
          <w:sz w:val="22"/>
          <w:szCs w:val="22"/>
        </w:rPr>
        <w:t xml:space="preserve"> represents the most recently published figures from the Youth Justice Board.</w:t>
      </w:r>
      <w:r w:rsidRPr="00B1135D">
        <w:rPr>
          <w:rFonts w:asciiTheme="minorHAnsi" w:hAnsiTheme="minorHAnsi"/>
          <w:sz w:val="22"/>
          <w:szCs w:val="22"/>
        </w:rPr>
        <w:t xml:space="preserve"> </w:t>
      </w:r>
      <w:r w:rsidRPr="00B1135D">
        <w:rPr>
          <w:rFonts w:asciiTheme="minorHAnsi" w:eastAsiaTheme="minorEastAsia" w:hAnsiTheme="minorHAnsi" w:cs="Arial"/>
          <w:kern w:val="24"/>
          <w:sz w:val="22"/>
          <w:szCs w:val="22"/>
        </w:rPr>
        <w:t>Barnet continues to perform well compared to National and London figures, particularly in regard to the number of offences the tracked offender commits in the 12 month period.</w:t>
      </w:r>
    </w:p>
    <w:p w:rsidR="00282E35" w:rsidRDefault="00282E35" w:rsidP="00282E35">
      <w:pPr>
        <w:pStyle w:val="NormalWeb"/>
        <w:spacing w:before="0" w:beforeAutospacing="0" w:after="0" w:afterAutospacing="0"/>
        <w:textAlignment w:val="baseline"/>
        <w:rPr>
          <w:rFonts w:asciiTheme="minorHAnsi" w:eastAsiaTheme="minorEastAsia" w:hAnsiTheme="minorHAnsi" w:cs="Arial"/>
          <w:b/>
          <w:i/>
          <w:kern w:val="24"/>
          <w:sz w:val="22"/>
          <w:szCs w:val="22"/>
        </w:rPr>
      </w:pPr>
    </w:p>
    <w:p w:rsidR="00282E35" w:rsidRPr="008503CD" w:rsidRDefault="00282E35" w:rsidP="00282E35">
      <w:pPr>
        <w:pStyle w:val="Caption"/>
        <w:rPr>
          <w:rFonts w:eastAsiaTheme="minorEastAsia" w:cs="Arial"/>
          <w:b w:val="0"/>
          <w:i/>
          <w:kern w:val="24"/>
          <w:szCs w:val="22"/>
        </w:rPr>
      </w:pPr>
      <w:r>
        <w:t xml:space="preserve">Figure </w:t>
      </w:r>
      <w:fldSimple w:instr=" STYLEREF 1 \s ">
        <w:r w:rsidR="001663C2">
          <w:rPr>
            <w:noProof/>
          </w:rPr>
          <w:t>8</w:t>
        </w:r>
      </w:fldSimple>
      <w:r w:rsidR="00943DC2">
        <w:noBreakHyphen/>
      </w:r>
      <w:fldSimple w:instr=" SEQ Figure \* ARABIC \s 1 ">
        <w:r w:rsidR="001663C2">
          <w:rPr>
            <w:noProof/>
          </w:rPr>
          <w:t>13</w:t>
        </w:r>
      </w:fldSimple>
      <w:r>
        <w:t xml:space="preserve">: </w:t>
      </w:r>
      <w:r w:rsidRPr="00B749D2">
        <w:rPr>
          <w:rFonts w:eastAsiaTheme="minorEastAsia" w:cs="Arial"/>
          <w:kern w:val="24"/>
          <w:szCs w:val="22"/>
        </w:rPr>
        <w:t>Number of offences per offender</w:t>
      </w:r>
    </w:p>
    <w:p w:rsidR="00282E35" w:rsidRDefault="00282E35" w:rsidP="00282E35">
      <w:pPr>
        <w:pStyle w:val="NormalWeb"/>
        <w:spacing w:before="0" w:beforeAutospacing="0" w:after="0" w:afterAutospacing="0"/>
        <w:jc w:val="center"/>
        <w:textAlignment w:val="baseline"/>
        <w:rPr>
          <w:rFonts w:asciiTheme="minorHAnsi" w:eastAsiaTheme="minorEastAsia" w:hAnsiTheme="minorHAnsi" w:cs="Arial"/>
          <w:kern w:val="24"/>
          <w:sz w:val="22"/>
          <w:szCs w:val="22"/>
        </w:rPr>
      </w:pPr>
      <w:r w:rsidRPr="00B1135D">
        <w:rPr>
          <w:rFonts w:asciiTheme="minorHAnsi" w:hAnsiTheme="minorHAnsi"/>
          <w:b/>
          <w:noProof/>
          <w:sz w:val="22"/>
          <w:szCs w:val="22"/>
        </w:rPr>
        <w:drawing>
          <wp:inline distT="0" distB="0" distL="0" distR="0" wp14:anchorId="60DBD3A5" wp14:editId="6C535740">
            <wp:extent cx="5934075" cy="2066925"/>
            <wp:effectExtent l="0" t="0" r="9525" b="9525"/>
            <wp:docPr id="104" name="Chart 10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
              </a:graphicData>
            </a:graphic>
          </wp:inline>
        </w:drawing>
      </w:r>
    </w:p>
    <w:p w:rsidR="00282E35" w:rsidRPr="00C63154" w:rsidRDefault="00C63154" w:rsidP="00282E35">
      <w:pPr>
        <w:pStyle w:val="NormalWeb"/>
        <w:spacing w:before="0" w:beforeAutospacing="0" w:after="0" w:afterAutospacing="0"/>
        <w:textAlignment w:val="baseline"/>
        <w:rPr>
          <w:rFonts w:asciiTheme="minorHAnsi" w:eastAsiaTheme="minorEastAsia" w:hAnsiTheme="minorHAnsi" w:cs="Arial"/>
          <w:kern w:val="24"/>
          <w:sz w:val="22"/>
          <w:szCs w:val="22"/>
        </w:rPr>
      </w:pPr>
      <w:r w:rsidRPr="00C63154">
        <w:rPr>
          <w:rFonts w:asciiTheme="minorHAnsi" w:eastAsiaTheme="minorEastAsia" w:hAnsiTheme="minorHAnsi" w:cs="Arial"/>
          <w:kern w:val="24"/>
          <w:sz w:val="22"/>
          <w:szCs w:val="22"/>
        </w:rPr>
        <w:t xml:space="preserve">Source: </w:t>
      </w:r>
      <w:r w:rsidRPr="00C63154">
        <w:rPr>
          <w:rFonts w:asciiTheme="minorHAnsi" w:hAnsiTheme="minorHAnsi" w:cs="Arial"/>
          <w:sz w:val="22"/>
          <w:szCs w:val="22"/>
        </w:rPr>
        <w:t>Youth Justice Management information System</w:t>
      </w:r>
    </w:p>
    <w:p w:rsidR="00282E35" w:rsidRPr="00B1135D" w:rsidRDefault="00282E35" w:rsidP="00031B92">
      <w:pPr>
        <w:pStyle w:val="NormalWeb"/>
        <w:spacing w:before="0" w:beforeAutospacing="0" w:after="0" w:afterAutospacing="0"/>
        <w:jc w:val="both"/>
        <w:textAlignment w:val="baseline"/>
        <w:rPr>
          <w:rFonts w:asciiTheme="minorHAnsi" w:eastAsiaTheme="minorEastAsia" w:hAnsiTheme="minorHAnsi" w:cs="Arial"/>
          <w:kern w:val="24"/>
          <w:sz w:val="22"/>
          <w:szCs w:val="22"/>
        </w:rPr>
      </w:pPr>
    </w:p>
    <w:p w:rsidR="00282E35" w:rsidRPr="00B1135D" w:rsidRDefault="00282E35" w:rsidP="00031B92">
      <w:pPr>
        <w:pStyle w:val="NormalWeb"/>
        <w:spacing w:before="0" w:beforeAutospacing="0" w:after="0" w:afterAutospacing="0"/>
        <w:jc w:val="both"/>
        <w:textAlignment w:val="baseline"/>
        <w:rPr>
          <w:rFonts w:asciiTheme="minorHAnsi" w:eastAsiaTheme="minorEastAsia" w:hAnsiTheme="minorHAnsi" w:cs="Arial"/>
          <w:kern w:val="24"/>
          <w:sz w:val="22"/>
          <w:szCs w:val="22"/>
        </w:rPr>
      </w:pPr>
      <w:r>
        <w:rPr>
          <w:rFonts w:asciiTheme="minorHAnsi" w:eastAsiaTheme="minorEastAsia" w:hAnsiTheme="minorHAnsi" w:cs="Arial"/>
          <w:kern w:val="24"/>
          <w:sz w:val="22"/>
          <w:szCs w:val="22"/>
        </w:rPr>
        <w:t>An</w:t>
      </w:r>
      <w:r w:rsidRPr="00B1135D">
        <w:rPr>
          <w:rFonts w:asciiTheme="minorHAnsi" w:eastAsiaTheme="minorEastAsia" w:hAnsiTheme="minorHAnsi" w:cs="Arial"/>
          <w:kern w:val="24"/>
          <w:sz w:val="22"/>
          <w:szCs w:val="22"/>
        </w:rPr>
        <w:t xml:space="preserve"> increase in suitable education provision </w:t>
      </w:r>
      <w:r>
        <w:rPr>
          <w:rFonts w:asciiTheme="minorHAnsi" w:eastAsiaTheme="minorEastAsia" w:hAnsiTheme="minorHAnsi" w:cs="Arial"/>
          <w:kern w:val="24"/>
          <w:sz w:val="22"/>
          <w:szCs w:val="22"/>
        </w:rPr>
        <w:t xml:space="preserve">in schools has been identified </w:t>
      </w:r>
      <w:r w:rsidRPr="00B1135D">
        <w:rPr>
          <w:rFonts w:asciiTheme="minorHAnsi" w:eastAsiaTheme="minorEastAsia" w:hAnsiTheme="minorHAnsi" w:cs="Arial"/>
          <w:kern w:val="24"/>
          <w:sz w:val="22"/>
          <w:szCs w:val="22"/>
        </w:rPr>
        <w:t>for hard</w:t>
      </w:r>
      <w:r>
        <w:rPr>
          <w:rFonts w:asciiTheme="minorHAnsi" w:eastAsiaTheme="minorEastAsia" w:hAnsiTheme="minorHAnsi" w:cs="Arial"/>
          <w:kern w:val="24"/>
          <w:sz w:val="22"/>
          <w:szCs w:val="22"/>
        </w:rPr>
        <w:t>-</w:t>
      </w:r>
      <w:r w:rsidRPr="00B1135D">
        <w:rPr>
          <w:rFonts w:asciiTheme="minorHAnsi" w:eastAsiaTheme="minorEastAsia" w:hAnsiTheme="minorHAnsi" w:cs="Arial"/>
          <w:kern w:val="24"/>
          <w:sz w:val="22"/>
          <w:szCs w:val="22"/>
        </w:rPr>
        <w:t>t</w:t>
      </w:r>
      <w:r>
        <w:rPr>
          <w:rFonts w:asciiTheme="minorHAnsi" w:eastAsiaTheme="minorEastAsia" w:hAnsiTheme="minorHAnsi" w:cs="Arial"/>
          <w:kern w:val="24"/>
          <w:sz w:val="22"/>
          <w:szCs w:val="22"/>
        </w:rPr>
        <w:t>o-reach young people which should include the following to improve outcomes:</w:t>
      </w:r>
    </w:p>
    <w:p w:rsidR="00282E35" w:rsidRPr="00B1135D" w:rsidRDefault="00064A7A" w:rsidP="00031B92">
      <w:pPr>
        <w:pStyle w:val="NormalWeb"/>
        <w:numPr>
          <w:ilvl w:val="0"/>
          <w:numId w:val="107"/>
        </w:numPr>
        <w:spacing w:before="0" w:beforeAutospacing="0" w:after="0" w:afterAutospacing="0"/>
        <w:jc w:val="both"/>
        <w:textAlignment w:val="baseline"/>
        <w:rPr>
          <w:rFonts w:asciiTheme="minorHAnsi" w:hAnsiTheme="minorHAnsi"/>
          <w:sz w:val="22"/>
          <w:szCs w:val="22"/>
        </w:rPr>
      </w:pPr>
      <w:r>
        <w:rPr>
          <w:rFonts w:asciiTheme="minorHAnsi" w:eastAsiaTheme="minorEastAsia" w:hAnsiTheme="minorHAnsi" w:cs="Arial"/>
          <w:kern w:val="24"/>
          <w:sz w:val="22"/>
          <w:szCs w:val="22"/>
        </w:rPr>
        <w:t>a</w:t>
      </w:r>
      <w:r w:rsidR="00282E35" w:rsidRPr="00B1135D">
        <w:rPr>
          <w:rFonts w:asciiTheme="minorHAnsi" w:eastAsiaTheme="minorEastAsia" w:hAnsiTheme="minorHAnsi" w:cs="Arial"/>
          <w:kern w:val="24"/>
          <w:sz w:val="22"/>
          <w:szCs w:val="22"/>
        </w:rPr>
        <w:t>dditional support and mentoring</w:t>
      </w:r>
      <w:r>
        <w:rPr>
          <w:rFonts w:asciiTheme="minorHAnsi" w:eastAsiaTheme="minorEastAsia" w:hAnsiTheme="minorHAnsi" w:cs="Arial"/>
          <w:kern w:val="24"/>
          <w:sz w:val="22"/>
          <w:szCs w:val="22"/>
        </w:rPr>
        <w:t>.</w:t>
      </w:r>
    </w:p>
    <w:p w:rsidR="00282E35" w:rsidRPr="00B1135D" w:rsidRDefault="00064A7A" w:rsidP="00031B92">
      <w:pPr>
        <w:pStyle w:val="NormalWeb"/>
        <w:numPr>
          <w:ilvl w:val="0"/>
          <w:numId w:val="107"/>
        </w:numPr>
        <w:spacing w:before="0" w:beforeAutospacing="0" w:after="0" w:afterAutospacing="0"/>
        <w:jc w:val="both"/>
        <w:textAlignment w:val="baseline"/>
        <w:rPr>
          <w:rFonts w:asciiTheme="minorHAnsi" w:hAnsiTheme="minorHAnsi"/>
          <w:sz w:val="22"/>
          <w:szCs w:val="22"/>
        </w:rPr>
      </w:pPr>
      <w:r>
        <w:rPr>
          <w:rFonts w:asciiTheme="minorHAnsi" w:eastAsiaTheme="minorEastAsia" w:hAnsiTheme="minorHAnsi" w:cs="Arial"/>
          <w:kern w:val="24"/>
          <w:sz w:val="22"/>
          <w:szCs w:val="22"/>
        </w:rPr>
        <w:t>i</w:t>
      </w:r>
      <w:r w:rsidR="00282E35" w:rsidRPr="00B1135D">
        <w:rPr>
          <w:rFonts w:asciiTheme="minorHAnsi" w:eastAsiaTheme="minorEastAsia" w:hAnsiTheme="minorHAnsi" w:cs="Arial"/>
          <w:kern w:val="24"/>
          <w:sz w:val="22"/>
          <w:szCs w:val="22"/>
        </w:rPr>
        <w:t>nterventions which target the needs of the male BME population</w:t>
      </w:r>
      <w:r>
        <w:rPr>
          <w:rFonts w:asciiTheme="minorHAnsi" w:eastAsiaTheme="minorEastAsia" w:hAnsiTheme="minorHAnsi" w:cs="Arial"/>
          <w:kern w:val="24"/>
          <w:sz w:val="22"/>
          <w:szCs w:val="22"/>
        </w:rPr>
        <w:t>.</w:t>
      </w:r>
      <w:r w:rsidR="00282E35" w:rsidRPr="00B1135D">
        <w:rPr>
          <w:rFonts w:asciiTheme="minorHAnsi" w:eastAsiaTheme="minorEastAsia" w:hAnsiTheme="minorHAnsi" w:cs="Arial"/>
          <w:kern w:val="24"/>
          <w:sz w:val="22"/>
          <w:szCs w:val="22"/>
        </w:rPr>
        <w:t xml:space="preserve"> </w:t>
      </w:r>
    </w:p>
    <w:p w:rsidR="00282E35" w:rsidRPr="00B1135D" w:rsidRDefault="00064A7A" w:rsidP="00031B92">
      <w:pPr>
        <w:pStyle w:val="NormalWeb"/>
        <w:numPr>
          <w:ilvl w:val="0"/>
          <w:numId w:val="107"/>
        </w:numPr>
        <w:spacing w:before="0" w:beforeAutospacing="0" w:after="0" w:afterAutospacing="0"/>
        <w:jc w:val="both"/>
        <w:textAlignment w:val="baseline"/>
        <w:rPr>
          <w:rFonts w:asciiTheme="minorHAnsi" w:hAnsiTheme="minorHAnsi"/>
          <w:sz w:val="22"/>
          <w:szCs w:val="22"/>
        </w:rPr>
      </w:pPr>
      <w:r>
        <w:rPr>
          <w:rFonts w:asciiTheme="minorHAnsi" w:eastAsiaTheme="minorEastAsia" w:hAnsiTheme="minorHAnsi" w:cs="Arial"/>
          <w:kern w:val="24"/>
          <w:sz w:val="22"/>
          <w:szCs w:val="22"/>
        </w:rPr>
        <w:t>p</w:t>
      </w:r>
      <w:r w:rsidR="00282E35" w:rsidRPr="00B1135D">
        <w:rPr>
          <w:rFonts w:asciiTheme="minorHAnsi" w:eastAsiaTheme="minorEastAsia" w:hAnsiTheme="minorHAnsi" w:cs="Arial"/>
          <w:kern w:val="24"/>
          <w:sz w:val="22"/>
          <w:szCs w:val="22"/>
        </w:rPr>
        <w:t>hysical health provision in the form of a school nurse who can deliver training in first</w:t>
      </w:r>
      <w:r w:rsidR="00003444">
        <w:rPr>
          <w:rFonts w:asciiTheme="minorHAnsi" w:eastAsiaTheme="minorEastAsia" w:hAnsiTheme="minorHAnsi" w:cs="Arial"/>
          <w:kern w:val="24"/>
          <w:sz w:val="22"/>
          <w:szCs w:val="22"/>
        </w:rPr>
        <w:t xml:space="preserve"> </w:t>
      </w:r>
      <w:r w:rsidR="00282E35" w:rsidRPr="00B1135D">
        <w:rPr>
          <w:rFonts w:asciiTheme="minorHAnsi" w:eastAsiaTheme="minorEastAsia" w:hAnsiTheme="minorHAnsi" w:cs="Arial"/>
          <w:kern w:val="24"/>
          <w:sz w:val="22"/>
          <w:szCs w:val="22"/>
        </w:rPr>
        <w:t xml:space="preserve">aid/sexual </w:t>
      </w:r>
      <w:r w:rsidR="00DD3A76" w:rsidRPr="00B1135D">
        <w:rPr>
          <w:rFonts w:asciiTheme="minorHAnsi" w:eastAsiaTheme="minorEastAsia" w:hAnsiTheme="minorHAnsi" w:cs="Arial"/>
          <w:kern w:val="24"/>
          <w:sz w:val="22"/>
          <w:szCs w:val="22"/>
        </w:rPr>
        <w:t>health.</w:t>
      </w:r>
    </w:p>
    <w:p w:rsidR="00282E35" w:rsidRPr="00B1135D" w:rsidRDefault="00282E35" w:rsidP="00031B92">
      <w:pPr>
        <w:pStyle w:val="NormalWeb"/>
        <w:numPr>
          <w:ilvl w:val="0"/>
          <w:numId w:val="107"/>
        </w:numPr>
        <w:spacing w:before="0" w:beforeAutospacing="0" w:after="0" w:afterAutospacing="0"/>
        <w:jc w:val="both"/>
        <w:textAlignment w:val="baseline"/>
        <w:rPr>
          <w:rFonts w:asciiTheme="minorHAnsi" w:hAnsiTheme="minorHAnsi"/>
          <w:sz w:val="22"/>
          <w:szCs w:val="22"/>
        </w:rPr>
      </w:pPr>
      <w:r w:rsidRPr="00B1135D">
        <w:rPr>
          <w:rFonts w:asciiTheme="minorHAnsi" w:eastAsiaTheme="minorEastAsia" w:hAnsiTheme="minorHAnsi" w:cs="Arial"/>
          <w:kern w:val="24"/>
          <w:sz w:val="22"/>
          <w:szCs w:val="22"/>
        </w:rPr>
        <w:t>CSE screening</w:t>
      </w:r>
      <w:r w:rsidR="00064A7A">
        <w:rPr>
          <w:rFonts w:asciiTheme="minorHAnsi" w:eastAsiaTheme="minorEastAsia" w:hAnsiTheme="minorHAnsi" w:cs="Arial"/>
          <w:kern w:val="24"/>
          <w:sz w:val="22"/>
          <w:szCs w:val="22"/>
        </w:rPr>
        <w:t>.</w:t>
      </w:r>
    </w:p>
    <w:p w:rsidR="00282E35" w:rsidRPr="00B1135D" w:rsidRDefault="00282E35" w:rsidP="00031B92">
      <w:pPr>
        <w:pStyle w:val="NormalWeb"/>
        <w:spacing w:before="0" w:beforeAutospacing="0" w:after="0" w:afterAutospacing="0"/>
        <w:jc w:val="both"/>
        <w:textAlignment w:val="baseline"/>
        <w:rPr>
          <w:rFonts w:asciiTheme="minorHAnsi" w:eastAsiaTheme="minorEastAsia" w:hAnsiTheme="minorHAnsi" w:cs="Arial"/>
          <w:b/>
          <w:bCs/>
          <w:kern w:val="24"/>
          <w:sz w:val="22"/>
          <w:szCs w:val="22"/>
        </w:rPr>
      </w:pPr>
    </w:p>
    <w:p w:rsidR="00282E35" w:rsidRPr="00B1135D" w:rsidRDefault="00282E35" w:rsidP="00031B92">
      <w:pPr>
        <w:pStyle w:val="NormalWeb"/>
        <w:spacing w:before="0" w:beforeAutospacing="0" w:after="0" w:afterAutospacing="0"/>
        <w:jc w:val="both"/>
        <w:textAlignment w:val="baseline"/>
        <w:rPr>
          <w:rFonts w:asciiTheme="minorHAnsi" w:eastAsiaTheme="minorEastAsia" w:hAnsiTheme="minorHAnsi" w:cs="Arial"/>
          <w:kern w:val="24"/>
          <w:sz w:val="22"/>
          <w:szCs w:val="22"/>
        </w:rPr>
      </w:pPr>
      <w:r w:rsidRPr="00B1135D">
        <w:rPr>
          <w:rFonts w:asciiTheme="minorHAnsi" w:eastAsiaTheme="minorEastAsia" w:hAnsiTheme="minorHAnsi" w:cs="Arial"/>
          <w:kern w:val="24"/>
          <w:sz w:val="22"/>
          <w:szCs w:val="22"/>
        </w:rPr>
        <w:t xml:space="preserve">The rate of re-offending is </w:t>
      </w:r>
      <w:r w:rsidR="00DD3A76" w:rsidRPr="00B1135D">
        <w:rPr>
          <w:rFonts w:asciiTheme="minorHAnsi" w:eastAsiaTheme="minorEastAsia" w:hAnsiTheme="minorHAnsi" w:cs="Arial"/>
          <w:kern w:val="24"/>
          <w:sz w:val="22"/>
          <w:szCs w:val="22"/>
        </w:rPr>
        <w:t>decreasing</w:t>
      </w:r>
      <w:r w:rsidR="00DD3A76">
        <w:rPr>
          <w:rFonts w:asciiTheme="minorHAnsi" w:eastAsiaTheme="minorEastAsia" w:hAnsiTheme="minorHAnsi" w:cs="Arial"/>
          <w:kern w:val="24"/>
          <w:sz w:val="22"/>
          <w:szCs w:val="22"/>
        </w:rPr>
        <w:t>;</w:t>
      </w:r>
      <w:r w:rsidRPr="00B1135D">
        <w:rPr>
          <w:rFonts w:asciiTheme="minorHAnsi" w:eastAsiaTheme="minorEastAsia" w:hAnsiTheme="minorHAnsi" w:cs="Arial"/>
          <w:kern w:val="24"/>
          <w:sz w:val="22"/>
          <w:szCs w:val="22"/>
        </w:rPr>
        <w:t xml:space="preserve"> however</w:t>
      </w:r>
      <w:r>
        <w:rPr>
          <w:rFonts w:asciiTheme="minorHAnsi" w:eastAsiaTheme="minorEastAsia" w:hAnsiTheme="minorHAnsi" w:cs="Arial"/>
          <w:kern w:val="24"/>
          <w:sz w:val="22"/>
          <w:szCs w:val="22"/>
        </w:rPr>
        <w:t>,</w:t>
      </w:r>
      <w:r w:rsidRPr="00B1135D">
        <w:rPr>
          <w:rFonts w:asciiTheme="minorHAnsi" w:eastAsiaTheme="minorEastAsia" w:hAnsiTheme="minorHAnsi" w:cs="Arial"/>
          <w:kern w:val="24"/>
          <w:sz w:val="22"/>
          <w:szCs w:val="22"/>
        </w:rPr>
        <w:t xml:space="preserve"> there has been an increase in the seriousness of offending by a small proportion of young people </w:t>
      </w:r>
      <w:r>
        <w:rPr>
          <w:rFonts w:asciiTheme="minorHAnsi" w:eastAsiaTheme="minorEastAsia" w:hAnsiTheme="minorHAnsi" w:cs="Arial"/>
          <w:kern w:val="24"/>
          <w:sz w:val="22"/>
          <w:szCs w:val="22"/>
        </w:rPr>
        <w:t>who are associated with gangs. This small cohort of young people has been targeted for support and turnaround through multi –agency interventions and evidence-based intervention.</w:t>
      </w:r>
    </w:p>
    <w:p w:rsidR="00282E35" w:rsidRPr="00B1135D" w:rsidRDefault="00282E35" w:rsidP="00031B92">
      <w:pPr>
        <w:pStyle w:val="Heading3"/>
        <w:keepNext w:val="0"/>
        <w:keepLines w:val="0"/>
        <w:spacing w:line="271" w:lineRule="auto"/>
        <w:jc w:val="both"/>
      </w:pPr>
      <w:r w:rsidRPr="00B1135D">
        <w:t>Number of Statutory Programmes</w:t>
      </w:r>
    </w:p>
    <w:p w:rsidR="00282E35" w:rsidRDefault="00282E35" w:rsidP="00031B92">
      <w:pPr>
        <w:jc w:val="both"/>
      </w:pPr>
      <w:r w:rsidRPr="00B1135D">
        <w:rPr>
          <w:rFonts w:cs="Arial"/>
          <w:kern w:val="24"/>
          <w:lang w:eastAsia="en-GB"/>
        </w:rPr>
        <w:t>A young person is sentenced to a statutory order at court and their order is overseen by the Y</w:t>
      </w:r>
      <w:r>
        <w:rPr>
          <w:rFonts w:cs="Arial"/>
          <w:kern w:val="24"/>
          <w:lang w:eastAsia="en-GB"/>
        </w:rPr>
        <w:t xml:space="preserve">outh </w:t>
      </w:r>
      <w:r w:rsidRPr="00B1135D">
        <w:rPr>
          <w:rFonts w:cs="Arial"/>
          <w:kern w:val="24"/>
          <w:lang w:eastAsia="en-GB"/>
        </w:rPr>
        <w:t>O</w:t>
      </w:r>
      <w:r>
        <w:rPr>
          <w:rFonts w:cs="Arial"/>
          <w:kern w:val="24"/>
          <w:lang w:eastAsia="en-GB"/>
        </w:rPr>
        <w:t xml:space="preserve">ffending </w:t>
      </w:r>
      <w:r w:rsidRPr="00B1135D">
        <w:rPr>
          <w:rFonts w:cs="Arial"/>
          <w:kern w:val="24"/>
          <w:lang w:eastAsia="en-GB"/>
        </w:rPr>
        <w:t>T</w:t>
      </w:r>
      <w:r>
        <w:rPr>
          <w:rFonts w:cs="Arial"/>
          <w:kern w:val="24"/>
          <w:lang w:eastAsia="en-GB"/>
        </w:rPr>
        <w:t>eam</w:t>
      </w:r>
      <w:r w:rsidR="00064A7A">
        <w:rPr>
          <w:rFonts w:cs="Arial"/>
          <w:kern w:val="24"/>
          <w:lang w:eastAsia="en-GB"/>
        </w:rPr>
        <w:t xml:space="preserve"> (YOT)</w:t>
      </w:r>
      <w:r w:rsidRPr="00B1135D">
        <w:rPr>
          <w:rFonts w:cs="Arial"/>
          <w:kern w:val="24"/>
          <w:lang w:eastAsia="en-GB"/>
        </w:rPr>
        <w:t>.</w:t>
      </w:r>
      <w:r w:rsidRPr="00B1135D">
        <w:rPr>
          <w:rFonts w:eastAsia="Times New Roman" w:cs="Times New Roman"/>
          <w:lang w:eastAsia="en-GB"/>
        </w:rPr>
        <w:t xml:space="preserve"> </w:t>
      </w:r>
      <w:r w:rsidRPr="00B1135D">
        <w:rPr>
          <w:rFonts w:cs="Arial"/>
          <w:kern w:val="24"/>
          <w:lang w:eastAsia="en-GB"/>
        </w:rPr>
        <w:t>Whilst the number of young people supervised by the YOT has fallen over the years due to more preventative work, th</w:t>
      </w:r>
      <w:r>
        <w:rPr>
          <w:rFonts w:cs="Arial"/>
          <w:kern w:val="24"/>
          <w:lang w:eastAsia="en-GB"/>
        </w:rPr>
        <w:t>ose young people</w:t>
      </w:r>
      <w:r w:rsidRPr="00B1135D">
        <w:rPr>
          <w:rFonts w:cs="Arial"/>
          <w:kern w:val="24"/>
          <w:lang w:eastAsia="en-GB"/>
        </w:rPr>
        <w:t xml:space="preserve"> under supervision are very complex and high risk offenders.</w:t>
      </w:r>
      <w:r>
        <w:rPr>
          <w:rFonts w:cs="Arial"/>
          <w:kern w:val="24"/>
          <w:lang w:eastAsia="en-GB"/>
        </w:rPr>
        <w:t xml:space="preserve"> </w:t>
      </w:r>
      <w:r w:rsidRPr="008B7D34">
        <w:t>This graph refers to the number of statutory programmes started</w:t>
      </w:r>
      <w:r w:rsidRPr="008B7D34">
        <w:rPr>
          <w:vertAlign w:val="superscript"/>
        </w:rPr>
        <w:footnoteReference w:id="129"/>
      </w:r>
      <w:r w:rsidR="00064A7A">
        <w:t>, by year of start date (t</w:t>
      </w:r>
      <w:r w:rsidRPr="008B7D34">
        <w:t>he 2015 figure is as at June 2015</w:t>
      </w:r>
      <w:r w:rsidR="00064A7A">
        <w:t>)</w:t>
      </w:r>
      <w:r w:rsidRPr="008B7D34">
        <w:t>.</w:t>
      </w:r>
    </w:p>
    <w:p w:rsidR="00282E35" w:rsidRPr="00B749D2" w:rsidRDefault="00282E35" w:rsidP="00282E35">
      <w:pPr>
        <w:pStyle w:val="Caption"/>
      </w:pPr>
      <w:r>
        <w:t xml:space="preserve">Figure </w:t>
      </w:r>
      <w:fldSimple w:instr=" STYLEREF 1 \s ">
        <w:r w:rsidR="001663C2">
          <w:rPr>
            <w:noProof/>
          </w:rPr>
          <w:t>8</w:t>
        </w:r>
      </w:fldSimple>
      <w:r w:rsidR="00943DC2">
        <w:noBreakHyphen/>
      </w:r>
      <w:fldSimple w:instr=" SEQ Figure \* ARABIC \s 1 ">
        <w:r w:rsidR="001663C2">
          <w:rPr>
            <w:noProof/>
          </w:rPr>
          <w:t>14</w:t>
        </w:r>
      </w:fldSimple>
      <w:r>
        <w:t xml:space="preserve">: </w:t>
      </w:r>
      <w:r w:rsidRPr="00B749D2">
        <w:t>Number of Statutory Programmes started, 2010-2015</w:t>
      </w:r>
    </w:p>
    <w:p w:rsidR="00282E35" w:rsidRDefault="00282E35" w:rsidP="00282E35">
      <w:pPr>
        <w:spacing w:after="0" w:line="240" w:lineRule="auto"/>
        <w:jc w:val="center"/>
        <w:rPr>
          <w:rFonts w:cs="Arial"/>
          <w:b/>
          <w:i/>
        </w:rPr>
      </w:pPr>
      <w:r>
        <w:rPr>
          <w:noProof/>
          <w:lang w:eastAsia="en-GB"/>
        </w:rPr>
        <w:drawing>
          <wp:inline distT="0" distB="0" distL="0" distR="0" wp14:anchorId="54472B2F" wp14:editId="49508A5B">
            <wp:extent cx="5295900" cy="2390775"/>
            <wp:effectExtent l="0" t="0" r="19050" b="9525"/>
            <wp:docPr id="105" name="Chart 10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p w:rsidR="00282E35" w:rsidRDefault="00282E35" w:rsidP="00282E35">
      <w:pPr>
        <w:spacing w:after="0" w:line="240" w:lineRule="auto"/>
        <w:rPr>
          <w:b/>
        </w:rPr>
      </w:pPr>
    </w:p>
    <w:p w:rsidR="00282E35" w:rsidRPr="00D35D05" w:rsidRDefault="00282E35" w:rsidP="00282E35">
      <w:pPr>
        <w:pStyle w:val="Heading2"/>
      </w:pPr>
      <w:bookmarkStart w:id="873" w:name="_Toc426723380"/>
      <w:bookmarkStart w:id="874" w:name="_Toc431225207"/>
      <w:r w:rsidRPr="00D35D05">
        <w:t>Child Sexual Exploitatio</w:t>
      </w:r>
      <w:bookmarkEnd w:id="873"/>
      <w:r w:rsidR="00064A7A">
        <w:t>n (CSE)</w:t>
      </w:r>
      <w:bookmarkEnd w:id="874"/>
    </w:p>
    <w:p w:rsidR="00031B92" w:rsidRDefault="00064A7A" w:rsidP="00031B92">
      <w:pPr>
        <w:jc w:val="both"/>
        <w:rPr>
          <w:lang w:val="en"/>
        </w:rPr>
      </w:pPr>
      <w:bookmarkStart w:id="875" w:name="_Toc426723381"/>
      <w:r>
        <w:rPr>
          <w:lang w:val="en"/>
        </w:rPr>
        <w:t>CSE</w:t>
      </w:r>
      <w:r w:rsidR="00031B92">
        <w:rPr>
          <w:lang w:val="en"/>
        </w:rPr>
        <w:t xml:space="preserve"> is a type of </w:t>
      </w:r>
      <w:hyperlink r:id="rId186" w:tooltip="sexual abuse" w:history="1">
        <w:r w:rsidR="00031B92">
          <w:rPr>
            <w:rStyle w:val="Hyperlink"/>
            <w:color w:val="000000"/>
            <w:lang w:val="en"/>
          </w:rPr>
          <w:t>sexual abuse</w:t>
        </w:r>
      </w:hyperlink>
      <w:r w:rsidR="00031B92">
        <w:rPr>
          <w:lang w:val="en"/>
        </w:rPr>
        <w:t xml:space="preserve"> in which children are sexually exploited for money, power or status. A range of recent reports, national media coverage and recent convictions of perpetrators highlight that this form of child abuse is often hidden from sight and preys on the most vulnerable in </w:t>
      </w:r>
      <w:r w:rsidR="00702B67">
        <w:rPr>
          <w:lang w:val="en"/>
        </w:rPr>
        <w:t>the</w:t>
      </w:r>
      <w:r w:rsidR="00031B92">
        <w:rPr>
          <w:lang w:val="en"/>
        </w:rPr>
        <w:t xml:space="preserve"> society. </w:t>
      </w:r>
      <w:r>
        <w:rPr>
          <w:lang w:val="en"/>
        </w:rPr>
        <w:t>CSE</w:t>
      </w:r>
      <w:r w:rsidR="00031B92">
        <w:rPr>
          <w:lang w:val="en"/>
        </w:rPr>
        <w:t xml:space="preserve"> is a priority of the Barnet Safeguarding Children Board. </w:t>
      </w:r>
    </w:p>
    <w:p w:rsidR="00031B92" w:rsidRDefault="00031B92" w:rsidP="00031B92">
      <w:pPr>
        <w:jc w:val="both"/>
        <w:rPr>
          <w:lang w:val="en"/>
        </w:rPr>
      </w:pPr>
      <w:r>
        <w:rPr>
          <w:lang w:val="en"/>
        </w:rPr>
        <w:t xml:space="preserve">In 2014/15 there were 129 referrals to the MASH (Multi-Agency Safeguarding Hub) reporting concerns about CSE, of these 73% (94) were female. A report from </w:t>
      </w:r>
      <w:proofErr w:type="spellStart"/>
      <w:r>
        <w:rPr>
          <w:lang w:val="en"/>
        </w:rPr>
        <w:t>Barnardo’s</w:t>
      </w:r>
      <w:proofErr w:type="spellEnd"/>
      <w:r>
        <w:rPr>
          <w:lang w:val="en"/>
        </w:rPr>
        <w:t xml:space="preserve"> based on evidence from over 9,000 records for CSE in England found that 66% of records belonged to girls, which is broadly in line with the gender split of Barnet MASH contacts. However, the report points out that </w:t>
      </w:r>
      <w:r>
        <w:rPr>
          <w:lang w:val="en"/>
        </w:rPr>
        <w:lastRenderedPageBreak/>
        <w:t xml:space="preserve">there are a number of barriers to disclosure specific to boys and young men, such as discriminatory social attitudes and expectations of ‘masculine’ </w:t>
      </w:r>
      <w:r w:rsidR="00DD3A76">
        <w:rPr>
          <w:lang w:val="en"/>
        </w:rPr>
        <w:t>behavior</w:t>
      </w:r>
      <w:r>
        <w:rPr>
          <w:lang w:val="en"/>
        </w:rPr>
        <w:t>, so the figures may not accurately reflect the realities of CSE locally or nationally. Further analysis of the profile of child at risk of CSE is ongoing.</w:t>
      </w:r>
    </w:p>
    <w:p w:rsidR="00282E35" w:rsidRPr="00D35D05" w:rsidRDefault="00282E35" w:rsidP="00282E35">
      <w:pPr>
        <w:pStyle w:val="Heading2"/>
        <w:jc w:val="both"/>
      </w:pPr>
      <w:bookmarkStart w:id="876" w:name="_Toc431225208"/>
      <w:r w:rsidRPr="00D35D05">
        <w:t>Gangs</w:t>
      </w:r>
      <w:bookmarkEnd w:id="875"/>
      <w:bookmarkEnd w:id="876"/>
    </w:p>
    <w:p w:rsidR="00282E35" w:rsidRPr="00D35D05" w:rsidRDefault="00282E35" w:rsidP="00282E35">
      <w:pPr>
        <w:tabs>
          <w:tab w:val="left" w:pos="1104"/>
        </w:tabs>
        <w:jc w:val="both"/>
      </w:pPr>
      <w:r w:rsidRPr="00D35D05">
        <w:t>A gang is a ‘relatively durable, predominantly street-based group of young people who:</w:t>
      </w:r>
    </w:p>
    <w:p w:rsidR="00282E35" w:rsidRPr="00D35D05" w:rsidRDefault="00282E35" w:rsidP="00282E35">
      <w:pPr>
        <w:autoSpaceDE w:val="0"/>
        <w:autoSpaceDN w:val="0"/>
        <w:adjustRightInd w:val="0"/>
        <w:spacing w:after="0" w:line="240" w:lineRule="auto"/>
        <w:ind w:left="720"/>
        <w:jc w:val="both"/>
        <w:rPr>
          <w:rFonts w:ascii="Calibri" w:hAnsi="Calibri" w:cs="Calibri"/>
          <w:color w:val="000000"/>
        </w:rPr>
      </w:pPr>
      <w:r w:rsidRPr="00D35D05">
        <w:rPr>
          <w:rFonts w:ascii="Calibri" w:hAnsi="Calibri" w:cs="Calibri"/>
          <w:color w:val="000000"/>
        </w:rPr>
        <w:t xml:space="preserve">(1) See themselves (and are seen by others) as a discernible group, and </w:t>
      </w:r>
    </w:p>
    <w:p w:rsidR="00282E35" w:rsidRPr="00D35D05" w:rsidRDefault="00282E35" w:rsidP="00282E35">
      <w:pPr>
        <w:tabs>
          <w:tab w:val="left" w:pos="1104"/>
        </w:tabs>
        <w:ind w:left="720"/>
        <w:jc w:val="both"/>
      </w:pPr>
      <w:r w:rsidRPr="00D35D05">
        <w:t>(2) Engage in a range of criminal activity and violence</w:t>
      </w:r>
      <w:r>
        <w:t>’</w:t>
      </w:r>
    </w:p>
    <w:p w:rsidR="00282E35" w:rsidRPr="00D35D05" w:rsidRDefault="00282E35" w:rsidP="00064A7A">
      <w:pPr>
        <w:tabs>
          <w:tab w:val="left" w:pos="1104"/>
        </w:tabs>
        <w:jc w:val="both"/>
      </w:pPr>
      <w:r w:rsidRPr="00D35D05">
        <w:t>In Barnet there are some localised issues of young people affected by serious youth violence and gangs mai</w:t>
      </w:r>
      <w:r>
        <w:t>nly in the west of the Borough.</w:t>
      </w:r>
    </w:p>
    <w:p w:rsidR="00282E35" w:rsidRPr="00D35D05" w:rsidRDefault="00282E35" w:rsidP="00064A7A">
      <w:pPr>
        <w:autoSpaceDE w:val="0"/>
        <w:autoSpaceDN w:val="0"/>
        <w:adjustRightInd w:val="0"/>
        <w:spacing w:after="0" w:line="240" w:lineRule="auto"/>
        <w:jc w:val="both"/>
        <w:rPr>
          <w:rFonts w:ascii="Calibri" w:hAnsi="Calibri" w:cs="Calibri"/>
          <w:color w:val="000000"/>
        </w:rPr>
      </w:pPr>
      <w:r w:rsidRPr="00D35D05">
        <w:rPr>
          <w:rFonts w:ascii="Calibri" w:hAnsi="Calibri" w:cs="Calibri"/>
          <w:color w:val="000000"/>
        </w:rPr>
        <w:t xml:space="preserve">Evidence has suggested that </w:t>
      </w:r>
      <w:r>
        <w:rPr>
          <w:rFonts w:ascii="Calibri" w:hAnsi="Calibri" w:cs="Calibri"/>
          <w:color w:val="000000"/>
        </w:rPr>
        <w:t>there is strong correlation with the supply of drugs and gang affiliation in</w:t>
      </w:r>
      <w:r w:rsidR="00064A7A">
        <w:rPr>
          <w:rFonts w:ascii="Calibri" w:hAnsi="Calibri" w:cs="Calibri"/>
          <w:color w:val="000000"/>
        </w:rPr>
        <w:t xml:space="preserve"> Barnet. Ho</w:t>
      </w:r>
      <w:r w:rsidRPr="00D35D05">
        <w:rPr>
          <w:rFonts w:ascii="Calibri" w:hAnsi="Calibri" w:cs="Calibri"/>
          <w:color w:val="000000"/>
        </w:rPr>
        <w:t xml:space="preserve">wever the activities of particular gangs have also generated youth violence. </w:t>
      </w:r>
    </w:p>
    <w:p w:rsidR="00282E35" w:rsidRPr="00D35D05" w:rsidRDefault="00282E35" w:rsidP="00064A7A">
      <w:pPr>
        <w:spacing w:after="0" w:line="240" w:lineRule="auto"/>
        <w:jc w:val="both"/>
      </w:pPr>
    </w:p>
    <w:p w:rsidR="00282E35" w:rsidRDefault="00282E35" w:rsidP="00064A7A">
      <w:pPr>
        <w:tabs>
          <w:tab w:val="left" w:pos="1104"/>
        </w:tabs>
        <w:jc w:val="both"/>
      </w:pPr>
      <w:r w:rsidRPr="00D35D05">
        <w:t xml:space="preserve">In Barnet, 59% of the most serious </w:t>
      </w:r>
      <w:r w:rsidR="00064A7A">
        <w:t xml:space="preserve">gang </w:t>
      </w:r>
      <w:r w:rsidRPr="00D35D05">
        <w:t xml:space="preserve">offenders rated as Red or Amber (red being the most serious) are aged 19 or younger. 45% of offenders are </w:t>
      </w:r>
      <w:r>
        <w:t>B</w:t>
      </w:r>
      <w:r w:rsidRPr="00D35D05">
        <w:t xml:space="preserve">lack or </w:t>
      </w:r>
      <w:r>
        <w:t>B</w:t>
      </w:r>
      <w:r w:rsidRPr="00D35D05">
        <w:t>lack British and all are male.</w:t>
      </w:r>
    </w:p>
    <w:p w:rsidR="00282E35" w:rsidRPr="00B749D2" w:rsidRDefault="00282E35" w:rsidP="00282E35">
      <w:pPr>
        <w:pStyle w:val="Caption"/>
      </w:pPr>
      <w:r>
        <w:t xml:space="preserve">Figure </w:t>
      </w:r>
      <w:fldSimple w:instr=" STYLEREF 1 \s ">
        <w:r w:rsidR="001663C2">
          <w:rPr>
            <w:noProof/>
          </w:rPr>
          <w:t>8</w:t>
        </w:r>
      </w:fldSimple>
      <w:r w:rsidR="00943DC2">
        <w:noBreakHyphen/>
      </w:r>
      <w:fldSimple w:instr=" SEQ Figure \* ARABIC \s 1 ">
        <w:r w:rsidR="001663C2">
          <w:rPr>
            <w:noProof/>
          </w:rPr>
          <w:t>15</w:t>
        </w:r>
      </w:fldSimple>
      <w:r>
        <w:t xml:space="preserve">: </w:t>
      </w:r>
      <w:r w:rsidRPr="00B749D2">
        <w:rPr>
          <w:lang w:val="en-US"/>
        </w:rPr>
        <w:t xml:space="preserve">Ethnicity of known children in Barnet in Gangs </w:t>
      </w:r>
    </w:p>
    <w:p w:rsidR="00282E35" w:rsidRPr="00A35ED5" w:rsidRDefault="00282E35" w:rsidP="00282E35">
      <w:pPr>
        <w:tabs>
          <w:tab w:val="left" w:pos="1104"/>
        </w:tabs>
        <w:jc w:val="center"/>
        <w:rPr>
          <w:sz w:val="24"/>
          <w:szCs w:val="24"/>
        </w:rPr>
      </w:pPr>
      <w:r w:rsidRPr="0085713D">
        <w:rPr>
          <w:noProof/>
          <w:sz w:val="24"/>
          <w:szCs w:val="24"/>
          <w:lang w:eastAsia="en-GB"/>
        </w:rPr>
        <w:drawing>
          <wp:inline distT="0" distB="0" distL="0" distR="0" wp14:anchorId="31D8AE8F" wp14:editId="60AD7432">
            <wp:extent cx="4607626" cy="2220686"/>
            <wp:effectExtent l="0" t="0" r="21590" b="27305"/>
            <wp:docPr id="114" name="Chart 1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
              </a:graphicData>
            </a:graphic>
          </wp:inline>
        </w:drawing>
      </w:r>
    </w:p>
    <w:p w:rsidR="00282E35" w:rsidRPr="00D35D05" w:rsidRDefault="00282E35" w:rsidP="00282E35">
      <w:pPr>
        <w:jc w:val="both"/>
      </w:pPr>
      <w:r w:rsidRPr="00427F4E">
        <w:t xml:space="preserve">All young people in Barnet known to be in </w:t>
      </w:r>
      <w:r>
        <w:t>g</w:t>
      </w:r>
      <w:r w:rsidRPr="00427F4E">
        <w:t xml:space="preserve">angs are male. Although there are no gang members currently known to services who are girls, there is a cohort that is likely to be linked to or associated with gang members. </w:t>
      </w:r>
      <w:r w:rsidRPr="00D35D05">
        <w:t xml:space="preserve">The majority of young people identified as being at risk of entering a gang or being a victim of gang activity are white, although this group is under-represented when compared to the Barnet population. However, black young people in Barnet are over-represented and nearly </w:t>
      </w:r>
      <w:r>
        <w:t>three</w:t>
      </w:r>
      <w:r w:rsidRPr="00D35D05">
        <w:t xml:space="preserve"> times more at risk of being affected by gang activity than young people outside of this cohort. </w:t>
      </w:r>
    </w:p>
    <w:p w:rsidR="00282E35" w:rsidRPr="00D35D05" w:rsidRDefault="00282E35" w:rsidP="00282E35">
      <w:pPr>
        <w:autoSpaceDE w:val="0"/>
        <w:autoSpaceDN w:val="0"/>
        <w:adjustRightInd w:val="0"/>
        <w:spacing w:after="0" w:line="240" w:lineRule="auto"/>
        <w:jc w:val="both"/>
        <w:rPr>
          <w:rFonts w:ascii="Calibri" w:hAnsi="Calibri" w:cs="Calibri"/>
          <w:color w:val="000000"/>
        </w:rPr>
      </w:pPr>
      <w:r w:rsidRPr="00D35D05">
        <w:rPr>
          <w:rFonts w:ascii="Calibri" w:hAnsi="Calibri" w:cs="Calibri"/>
          <w:color w:val="000000"/>
        </w:rPr>
        <w:t xml:space="preserve">The following principles underpin the Barnet Youth Crime Prevention Strategy and are based on the Home </w:t>
      </w:r>
      <w:r>
        <w:rPr>
          <w:rFonts w:ascii="Calibri" w:hAnsi="Calibri" w:cs="Calibri"/>
          <w:color w:val="000000"/>
        </w:rPr>
        <w:t>O</w:t>
      </w:r>
      <w:r w:rsidRPr="00D35D05">
        <w:rPr>
          <w:rFonts w:ascii="Calibri" w:hAnsi="Calibri" w:cs="Calibri"/>
          <w:color w:val="000000"/>
        </w:rPr>
        <w:t>ffice assessment against the national and international experience and learning from working with gangs:</w:t>
      </w:r>
    </w:p>
    <w:p w:rsidR="00282E35" w:rsidRPr="00D35D05" w:rsidRDefault="00282E35" w:rsidP="00282E35">
      <w:pPr>
        <w:autoSpaceDE w:val="0"/>
        <w:autoSpaceDN w:val="0"/>
        <w:adjustRightInd w:val="0"/>
        <w:spacing w:after="0" w:line="240" w:lineRule="auto"/>
        <w:rPr>
          <w:rFonts w:ascii="Calibri" w:hAnsi="Calibri" w:cs="Calibri"/>
          <w:color w:val="000000"/>
        </w:rPr>
      </w:pPr>
    </w:p>
    <w:p w:rsidR="00282E35" w:rsidRPr="00D35D05" w:rsidRDefault="00064A7A" w:rsidP="008921BF">
      <w:pPr>
        <w:numPr>
          <w:ilvl w:val="0"/>
          <w:numId w:val="114"/>
        </w:numPr>
        <w:autoSpaceDE w:val="0"/>
        <w:autoSpaceDN w:val="0"/>
        <w:adjustRightInd w:val="0"/>
        <w:spacing w:after="34" w:line="240" w:lineRule="auto"/>
        <w:jc w:val="both"/>
        <w:rPr>
          <w:rFonts w:ascii="Calibri" w:hAnsi="Calibri" w:cs="Calibri"/>
          <w:color w:val="000000"/>
        </w:rPr>
      </w:pPr>
      <w:r>
        <w:rPr>
          <w:rFonts w:ascii="Calibri" w:hAnsi="Calibri" w:cs="Calibri"/>
          <w:color w:val="000000"/>
        </w:rPr>
        <w:t>s</w:t>
      </w:r>
      <w:r w:rsidR="00282E35" w:rsidRPr="00D35D05">
        <w:rPr>
          <w:rFonts w:ascii="Calibri" w:hAnsi="Calibri" w:cs="Calibri"/>
          <w:color w:val="000000"/>
        </w:rPr>
        <w:t>trong local leadership</w:t>
      </w:r>
      <w:r>
        <w:rPr>
          <w:rFonts w:ascii="Calibri" w:hAnsi="Calibri" w:cs="Calibri"/>
          <w:color w:val="000000"/>
        </w:rPr>
        <w:t>;</w:t>
      </w:r>
      <w:r w:rsidR="00282E35" w:rsidRPr="00D35D05">
        <w:rPr>
          <w:rFonts w:ascii="Calibri" w:hAnsi="Calibri" w:cs="Calibri"/>
          <w:color w:val="000000"/>
        </w:rPr>
        <w:t xml:space="preserve"> </w:t>
      </w:r>
    </w:p>
    <w:p w:rsidR="00282E35" w:rsidRPr="00D35D05" w:rsidRDefault="00064A7A" w:rsidP="008921BF">
      <w:pPr>
        <w:numPr>
          <w:ilvl w:val="0"/>
          <w:numId w:val="114"/>
        </w:numPr>
        <w:autoSpaceDE w:val="0"/>
        <w:autoSpaceDN w:val="0"/>
        <w:adjustRightInd w:val="0"/>
        <w:spacing w:after="34" w:line="240" w:lineRule="auto"/>
        <w:jc w:val="both"/>
        <w:rPr>
          <w:rFonts w:ascii="Calibri" w:hAnsi="Calibri" w:cs="Calibri"/>
          <w:color w:val="000000"/>
        </w:rPr>
      </w:pPr>
      <w:r>
        <w:rPr>
          <w:rFonts w:ascii="Calibri" w:hAnsi="Calibri" w:cs="Calibri"/>
          <w:color w:val="000000"/>
        </w:rPr>
        <w:t>m</w:t>
      </w:r>
      <w:r w:rsidR="00282E35" w:rsidRPr="00D35D05">
        <w:rPr>
          <w:rFonts w:ascii="Calibri" w:hAnsi="Calibri" w:cs="Calibri"/>
          <w:color w:val="000000"/>
        </w:rPr>
        <w:t>apping the problem</w:t>
      </w:r>
      <w:r>
        <w:rPr>
          <w:rFonts w:ascii="Calibri" w:hAnsi="Calibri" w:cs="Calibri"/>
          <w:color w:val="000000"/>
        </w:rPr>
        <w:t>;</w:t>
      </w:r>
      <w:r w:rsidR="00282E35" w:rsidRPr="00D35D05">
        <w:rPr>
          <w:rFonts w:ascii="Calibri" w:hAnsi="Calibri" w:cs="Calibri"/>
          <w:color w:val="000000"/>
        </w:rPr>
        <w:t xml:space="preserve"> </w:t>
      </w:r>
    </w:p>
    <w:p w:rsidR="00282E35" w:rsidRPr="00D35D05" w:rsidRDefault="00064A7A" w:rsidP="008921BF">
      <w:pPr>
        <w:numPr>
          <w:ilvl w:val="0"/>
          <w:numId w:val="114"/>
        </w:numPr>
        <w:autoSpaceDE w:val="0"/>
        <w:autoSpaceDN w:val="0"/>
        <w:adjustRightInd w:val="0"/>
        <w:spacing w:after="34" w:line="240" w:lineRule="auto"/>
        <w:jc w:val="both"/>
        <w:rPr>
          <w:rFonts w:ascii="Calibri" w:hAnsi="Calibri" w:cs="Calibri"/>
          <w:color w:val="000000"/>
        </w:rPr>
      </w:pPr>
      <w:r>
        <w:rPr>
          <w:rFonts w:ascii="Calibri" w:hAnsi="Calibri" w:cs="Calibri"/>
          <w:color w:val="000000"/>
        </w:rPr>
        <w:t>a</w:t>
      </w:r>
      <w:r w:rsidR="00282E35" w:rsidRPr="00D35D05">
        <w:rPr>
          <w:rFonts w:ascii="Calibri" w:hAnsi="Calibri" w:cs="Calibri"/>
          <w:color w:val="000000"/>
        </w:rPr>
        <w:t>ssessment and referral</w:t>
      </w:r>
      <w:r>
        <w:rPr>
          <w:rFonts w:ascii="Calibri" w:hAnsi="Calibri" w:cs="Calibri"/>
          <w:color w:val="000000"/>
        </w:rPr>
        <w:t>;</w:t>
      </w:r>
    </w:p>
    <w:p w:rsidR="00282E35" w:rsidRPr="00D35D05" w:rsidRDefault="00064A7A" w:rsidP="008921BF">
      <w:pPr>
        <w:numPr>
          <w:ilvl w:val="0"/>
          <w:numId w:val="114"/>
        </w:numPr>
        <w:autoSpaceDE w:val="0"/>
        <w:autoSpaceDN w:val="0"/>
        <w:adjustRightInd w:val="0"/>
        <w:spacing w:after="34" w:line="240" w:lineRule="auto"/>
        <w:jc w:val="both"/>
        <w:rPr>
          <w:rFonts w:ascii="Calibri" w:hAnsi="Calibri" w:cs="Calibri"/>
          <w:color w:val="000000"/>
        </w:rPr>
      </w:pPr>
      <w:r>
        <w:rPr>
          <w:rFonts w:ascii="Calibri" w:hAnsi="Calibri" w:cs="Calibri"/>
          <w:color w:val="000000"/>
        </w:rPr>
        <w:lastRenderedPageBreak/>
        <w:t>t</w:t>
      </w:r>
      <w:r w:rsidR="00282E35" w:rsidRPr="00D35D05">
        <w:rPr>
          <w:rFonts w:ascii="Calibri" w:hAnsi="Calibri" w:cs="Calibri"/>
          <w:color w:val="000000"/>
        </w:rPr>
        <w:t>argeted and effective interventions; enforcement, pathways out and prevention</w:t>
      </w:r>
      <w:r>
        <w:rPr>
          <w:rFonts w:ascii="Calibri" w:hAnsi="Calibri" w:cs="Calibri"/>
          <w:color w:val="000000"/>
        </w:rPr>
        <w:t>;</w:t>
      </w:r>
    </w:p>
    <w:p w:rsidR="00282E35" w:rsidRPr="00D35D05" w:rsidRDefault="00064A7A" w:rsidP="008921BF">
      <w:pPr>
        <w:numPr>
          <w:ilvl w:val="0"/>
          <w:numId w:val="114"/>
        </w:numPr>
        <w:autoSpaceDE w:val="0"/>
        <w:autoSpaceDN w:val="0"/>
        <w:adjustRightInd w:val="0"/>
        <w:spacing w:after="34" w:line="240" w:lineRule="auto"/>
        <w:jc w:val="both"/>
        <w:rPr>
          <w:rFonts w:ascii="Calibri" w:hAnsi="Calibri" w:cs="Calibri"/>
          <w:color w:val="000000"/>
        </w:rPr>
      </w:pPr>
      <w:r>
        <w:rPr>
          <w:rFonts w:ascii="Calibri" w:hAnsi="Calibri" w:cs="Calibri"/>
          <w:color w:val="000000"/>
        </w:rPr>
        <w:t>c</w:t>
      </w:r>
      <w:r w:rsidR="00282E35" w:rsidRPr="00D35D05">
        <w:rPr>
          <w:rFonts w:ascii="Calibri" w:hAnsi="Calibri" w:cs="Calibri"/>
          <w:color w:val="000000"/>
        </w:rPr>
        <w:t>riminal</w:t>
      </w:r>
      <w:r>
        <w:rPr>
          <w:rFonts w:ascii="Calibri" w:hAnsi="Calibri" w:cs="Calibri"/>
          <w:color w:val="000000"/>
        </w:rPr>
        <w:t xml:space="preserve"> Justice and breaking the cycle;</w:t>
      </w:r>
    </w:p>
    <w:p w:rsidR="00282E35" w:rsidRPr="00D35D05" w:rsidRDefault="00064A7A" w:rsidP="008921BF">
      <w:pPr>
        <w:numPr>
          <w:ilvl w:val="0"/>
          <w:numId w:val="114"/>
        </w:numPr>
        <w:autoSpaceDE w:val="0"/>
        <w:autoSpaceDN w:val="0"/>
        <w:adjustRightInd w:val="0"/>
        <w:spacing w:after="34" w:line="240" w:lineRule="auto"/>
        <w:jc w:val="both"/>
        <w:rPr>
          <w:rFonts w:ascii="Calibri" w:hAnsi="Calibri" w:cs="Calibri"/>
          <w:color w:val="000000"/>
        </w:rPr>
      </w:pPr>
      <w:r>
        <w:rPr>
          <w:rFonts w:ascii="Calibri" w:hAnsi="Calibri" w:cs="Calibri"/>
          <w:color w:val="000000"/>
        </w:rPr>
        <w:t>m</w:t>
      </w:r>
      <w:r w:rsidR="00282E35" w:rsidRPr="00D35D05">
        <w:rPr>
          <w:rFonts w:ascii="Calibri" w:hAnsi="Calibri" w:cs="Calibri"/>
          <w:color w:val="000000"/>
        </w:rPr>
        <w:t xml:space="preserve">obilising </w:t>
      </w:r>
      <w:r>
        <w:rPr>
          <w:rFonts w:ascii="Calibri" w:hAnsi="Calibri" w:cs="Calibri"/>
          <w:color w:val="000000"/>
        </w:rPr>
        <w:t>c</w:t>
      </w:r>
      <w:r w:rsidR="00282E35" w:rsidRPr="00D35D05">
        <w:rPr>
          <w:rFonts w:ascii="Calibri" w:hAnsi="Calibri" w:cs="Calibri"/>
          <w:color w:val="000000"/>
        </w:rPr>
        <w:t>ommunities</w:t>
      </w:r>
      <w:r>
        <w:rPr>
          <w:rFonts w:ascii="Calibri" w:hAnsi="Calibri" w:cs="Calibri"/>
          <w:color w:val="000000"/>
        </w:rPr>
        <w:t>.</w:t>
      </w:r>
      <w:r w:rsidR="00282E35" w:rsidRPr="00D35D05">
        <w:rPr>
          <w:rFonts w:ascii="Calibri" w:hAnsi="Calibri" w:cs="Calibri"/>
          <w:color w:val="000000"/>
        </w:rPr>
        <w:t xml:space="preserve"> </w:t>
      </w:r>
    </w:p>
    <w:p w:rsidR="00282E35" w:rsidRPr="00D35D05" w:rsidRDefault="00282E35" w:rsidP="00282E35">
      <w:pPr>
        <w:pStyle w:val="Heading2"/>
      </w:pPr>
      <w:bookmarkStart w:id="877" w:name="_Toc426723382"/>
      <w:bookmarkStart w:id="878" w:name="_Toc431225209"/>
      <w:r w:rsidRPr="00D35D05">
        <w:t>Missing</w:t>
      </w:r>
      <w:bookmarkEnd w:id="877"/>
      <w:bookmarkEnd w:id="878"/>
    </w:p>
    <w:p w:rsidR="00282E35" w:rsidRPr="00D35D05" w:rsidRDefault="00282E35" w:rsidP="00282E35">
      <w:pPr>
        <w:jc w:val="both"/>
      </w:pPr>
      <w:r w:rsidRPr="00D35D05">
        <w:t xml:space="preserve">Recent research by The National Missing Persons Helpline has revealed that nationally, one child runs away from home or is forced to leave home every five minutes. </w:t>
      </w:r>
    </w:p>
    <w:p w:rsidR="00282E35" w:rsidRPr="00D35D05" w:rsidRDefault="00282E35" w:rsidP="00282E35">
      <w:pPr>
        <w:widowControl w:val="0"/>
        <w:autoSpaceDE w:val="0"/>
        <w:autoSpaceDN w:val="0"/>
        <w:adjustRightInd w:val="0"/>
        <w:spacing w:after="240"/>
        <w:jc w:val="both"/>
      </w:pPr>
      <w:r w:rsidRPr="00D35D05">
        <w:t xml:space="preserve">Approximately 77% of those children are under 16 </w:t>
      </w:r>
      <w:r w:rsidR="00064A7A">
        <w:t xml:space="preserve">years </w:t>
      </w:r>
      <w:r w:rsidRPr="00D35D05">
        <w:t xml:space="preserve">and running away for the first time.  Around a third of children in care run away </w:t>
      </w:r>
      <w:r>
        <w:t>three</w:t>
      </w:r>
      <w:r w:rsidRPr="00D35D05">
        <w:t xml:space="preserve"> times or more. Children may run away from a problem (e.g. abuse or neglect at home) or to go somewhere they want to be. They may </w:t>
      </w:r>
      <w:r w:rsidR="00064A7A">
        <w:t xml:space="preserve">also </w:t>
      </w:r>
      <w:r w:rsidRPr="00D35D05">
        <w:t>have been coerced to run away.</w:t>
      </w:r>
    </w:p>
    <w:p w:rsidR="00282E35" w:rsidRPr="00D35D05" w:rsidRDefault="00282E35" w:rsidP="00282E35">
      <w:pPr>
        <w:widowControl w:val="0"/>
        <w:autoSpaceDE w:val="0"/>
        <w:autoSpaceDN w:val="0"/>
        <w:adjustRightInd w:val="0"/>
        <w:spacing w:after="240"/>
        <w:jc w:val="both"/>
      </w:pPr>
      <w:r w:rsidRPr="00D35D05">
        <w:t>It is thought that approximately 25 per cent of children and young people that go missing are at risk of serious harm.  There are particular concerns about the links between children running away and risk of sexual exploitation. Missing children may also be vulnerable to other forms of exploitation such as violent crime, gang exploitation, or drug and alcohol misuse.</w:t>
      </w:r>
    </w:p>
    <w:p w:rsidR="00282E35" w:rsidRDefault="00282E35" w:rsidP="00282E35">
      <w:pPr>
        <w:tabs>
          <w:tab w:val="left" w:pos="1104"/>
        </w:tabs>
        <w:jc w:val="both"/>
      </w:pPr>
      <w:r w:rsidRPr="00D35D05">
        <w:t xml:space="preserve">In Barnet, </w:t>
      </w:r>
      <w:r>
        <w:t xml:space="preserve">known </w:t>
      </w:r>
      <w:r w:rsidRPr="00D35D05">
        <w:t>children and young people of all ages go missing, though the likelihood increases</w:t>
      </w:r>
      <w:r>
        <w:t xml:space="preserve"> when children are in their teenage years. </w:t>
      </w:r>
      <w:r w:rsidRPr="00D35D05">
        <w:t xml:space="preserve">Of the known cohort, missing children are predominantly white and marginally more likely to be female. </w:t>
      </w:r>
    </w:p>
    <w:p w:rsidR="00282E35" w:rsidRPr="00B749D2" w:rsidRDefault="00282E35" w:rsidP="00282E35">
      <w:pPr>
        <w:pStyle w:val="Caption"/>
      </w:pPr>
      <w:r>
        <w:t xml:space="preserve">Figure </w:t>
      </w:r>
      <w:fldSimple w:instr=" STYLEREF 1 \s ">
        <w:r w:rsidR="001663C2">
          <w:rPr>
            <w:noProof/>
          </w:rPr>
          <w:t>8</w:t>
        </w:r>
      </w:fldSimple>
      <w:r w:rsidR="00943DC2">
        <w:noBreakHyphen/>
      </w:r>
      <w:fldSimple w:instr=" SEQ Figure \* ARABIC \s 1 ">
        <w:r w:rsidR="001663C2">
          <w:rPr>
            <w:noProof/>
          </w:rPr>
          <w:t>16</w:t>
        </w:r>
      </w:fldSimple>
      <w:r>
        <w:t xml:space="preserve">: </w:t>
      </w:r>
      <w:r w:rsidRPr="00B749D2">
        <w:t>Ethnicity of known children missing from care or home</w:t>
      </w:r>
    </w:p>
    <w:p w:rsidR="00282E35" w:rsidRDefault="00282E35" w:rsidP="00282E35">
      <w:pPr>
        <w:tabs>
          <w:tab w:val="left" w:pos="1104"/>
        </w:tabs>
        <w:jc w:val="center"/>
        <w:rPr>
          <w:sz w:val="24"/>
          <w:szCs w:val="24"/>
        </w:rPr>
      </w:pPr>
      <w:r>
        <w:rPr>
          <w:noProof/>
          <w:lang w:eastAsia="en-GB"/>
        </w:rPr>
        <w:drawing>
          <wp:inline distT="0" distB="0" distL="0" distR="0" wp14:anchorId="794F909B" wp14:editId="7C6B8078">
            <wp:extent cx="4572000" cy="2232561"/>
            <wp:effectExtent l="0" t="0" r="19050" b="15875"/>
            <wp:docPr id="120" name="Chart 1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
              </a:graphicData>
            </a:graphic>
          </wp:inline>
        </w:drawing>
      </w:r>
    </w:p>
    <w:p w:rsidR="00282E35" w:rsidRPr="00B749D2" w:rsidRDefault="00282E35" w:rsidP="00282E35">
      <w:pPr>
        <w:pStyle w:val="Caption"/>
      </w:pPr>
      <w:r>
        <w:t xml:space="preserve">Figure </w:t>
      </w:r>
      <w:fldSimple w:instr=" STYLEREF 1 \s ">
        <w:r w:rsidR="001663C2">
          <w:rPr>
            <w:noProof/>
          </w:rPr>
          <w:t>8</w:t>
        </w:r>
      </w:fldSimple>
      <w:r w:rsidR="00943DC2">
        <w:noBreakHyphen/>
      </w:r>
      <w:fldSimple w:instr=" SEQ Figure \* ARABIC \s 1 ">
        <w:r w:rsidR="001663C2">
          <w:rPr>
            <w:noProof/>
          </w:rPr>
          <w:t>17</w:t>
        </w:r>
      </w:fldSimple>
      <w:r>
        <w:t xml:space="preserve">: </w:t>
      </w:r>
      <w:r w:rsidRPr="00B749D2">
        <w:rPr>
          <w:lang w:val="en-US"/>
        </w:rPr>
        <w:t>Gender of known children missing from care or home</w:t>
      </w:r>
    </w:p>
    <w:p w:rsidR="00282E35" w:rsidRDefault="00282E35" w:rsidP="00282E35">
      <w:pPr>
        <w:tabs>
          <w:tab w:val="left" w:pos="1104"/>
        </w:tabs>
        <w:jc w:val="center"/>
        <w:rPr>
          <w:sz w:val="24"/>
          <w:szCs w:val="24"/>
        </w:rPr>
      </w:pPr>
      <w:r>
        <w:rPr>
          <w:noProof/>
          <w:lang w:eastAsia="en-GB"/>
        </w:rPr>
        <w:drawing>
          <wp:inline distT="0" distB="0" distL="0" distR="0" wp14:anchorId="432C66AB" wp14:editId="196B7754">
            <wp:extent cx="4631377" cy="1971304"/>
            <wp:effectExtent l="0" t="0" r="17145" b="10160"/>
            <wp:docPr id="122" name="Chart 1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inline>
        </w:drawing>
      </w:r>
    </w:p>
    <w:p w:rsidR="00282E35" w:rsidRPr="008B7D34" w:rsidRDefault="00282E35" w:rsidP="00282E35">
      <w:pPr>
        <w:tabs>
          <w:tab w:val="left" w:pos="1104"/>
        </w:tabs>
        <w:jc w:val="both"/>
        <w:rPr>
          <w:sz w:val="24"/>
          <w:szCs w:val="24"/>
        </w:rPr>
      </w:pPr>
      <w:r w:rsidRPr="00D35D05">
        <w:lastRenderedPageBreak/>
        <w:t>Of those children identified as being most at risk of going missing in Barnet</w:t>
      </w:r>
      <w:r w:rsidR="00DD3A76">
        <w:t>, 40</w:t>
      </w:r>
      <w:r w:rsidRPr="00D35D05">
        <w:t>%</w:t>
      </w:r>
      <w:r>
        <w:t xml:space="preserve"> are male and 60</w:t>
      </w:r>
      <w:r w:rsidRPr="00D35D05">
        <w:t>% are female. White children are most at risk of going missing from home, care</w:t>
      </w:r>
      <w:r>
        <w:t>,</w:t>
      </w:r>
      <w:r w:rsidRPr="00D35D05">
        <w:t xml:space="preserve"> or school, although this group is under-represented when compared to the Barnet population, as is the Asian cohort of children. The black and mixed populations are over-represented and therefore more at risk. </w:t>
      </w:r>
    </w:p>
    <w:p w:rsidR="00282E35" w:rsidRPr="00D35D05" w:rsidRDefault="00282E35" w:rsidP="00282E35">
      <w:pPr>
        <w:keepNext/>
        <w:tabs>
          <w:tab w:val="left" w:pos="1104"/>
        </w:tabs>
        <w:jc w:val="both"/>
      </w:pPr>
      <w:r w:rsidRPr="00D35D05">
        <w:t xml:space="preserve">The age profile of children at risk of going missing is similar </w:t>
      </w:r>
      <w:r>
        <w:t>to that of known missing cases. A</w:t>
      </w:r>
      <w:r w:rsidRPr="00D35D05">
        <w:t xml:space="preserve"> larger number of children are at risk of goi</w:t>
      </w:r>
      <w:r w:rsidR="00064A7A">
        <w:t>ng missing between the ages of six and ten</w:t>
      </w:r>
      <w:r w:rsidRPr="00D35D05">
        <w:t xml:space="preserve"> and at the age of 16.</w:t>
      </w:r>
    </w:p>
    <w:p w:rsidR="00282E35" w:rsidRPr="00B50282" w:rsidRDefault="00404154" w:rsidP="00282E35">
      <w:pPr>
        <w:pStyle w:val="Heading2"/>
      </w:pPr>
      <w:bookmarkStart w:id="879" w:name="_Toc426723383"/>
      <w:bookmarkStart w:id="880" w:name="_Toc431225210"/>
      <w:r>
        <w:t>Domestic V</w:t>
      </w:r>
      <w:r w:rsidR="00282E35" w:rsidRPr="00B50282">
        <w:t xml:space="preserve">iolence, </w:t>
      </w:r>
      <w:r w:rsidR="00C63154">
        <w:t xml:space="preserve">Parental </w:t>
      </w:r>
      <w:r>
        <w:t>S</w:t>
      </w:r>
      <w:r w:rsidR="00C63154">
        <w:t xml:space="preserve">ubstance </w:t>
      </w:r>
      <w:r>
        <w:t>M</w:t>
      </w:r>
      <w:r w:rsidR="00C63154">
        <w:t>isuse, Parental Mental I</w:t>
      </w:r>
      <w:r w:rsidR="00282E35" w:rsidRPr="00B50282">
        <w:t xml:space="preserve">ll </w:t>
      </w:r>
      <w:r w:rsidR="00C63154">
        <w:t>H</w:t>
      </w:r>
      <w:r w:rsidR="00282E35" w:rsidRPr="00B50282">
        <w:t>ealth (Toxic Trio)</w:t>
      </w:r>
      <w:bookmarkEnd w:id="879"/>
      <w:bookmarkEnd w:id="880"/>
    </w:p>
    <w:p w:rsidR="00282E35" w:rsidRDefault="00064A7A" w:rsidP="00282E35">
      <w:pPr>
        <w:spacing w:after="0"/>
        <w:jc w:val="both"/>
        <w:rPr>
          <w:rFonts w:cs="Arial"/>
        </w:rPr>
      </w:pPr>
      <w:r>
        <w:rPr>
          <w:rFonts w:cs="Arial"/>
        </w:rPr>
        <w:t xml:space="preserve">An </w:t>
      </w:r>
      <w:r w:rsidR="00282E35" w:rsidRPr="00395947">
        <w:rPr>
          <w:rFonts w:cs="Arial"/>
        </w:rPr>
        <w:t>analysis</w:t>
      </w:r>
      <w:r w:rsidR="00282E35">
        <w:rPr>
          <w:rFonts w:cs="Arial"/>
        </w:rPr>
        <w:t xml:space="preserve"> of random sample</w:t>
      </w:r>
      <w:r>
        <w:rPr>
          <w:rFonts w:cs="Arial"/>
        </w:rPr>
        <w:t>s</w:t>
      </w:r>
      <w:r w:rsidR="00282E35">
        <w:rPr>
          <w:rFonts w:cs="Arial"/>
        </w:rPr>
        <w:t xml:space="preserve"> of CAFS</w:t>
      </w:r>
      <w:r w:rsidR="00282E35" w:rsidRPr="00395947">
        <w:rPr>
          <w:rFonts w:cs="Arial"/>
        </w:rPr>
        <w:t xml:space="preserve"> in Barnet found the ‘toxic trio’ of domestic violence, mental ill-health and drug </w:t>
      </w:r>
      <w:r>
        <w:rPr>
          <w:rFonts w:cs="Arial"/>
        </w:rPr>
        <w:t>and alcohol misuse in families amongst</w:t>
      </w:r>
      <w:r w:rsidR="00282E35" w:rsidRPr="00395947">
        <w:rPr>
          <w:rFonts w:cs="Arial"/>
        </w:rPr>
        <w:t xml:space="preserve"> the most prevalent causes of poor outcomes for children. From the sampled</w:t>
      </w:r>
      <w:r w:rsidR="00282E35">
        <w:rPr>
          <w:rFonts w:cs="Arial"/>
        </w:rPr>
        <w:t xml:space="preserve"> CAF cases, DV featured in 90% of the</w:t>
      </w:r>
      <w:r w:rsidR="00282E35" w:rsidRPr="00395947">
        <w:rPr>
          <w:rFonts w:cs="Arial"/>
        </w:rPr>
        <w:t xml:space="preserve"> cas</w:t>
      </w:r>
      <w:r w:rsidR="00282E35">
        <w:rPr>
          <w:rFonts w:cs="Arial"/>
        </w:rPr>
        <w:t xml:space="preserve">es, substance misuse in 40%, and 20% of cases had significant mental ill-health concerns. </w:t>
      </w:r>
      <w:r w:rsidR="00282E35" w:rsidRPr="00B1135D">
        <w:rPr>
          <w:rFonts w:cs="Arial"/>
        </w:rPr>
        <w:t>Since April 2014 and when MASH started recording presenting issues</w:t>
      </w:r>
      <w:r w:rsidR="00282E35">
        <w:rPr>
          <w:rFonts w:cs="Arial"/>
        </w:rPr>
        <w:t>,</w:t>
      </w:r>
      <w:r w:rsidR="00282E35" w:rsidRPr="00B1135D">
        <w:rPr>
          <w:rFonts w:cs="Arial"/>
        </w:rPr>
        <w:t xml:space="preserve"> nearly a quarter were identified as having domestic violence present in the family. Of these domestic violence cases</w:t>
      </w:r>
      <w:r w:rsidR="00282E35">
        <w:rPr>
          <w:rFonts w:cs="Arial"/>
        </w:rPr>
        <w:t>,</w:t>
      </w:r>
      <w:r w:rsidR="00282E35" w:rsidRPr="00B1135D">
        <w:rPr>
          <w:rFonts w:cs="Arial"/>
        </w:rPr>
        <w:t xml:space="preserve"> 13% progressed under the </w:t>
      </w:r>
      <w:r w:rsidR="00282E35">
        <w:rPr>
          <w:rFonts w:cs="Arial"/>
        </w:rPr>
        <w:t xml:space="preserve">social care </w:t>
      </w:r>
      <w:r w:rsidR="00282E35" w:rsidRPr="00B1135D">
        <w:rPr>
          <w:rFonts w:cs="Arial"/>
        </w:rPr>
        <w:t xml:space="preserve">threshold to CAF whereas over double that amount progressed over the threshold to social care (28%). </w:t>
      </w:r>
    </w:p>
    <w:p w:rsidR="00282E35" w:rsidRPr="00B1135D" w:rsidRDefault="00282E35" w:rsidP="00282E35">
      <w:pPr>
        <w:pStyle w:val="Heading3"/>
        <w:jc w:val="both"/>
        <w:rPr>
          <w:rFonts w:eastAsiaTheme="minorEastAsia"/>
        </w:rPr>
      </w:pPr>
      <w:r w:rsidRPr="008503CD">
        <w:rPr>
          <w:rFonts w:eastAsiaTheme="minorEastAsia"/>
        </w:rPr>
        <w:t>Multi-Agency Risk Assessment Conference</w:t>
      </w:r>
      <w:r w:rsidRPr="00B1135D">
        <w:rPr>
          <w:rFonts w:eastAsiaTheme="minorEastAsia"/>
          <w:iCs/>
          <w:lang w:eastAsia="en-GB"/>
        </w:rPr>
        <w:t xml:space="preserve"> </w:t>
      </w:r>
      <w:r>
        <w:rPr>
          <w:rFonts w:eastAsiaTheme="minorEastAsia"/>
          <w:iCs/>
          <w:lang w:eastAsia="en-GB"/>
        </w:rPr>
        <w:t>(</w:t>
      </w:r>
      <w:r w:rsidRPr="00B1135D">
        <w:rPr>
          <w:rFonts w:eastAsiaTheme="minorEastAsia"/>
        </w:rPr>
        <w:t>MARAC</w:t>
      </w:r>
      <w:r>
        <w:rPr>
          <w:rFonts w:eastAsiaTheme="minorEastAsia"/>
        </w:rPr>
        <w:t>)</w:t>
      </w:r>
    </w:p>
    <w:p w:rsidR="00282E35" w:rsidRDefault="00282E35" w:rsidP="00282E35">
      <w:pPr>
        <w:spacing w:after="0" w:line="240" w:lineRule="auto"/>
        <w:jc w:val="both"/>
        <w:textAlignment w:val="baseline"/>
        <w:rPr>
          <w:rFonts w:cs="Arial"/>
          <w:iCs/>
          <w:kern w:val="24"/>
          <w:lang w:eastAsia="en-GB"/>
        </w:rPr>
      </w:pPr>
      <w:r w:rsidRPr="00B1135D">
        <w:rPr>
          <w:rFonts w:cs="Arial"/>
          <w:iCs/>
          <w:kern w:val="24"/>
          <w:lang w:eastAsia="en-GB"/>
        </w:rPr>
        <w:t xml:space="preserve">In the last three financial years, there has been a steady increase in the number of referrals </w:t>
      </w:r>
      <w:r>
        <w:rPr>
          <w:rFonts w:cs="Arial"/>
          <w:iCs/>
          <w:kern w:val="24"/>
          <w:lang w:eastAsia="en-GB"/>
        </w:rPr>
        <w:t xml:space="preserve">of domestic violence to the MARAC </w:t>
      </w:r>
      <w:r>
        <w:rPr>
          <w:kern w:val="24"/>
        </w:rPr>
        <w:t>(</w:t>
      </w:r>
      <w:r w:rsidRPr="006817BF">
        <w:rPr>
          <w:rFonts w:cs="Arial"/>
          <w:i/>
          <w:iCs/>
          <w:kern w:val="24"/>
          <w:lang w:eastAsia="en-GB"/>
        </w:rPr>
        <w:t>2012-13</w:t>
      </w:r>
      <w:r w:rsidRPr="006817BF">
        <w:rPr>
          <w:rFonts w:cs="Arial"/>
          <w:b/>
          <w:iCs/>
          <w:kern w:val="24"/>
          <w:lang w:eastAsia="en-GB"/>
        </w:rPr>
        <w:t xml:space="preserve"> = 175, </w:t>
      </w:r>
      <w:r w:rsidRPr="006817BF">
        <w:rPr>
          <w:rFonts w:cs="Arial"/>
          <w:i/>
          <w:iCs/>
          <w:kern w:val="24"/>
          <w:lang w:eastAsia="en-GB"/>
        </w:rPr>
        <w:t>2013-14</w:t>
      </w:r>
      <w:r w:rsidRPr="006817BF">
        <w:rPr>
          <w:rFonts w:cs="Arial"/>
          <w:b/>
          <w:iCs/>
          <w:kern w:val="24"/>
          <w:lang w:eastAsia="en-GB"/>
        </w:rPr>
        <w:t xml:space="preserve">= 234, </w:t>
      </w:r>
      <w:r w:rsidRPr="006817BF">
        <w:rPr>
          <w:rFonts w:cs="Arial"/>
          <w:i/>
          <w:iCs/>
          <w:kern w:val="24"/>
          <w:lang w:eastAsia="en-GB"/>
        </w:rPr>
        <w:t>2014-15</w:t>
      </w:r>
      <w:r w:rsidRPr="006817BF">
        <w:rPr>
          <w:rFonts w:cs="Arial"/>
          <w:b/>
          <w:iCs/>
          <w:kern w:val="24"/>
          <w:lang w:eastAsia="en-GB"/>
        </w:rPr>
        <w:t>= 311</w:t>
      </w:r>
      <w:r>
        <w:rPr>
          <w:rFonts w:cs="Arial"/>
          <w:iCs/>
          <w:kern w:val="24"/>
          <w:lang w:eastAsia="en-GB"/>
        </w:rPr>
        <w:t>) which is interpreted as</w:t>
      </w:r>
      <w:r w:rsidR="00064A7A">
        <w:rPr>
          <w:rFonts w:cs="Arial"/>
          <w:iCs/>
          <w:kern w:val="24"/>
          <w:lang w:eastAsia="en-GB"/>
        </w:rPr>
        <w:t xml:space="preserve"> the</w:t>
      </w:r>
      <w:r>
        <w:rPr>
          <w:rFonts w:cs="Arial"/>
          <w:iCs/>
          <w:kern w:val="24"/>
          <w:lang w:eastAsia="en-GB"/>
        </w:rPr>
        <w:t xml:space="preserve"> impact of</w:t>
      </w:r>
      <w:r w:rsidRPr="00B1135D">
        <w:rPr>
          <w:rFonts w:cs="Arial"/>
          <w:iCs/>
          <w:kern w:val="24"/>
          <w:lang w:eastAsia="en-GB"/>
        </w:rPr>
        <w:t xml:space="preserve"> the interventions that have been put in </w:t>
      </w:r>
      <w:r>
        <w:rPr>
          <w:rFonts w:cs="Arial"/>
          <w:iCs/>
          <w:kern w:val="24"/>
          <w:lang w:eastAsia="en-GB"/>
        </w:rPr>
        <w:t>place to heighten the awareness of agencies and the public.</w:t>
      </w:r>
    </w:p>
    <w:p w:rsidR="00282E35" w:rsidRDefault="00282E35" w:rsidP="00282E35">
      <w:pPr>
        <w:spacing w:after="0" w:line="240" w:lineRule="auto"/>
        <w:jc w:val="both"/>
        <w:textAlignment w:val="baseline"/>
        <w:rPr>
          <w:rFonts w:cs="Arial"/>
          <w:iCs/>
          <w:kern w:val="24"/>
          <w:lang w:eastAsia="en-GB"/>
        </w:rPr>
      </w:pPr>
    </w:p>
    <w:p w:rsidR="00282E35" w:rsidRDefault="00282E35" w:rsidP="00282E35">
      <w:pPr>
        <w:jc w:val="both"/>
        <w:rPr>
          <w:rFonts w:cs="Arial"/>
          <w:iCs/>
          <w:kern w:val="24"/>
          <w:lang w:eastAsia="en-GB"/>
        </w:rPr>
      </w:pPr>
      <w:r w:rsidRPr="00146BB1">
        <w:rPr>
          <w:rFonts w:cs="Arial"/>
          <w:iCs/>
          <w:kern w:val="24"/>
          <w:lang w:eastAsia="en-GB"/>
        </w:rPr>
        <w:t xml:space="preserve">Of the 311 cases discussed by Barnet’s MARAC between 1 January and 31 December 2014, 95% were a female victim of </w:t>
      </w:r>
      <w:r>
        <w:rPr>
          <w:rFonts w:cs="Arial"/>
          <w:iCs/>
          <w:kern w:val="24"/>
          <w:lang w:eastAsia="en-GB"/>
        </w:rPr>
        <w:t>d</w:t>
      </w:r>
      <w:r w:rsidRPr="00146BB1">
        <w:rPr>
          <w:rFonts w:cs="Arial"/>
          <w:iCs/>
          <w:kern w:val="24"/>
          <w:lang w:eastAsia="en-GB"/>
        </w:rPr>
        <w:t xml:space="preserve">omestic </w:t>
      </w:r>
      <w:r>
        <w:rPr>
          <w:rFonts w:cs="Arial"/>
          <w:iCs/>
          <w:kern w:val="24"/>
          <w:lang w:eastAsia="en-GB"/>
        </w:rPr>
        <w:t>v</w:t>
      </w:r>
      <w:r w:rsidRPr="00146BB1">
        <w:rPr>
          <w:rFonts w:cs="Arial"/>
          <w:iCs/>
          <w:kern w:val="24"/>
          <w:lang w:eastAsia="en-GB"/>
        </w:rPr>
        <w:t xml:space="preserve">iolence, </w:t>
      </w:r>
      <w:r>
        <w:rPr>
          <w:rFonts w:cs="Arial"/>
          <w:iCs/>
          <w:kern w:val="24"/>
          <w:lang w:eastAsia="en-GB"/>
        </w:rPr>
        <w:t>and</w:t>
      </w:r>
      <w:r w:rsidRPr="00146BB1">
        <w:rPr>
          <w:rFonts w:cs="Arial"/>
          <w:iCs/>
          <w:kern w:val="24"/>
          <w:lang w:eastAsia="en-GB"/>
        </w:rPr>
        <w:t xml:space="preserve"> 5% male.</w:t>
      </w:r>
      <w:r>
        <w:rPr>
          <w:kern w:val="24"/>
        </w:rPr>
        <w:t xml:space="preserve"> </w:t>
      </w:r>
      <w:r w:rsidRPr="00146BB1">
        <w:rPr>
          <w:rFonts w:cs="Arial"/>
          <w:iCs/>
          <w:kern w:val="24"/>
          <w:lang w:eastAsia="en-GB"/>
        </w:rPr>
        <w:t xml:space="preserve">The predominant age band of victims of </w:t>
      </w:r>
      <w:r>
        <w:rPr>
          <w:rFonts w:cs="Arial"/>
          <w:iCs/>
          <w:kern w:val="24"/>
          <w:lang w:eastAsia="en-GB"/>
        </w:rPr>
        <w:t>d</w:t>
      </w:r>
      <w:r w:rsidRPr="00146BB1">
        <w:rPr>
          <w:rFonts w:cs="Arial"/>
          <w:iCs/>
          <w:kern w:val="24"/>
          <w:lang w:eastAsia="en-GB"/>
        </w:rPr>
        <w:t xml:space="preserve">omestic </w:t>
      </w:r>
      <w:r>
        <w:rPr>
          <w:rFonts w:cs="Arial"/>
          <w:iCs/>
          <w:kern w:val="24"/>
          <w:lang w:eastAsia="en-GB"/>
        </w:rPr>
        <w:t>v</w:t>
      </w:r>
      <w:r w:rsidRPr="00146BB1">
        <w:rPr>
          <w:rFonts w:cs="Arial"/>
          <w:iCs/>
          <w:kern w:val="24"/>
          <w:lang w:eastAsia="en-GB"/>
        </w:rPr>
        <w:t>iolence in Barnet is between 21–30</w:t>
      </w:r>
      <w:r w:rsidR="00064A7A">
        <w:rPr>
          <w:rFonts w:cs="Arial"/>
          <w:iCs/>
          <w:kern w:val="24"/>
          <w:lang w:eastAsia="en-GB"/>
        </w:rPr>
        <w:t xml:space="preserve"> years</w:t>
      </w:r>
      <w:r w:rsidRPr="00146BB1">
        <w:rPr>
          <w:rFonts w:cs="Arial"/>
          <w:iCs/>
          <w:kern w:val="24"/>
          <w:lang w:eastAsia="en-GB"/>
        </w:rPr>
        <w:t xml:space="preserve"> </w:t>
      </w:r>
      <w:r>
        <w:rPr>
          <w:rFonts w:cs="Arial"/>
          <w:iCs/>
          <w:kern w:val="24"/>
          <w:lang w:eastAsia="en-GB"/>
        </w:rPr>
        <w:t xml:space="preserve">in </w:t>
      </w:r>
      <w:r w:rsidRPr="00146BB1">
        <w:rPr>
          <w:rFonts w:cs="Arial"/>
          <w:iCs/>
          <w:kern w:val="24"/>
          <w:lang w:eastAsia="en-GB"/>
        </w:rPr>
        <w:t>38% of cases, followed by those aged between 31–40</w:t>
      </w:r>
      <w:r w:rsidR="00064A7A">
        <w:rPr>
          <w:rFonts w:cs="Arial"/>
          <w:iCs/>
          <w:kern w:val="24"/>
          <w:lang w:eastAsia="en-GB"/>
        </w:rPr>
        <w:t xml:space="preserve"> years</w:t>
      </w:r>
      <w:r w:rsidRPr="00146BB1">
        <w:rPr>
          <w:rFonts w:cs="Arial"/>
          <w:iCs/>
          <w:kern w:val="24"/>
          <w:lang w:eastAsia="en-GB"/>
        </w:rPr>
        <w:t xml:space="preserve"> </w:t>
      </w:r>
      <w:r>
        <w:rPr>
          <w:rFonts w:cs="Arial"/>
          <w:iCs/>
          <w:kern w:val="24"/>
          <w:lang w:eastAsia="en-GB"/>
        </w:rPr>
        <w:t>in</w:t>
      </w:r>
      <w:r w:rsidRPr="00146BB1">
        <w:rPr>
          <w:rFonts w:cs="Arial"/>
          <w:iCs/>
          <w:kern w:val="24"/>
          <w:lang w:eastAsia="en-GB"/>
        </w:rPr>
        <w:t xml:space="preserve"> 25% of cases.</w:t>
      </w:r>
      <w:r w:rsidRPr="00E0467A">
        <w:t xml:space="preserve"> </w:t>
      </w:r>
      <w:r w:rsidRPr="00E0467A">
        <w:rPr>
          <w:rFonts w:cs="Arial"/>
          <w:iCs/>
          <w:kern w:val="24"/>
          <w:lang w:eastAsia="en-GB"/>
        </w:rPr>
        <w:t xml:space="preserve">The most common ethnicity </w:t>
      </w:r>
      <w:r>
        <w:rPr>
          <w:rFonts w:cs="Arial"/>
          <w:iCs/>
          <w:kern w:val="24"/>
          <w:lang w:eastAsia="en-GB"/>
        </w:rPr>
        <w:t>is White with 58%, followed by any Other and Black with 12%. Police data and referral data highlight</w:t>
      </w:r>
      <w:r w:rsidR="00064A7A">
        <w:rPr>
          <w:rFonts w:cs="Arial"/>
          <w:iCs/>
          <w:kern w:val="24"/>
          <w:lang w:eastAsia="en-GB"/>
        </w:rPr>
        <w:t>s</w:t>
      </w:r>
      <w:r>
        <w:rPr>
          <w:rFonts w:cs="Arial"/>
          <w:iCs/>
          <w:kern w:val="24"/>
          <w:lang w:eastAsia="en-GB"/>
        </w:rPr>
        <w:t xml:space="preserve"> Burnt Oak, Colindale and small pockets of </w:t>
      </w:r>
      <w:r w:rsidRPr="0082183C">
        <w:rPr>
          <w:rFonts w:cs="Arial"/>
          <w:iCs/>
          <w:kern w:val="24"/>
          <w:lang w:eastAsia="en-GB"/>
        </w:rPr>
        <w:t>Mill Hill to the west and Brunswick Park ward to the east</w:t>
      </w:r>
      <w:r>
        <w:rPr>
          <w:rFonts w:cs="Arial"/>
          <w:iCs/>
          <w:kern w:val="24"/>
          <w:lang w:eastAsia="en-GB"/>
        </w:rPr>
        <w:t xml:space="preserve"> as primary areas for incidences of domestic violence.</w:t>
      </w:r>
    </w:p>
    <w:p w:rsidR="00282E35" w:rsidRPr="00FA12F5" w:rsidRDefault="00282E35" w:rsidP="00282E35">
      <w:pPr>
        <w:jc w:val="both"/>
        <w:rPr>
          <w:rFonts w:ascii="Calibri" w:eastAsia="Calibri" w:hAnsi="Calibri" w:cs="Times New Roman"/>
          <w:b/>
          <w:bCs/>
          <w:color w:val="1F497D"/>
          <w:lang w:eastAsia="en-GB"/>
        </w:rPr>
      </w:pPr>
      <w:r w:rsidRPr="00B1135D">
        <w:rPr>
          <w:rFonts w:cs="Arial"/>
        </w:rPr>
        <w:t xml:space="preserve">Parental alcohol or substance misuse was present in 20% of Child Protection and 40% of Looked After Children cases (for reference Barnet has circa 238 </w:t>
      </w:r>
      <w:r>
        <w:rPr>
          <w:rFonts w:cs="Arial"/>
        </w:rPr>
        <w:t>C</w:t>
      </w:r>
      <w:r w:rsidRPr="00B1135D">
        <w:rPr>
          <w:rFonts w:cs="Arial"/>
        </w:rPr>
        <w:t xml:space="preserve">hild </w:t>
      </w:r>
      <w:r>
        <w:rPr>
          <w:rFonts w:cs="Arial"/>
        </w:rPr>
        <w:t>P</w:t>
      </w:r>
      <w:r w:rsidRPr="00B1135D">
        <w:rPr>
          <w:rFonts w:cs="Arial"/>
        </w:rPr>
        <w:t>rotection cases and circa 300</w:t>
      </w:r>
      <w:r>
        <w:rPr>
          <w:rFonts w:cs="Arial"/>
        </w:rPr>
        <w:t xml:space="preserve"> Looked After Children cases). </w:t>
      </w:r>
    </w:p>
    <w:p w:rsidR="00282E35" w:rsidRPr="00FA12F5" w:rsidRDefault="00282E35" w:rsidP="00282E35">
      <w:pPr>
        <w:spacing w:after="0" w:line="240" w:lineRule="auto"/>
        <w:jc w:val="both"/>
        <w:rPr>
          <w:rFonts w:ascii="Calibri" w:eastAsia="Calibri" w:hAnsi="Calibri" w:cs="Times New Roman"/>
          <w:lang w:eastAsia="en-GB"/>
        </w:rPr>
      </w:pPr>
      <w:r w:rsidRPr="00FA12F5">
        <w:rPr>
          <w:rFonts w:ascii="Calibri" w:eastAsia="Calibri" w:hAnsi="Calibri" w:cs="Times New Roman"/>
          <w:lang w:eastAsia="en-GB"/>
        </w:rPr>
        <w:t xml:space="preserve">Substance misuse among parents of children and young people referred to social care is spread around the </w:t>
      </w:r>
      <w:r>
        <w:rPr>
          <w:rFonts w:ascii="Calibri" w:eastAsia="Calibri" w:hAnsi="Calibri" w:cs="Times New Roman"/>
          <w:lang w:eastAsia="en-GB"/>
        </w:rPr>
        <w:t>Borough</w:t>
      </w:r>
      <w:r w:rsidRPr="00FA12F5">
        <w:rPr>
          <w:rFonts w:ascii="Calibri" w:eastAsia="Calibri" w:hAnsi="Calibri" w:cs="Times New Roman"/>
          <w:lang w:eastAsia="en-GB"/>
        </w:rPr>
        <w:t xml:space="preserve">, </w:t>
      </w:r>
      <w:r w:rsidR="00DD3A76" w:rsidRPr="00FA12F5">
        <w:rPr>
          <w:rFonts w:ascii="Calibri" w:eastAsia="Calibri" w:hAnsi="Calibri" w:cs="Times New Roman"/>
          <w:lang w:eastAsia="en-GB"/>
        </w:rPr>
        <w:t>though Grahame</w:t>
      </w:r>
      <w:r w:rsidRPr="00FA12F5">
        <w:rPr>
          <w:rFonts w:ascii="Calibri" w:eastAsia="Calibri" w:hAnsi="Calibri" w:cs="Times New Roman"/>
          <w:lang w:eastAsia="en-GB"/>
        </w:rPr>
        <w:t xml:space="preserve"> Park and surrounding areas have the highest concentration in the </w:t>
      </w:r>
      <w:r>
        <w:rPr>
          <w:rFonts w:ascii="Calibri" w:eastAsia="Calibri" w:hAnsi="Calibri" w:cs="Times New Roman"/>
          <w:lang w:eastAsia="en-GB"/>
        </w:rPr>
        <w:t>Borough</w:t>
      </w:r>
      <w:r w:rsidRPr="00FA12F5">
        <w:rPr>
          <w:rFonts w:ascii="Calibri" w:eastAsia="Calibri" w:hAnsi="Calibri" w:cs="Times New Roman"/>
          <w:lang w:eastAsia="en-GB"/>
        </w:rPr>
        <w:t>. Other areas where parental substance abuse is a problem are pockets in Brunswick Park, E</w:t>
      </w:r>
      <w:r>
        <w:rPr>
          <w:rFonts w:ascii="Calibri" w:eastAsia="Calibri" w:hAnsi="Calibri" w:cs="Times New Roman"/>
          <w:lang w:eastAsia="en-GB"/>
        </w:rPr>
        <w:t>ast Barnet and Edg</w:t>
      </w:r>
      <w:r w:rsidRPr="00FA12F5">
        <w:rPr>
          <w:rFonts w:ascii="Calibri" w:eastAsia="Calibri" w:hAnsi="Calibri" w:cs="Times New Roman"/>
          <w:lang w:eastAsia="en-GB"/>
        </w:rPr>
        <w:t>ware.</w:t>
      </w:r>
    </w:p>
    <w:p w:rsidR="00282E35" w:rsidRPr="00FA12F5" w:rsidRDefault="00282E35" w:rsidP="00282E35">
      <w:pPr>
        <w:spacing w:after="0" w:line="240" w:lineRule="auto"/>
        <w:jc w:val="both"/>
        <w:rPr>
          <w:rFonts w:ascii="Calibri" w:eastAsia="Calibri" w:hAnsi="Calibri" w:cs="Times New Roman"/>
          <w:lang w:eastAsia="en-GB"/>
        </w:rPr>
      </w:pPr>
    </w:p>
    <w:p w:rsidR="00282E35" w:rsidRPr="00FA12F5" w:rsidRDefault="00282E35" w:rsidP="00282E35">
      <w:pPr>
        <w:jc w:val="both"/>
        <w:rPr>
          <w:rFonts w:ascii="Calibri" w:eastAsia="Calibri" w:hAnsi="Calibri" w:cs="Times New Roman"/>
          <w:lang w:eastAsia="en-GB"/>
        </w:rPr>
      </w:pPr>
      <w:r>
        <w:rPr>
          <w:rFonts w:cs="Arial"/>
        </w:rPr>
        <w:t xml:space="preserve"> </w:t>
      </w:r>
      <w:r w:rsidRPr="00B1135D">
        <w:rPr>
          <w:rFonts w:cs="Arial"/>
        </w:rPr>
        <w:t xml:space="preserve">A national study found that around </w:t>
      </w:r>
      <w:r>
        <w:rPr>
          <w:rFonts w:cs="Arial"/>
        </w:rPr>
        <w:t>three in ten</w:t>
      </w:r>
      <w:r w:rsidRPr="00B1135D">
        <w:rPr>
          <w:rFonts w:cs="Arial"/>
        </w:rPr>
        <w:t xml:space="preserve"> adults will experience mental health problems every year but only three quarters of these will access services. This year</w:t>
      </w:r>
      <w:r>
        <w:rPr>
          <w:rFonts w:cs="Arial"/>
        </w:rPr>
        <w:t xml:space="preserve"> (2015)</w:t>
      </w:r>
      <w:r w:rsidRPr="00B1135D">
        <w:rPr>
          <w:rFonts w:cs="Arial"/>
        </w:rPr>
        <w:t xml:space="preserve"> around 16% (58,600) of adults in Barnet have a mental health condition. This is expected to inc</w:t>
      </w:r>
      <w:r>
        <w:rPr>
          <w:rFonts w:cs="Arial"/>
        </w:rPr>
        <w:t>rease by 6% to 62,300 by 2020</w:t>
      </w:r>
      <w:r w:rsidRPr="00FA12F5">
        <w:rPr>
          <w:rFonts w:cs="Arial"/>
        </w:rPr>
        <w:t xml:space="preserve">. </w:t>
      </w:r>
      <w:r w:rsidRPr="00FA12F5">
        <w:rPr>
          <w:rFonts w:ascii="Calibri" w:eastAsia="Calibri" w:hAnsi="Calibri" w:cs="Times New Roman"/>
          <w:lang w:eastAsia="en-GB"/>
        </w:rPr>
        <w:t xml:space="preserve">Mental health conditions among parents of children referred to care is of particular concern in the more deprived areas of the </w:t>
      </w:r>
      <w:r>
        <w:rPr>
          <w:rFonts w:ascii="Calibri" w:eastAsia="Calibri" w:hAnsi="Calibri" w:cs="Times New Roman"/>
          <w:lang w:eastAsia="en-GB"/>
        </w:rPr>
        <w:t>Borough</w:t>
      </w:r>
      <w:r w:rsidRPr="00FA12F5">
        <w:rPr>
          <w:rFonts w:ascii="Calibri" w:eastAsia="Calibri" w:hAnsi="Calibri" w:cs="Times New Roman"/>
          <w:lang w:eastAsia="en-GB"/>
        </w:rPr>
        <w:t xml:space="preserve">. </w:t>
      </w:r>
      <w:r>
        <w:rPr>
          <w:rFonts w:ascii="Calibri" w:eastAsia="Calibri" w:hAnsi="Calibri" w:cs="Times New Roman"/>
          <w:lang w:eastAsia="en-GB"/>
        </w:rPr>
        <w:t xml:space="preserve">The </w:t>
      </w:r>
      <w:r w:rsidRPr="00FA12F5">
        <w:rPr>
          <w:rFonts w:ascii="Calibri" w:eastAsia="Calibri" w:hAnsi="Calibri" w:cs="Times New Roman"/>
          <w:lang w:eastAsia="en-GB"/>
        </w:rPr>
        <w:t>Dollis Valley estate in Underhill, pockets in Brunswick Park and the A5 corridor from Colindale to Edgware are the worst affected areas.</w:t>
      </w:r>
    </w:p>
    <w:p w:rsidR="00282E35" w:rsidRDefault="00282E35" w:rsidP="00282E35">
      <w:pPr>
        <w:spacing w:after="0"/>
        <w:jc w:val="both"/>
        <w:rPr>
          <w:rFonts w:cs="Arial"/>
        </w:rPr>
      </w:pPr>
      <w:r w:rsidRPr="00B1135D">
        <w:rPr>
          <w:rFonts w:cs="Arial"/>
        </w:rPr>
        <w:lastRenderedPageBreak/>
        <w:t>Barnet commission</w:t>
      </w:r>
      <w:r>
        <w:rPr>
          <w:rFonts w:cs="Arial"/>
        </w:rPr>
        <w:t>s</w:t>
      </w:r>
      <w:r w:rsidRPr="00B1135D">
        <w:rPr>
          <w:rFonts w:cs="Arial"/>
        </w:rPr>
        <w:t xml:space="preserve"> a number of services to provide support for those affected by domestic violence, mental ill-health and drug and alcohol misuse. Domestic violence support services include refuges, perpetrator and partner programmes and an advocacy service. Barnet Drug and Alcohol Service provide advice and information, drop-in services, psychiatric treatment, psychological therapies, social interventions and complementary therapies. Parenting support services include five Parenting Programmes for hard</w:t>
      </w:r>
      <w:r>
        <w:rPr>
          <w:rFonts w:cs="Arial"/>
        </w:rPr>
        <w:t>-</w:t>
      </w:r>
      <w:r w:rsidRPr="00B1135D">
        <w:rPr>
          <w:rFonts w:cs="Arial"/>
        </w:rPr>
        <w:t>to</w:t>
      </w:r>
      <w:r>
        <w:rPr>
          <w:rFonts w:cs="Arial"/>
        </w:rPr>
        <w:t>-</w:t>
      </w:r>
      <w:r w:rsidRPr="00B1135D">
        <w:rPr>
          <w:rFonts w:cs="Arial"/>
        </w:rPr>
        <w:t>reach families. The community coaching service recruits and trains community coaches to provide targeted support to</w:t>
      </w:r>
      <w:r>
        <w:rPr>
          <w:rFonts w:cs="Arial"/>
        </w:rPr>
        <w:t xml:space="preserve"> vulnerable families in crisis. </w:t>
      </w:r>
      <w:r w:rsidRPr="00B1135D">
        <w:rPr>
          <w:rFonts w:cs="Arial"/>
        </w:rPr>
        <w:t xml:space="preserve">Since April 2014 there have been increases in the number of MASH contacts </w:t>
      </w:r>
      <w:r>
        <w:rPr>
          <w:rFonts w:cs="Arial"/>
        </w:rPr>
        <w:t xml:space="preserve">for </w:t>
      </w:r>
      <w:r w:rsidR="00064A7A">
        <w:rPr>
          <w:rFonts w:cs="Arial"/>
        </w:rPr>
        <w:t>‘</w:t>
      </w:r>
      <w:r>
        <w:rPr>
          <w:rFonts w:cs="Arial"/>
        </w:rPr>
        <w:t>toxic trio</w:t>
      </w:r>
      <w:r w:rsidR="00064A7A">
        <w:rPr>
          <w:rFonts w:cs="Arial"/>
        </w:rPr>
        <w:t>’ cases</w:t>
      </w:r>
      <w:r>
        <w:rPr>
          <w:rFonts w:cs="Arial"/>
        </w:rPr>
        <w:t xml:space="preserve"> </w:t>
      </w:r>
      <w:r w:rsidRPr="00B1135D">
        <w:rPr>
          <w:rFonts w:cs="Arial"/>
        </w:rPr>
        <w:t xml:space="preserve">being referred to Early Intervention services. </w:t>
      </w:r>
    </w:p>
    <w:p w:rsidR="00282E35" w:rsidRPr="00D4568F" w:rsidRDefault="00282E35" w:rsidP="00282E35">
      <w:pPr>
        <w:pStyle w:val="Heading3"/>
      </w:pPr>
      <w:r w:rsidRPr="00D4568F">
        <w:t>Key Issues</w:t>
      </w:r>
    </w:p>
    <w:p w:rsidR="00282E35" w:rsidRPr="008F0F7A" w:rsidRDefault="00282E35" w:rsidP="008921BF">
      <w:pPr>
        <w:pStyle w:val="ListParagraph"/>
        <w:numPr>
          <w:ilvl w:val="0"/>
          <w:numId w:val="90"/>
        </w:numPr>
        <w:spacing w:after="0" w:line="240" w:lineRule="auto"/>
        <w:jc w:val="both"/>
        <w:rPr>
          <w:rFonts w:cs="Arial"/>
        </w:rPr>
      </w:pPr>
      <w:r w:rsidRPr="008F0F7A">
        <w:rPr>
          <w:rFonts w:cs="Arial"/>
        </w:rPr>
        <w:t xml:space="preserve">The Barnet Early Intervention and Prevention (EIP) strategy identified that CAFs are not identifying or intervening early enough in cases of domestic violence, mental ill-health and drug and alcohol misuse. </w:t>
      </w:r>
    </w:p>
    <w:p w:rsidR="00282E35" w:rsidRPr="008F0F7A" w:rsidRDefault="00282E35" w:rsidP="008921BF">
      <w:pPr>
        <w:pStyle w:val="ListParagraph"/>
        <w:numPr>
          <w:ilvl w:val="0"/>
          <w:numId w:val="90"/>
        </w:numPr>
        <w:spacing w:after="0" w:line="240" w:lineRule="auto"/>
        <w:jc w:val="both"/>
        <w:rPr>
          <w:rFonts w:cs="Arial"/>
        </w:rPr>
      </w:pPr>
      <w:r w:rsidRPr="008F0F7A">
        <w:rPr>
          <w:rFonts w:cs="Arial"/>
        </w:rPr>
        <w:t>A need to refresh and strengthen referral pathway</w:t>
      </w:r>
      <w:r>
        <w:rPr>
          <w:rFonts w:cs="Arial"/>
        </w:rPr>
        <w:t>s</w:t>
      </w:r>
      <w:r w:rsidRPr="008F0F7A">
        <w:rPr>
          <w:rFonts w:cs="Arial"/>
        </w:rPr>
        <w:t xml:space="preserve"> as the issues of domestic violence, mental ill-health and drug and alcohol misuse are still present in social care referrals </w:t>
      </w:r>
    </w:p>
    <w:p w:rsidR="00282E35" w:rsidRPr="008F0F7A" w:rsidRDefault="00282E35" w:rsidP="008921BF">
      <w:pPr>
        <w:pStyle w:val="ListParagraph"/>
        <w:numPr>
          <w:ilvl w:val="0"/>
          <w:numId w:val="90"/>
        </w:numPr>
        <w:spacing w:after="0" w:line="240" w:lineRule="auto"/>
        <w:jc w:val="both"/>
        <w:rPr>
          <w:rFonts w:cs="Arial"/>
        </w:rPr>
      </w:pPr>
      <w:r w:rsidRPr="008F0F7A">
        <w:rPr>
          <w:rFonts w:cs="Arial"/>
        </w:rPr>
        <w:t>Increase the numbers of CAFs across the partnership to deliver Barnet’s key principles of intervening as early as possible and taking a whole family approach.</w:t>
      </w:r>
    </w:p>
    <w:p w:rsidR="00282E35" w:rsidRPr="008F0F7A" w:rsidRDefault="00282E35" w:rsidP="008921BF">
      <w:pPr>
        <w:pStyle w:val="ListParagraph"/>
        <w:numPr>
          <w:ilvl w:val="0"/>
          <w:numId w:val="90"/>
        </w:numPr>
        <w:spacing w:after="0" w:line="240" w:lineRule="auto"/>
        <w:jc w:val="both"/>
        <w:rPr>
          <w:rFonts w:cs="Arial"/>
        </w:rPr>
      </w:pPr>
      <w:r w:rsidRPr="008F0F7A">
        <w:rPr>
          <w:rFonts w:cs="Arial"/>
        </w:rPr>
        <w:t>Continue to strengthen the interface between Family and Adult Services to address the issues of domestic violence, mental ill-health and drug and alcohol misuse.</w:t>
      </w:r>
      <w:r>
        <w:rPr>
          <w:rFonts w:cs="Arial"/>
        </w:rPr>
        <w:t xml:space="preserve"> This is particularly </w:t>
      </w:r>
      <w:r w:rsidRPr="008F0F7A">
        <w:rPr>
          <w:rFonts w:cs="Arial"/>
        </w:rPr>
        <w:t>to ensure children of parents receiving substance misuse treatment are known to Family Service</w:t>
      </w:r>
      <w:r w:rsidR="00064A7A">
        <w:rPr>
          <w:rFonts w:cs="Arial"/>
        </w:rPr>
        <w:t xml:space="preserve"> </w:t>
      </w:r>
      <w:r w:rsidRPr="008F0F7A">
        <w:rPr>
          <w:rFonts w:cs="Arial"/>
        </w:rPr>
        <w:t>and</w:t>
      </w:r>
      <w:r>
        <w:rPr>
          <w:rFonts w:cs="Arial"/>
        </w:rPr>
        <w:t>/</w:t>
      </w:r>
      <w:r w:rsidR="00064A7A">
        <w:rPr>
          <w:rFonts w:cs="Arial"/>
        </w:rPr>
        <w:t>are</w:t>
      </w:r>
      <w:r w:rsidRPr="008F0F7A">
        <w:rPr>
          <w:rFonts w:cs="Arial"/>
        </w:rPr>
        <w:t xml:space="preserve"> signposted to service</w:t>
      </w:r>
      <w:r w:rsidR="00064A7A">
        <w:rPr>
          <w:rFonts w:cs="Arial"/>
        </w:rPr>
        <w:t>s appropriately to encourage de</w:t>
      </w:r>
      <w:r w:rsidRPr="008F0F7A">
        <w:rPr>
          <w:rFonts w:cs="Arial"/>
        </w:rPr>
        <w:t>–escalation and step down.</w:t>
      </w:r>
    </w:p>
    <w:p w:rsidR="00282E35" w:rsidRPr="00B1135D" w:rsidRDefault="00282E35" w:rsidP="008921BF">
      <w:pPr>
        <w:pStyle w:val="ListParagraph"/>
        <w:numPr>
          <w:ilvl w:val="0"/>
          <w:numId w:val="90"/>
        </w:numPr>
        <w:spacing w:after="0" w:line="240" w:lineRule="auto"/>
        <w:jc w:val="both"/>
        <w:textAlignment w:val="baseline"/>
        <w:rPr>
          <w:rFonts w:cs="Arial"/>
          <w:iCs/>
          <w:kern w:val="24"/>
          <w:lang w:eastAsia="en-GB"/>
        </w:rPr>
      </w:pPr>
      <w:r w:rsidRPr="00B1135D">
        <w:rPr>
          <w:rFonts w:cs="Arial"/>
          <w:iCs/>
          <w:kern w:val="24"/>
          <w:lang w:eastAsia="en-GB"/>
        </w:rPr>
        <w:t>Working alongside the Safeguarding Children’s and Adults board</w:t>
      </w:r>
      <w:r>
        <w:rPr>
          <w:rFonts w:cs="Arial"/>
          <w:iCs/>
          <w:kern w:val="24"/>
          <w:lang w:eastAsia="en-GB"/>
        </w:rPr>
        <w:t>s</w:t>
      </w:r>
      <w:r w:rsidRPr="00B1135D">
        <w:rPr>
          <w:rFonts w:cs="Arial"/>
          <w:iCs/>
          <w:kern w:val="24"/>
          <w:lang w:eastAsia="en-GB"/>
        </w:rPr>
        <w:t xml:space="preserve"> to address the overlap of issues and </w:t>
      </w:r>
      <w:r>
        <w:rPr>
          <w:rFonts w:cs="Arial"/>
          <w:iCs/>
          <w:kern w:val="24"/>
          <w:lang w:eastAsia="en-GB"/>
        </w:rPr>
        <w:t xml:space="preserve">adapting </w:t>
      </w:r>
      <w:r w:rsidRPr="00B1135D">
        <w:rPr>
          <w:rFonts w:cs="Arial"/>
          <w:iCs/>
          <w:kern w:val="24"/>
          <w:lang w:eastAsia="en-GB"/>
        </w:rPr>
        <w:t>services and referral pathways</w:t>
      </w:r>
      <w:r>
        <w:rPr>
          <w:rFonts w:cs="Arial"/>
          <w:iCs/>
          <w:kern w:val="24"/>
          <w:lang w:eastAsia="en-GB"/>
        </w:rPr>
        <w:t>.</w:t>
      </w:r>
    </w:p>
    <w:p w:rsidR="00282E35" w:rsidRPr="00B1135D" w:rsidRDefault="00282E35" w:rsidP="008921BF">
      <w:pPr>
        <w:pStyle w:val="ListParagraph"/>
        <w:numPr>
          <w:ilvl w:val="0"/>
          <w:numId w:val="90"/>
        </w:numPr>
        <w:spacing w:after="0" w:line="240" w:lineRule="auto"/>
        <w:jc w:val="both"/>
        <w:textAlignment w:val="baseline"/>
        <w:rPr>
          <w:rFonts w:cs="Arial"/>
          <w:iCs/>
          <w:kern w:val="24"/>
          <w:lang w:eastAsia="en-GB"/>
        </w:rPr>
      </w:pPr>
      <w:r w:rsidRPr="00B1135D">
        <w:rPr>
          <w:rFonts w:cs="Arial"/>
          <w:iCs/>
          <w:kern w:val="24"/>
          <w:lang w:eastAsia="en-GB"/>
        </w:rPr>
        <w:t xml:space="preserve">Working to bring in more referrals in line with CAADA’s Co-ordinated Action Against Domestic Abuse estimation of cases, per </w:t>
      </w:r>
      <w:r>
        <w:rPr>
          <w:rFonts w:cs="Arial"/>
          <w:iCs/>
          <w:kern w:val="24"/>
          <w:lang w:eastAsia="en-GB"/>
        </w:rPr>
        <w:t>Borough</w:t>
      </w:r>
      <w:r w:rsidRPr="00B1135D">
        <w:rPr>
          <w:rFonts w:cs="Arial"/>
          <w:iCs/>
          <w:kern w:val="24"/>
          <w:lang w:eastAsia="en-GB"/>
        </w:rPr>
        <w:t xml:space="preserve"> population</w:t>
      </w:r>
      <w:r>
        <w:rPr>
          <w:rFonts w:cs="Arial"/>
          <w:iCs/>
          <w:kern w:val="24"/>
          <w:lang w:eastAsia="en-GB"/>
        </w:rPr>
        <w:t>.</w:t>
      </w:r>
    </w:p>
    <w:p w:rsidR="00282E35" w:rsidRDefault="00282E35" w:rsidP="008921BF">
      <w:pPr>
        <w:pStyle w:val="ListParagraph"/>
        <w:numPr>
          <w:ilvl w:val="0"/>
          <w:numId w:val="90"/>
        </w:numPr>
        <w:spacing w:after="0" w:line="240" w:lineRule="auto"/>
        <w:jc w:val="both"/>
        <w:textAlignment w:val="baseline"/>
        <w:rPr>
          <w:rFonts w:cs="Arial"/>
          <w:iCs/>
          <w:kern w:val="24"/>
          <w:lang w:eastAsia="en-GB"/>
        </w:rPr>
      </w:pPr>
      <w:r w:rsidRPr="00B1135D">
        <w:rPr>
          <w:rFonts w:cs="Arial"/>
          <w:iCs/>
          <w:kern w:val="24"/>
          <w:lang w:eastAsia="en-GB"/>
        </w:rPr>
        <w:t>A comprehensive process to conduct Domestic Homicide Reviews</w:t>
      </w:r>
    </w:p>
    <w:p w:rsidR="00282E35" w:rsidRPr="00A01559" w:rsidRDefault="00C63154" w:rsidP="00282E35">
      <w:pPr>
        <w:pStyle w:val="Heading2"/>
        <w:keepNext w:val="0"/>
        <w:keepLines w:val="0"/>
      </w:pPr>
      <w:bookmarkStart w:id="881" w:name="_Toc426723384"/>
      <w:bookmarkStart w:id="882" w:name="_Toc431225211"/>
      <w:r>
        <w:t>Child and A</w:t>
      </w:r>
      <w:r w:rsidR="00282E35" w:rsidRPr="00A01559">
        <w:t xml:space="preserve">dolescent </w:t>
      </w:r>
      <w:r>
        <w:t>Mental H</w:t>
      </w:r>
      <w:r w:rsidR="00282E35" w:rsidRPr="00A01559">
        <w:t>ealth</w:t>
      </w:r>
      <w:bookmarkEnd w:id="881"/>
      <w:bookmarkEnd w:id="882"/>
      <w:r w:rsidR="00282E35" w:rsidRPr="00A01559">
        <w:t xml:space="preserve"> </w:t>
      </w:r>
    </w:p>
    <w:p w:rsidR="00282E35" w:rsidRPr="00727BF8" w:rsidRDefault="00282E35" w:rsidP="00282E35">
      <w:pPr>
        <w:pStyle w:val="Heading3"/>
        <w:keepNext w:val="0"/>
        <w:keepLines w:val="0"/>
        <w:spacing w:line="271" w:lineRule="auto"/>
      </w:pPr>
      <w:r w:rsidRPr="00727BF8">
        <w:t xml:space="preserve">Prevalence of Mental Health Disorders in Barnet children and young People </w:t>
      </w:r>
    </w:p>
    <w:p w:rsidR="00282E35" w:rsidRPr="009836DE" w:rsidRDefault="00282E35" w:rsidP="00282E35">
      <w:pPr>
        <w:jc w:val="both"/>
        <w:rPr>
          <w:lang w:eastAsia="en-GB"/>
        </w:rPr>
      </w:pPr>
      <w:r w:rsidRPr="009836DE">
        <w:rPr>
          <w:lang w:eastAsia="en-GB"/>
        </w:rPr>
        <w:t>Prevalence rates are based on the ICD-10 Classification of Mental and Behavioural Disorders with strict impairment criteria – the disorder causing distress to the child or having a considerable impact on the child’s day to day life</w:t>
      </w:r>
      <w:r>
        <w:rPr>
          <w:lang w:eastAsia="en-GB"/>
        </w:rPr>
        <w:t>.   Prevalence varies by age and gender</w:t>
      </w:r>
      <w:r w:rsidRPr="009836DE">
        <w:rPr>
          <w:lang w:eastAsia="en-GB"/>
        </w:rPr>
        <w:t>, with boys more likely (11.4%) to have experienced or be experiencing a mental health problem than girls (7.8%). Children aged 11 to 16 years olds are also more likely (11.5%) than 5 to 10 year olds (7.7%) to experience mental health problems. Using these rates, the table below shows the estimated prevalence of mental heal</w:t>
      </w:r>
      <w:r>
        <w:rPr>
          <w:lang w:eastAsia="en-GB"/>
        </w:rPr>
        <w:t>th disorder by age group and gender</w:t>
      </w:r>
      <w:r w:rsidRPr="009836DE">
        <w:rPr>
          <w:lang w:eastAsia="en-GB"/>
        </w:rPr>
        <w:t xml:space="preserve"> in Barnet.  Note that the numbers in the age groups 5-10 years and 11-16 years do not add up to those in the 5-16 year age group as the rates are </w:t>
      </w:r>
      <w:r>
        <w:rPr>
          <w:lang w:eastAsia="en-GB"/>
        </w:rPr>
        <w:t>different within each age group</w:t>
      </w:r>
      <w:r w:rsidRPr="009836DE">
        <w:rPr>
          <w:lang w:eastAsia="en-GB"/>
        </w:rPr>
        <w:t>.</w:t>
      </w:r>
    </w:p>
    <w:p w:rsidR="00282E35" w:rsidRPr="009836DE" w:rsidRDefault="00282E35" w:rsidP="00282E35">
      <w:pPr>
        <w:pStyle w:val="Caption"/>
        <w:rPr>
          <w:b w:val="0"/>
          <w:bCs w:val="0"/>
          <w:caps/>
          <w:lang w:eastAsia="en-GB"/>
        </w:rPr>
      </w:pPr>
      <w:r>
        <w:t xml:space="preserve">Table </w:t>
      </w:r>
      <w:fldSimple w:instr=" STYLEREF 1 \s ">
        <w:r w:rsidR="001663C2">
          <w:rPr>
            <w:noProof/>
          </w:rPr>
          <w:t>8</w:t>
        </w:r>
      </w:fldSimple>
      <w:r>
        <w:noBreakHyphen/>
      </w:r>
      <w:fldSimple w:instr=" SEQ Table \* ARABIC \s 1 ">
        <w:r w:rsidR="001663C2">
          <w:rPr>
            <w:noProof/>
          </w:rPr>
          <w:t>13</w:t>
        </w:r>
      </w:fldSimple>
      <w:r>
        <w:t>: Estimated Number of Children with Mental Health Disorders by Age Group and Sex</w:t>
      </w:r>
    </w:p>
    <w:tbl>
      <w:tblPr>
        <w:tblStyle w:val="LightList-Accent5"/>
        <w:tblW w:w="5000" w:type="pct"/>
        <w:tblLook w:val="01E0" w:firstRow="1" w:lastRow="1" w:firstColumn="1" w:lastColumn="1" w:noHBand="0" w:noVBand="0"/>
      </w:tblPr>
      <w:tblGrid>
        <w:gridCol w:w="1381"/>
        <w:gridCol w:w="2573"/>
        <w:gridCol w:w="2715"/>
        <w:gridCol w:w="2573"/>
      </w:tblGrid>
      <w:tr w:rsidR="00282E35" w:rsidRPr="009836DE" w:rsidTr="00E50C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7" w:type="pct"/>
          </w:tcPr>
          <w:p w:rsidR="00282E35" w:rsidRPr="009836DE" w:rsidRDefault="00282E35" w:rsidP="00E50C61">
            <w:pPr>
              <w:rPr>
                <w:sz w:val="22"/>
                <w:szCs w:val="22"/>
              </w:rPr>
            </w:pPr>
          </w:p>
        </w:tc>
        <w:tc>
          <w:tcPr>
            <w:cnfStyle w:val="000010000000" w:firstRow="0" w:lastRow="0" w:firstColumn="0" w:lastColumn="0" w:oddVBand="1" w:evenVBand="0" w:oddHBand="0" w:evenHBand="0" w:firstRowFirstColumn="0" w:firstRowLastColumn="0" w:lastRowFirstColumn="0" w:lastRowLastColumn="0"/>
            <w:tcW w:w="1392" w:type="pct"/>
          </w:tcPr>
          <w:p w:rsidR="00282E35" w:rsidRPr="009836DE" w:rsidRDefault="00146202" w:rsidP="00E50C61">
            <w:pPr>
              <w:rPr>
                <w:sz w:val="22"/>
                <w:szCs w:val="22"/>
              </w:rPr>
            </w:pPr>
            <w:hyperlink r:id="rId190" w:history="1">
              <w:r w:rsidR="00282E35" w:rsidRPr="009836DE">
                <w:rPr>
                  <w:sz w:val="22"/>
                  <w:szCs w:val="22"/>
                </w:rPr>
                <w:t xml:space="preserve">Aged 5-10 yrs. </w:t>
              </w:r>
            </w:hyperlink>
          </w:p>
        </w:tc>
        <w:tc>
          <w:tcPr>
            <w:tcW w:w="1469" w:type="pct"/>
          </w:tcPr>
          <w:p w:rsidR="00282E35" w:rsidRPr="009836DE" w:rsidRDefault="00146202" w:rsidP="00E50C61">
            <w:pPr>
              <w:cnfStyle w:val="100000000000" w:firstRow="1" w:lastRow="0" w:firstColumn="0" w:lastColumn="0" w:oddVBand="0" w:evenVBand="0" w:oddHBand="0" w:evenHBand="0" w:firstRowFirstColumn="0" w:firstRowLastColumn="0" w:lastRowFirstColumn="0" w:lastRowLastColumn="0"/>
              <w:rPr>
                <w:sz w:val="22"/>
                <w:szCs w:val="22"/>
              </w:rPr>
            </w:pPr>
            <w:hyperlink r:id="rId191" w:history="1">
              <w:r w:rsidR="00282E35" w:rsidRPr="009836DE">
                <w:rPr>
                  <w:sz w:val="22"/>
                  <w:szCs w:val="22"/>
                </w:rPr>
                <w:t xml:space="preserve">Aged 11-16 yrs. </w:t>
              </w:r>
            </w:hyperlink>
          </w:p>
        </w:tc>
        <w:tc>
          <w:tcPr>
            <w:cnfStyle w:val="000100000000" w:firstRow="0" w:lastRow="0" w:firstColumn="0" w:lastColumn="1" w:oddVBand="0" w:evenVBand="0" w:oddHBand="0" w:evenHBand="0" w:firstRowFirstColumn="0" w:firstRowLastColumn="0" w:lastRowFirstColumn="0" w:lastRowLastColumn="0"/>
            <w:tcW w:w="1392" w:type="pct"/>
          </w:tcPr>
          <w:p w:rsidR="00282E35" w:rsidRPr="009836DE" w:rsidRDefault="00146202" w:rsidP="00E50C61">
            <w:pPr>
              <w:rPr>
                <w:sz w:val="22"/>
                <w:szCs w:val="22"/>
              </w:rPr>
            </w:pPr>
            <w:hyperlink r:id="rId192" w:history="1">
              <w:r w:rsidR="00282E35" w:rsidRPr="009836DE">
                <w:rPr>
                  <w:sz w:val="22"/>
                  <w:szCs w:val="22"/>
                </w:rPr>
                <w:t xml:space="preserve">Aged 5-16 yrs. </w:t>
              </w:r>
            </w:hyperlink>
          </w:p>
        </w:tc>
      </w:tr>
      <w:tr w:rsidR="00282E35" w:rsidRPr="009836DE" w:rsidTr="00E50C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7" w:type="pct"/>
          </w:tcPr>
          <w:p w:rsidR="00282E35" w:rsidRPr="009836DE" w:rsidRDefault="00282E35" w:rsidP="00E50C61">
            <w:pPr>
              <w:rPr>
                <w:sz w:val="22"/>
                <w:szCs w:val="22"/>
              </w:rPr>
            </w:pPr>
            <w:r w:rsidRPr="009836DE">
              <w:rPr>
                <w:sz w:val="22"/>
                <w:szCs w:val="22"/>
              </w:rPr>
              <w:t>All</w:t>
            </w:r>
          </w:p>
        </w:tc>
        <w:tc>
          <w:tcPr>
            <w:cnfStyle w:val="000010000000" w:firstRow="0" w:lastRow="0" w:firstColumn="0" w:lastColumn="0" w:oddVBand="1" w:evenVBand="0" w:oddHBand="0" w:evenHBand="0" w:firstRowFirstColumn="0" w:firstRowLastColumn="0" w:lastRowFirstColumn="0" w:lastRowLastColumn="0"/>
            <w:tcW w:w="1392" w:type="pct"/>
          </w:tcPr>
          <w:p w:rsidR="00282E35" w:rsidRPr="009836DE" w:rsidRDefault="00282E35" w:rsidP="00E50C61">
            <w:pPr>
              <w:jc w:val="right"/>
              <w:rPr>
                <w:sz w:val="22"/>
                <w:szCs w:val="22"/>
              </w:rPr>
            </w:pPr>
            <w:r w:rsidRPr="009836DE">
              <w:rPr>
                <w:sz w:val="22"/>
                <w:szCs w:val="22"/>
              </w:rPr>
              <w:t>2,155</w:t>
            </w:r>
          </w:p>
        </w:tc>
        <w:tc>
          <w:tcPr>
            <w:tcW w:w="1469" w:type="pct"/>
          </w:tcPr>
          <w:p w:rsidR="00282E35" w:rsidRPr="009836DE" w:rsidRDefault="00282E35" w:rsidP="00E50C61">
            <w:pPr>
              <w:jc w:val="right"/>
              <w:cnfStyle w:val="000000100000" w:firstRow="0" w:lastRow="0" w:firstColumn="0" w:lastColumn="0" w:oddVBand="0" w:evenVBand="0" w:oddHBand="1" w:evenHBand="0" w:firstRowFirstColumn="0" w:firstRowLastColumn="0" w:lastRowFirstColumn="0" w:lastRowLastColumn="0"/>
              <w:rPr>
                <w:sz w:val="22"/>
                <w:szCs w:val="22"/>
              </w:rPr>
            </w:pPr>
            <w:r w:rsidRPr="009836DE">
              <w:rPr>
                <w:sz w:val="22"/>
                <w:szCs w:val="22"/>
              </w:rPr>
              <w:t>2,965</w:t>
            </w:r>
          </w:p>
        </w:tc>
        <w:tc>
          <w:tcPr>
            <w:cnfStyle w:val="000100000000" w:firstRow="0" w:lastRow="0" w:firstColumn="0" w:lastColumn="1" w:oddVBand="0" w:evenVBand="0" w:oddHBand="0" w:evenHBand="0" w:firstRowFirstColumn="0" w:firstRowLastColumn="0" w:lastRowFirstColumn="0" w:lastRowLastColumn="0"/>
            <w:tcW w:w="1392" w:type="pct"/>
          </w:tcPr>
          <w:p w:rsidR="00282E35" w:rsidRPr="009836DE" w:rsidRDefault="00282E35" w:rsidP="00E50C61">
            <w:pPr>
              <w:jc w:val="right"/>
              <w:rPr>
                <w:sz w:val="22"/>
                <w:szCs w:val="22"/>
              </w:rPr>
            </w:pPr>
            <w:r w:rsidRPr="009836DE">
              <w:rPr>
                <w:sz w:val="22"/>
                <w:szCs w:val="22"/>
              </w:rPr>
              <w:t>5,160</w:t>
            </w:r>
          </w:p>
        </w:tc>
      </w:tr>
      <w:tr w:rsidR="00282E35" w:rsidRPr="009836DE" w:rsidTr="00E50C61">
        <w:tc>
          <w:tcPr>
            <w:cnfStyle w:val="001000000000" w:firstRow="0" w:lastRow="0" w:firstColumn="1" w:lastColumn="0" w:oddVBand="0" w:evenVBand="0" w:oddHBand="0" w:evenHBand="0" w:firstRowFirstColumn="0" w:firstRowLastColumn="0" w:lastRowFirstColumn="0" w:lastRowLastColumn="0"/>
            <w:tcW w:w="747" w:type="pct"/>
          </w:tcPr>
          <w:p w:rsidR="00282E35" w:rsidRPr="009836DE" w:rsidRDefault="00282E35" w:rsidP="00E50C61">
            <w:pPr>
              <w:rPr>
                <w:sz w:val="22"/>
                <w:szCs w:val="22"/>
              </w:rPr>
            </w:pPr>
            <w:r w:rsidRPr="009836DE">
              <w:rPr>
                <w:sz w:val="22"/>
                <w:szCs w:val="22"/>
              </w:rPr>
              <w:t>Boys</w:t>
            </w:r>
          </w:p>
        </w:tc>
        <w:tc>
          <w:tcPr>
            <w:cnfStyle w:val="000010000000" w:firstRow="0" w:lastRow="0" w:firstColumn="0" w:lastColumn="0" w:oddVBand="1" w:evenVBand="0" w:oddHBand="0" w:evenHBand="0" w:firstRowFirstColumn="0" w:firstRowLastColumn="0" w:lastRowFirstColumn="0" w:lastRowLastColumn="0"/>
            <w:tcW w:w="1392" w:type="pct"/>
          </w:tcPr>
          <w:p w:rsidR="00282E35" w:rsidRPr="009836DE" w:rsidRDefault="00282E35" w:rsidP="00E50C61">
            <w:pPr>
              <w:jc w:val="right"/>
              <w:rPr>
                <w:sz w:val="22"/>
                <w:szCs w:val="22"/>
              </w:rPr>
            </w:pPr>
            <w:r w:rsidRPr="009836DE">
              <w:rPr>
                <w:sz w:val="22"/>
                <w:szCs w:val="22"/>
              </w:rPr>
              <w:t>1,470</w:t>
            </w:r>
          </w:p>
        </w:tc>
        <w:tc>
          <w:tcPr>
            <w:tcW w:w="1469" w:type="pct"/>
          </w:tcPr>
          <w:p w:rsidR="00282E35" w:rsidRPr="009836DE" w:rsidRDefault="00282E35" w:rsidP="00E50C61">
            <w:pPr>
              <w:jc w:val="right"/>
              <w:cnfStyle w:val="000000000000" w:firstRow="0" w:lastRow="0" w:firstColumn="0" w:lastColumn="0" w:oddVBand="0" w:evenVBand="0" w:oddHBand="0" w:evenHBand="0" w:firstRowFirstColumn="0" w:firstRowLastColumn="0" w:lastRowFirstColumn="0" w:lastRowLastColumn="0"/>
              <w:rPr>
                <w:sz w:val="22"/>
                <w:szCs w:val="22"/>
              </w:rPr>
            </w:pPr>
            <w:r w:rsidRPr="009836DE">
              <w:rPr>
                <w:sz w:val="22"/>
                <w:szCs w:val="22"/>
              </w:rPr>
              <w:t>1,695</w:t>
            </w:r>
          </w:p>
        </w:tc>
        <w:tc>
          <w:tcPr>
            <w:cnfStyle w:val="000100000000" w:firstRow="0" w:lastRow="0" w:firstColumn="0" w:lastColumn="1" w:oddVBand="0" w:evenVBand="0" w:oddHBand="0" w:evenHBand="0" w:firstRowFirstColumn="0" w:firstRowLastColumn="0" w:lastRowFirstColumn="0" w:lastRowLastColumn="0"/>
            <w:tcW w:w="1392" w:type="pct"/>
          </w:tcPr>
          <w:p w:rsidR="00282E35" w:rsidRPr="009836DE" w:rsidRDefault="00282E35" w:rsidP="00E50C61">
            <w:pPr>
              <w:jc w:val="right"/>
              <w:rPr>
                <w:sz w:val="22"/>
                <w:szCs w:val="22"/>
              </w:rPr>
            </w:pPr>
            <w:r w:rsidRPr="009836DE">
              <w:rPr>
                <w:sz w:val="22"/>
                <w:szCs w:val="22"/>
              </w:rPr>
              <w:t>3,175</w:t>
            </w:r>
          </w:p>
        </w:tc>
      </w:tr>
      <w:tr w:rsidR="00282E35" w:rsidRPr="009836DE" w:rsidTr="00E50C61">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7" w:type="pct"/>
          </w:tcPr>
          <w:p w:rsidR="00282E35" w:rsidRPr="009836DE" w:rsidRDefault="00282E35" w:rsidP="00E50C61">
            <w:pPr>
              <w:rPr>
                <w:sz w:val="22"/>
                <w:szCs w:val="22"/>
              </w:rPr>
            </w:pPr>
            <w:r w:rsidRPr="009836DE">
              <w:rPr>
                <w:sz w:val="22"/>
                <w:szCs w:val="22"/>
              </w:rPr>
              <w:t>Girls</w:t>
            </w:r>
          </w:p>
        </w:tc>
        <w:tc>
          <w:tcPr>
            <w:cnfStyle w:val="000010000000" w:firstRow="0" w:lastRow="0" w:firstColumn="0" w:lastColumn="0" w:oddVBand="1" w:evenVBand="0" w:oddHBand="0" w:evenHBand="0" w:firstRowFirstColumn="0" w:firstRowLastColumn="0" w:lastRowFirstColumn="0" w:lastRowLastColumn="0"/>
            <w:tcW w:w="1392" w:type="pct"/>
          </w:tcPr>
          <w:p w:rsidR="00282E35" w:rsidRPr="009836DE" w:rsidRDefault="00282E35" w:rsidP="00E50C61">
            <w:pPr>
              <w:jc w:val="right"/>
              <w:rPr>
                <w:sz w:val="22"/>
                <w:szCs w:val="22"/>
              </w:rPr>
            </w:pPr>
            <w:r w:rsidRPr="009836DE">
              <w:rPr>
                <w:sz w:val="22"/>
                <w:szCs w:val="22"/>
              </w:rPr>
              <w:t>695</w:t>
            </w:r>
          </w:p>
        </w:tc>
        <w:tc>
          <w:tcPr>
            <w:tcW w:w="1469" w:type="pct"/>
          </w:tcPr>
          <w:p w:rsidR="00282E35" w:rsidRPr="009836DE" w:rsidRDefault="00282E35" w:rsidP="00E50C61">
            <w:pPr>
              <w:jc w:val="right"/>
              <w:cnfStyle w:val="010000000000" w:firstRow="0" w:lastRow="1" w:firstColumn="0" w:lastColumn="0" w:oddVBand="0" w:evenVBand="0" w:oddHBand="0" w:evenHBand="0" w:firstRowFirstColumn="0" w:firstRowLastColumn="0" w:lastRowFirstColumn="0" w:lastRowLastColumn="0"/>
              <w:rPr>
                <w:sz w:val="22"/>
                <w:szCs w:val="22"/>
              </w:rPr>
            </w:pPr>
            <w:r w:rsidRPr="009836DE">
              <w:rPr>
                <w:sz w:val="22"/>
                <w:szCs w:val="22"/>
              </w:rPr>
              <w:t>1,275</w:t>
            </w:r>
          </w:p>
        </w:tc>
        <w:tc>
          <w:tcPr>
            <w:cnfStyle w:val="000100000000" w:firstRow="0" w:lastRow="0" w:firstColumn="0" w:lastColumn="1" w:oddVBand="0" w:evenVBand="0" w:oddHBand="0" w:evenHBand="0" w:firstRowFirstColumn="0" w:firstRowLastColumn="0" w:lastRowFirstColumn="0" w:lastRowLastColumn="0"/>
            <w:tcW w:w="1392" w:type="pct"/>
          </w:tcPr>
          <w:p w:rsidR="00282E35" w:rsidRPr="009836DE" w:rsidRDefault="00282E35" w:rsidP="00E50C61">
            <w:pPr>
              <w:jc w:val="right"/>
              <w:rPr>
                <w:sz w:val="22"/>
                <w:szCs w:val="22"/>
              </w:rPr>
            </w:pPr>
            <w:r w:rsidRPr="009836DE">
              <w:rPr>
                <w:sz w:val="22"/>
                <w:szCs w:val="22"/>
              </w:rPr>
              <w:t>2,020</w:t>
            </w:r>
          </w:p>
        </w:tc>
      </w:tr>
    </w:tbl>
    <w:p w:rsidR="00282E35" w:rsidRPr="00282E35" w:rsidRDefault="00282E35" w:rsidP="00282E35">
      <w:pPr>
        <w:pStyle w:val="NormalWeb"/>
        <w:spacing w:before="0" w:beforeAutospacing="0" w:after="0" w:afterAutospacing="0"/>
        <w:textAlignment w:val="baseline"/>
        <w:rPr>
          <w:rFonts w:asciiTheme="minorHAnsi" w:eastAsiaTheme="minorEastAsia" w:hAnsiTheme="minorHAnsi" w:cs="Arial"/>
          <w:kern w:val="24"/>
          <w:sz w:val="22"/>
          <w:szCs w:val="22"/>
        </w:rPr>
      </w:pPr>
      <w:r w:rsidRPr="00282E35">
        <w:rPr>
          <w:rFonts w:asciiTheme="minorHAnsi" w:eastAsiaTheme="minorEastAsia" w:hAnsiTheme="minorHAnsi" w:cs="Arial"/>
          <w:kern w:val="24"/>
          <w:sz w:val="22"/>
          <w:szCs w:val="22"/>
        </w:rPr>
        <w:lastRenderedPageBreak/>
        <w:t>Source: General Practice (GP) registered patient counts aggregated up to CCG level (CCG report); Office for National Statistics midyear population estimates for 2012 (local authority report).  Green, H. e</w:t>
      </w:r>
      <w:r>
        <w:rPr>
          <w:rFonts w:asciiTheme="minorHAnsi" w:eastAsiaTheme="minorEastAsia" w:hAnsiTheme="minorHAnsi" w:cs="Arial"/>
          <w:kern w:val="24"/>
          <w:sz w:val="22"/>
          <w:szCs w:val="22"/>
        </w:rPr>
        <w:t>t al (2004)</w:t>
      </w:r>
    </w:p>
    <w:p w:rsidR="00282E35" w:rsidRPr="009836DE" w:rsidRDefault="00282E35" w:rsidP="00282E35">
      <w:pPr>
        <w:pStyle w:val="NoSpacing"/>
      </w:pPr>
    </w:p>
    <w:p w:rsidR="00282E35" w:rsidRDefault="00282E35" w:rsidP="00282E35">
      <w:pPr>
        <w:jc w:val="both"/>
        <w:rPr>
          <w:rFonts w:cs="Arial"/>
        </w:rPr>
      </w:pPr>
      <w:r w:rsidRPr="009836DE">
        <w:rPr>
          <w:rFonts w:cs="Arial"/>
        </w:rPr>
        <w:t>It is important to note that Barnet has a higher number of children and young people in mainstream school with a special educational need that London</w:t>
      </w:r>
      <w:r>
        <w:rPr>
          <w:rFonts w:cs="Arial"/>
        </w:rPr>
        <w:t>; 21% in</w:t>
      </w:r>
      <w:r w:rsidRPr="009836DE">
        <w:rPr>
          <w:rFonts w:cs="Arial"/>
        </w:rPr>
        <w:t xml:space="preserve"> Barnet primary schoo</w:t>
      </w:r>
      <w:r>
        <w:rPr>
          <w:rFonts w:cs="Arial"/>
        </w:rPr>
        <w:t>ls against</w:t>
      </w:r>
      <w:r w:rsidRPr="009836DE">
        <w:rPr>
          <w:rFonts w:cs="Arial"/>
        </w:rPr>
        <w:t xml:space="preserve"> 17% </w:t>
      </w:r>
      <w:r>
        <w:rPr>
          <w:rFonts w:cs="Arial"/>
        </w:rPr>
        <w:t xml:space="preserve">in London’s, </w:t>
      </w:r>
      <w:r w:rsidRPr="009836DE">
        <w:rPr>
          <w:rFonts w:cs="Arial"/>
        </w:rPr>
        <w:t>and for secondary school</w:t>
      </w:r>
      <w:r>
        <w:rPr>
          <w:rFonts w:cs="Arial"/>
        </w:rPr>
        <w:t>s</w:t>
      </w:r>
      <w:r w:rsidRPr="009836DE">
        <w:rPr>
          <w:rFonts w:cs="Arial"/>
        </w:rPr>
        <w:t xml:space="preserve"> in Barnet 22% </w:t>
      </w:r>
      <w:r>
        <w:rPr>
          <w:rFonts w:cs="Arial"/>
        </w:rPr>
        <w:t>against</w:t>
      </w:r>
      <w:r w:rsidRPr="009836DE">
        <w:rPr>
          <w:rFonts w:cs="Arial"/>
        </w:rPr>
        <w:t xml:space="preserve"> 21%</w:t>
      </w:r>
      <w:r>
        <w:rPr>
          <w:rFonts w:cs="Arial"/>
        </w:rPr>
        <w:t xml:space="preserve"> in London</w:t>
      </w:r>
      <w:r w:rsidRPr="009836DE">
        <w:rPr>
          <w:rFonts w:cs="Arial"/>
        </w:rPr>
        <w:t xml:space="preserve">. Therefore CAMHS services may be well placed in schools. </w:t>
      </w:r>
    </w:p>
    <w:p w:rsidR="00282E35" w:rsidRPr="00BA64A1" w:rsidRDefault="00282E35" w:rsidP="00282E35">
      <w:pPr>
        <w:pStyle w:val="Heading3"/>
      </w:pPr>
      <w:r w:rsidRPr="00BA64A1">
        <w:rPr>
          <w:rStyle w:val="Heading3Char"/>
          <w:b/>
          <w:bCs/>
        </w:rPr>
        <w:t xml:space="preserve">Prevalence </w:t>
      </w:r>
      <w:r w:rsidR="002508E7">
        <w:rPr>
          <w:rStyle w:val="Heading3Char"/>
          <w:b/>
          <w:bCs/>
        </w:rPr>
        <w:t>R</w:t>
      </w:r>
      <w:r w:rsidRPr="00BA64A1">
        <w:rPr>
          <w:rStyle w:val="Heading3Char"/>
          <w:b/>
          <w:bCs/>
        </w:rPr>
        <w:t xml:space="preserve">ates of </w:t>
      </w:r>
      <w:r w:rsidR="002508E7">
        <w:rPr>
          <w:rStyle w:val="Heading3Char"/>
          <w:b/>
          <w:bCs/>
        </w:rPr>
        <w:t>M</w:t>
      </w:r>
      <w:r w:rsidRPr="00BA64A1">
        <w:rPr>
          <w:rStyle w:val="Heading3Char"/>
          <w:b/>
          <w:bCs/>
        </w:rPr>
        <w:t xml:space="preserve">ental </w:t>
      </w:r>
      <w:r w:rsidR="002508E7">
        <w:rPr>
          <w:rStyle w:val="Heading3Char"/>
          <w:b/>
          <w:bCs/>
        </w:rPr>
        <w:t>H</w:t>
      </w:r>
      <w:r w:rsidRPr="00BA64A1">
        <w:rPr>
          <w:rStyle w:val="Heading3Char"/>
          <w:b/>
          <w:bCs/>
        </w:rPr>
        <w:t xml:space="preserve">ealth </w:t>
      </w:r>
      <w:r w:rsidR="002508E7">
        <w:rPr>
          <w:rStyle w:val="Heading3Char"/>
          <w:b/>
          <w:bCs/>
        </w:rPr>
        <w:t>D</w:t>
      </w:r>
      <w:r w:rsidRPr="00BA64A1">
        <w:rPr>
          <w:rStyle w:val="Heading3Char"/>
          <w:b/>
          <w:bCs/>
        </w:rPr>
        <w:t>isorders</w:t>
      </w:r>
      <w:r w:rsidRPr="00BA64A1">
        <w:t xml:space="preserve"> </w:t>
      </w:r>
      <w:r w:rsidRPr="002508E7">
        <w:rPr>
          <w:rFonts w:asciiTheme="minorHAnsi" w:eastAsiaTheme="minorHAnsi" w:hAnsiTheme="minorHAnsi" w:cstheme="minorBidi"/>
          <w:b w:val="0"/>
          <w:bCs w:val="0"/>
          <w:color w:val="auto"/>
          <w:vertAlign w:val="superscript"/>
        </w:rPr>
        <w:footnoteReference w:id="130"/>
      </w:r>
    </w:p>
    <w:p w:rsidR="00282E35" w:rsidRPr="00B37020" w:rsidRDefault="00282E35" w:rsidP="00282E35">
      <w:pPr>
        <w:pStyle w:val="NoSpacing"/>
        <w:jc w:val="both"/>
        <w:rPr>
          <w:sz w:val="22"/>
          <w:szCs w:val="22"/>
        </w:rPr>
      </w:pPr>
      <w:r w:rsidRPr="00B37020">
        <w:rPr>
          <w:sz w:val="22"/>
          <w:szCs w:val="22"/>
        </w:rPr>
        <w:t>The estimated proportion of children and young people to have conduct, emotional and hyperkinetic and l</w:t>
      </w:r>
      <w:r w:rsidR="00064A7A">
        <w:rPr>
          <w:sz w:val="22"/>
          <w:szCs w:val="22"/>
        </w:rPr>
        <w:t>ess common disorders in Barnet are</w:t>
      </w:r>
      <w:r w:rsidRPr="00B37020">
        <w:rPr>
          <w:sz w:val="22"/>
          <w:szCs w:val="22"/>
        </w:rPr>
        <w:t xml:space="preserve"> as follows:</w:t>
      </w:r>
    </w:p>
    <w:p w:rsidR="00282E35" w:rsidRPr="008F0F7A" w:rsidRDefault="00064A7A" w:rsidP="008921BF">
      <w:pPr>
        <w:pStyle w:val="ListParagraph"/>
        <w:numPr>
          <w:ilvl w:val="0"/>
          <w:numId w:val="103"/>
        </w:numPr>
        <w:jc w:val="both"/>
        <w:rPr>
          <w:rFonts w:cs="Arial"/>
        </w:rPr>
      </w:pPr>
      <w:r>
        <w:rPr>
          <w:rFonts w:cs="Arial"/>
        </w:rPr>
        <w:t>c</w:t>
      </w:r>
      <w:r w:rsidR="00282E35" w:rsidRPr="008F0F7A">
        <w:rPr>
          <w:rFonts w:cs="Arial"/>
        </w:rPr>
        <w:t>onduct disorder: 5.8% (3022, 5 – 16 year olds</w:t>
      </w:r>
      <w:r w:rsidR="00282E35" w:rsidRPr="009836DE">
        <w:rPr>
          <w:vertAlign w:val="superscript"/>
        </w:rPr>
        <w:footnoteReference w:id="131"/>
      </w:r>
      <w:r w:rsidR="00282E35" w:rsidRPr="008F0F7A">
        <w:rPr>
          <w:rFonts w:cs="Arial"/>
        </w:rPr>
        <w:t>)</w:t>
      </w:r>
    </w:p>
    <w:p w:rsidR="00282E35" w:rsidRPr="008F0F7A" w:rsidRDefault="00064A7A" w:rsidP="008921BF">
      <w:pPr>
        <w:pStyle w:val="ListParagraph"/>
        <w:numPr>
          <w:ilvl w:val="0"/>
          <w:numId w:val="103"/>
        </w:numPr>
        <w:jc w:val="both"/>
        <w:rPr>
          <w:rFonts w:cs="Arial"/>
        </w:rPr>
      </w:pPr>
      <w:r>
        <w:rPr>
          <w:rFonts w:cs="Arial"/>
        </w:rPr>
        <w:t>e</w:t>
      </w:r>
      <w:r w:rsidR="00282E35" w:rsidRPr="008F0F7A">
        <w:rPr>
          <w:rFonts w:cs="Arial"/>
        </w:rPr>
        <w:t>motional disorder: 3.8% (2,014 5- 16 year olds)</w:t>
      </w:r>
    </w:p>
    <w:p w:rsidR="00282E35" w:rsidRPr="008F0F7A" w:rsidRDefault="00064A7A" w:rsidP="008921BF">
      <w:pPr>
        <w:pStyle w:val="ListParagraph"/>
        <w:numPr>
          <w:ilvl w:val="0"/>
          <w:numId w:val="103"/>
        </w:numPr>
        <w:jc w:val="both"/>
        <w:rPr>
          <w:rFonts w:cs="Arial"/>
        </w:rPr>
      </w:pPr>
      <w:r>
        <w:rPr>
          <w:rFonts w:cs="Arial"/>
        </w:rPr>
        <w:t>h</w:t>
      </w:r>
      <w:r w:rsidR="00282E35" w:rsidRPr="008F0F7A">
        <w:rPr>
          <w:rFonts w:cs="Arial"/>
        </w:rPr>
        <w:t>yperkinetic disorder: 2.2% (1,149, 5 – 16 year olds)</w:t>
      </w:r>
    </w:p>
    <w:p w:rsidR="00282E35" w:rsidRPr="008F0F7A" w:rsidRDefault="00064A7A" w:rsidP="008921BF">
      <w:pPr>
        <w:pStyle w:val="ListParagraph"/>
        <w:numPr>
          <w:ilvl w:val="0"/>
          <w:numId w:val="103"/>
        </w:numPr>
        <w:jc w:val="both"/>
        <w:rPr>
          <w:rFonts w:cs="Arial"/>
        </w:rPr>
      </w:pPr>
      <w:r>
        <w:rPr>
          <w:rFonts w:cs="Arial"/>
        </w:rPr>
        <w:t>o</w:t>
      </w:r>
      <w:r w:rsidR="00282E35" w:rsidRPr="008F0F7A">
        <w:rPr>
          <w:rFonts w:cs="Arial"/>
        </w:rPr>
        <w:t>ther less common disorders</w:t>
      </w:r>
      <w:r w:rsidR="00282E35" w:rsidRPr="009836DE">
        <w:rPr>
          <w:vertAlign w:val="superscript"/>
        </w:rPr>
        <w:footnoteReference w:id="132"/>
      </w:r>
      <w:r w:rsidR="00282E35" w:rsidRPr="008F0F7A">
        <w:rPr>
          <w:rFonts w:cs="Arial"/>
        </w:rPr>
        <w:t xml:space="preserve"> (730)</w:t>
      </w:r>
    </w:p>
    <w:p w:rsidR="00282E35" w:rsidRPr="008F0F7A" w:rsidRDefault="00064A7A" w:rsidP="008921BF">
      <w:pPr>
        <w:pStyle w:val="ListParagraph"/>
        <w:numPr>
          <w:ilvl w:val="0"/>
          <w:numId w:val="103"/>
        </w:numPr>
        <w:jc w:val="both"/>
        <w:rPr>
          <w:rFonts w:cs="Arial"/>
        </w:rPr>
      </w:pPr>
      <w:r>
        <w:rPr>
          <w:rFonts w:cs="Arial"/>
        </w:rPr>
        <w:t>o</w:t>
      </w:r>
      <w:r w:rsidR="00282E35" w:rsidRPr="008F0F7A">
        <w:rPr>
          <w:rFonts w:cs="Arial"/>
        </w:rPr>
        <w:t>verall admission rate (per 100,000) for mental disorder</w:t>
      </w:r>
      <w:r w:rsidR="00282E35">
        <w:rPr>
          <w:rFonts w:cs="Arial"/>
        </w:rPr>
        <w:t>s</w:t>
      </w:r>
      <w:r w:rsidR="00282E35" w:rsidRPr="008F0F7A">
        <w:rPr>
          <w:rFonts w:cs="Arial"/>
        </w:rPr>
        <w:t xml:space="preserve"> for under 18 years in Barnet is 167.6, which is 2nd highest in London compared with London at 87.1 and England at 87.6</w:t>
      </w:r>
      <w:r w:rsidR="00282E35">
        <w:rPr>
          <w:rFonts w:cs="Arial"/>
        </w:rPr>
        <w:t xml:space="preserve"> (see below).</w:t>
      </w:r>
    </w:p>
    <w:p w:rsidR="00282E35" w:rsidRPr="008F0F7A" w:rsidRDefault="00064A7A" w:rsidP="008921BF">
      <w:pPr>
        <w:pStyle w:val="ListParagraph"/>
        <w:numPr>
          <w:ilvl w:val="0"/>
          <w:numId w:val="103"/>
        </w:numPr>
        <w:jc w:val="both"/>
        <w:rPr>
          <w:rFonts w:cs="Arial"/>
        </w:rPr>
      </w:pPr>
      <w:r>
        <w:rPr>
          <w:rFonts w:cs="Arial"/>
        </w:rPr>
        <w:t>e</w:t>
      </w:r>
      <w:r w:rsidR="00282E35" w:rsidRPr="008F0F7A">
        <w:rPr>
          <w:rFonts w:cs="Arial"/>
        </w:rPr>
        <w:t xml:space="preserve">xpenditure rate on child and adolescent mental disorder was £1.1m which was mid-range compared to most other London </w:t>
      </w:r>
      <w:r w:rsidR="00282E35">
        <w:rPr>
          <w:rFonts w:cs="Arial"/>
        </w:rPr>
        <w:t>Borough</w:t>
      </w:r>
      <w:r w:rsidR="00282E35" w:rsidRPr="008F0F7A">
        <w:rPr>
          <w:rFonts w:cs="Arial"/>
        </w:rPr>
        <w:t xml:space="preserve">s  </w:t>
      </w:r>
    </w:p>
    <w:p w:rsidR="00282E35" w:rsidRPr="008F0F7A" w:rsidRDefault="00064A7A" w:rsidP="008921BF">
      <w:pPr>
        <w:pStyle w:val="ListParagraph"/>
        <w:numPr>
          <w:ilvl w:val="0"/>
          <w:numId w:val="103"/>
        </w:numPr>
        <w:jc w:val="both"/>
        <w:rPr>
          <w:rFonts w:cs="Arial"/>
          <w:b/>
          <w:i/>
        </w:rPr>
      </w:pPr>
      <w:r>
        <w:rPr>
          <w:rFonts w:cs="Arial"/>
          <w:b/>
          <w:i/>
        </w:rPr>
        <w:t>t</w:t>
      </w:r>
      <w:r w:rsidR="00282E35" w:rsidRPr="008F0F7A">
        <w:rPr>
          <w:rFonts w:cs="Arial"/>
          <w:b/>
          <w:i/>
        </w:rPr>
        <w:t>otal spend on child and adolescent mental disorder in 2012/13: £3.7m</w:t>
      </w:r>
      <w:r w:rsidR="00FB1BA7">
        <w:rPr>
          <w:rFonts w:cs="Arial"/>
          <w:b/>
          <w:i/>
        </w:rPr>
        <w:t>.</w:t>
      </w:r>
      <w:r w:rsidR="00282E35" w:rsidRPr="008F0F7A">
        <w:rPr>
          <w:rFonts w:cs="Arial"/>
          <w:b/>
          <w:i/>
        </w:rPr>
        <w:t xml:space="preserve"> </w:t>
      </w:r>
    </w:p>
    <w:p w:rsidR="00282E35" w:rsidRPr="008F0F7A" w:rsidRDefault="00064A7A" w:rsidP="008921BF">
      <w:pPr>
        <w:pStyle w:val="ListParagraph"/>
        <w:numPr>
          <w:ilvl w:val="0"/>
          <w:numId w:val="103"/>
        </w:numPr>
        <w:jc w:val="both"/>
        <w:rPr>
          <w:rFonts w:cs="Arial"/>
        </w:rPr>
      </w:pPr>
      <w:r>
        <w:rPr>
          <w:rFonts w:cs="Arial"/>
        </w:rPr>
        <w:t>a</w:t>
      </w:r>
      <w:r w:rsidR="00282E35" w:rsidRPr="008F0F7A">
        <w:rPr>
          <w:rFonts w:cs="Arial"/>
        </w:rPr>
        <w:t xml:space="preserve"> study conducted by Singleton et al (2001) has estimated prevalence rates for neurotic disorders in young people aged 16 to 19 </w:t>
      </w:r>
      <w:r>
        <w:rPr>
          <w:rFonts w:cs="Arial"/>
        </w:rPr>
        <w:t xml:space="preserve">years </w:t>
      </w:r>
      <w:r w:rsidR="00282E35" w:rsidRPr="008F0F7A">
        <w:rPr>
          <w:rFonts w:cs="Arial"/>
        </w:rPr>
        <w:t>inclusive</w:t>
      </w:r>
      <w:r>
        <w:rPr>
          <w:rFonts w:cs="Arial"/>
        </w:rPr>
        <w:t>,</w:t>
      </w:r>
      <w:r w:rsidR="00282E35" w:rsidRPr="008F0F7A">
        <w:rPr>
          <w:rFonts w:cs="Arial"/>
        </w:rPr>
        <w:t xml:space="preserve"> living in private households. The tables below show how many 16 to 19 year olds would be expected to have a neurotic disorder if these prevalence rates were applied to the population of Barnet. </w:t>
      </w:r>
    </w:p>
    <w:p w:rsidR="00282E35" w:rsidRPr="008F0F7A" w:rsidRDefault="00064A7A" w:rsidP="008921BF">
      <w:pPr>
        <w:pStyle w:val="ListParagraph"/>
        <w:numPr>
          <w:ilvl w:val="0"/>
          <w:numId w:val="103"/>
        </w:numPr>
        <w:autoSpaceDE w:val="0"/>
        <w:autoSpaceDN w:val="0"/>
        <w:adjustRightInd w:val="0"/>
        <w:spacing w:after="0" w:line="240" w:lineRule="auto"/>
        <w:jc w:val="both"/>
        <w:rPr>
          <w:rFonts w:cs="Arial"/>
        </w:rPr>
      </w:pPr>
      <w:r>
        <w:rPr>
          <w:rFonts w:cs="Arial"/>
        </w:rPr>
        <w:t>t</w:t>
      </w:r>
      <w:r w:rsidR="00282E35" w:rsidRPr="008F0F7A">
        <w:rPr>
          <w:rFonts w:cs="Arial"/>
        </w:rPr>
        <w:t>he most prevalent conditions are Conduct Disorder at an estimated 3</w:t>
      </w:r>
      <w:r w:rsidR="00282E35">
        <w:rPr>
          <w:rFonts w:cs="Arial"/>
        </w:rPr>
        <w:t>,</w:t>
      </w:r>
      <w:r w:rsidR="00282E35" w:rsidRPr="008F0F7A">
        <w:rPr>
          <w:rFonts w:cs="Arial"/>
        </w:rPr>
        <w:t>095 5-1</w:t>
      </w:r>
      <w:r w:rsidR="00282E35">
        <w:rPr>
          <w:rFonts w:cs="Arial"/>
        </w:rPr>
        <w:t>6</w:t>
      </w:r>
      <w:r w:rsidR="00282E35" w:rsidRPr="008F0F7A">
        <w:rPr>
          <w:rFonts w:cs="Arial"/>
        </w:rPr>
        <w:t xml:space="preserve"> year olds and Mixed </w:t>
      </w:r>
      <w:r w:rsidR="00282E35">
        <w:rPr>
          <w:rFonts w:cs="Arial"/>
        </w:rPr>
        <w:t>A</w:t>
      </w:r>
      <w:r w:rsidR="00282E35" w:rsidRPr="008F0F7A">
        <w:rPr>
          <w:rFonts w:cs="Arial"/>
        </w:rPr>
        <w:t xml:space="preserve">nxiety and </w:t>
      </w:r>
      <w:r w:rsidR="00282E35">
        <w:rPr>
          <w:rFonts w:cs="Arial"/>
        </w:rPr>
        <w:t>D</w:t>
      </w:r>
      <w:r w:rsidR="00282E35" w:rsidRPr="008F0F7A">
        <w:rPr>
          <w:rFonts w:cs="Arial"/>
        </w:rPr>
        <w:t>epressive disorder at an estimated 1</w:t>
      </w:r>
      <w:r>
        <w:rPr>
          <w:rFonts w:cs="Arial"/>
        </w:rPr>
        <w:t>,</w:t>
      </w:r>
      <w:r w:rsidR="00282E35" w:rsidRPr="008F0F7A">
        <w:rPr>
          <w:rFonts w:cs="Arial"/>
        </w:rPr>
        <w:t xml:space="preserve">405 16 </w:t>
      </w:r>
      <w:r w:rsidR="00282E35">
        <w:rPr>
          <w:rFonts w:cs="Arial"/>
        </w:rPr>
        <w:t>–</w:t>
      </w:r>
      <w:r w:rsidR="00282E35" w:rsidRPr="008F0F7A">
        <w:rPr>
          <w:rFonts w:cs="Arial"/>
        </w:rPr>
        <w:t xml:space="preserve"> </w:t>
      </w:r>
      <w:r w:rsidR="00282E35">
        <w:rPr>
          <w:rFonts w:cs="Arial"/>
        </w:rPr>
        <w:t xml:space="preserve">19 </w:t>
      </w:r>
      <w:r w:rsidR="00282E35" w:rsidRPr="008F0F7A">
        <w:rPr>
          <w:rFonts w:cs="Arial"/>
        </w:rPr>
        <w:t>year olds.</w:t>
      </w:r>
    </w:p>
    <w:p w:rsidR="00282E35" w:rsidRDefault="00064A7A" w:rsidP="008921BF">
      <w:pPr>
        <w:pStyle w:val="ListParagraph"/>
        <w:numPr>
          <w:ilvl w:val="0"/>
          <w:numId w:val="103"/>
        </w:numPr>
        <w:autoSpaceDE w:val="0"/>
        <w:autoSpaceDN w:val="0"/>
        <w:adjustRightInd w:val="0"/>
        <w:spacing w:after="0" w:line="240" w:lineRule="auto"/>
        <w:jc w:val="both"/>
        <w:rPr>
          <w:rFonts w:cs="Arial"/>
        </w:rPr>
      </w:pPr>
      <w:r>
        <w:rPr>
          <w:rFonts w:cs="Arial"/>
        </w:rPr>
        <w:t>g</w:t>
      </w:r>
      <w:r w:rsidR="00282E35" w:rsidRPr="008F0F7A">
        <w:rPr>
          <w:rFonts w:cs="Arial"/>
        </w:rPr>
        <w:t>reater incidence of Mental Health Problems</w:t>
      </w:r>
      <w:r w:rsidR="00282E35">
        <w:rPr>
          <w:rFonts w:cs="Arial"/>
        </w:rPr>
        <w:t xml:space="preserve"> are found</w:t>
      </w:r>
      <w:r w:rsidR="00282E35" w:rsidRPr="008F0F7A">
        <w:rPr>
          <w:rFonts w:cs="Arial"/>
        </w:rPr>
        <w:t xml:space="preserve"> in young people with Learning Disabilities; with Special Educational Needs; who are looked after; homeless or sleeping rough; who attempt suicide or self-harm</w:t>
      </w:r>
      <w:r>
        <w:rPr>
          <w:rFonts w:cs="Arial"/>
        </w:rPr>
        <w:t xml:space="preserve"> or</w:t>
      </w:r>
      <w:r w:rsidR="00282E35" w:rsidRPr="008F0F7A">
        <w:rPr>
          <w:rFonts w:cs="Arial"/>
        </w:rPr>
        <w:t>; who are in the youth justice system.</w:t>
      </w:r>
    </w:p>
    <w:p w:rsidR="00282E35" w:rsidRPr="008F0F7A" w:rsidRDefault="00282E35" w:rsidP="00282E35">
      <w:pPr>
        <w:pStyle w:val="ListParagraph"/>
        <w:autoSpaceDE w:val="0"/>
        <w:autoSpaceDN w:val="0"/>
        <w:adjustRightInd w:val="0"/>
        <w:spacing w:after="0" w:line="240" w:lineRule="auto"/>
        <w:rPr>
          <w:rFonts w:cs="Arial"/>
        </w:rPr>
      </w:pPr>
    </w:p>
    <w:p w:rsidR="00282E35" w:rsidRPr="00727BF8" w:rsidRDefault="00282E35" w:rsidP="00282E35">
      <w:pPr>
        <w:pStyle w:val="Caption"/>
        <w:rPr>
          <w:b w:val="0"/>
          <w:lang w:eastAsia="en-GB"/>
        </w:rPr>
      </w:pPr>
      <w:r>
        <w:t xml:space="preserve">Table </w:t>
      </w:r>
      <w:fldSimple w:instr=" STYLEREF 1 \s ">
        <w:r w:rsidR="001663C2">
          <w:rPr>
            <w:noProof/>
          </w:rPr>
          <w:t>8</w:t>
        </w:r>
      </w:fldSimple>
      <w:r>
        <w:noBreakHyphen/>
      </w:r>
      <w:fldSimple w:instr=" SEQ Table \* ARABIC \s 1 ">
        <w:r w:rsidR="001663C2">
          <w:rPr>
            <w:noProof/>
          </w:rPr>
          <w:t>14</w:t>
        </w:r>
      </w:fldSimple>
      <w:r>
        <w:t xml:space="preserve">: </w:t>
      </w:r>
      <w:r w:rsidRPr="00BA64A1">
        <w:rPr>
          <w:lang w:eastAsia="en-GB"/>
        </w:rPr>
        <w:t>Estimated number of 16 to 19 year olds with neurotic disorders</w:t>
      </w:r>
      <w:r w:rsidRPr="00727BF8">
        <w:rPr>
          <w:b w:val="0"/>
          <w:lang w:eastAsia="en-GB"/>
        </w:rPr>
        <w:t xml:space="preserve">   </w:t>
      </w:r>
    </w:p>
    <w:tbl>
      <w:tblPr>
        <w:tblStyle w:val="MediumGrid3-Accent5"/>
        <w:tblW w:w="9100" w:type="dxa"/>
        <w:tblLook w:val="04A0" w:firstRow="1" w:lastRow="0" w:firstColumn="1" w:lastColumn="0" w:noHBand="0" w:noVBand="1"/>
      </w:tblPr>
      <w:tblGrid>
        <w:gridCol w:w="6940"/>
        <w:gridCol w:w="1080"/>
        <w:gridCol w:w="1080"/>
      </w:tblGrid>
      <w:tr w:rsidR="00282E35" w:rsidRPr="009836DE" w:rsidTr="00E50C6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40" w:type="dxa"/>
            <w:noWrap/>
            <w:hideMark/>
          </w:tcPr>
          <w:p w:rsidR="00282E35" w:rsidRPr="009836DE" w:rsidRDefault="00282E35" w:rsidP="00E50C61">
            <w:pPr>
              <w:rPr>
                <w:rFonts w:eastAsia="Times New Roman"/>
                <w:color w:val="000000"/>
              </w:rPr>
            </w:pPr>
          </w:p>
        </w:tc>
        <w:tc>
          <w:tcPr>
            <w:tcW w:w="1080" w:type="dxa"/>
            <w:hideMark/>
          </w:tcPr>
          <w:p w:rsidR="00282E35" w:rsidRPr="009836DE" w:rsidRDefault="00282E35" w:rsidP="00E50C61">
            <w:pPr>
              <w:jc w:val="center"/>
              <w:cnfStyle w:val="100000000000" w:firstRow="1" w:lastRow="0" w:firstColumn="0" w:lastColumn="0" w:oddVBand="0" w:evenVBand="0" w:oddHBand="0" w:evenHBand="0" w:firstRowFirstColumn="0" w:firstRowLastColumn="0" w:lastRowFirstColumn="0" w:lastRowLastColumn="0"/>
              <w:rPr>
                <w:rFonts w:eastAsia="Calibri" w:cs="Times New Roman"/>
              </w:rPr>
            </w:pPr>
            <w:r w:rsidRPr="009836DE">
              <w:rPr>
                <w:rFonts w:eastAsia="Calibri" w:cs="Times New Roman"/>
              </w:rPr>
              <w:t>Males</w:t>
            </w:r>
          </w:p>
        </w:tc>
        <w:tc>
          <w:tcPr>
            <w:tcW w:w="1080" w:type="dxa"/>
          </w:tcPr>
          <w:p w:rsidR="00282E35" w:rsidRPr="009836DE" w:rsidRDefault="00282E35" w:rsidP="00E50C61">
            <w:pPr>
              <w:jc w:val="center"/>
              <w:cnfStyle w:val="100000000000" w:firstRow="1" w:lastRow="0" w:firstColumn="0" w:lastColumn="0" w:oddVBand="0" w:evenVBand="0" w:oddHBand="0" w:evenHBand="0" w:firstRowFirstColumn="0" w:firstRowLastColumn="0" w:lastRowFirstColumn="0" w:lastRowLastColumn="0"/>
              <w:rPr>
                <w:rFonts w:eastAsia="Calibri" w:cs="Times New Roman"/>
              </w:rPr>
            </w:pPr>
            <w:r w:rsidRPr="009836DE">
              <w:rPr>
                <w:rFonts w:eastAsia="Calibri" w:cs="Times New Roman"/>
              </w:rPr>
              <w:t>Females</w:t>
            </w:r>
          </w:p>
        </w:tc>
      </w:tr>
      <w:tr w:rsidR="00282E35" w:rsidRPr="009836DE" w:rsidTr="00E50C61">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6940" w:type="dxa"/>
            <w:noWrap/>
            <w:hideMark/>
          </w:tcPr>
          <w:p w:rsidR="00282E35" w:rsidRPr="009836DE" w:rsidRDefault="00282E35" w:rsidP="00E50C61">
            <w:pPr>
              <w:rPr>
                <w:rFonts w:eastAsia="Times New Roman"/>
                <w:color w:val="000000"/>
              </w:rPr>
            </w:pPr>
            <w:r w:rsidRPr="009836DE">
              <w:rPr>
                <w:rFonts w:eastAsia="Times New Roman"/>
                <w:color w:val="000000"/>
              </w:rPr>
              <w:t>Mixed anxiety and depressive disorder</w:t>
            </w:r>
          </w:p>
        </w:tc>
        <w:tc>
          <w:tcPr>
            <w:tcW w:w="1080" w:type="dxa"/>
            <w:hideMark/>
          </w:tcPr>
          <w:p w:rsidR="00282E35" w:rsidRPr="009836DE" w:rsidRDefault="00282E35" w:rsidP="00E50C61">
            <w:pPr>
              <w:jc w:val="center"/>
              <w:cnfStyle w:val="000000100000" w:firstRow="0" w:lastRow="0" w:firstColumn="0" w:lastColumn="0" w:oddVBand="0" w:evenVBand="0" w:oddHBand="1" w:evenHBand="0" w:firstRowFirstColumn="0" w:firstRowLastColumn="0" w:lastRowFirstColumn="0" w:lastRowLastColumn="0"/>
              <w:rPr>
                <w:rFonts w:eastAsia="Calibri" w:cs="Times New Roman"/>
                <w:color w:val="000000"/>
              </w:rPr>
            </w:pPr>
            <w:r w:rsidRPr="009836DE">
              <w:rPr>
                <w:rFonts w:eastAsia="Calibri" w:cs="Times New Roman"/>
                <w:color w:val="000000"/>
              </w:rPr>
              <w:t>435</w:t>
            </w:r>
          </w:p>
        </w:tc>
        <w:tc>
          <w:tcPr>
            <w:tcW w:w="1080" w:type="dxa"/>
          </w:tcPr>
          <w:p w:rsidR="00282E35" w:rsidRPr="009836DE" w:rsidRDefault="00282E35" w:rsidP="00E50C61">
            <w:pPr>
              <w:jc w:val="center"/>
              <w:cnfStyle w:val="000000100000" w:firstRow="0" w:lastRow="0" w:firstColumn="0" w:lastColumn="0" w:oddVBand="0" w:evenVBand="0" w:oddHBand="1" w:evenHBand="0" w:firstRowFirstColumn="0" w:firstRowLastColumn="0" w:lastRowFirstColumn="0" w:lastRowLastColumn="0"/>
              <w:rPr>
                <w:rFonts w:eastAsia="Calibri" w:cs="Times New Roman"/>
              </w:rPr>
            </w:pPr>
            <w:r w:rsidRPr="009836DE">
              <w:rPr>
                <w:rFonts w:eastAsia="Calibri" w:cs="Times New Roman"/>
              </w:rPr>
              <w:t>970</w:t>
            </w:r>
          </w:p>
        </w:tc>
      </w:tr>
      <w:tr w:rsidR="00282E35" w:rsidRPr="009836DE" w:rsidTr="00E50C61">
        <w:trPr>
          <w:trHeight w:val="285"/>
        </w:trPr>
        <w:tc>
          <w:tcPr>
            <w:cnfStyle w:val="001000000000" w:firstRow="0" w:lastRow="0" w:firstColumn="1" w:lastColumn="0" w:oddVBand="0" w:evenVBand="0" w:oddHBand="0" w:evenHBand="0" w:firstRowFirstColumn="0" w:firstRowLastColumn="0" w:lastRowFirstColumn="0" w:lastRowLastColumn="0"/>
            <w:tcW w:w="6940" w:type="dxa"/>
            <w:noWrap/>
            <w:hideMark/>
          </w:tcPr>
          <w:p w:rsidR="00282E35" w:rsidRPr="009836DE" w:rsidRDefault="00282E35" w:rsidP="00E50C61">
            <w:pPr>
              <w:rPr>
                <w:rFonts w:eastAsia="Times New Roman"/>
                <w:color w:val="000000"/>
              </w:rPr>
            </w:pPr>
            <w:r w:rsidRPr="009836DE">
              <w:rPr>
                <w:rFonts w:eastAsia="Times New Roman"/>
                <w:color w:val="000000"/>
              </w:rPr>
              <w:t>Generalised anxiety disorder</w:t>
            </w:r>
          </w:p>
        </w:tc>
        <w:tc>
          <w:tcPr>
            <w:tcW w:w="1080" w:type="dxa"/>
            <w:hideMark/>
          </w:tcPr>
          <w:p w:rsidR="00282E35" w:rsidRPr="009836DE" w:rsidRDefault="00282E35" w:rsidP="00E50C61">
            <w:pPr>
              <w:jc w:val="center"/>
              <w:cnfStyle w:val="000000000000" w:firstRow="0" w:lastRow="0" w:firstColumn="0" w:lastColumn="0" w:oddVBand="0" w:evenVBand="0" w:oddHBand="0" w:evenHBand="0" w:firstRowFirstColumn="0" w:firstRowLastColumn="0" w:lastRowFirstColumn="0" w:lastRowLastColumn="0"/>
              <w:rPr>
                <w:rFonts w:eastAsia="Calibri" w:cs="Times New Roman"/>
                <w:color w:val="000000"/>
              </w:rPr>
            </w:pPr>
            <w:r w:rsidRPr="009836DE">
              <w:rPr>
                <w:rFonts w:eastAsia="Calibri" w:cs="Times New Roman"/>
                <w:color w:val="000000"/>
              </w:rPr>
              <w:t>135</w:t>
            </w:r>
          </w:p>
        </w:tc>
        <w:tc>
          <w:tcPr>
            <w:tcW w:w="1080" w:type="dxa"/>
          </w:tcPr>
          <w:p w:rsidR="00282E35" w:rsidRPr="009836DE" w:rsidRDefault="00282E35" w:rsidP="00E50C61">
            <w:pPr>
              <w:jc w:val="center"/>
              <w:cnfStyle w:val="000000000000" w:firstRow="0" w:lastRow="0" w:firstColumn="0" w:lastColumn="0" w:oddVBand="0" w:evenVBand="0" w:oddHBand="0" w:evenHBand="0" w:firstRowFirstColumn="0" w:firstRowLastColumn="0" w:lastRowFirstColumn="0" w:lastRowLastColumn="0"/>
              <w:rPr>
                <w:rFonts w:eastAsia="Calibri" w:cs="Times New Roman"/>
              </w:rPr>
            </w:pPr>
            <w:r w:rsidRPr="009836DE">
              <w:rPr>
                <w:rFonts w:eastAsia="Calibri" w:cs="Times New Roman"/>
              </w:rPr>
              <w:t>90</w:t>
            </w:r>
          </w:p>
        </w:tc>
      </w:tr>
      <w:tr w:rsidR="00282E35" w:rsidRPr="009836DE" w:rsidTr="00E50C61">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6940" w:type="dxa"/>
            <w:noWrap/>
            <w:hideMark/>
          </w:tcPr>
          <w:p w:rsidR="00282E35" w:rsidRPr="009836DE" w:rsidRDefault="00282E35" w:rsidP="00E50C61">
            <w:pPr>
              <w:rPr>
                <w:rFonts w:eastAsia="Times New Roman"/>
                <w:color w:val="000000"/>
              </w:rPr>
            </w:pPr>
            <w:r w:rsidRPr="009836DE">
              <w:rPr>
                <w:rFonts w:eastAsia="Times New Roman"/>
                <w:color w:val="000000"/>
              </w:rPr>
              <w:t>Depressive episode</w:t>
            </w:r>
          </w:p>
        </w:tc>
        <w:tc>
          <w:tcPr>
            <w:tcW w:w="1080" w:type="dxa"/>
            <w:hideMark/>
          </w:tcPr>
          <w:p w:rsidR="00282E35" w:rsidRPr="009836DE" w:rsidRDefault="00282E35" w:rsidP="00E50C61">
            <w:pPr>
              <w:jc w:val="center"/>
              <w:cnfStyle w:val="000000100000" w:firstRow="0" w:lastRow="0" w:firstColumn="0" w:lastColumn="0" w:oddVBand="0" w:evenVBand="0" w:oddHBand="1" w:evenHBand="0" w:firstRowFirstColumn="0" w:firstRowLastColumn="0" w:lastRowFirstColumn="0" w:lastRowLastColumn="0"/>
              <w:rPr>
                <w:rFonts w:eastAsia="Calibri" w:cs="Times New Roman"/>
                <w:color w:val="000000"/>
              </w:rPr>
            </w:pPr>
            <w:r w:rsidRPr="009836DE">
              <w:rPr>
                <w:rFonts w:eastAsia="Calibri" w:cs="Times New Roman"/>
                <w:color w:val="000000"/>
              </w:rPr>
              <w:t>80</w:t>
            </w:r>
          </w:p>
        </w:tc>
        <w:tc>
          <w:tcPr>
            <w:tcW w:w="1080" w:type="dxa"/>
          </w:tcPr>
          <w:p w:rsidR="00282E35" w:rsidRPr="009836DE" w:rsidRDefault="00282E35" w:rsidP="00E50C61">
            <w:pPr>
              <w:jc w:val="center"/>
              <w:cnfStyle w:val="000000100000" w:firstRow="0" w:lastRow="0" w:firstColumn="0" w:lastColumn="0" w:oddVBand="0" w:evenVBand="0" w:oddHBand="1" w:evenHBand="0" w:firstRowFirstColumn="0" w:firstRowLastColumn="0" w:lastRowFirstColumn="0" w:lastRowLastColumn="0"/>
              <w:rPr>
                <w:rFonts w:eastAsia="Calibri" w:cs="Times New Roman"/>
              </w:rPr>
            </w:pPr>
            <w:r w:rsidRPr="009836DE">
              <w:rPr>
                <w:rFonts w:eastAsia="Calibri" w:cs="Times New Roman"/>
              </w:rPr>
              <w:t>215</w:t>
            </w:r>
          </w:p>
        </w:tc>
      </w:tr>
      <w:tr w:rsidR="00282E35" w:rsidRPr="009836DE" w:rsidTr="00E50C61">
        <w:trPr>
          <w:trHeight w:val="285"/>
        </w:trPr>
        <w:tc>
          <w:tcPr>
            <w:cnfStyle w:val="001000000000" w:firstRow="0" w:lastRow="0" w:firstColumn="1" w:lastColumn="0" w:oddVBand="0" w:evenVBand="0" w:oddHBand="0" w:evenHBand="0" w:firstRowFirstColumn="0" w:firstRowLastColumn="0" w:lastRowFirstColumn="0" w:lastRowLastColumn="0"/>
            <w:tcW w:w="6940" w:type="dxa"/>
            <w:noWrap/>
            <w:hideMark/>
          </w:tcPr>
          <w:p w:rsidR="00282E35" w:rsidRPr="009836DE" w:rsidRDefault="00282E35" w:rsidP="00E50C61">
            <w:pPr>
              <w:rPr>
                <w:rFonts w:eastAsia="Times New Roman"/>
                <w:color w:val="000000"/>
              </w:rPr>
            </w:pPr>
            <w:r w:rsidRPr="009836DE">
              <w:rPr>
                <w:rFonts w:eastAsia="Times New Roman"/>
                <w:color w:val="000000"/>
              </w:rPr>
              <w:t>All phobias</w:t>
            </w:r>
          </w:p>
        </w:tc>
        <w:tc>
          <w:tcPr>
            <w:tcW w:w="1080" w:type="dxa"/>
            <w:hideMark/>
          </w:tcPr>
          <w:p w:rsidR="00282E35" w:rsidRPr="009836DE" w:rsidRDefault="00282E35" w:rsidP="00E50C61">
            <w:pPr>
              <w:jc w:val="center"/>
              <w:cnfStyle w:val="000000000000" w:firstRow="0" w:lastRow="0" w:firstColumn="0" w:lastColumn="0" w:oddVBand="0" w:evenVBand="0" w:oddHBand="0" w:evenHBand="0" w:firstRowFirstColumn="0" w:firstRowLastColumn="0" w:lastRowFirstColumn="0" w:lastRowLastColumn="0"/>
              <w:rPr>
                <w:rFonts w:eastAsia="Calibri" w:cs="Times New Roman"/>
                <w:color w:val="000000"/>
              </w:rPr>
            </w:pPr>
            <w:r w:rsidRPr="009836DE">
              <w:rPr>
                <w:rFonts w:eastAsia="Calibri" w:cs="Times New Roman"/>
                <w:color w:val="000000"/>
              </w:rPr>
              <w:t>55</w:t>
            </w:r>
          </w:p>
        </w:tc>
        <w:tc>
          <w:tcPr>
            <w:tcW w:w="1080" w:type="dxa"/>
          </w:tcPr>
          <w:p w:rsidR="00282E35" w:rsidRPr="009836DE" w:rsidRDefault="00282E35" w:rsidP="00E50C61">
            <w:pPr>
              <w:jc w:val="center"/>
              <w:cnfStyle w:val="000000000000" w:firstRow="0" w:lastRow="0" w:firstColumn="0" w:lastColumn="0" w:oddVBand="0" w:evenVBand="0" w:oddHBand="0" w:evenHBand="0" w:firstRowFirstColumn="0" w:firstRowLastColumn="0" w:lastRowFirstColumn="0" w:lastRowLastColumn="0"/>
              <w:rPr>
                <w:rFonts w:eastAsia="Calibri" w:cs="Times New Roman"/>
              </w:rPr>
            </w:pPr>
            <w:r w:rsidRPr="009836DE">
              <w:rPr>
                <w:rFonts w:eastAsia="Calibri" w:cs="Times New Roman"/>
              </w:rPr>
              <w:t>165</w:t>
            </w:r>
          </w:p>
        </w:tc>
      </w:tr>
      <w:tr w:rsidR="00282E35" w:rsidRPr="009836DE" w:rsidTr="00E50C61">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6940" w:type="dxa"/>
            <w:noWrap/>
            <w:hideMark/>
          </w:tcPr>
          <w:p w:rsidR="00282E35" w:rsidRPr="009836DE" w:rsidRDefault="00282E35" w:rsidP="00E50C61">
            <w:pPr>
              <w:rPr>
                <w:rFonts w:eastAsia="Times New Roman"/>
                <w:color w:val="000000"/>
              </w:rPr>
            </w:pPr>
            <w:r w:rsidRPr="009836DE">
              <w:rPr>
                <w:rFonts w:eastAsia="Times New Roman"/>
                <w:color w:val="000000"/>
              </w:rPr>
              <w:t>Obsessive compulsive disorder</w:t>
            </w:r>
          </w:p>
        </w:tc>
        <w:tc>
          <w:tcPr>
            <w:tcW w:w="1080" w:type="dxa"/>
            <w:hideMark/>
          </w:tcPr>
          <w:p w:rsidR="00282E35" w:rsidRPr="009836DE" w:rsidRDefault="00282E35" w:rsidP="00E50C61">
            <w:pPr>
              <w:jc w:val="center"/>
              <w:cnfStyle w:val="000000100000" w:firstRow="0" w:lastRow="0" w:firstColumn="0" w:lastColumn="0" w:oddVBand="0" w:evenVBand="0" w:oddHBand="1" w:evenHBand="0" w:firstRowFirstColumn="0" w:firstRowLastColumn="0" w:lastRowFirstColumn="0" w:lastRowLastColumn="0"/>
              <w:rPr>
                <w:rFonts w:eastAsia="Calibri" w:cs="Times New Roman"/>
                <w:color w:val="000000"/>
              </w:rPr>
            </w:pPr>
            <w:r w:rsidRPr="009836DE">
              <w:rPr>
                <w:rFonts w:eastAsia="Calibri" w:cs="Times New Roman"/>
                <w:color w:val="000000"/>
              </w:rPr>
              <w:t>80</w:t>
            </w:r>
          </w:p>
        </w:tc>
        <w:tc>
          <w:tcPr>
            <w:tcW w:w="1080" w:type="dxa"/>
          </w:tcPr>
          <w:p w:rsidR="00282E35" w:rsidRPr="009836DE" w:rsidRDefault="00282E35" w:rsidP="00E50C61">
            <w:pPr>
              <w:jc w:val="center"/>
              <w:cnfStyle w:val="000000100000" w:firstRow="0" w:lastRow="0" w:firstColumn="0" w:lastColumn="0" w:oddVBand="0" w:evenVBand="0" w:oddHBand="1" w:evenHBand="0" w:firstRowFirstColumn="0" w:firstRowLastColumn="0" w:lastRowFirstColumn="0" w:lastRowLastColumn="0"/>
              <w:rPr>
                <w:rFonts w:eastAsia="Calibri" w:cs="Times New Roman"/>
              </w:rPr>
            </w:pPr>
            <w:r w:rsidRPr="009836DE">
              <w:rPr>
                <w:rFonts w:eastAsia="Calibri" w:cs="Times New Roman"/>
              </w:rPr>
              <w:t>75</w:t>
            </w:r>
          </w:p>
        </w:tc>
      </w:tr>
      <w:tr w:rsidR="00282E35" w:rsidRPr="009836DE" w:rsidTr="00E50C61">
        <w:trPr>
          <w:trHeight w:val="285"/>
        </w:trPr>
        <w:tc>
          <w:tcPr>
            <w:cnfStyle w:val="001000000000" w:firstRow="0" w:lastRow="0" w:firstColumn="1" w:lastColumn="0" w:oddVBand="0" w:evenVBand="0" w:oddHBand="0" w:evenHBand="0" w:firstRowFirstColumn="0" w:firstRowLastColumn="0" w:lastRowFirstColumn="0" w:lastRowLastColumn="0"/>
            <w:tcW w:w="6940" w:type="dxa"/>
            <w:noWrap/>
            <w:hideMark/>
          </w:tcPr>
          <w:p w:rsidR="00282E35" w:rsidRPr="009836DE" w:rsidRDefault="00282E35" w:rsidP="00E50C61">
            <w:pPr>
              <w:rPr>
                <w:rFonts w:eastAsia="Times New Roman"/>
                <w:color w:val="000000"/>
              </w:rPr>
            </w:pPr>
            <w:r w:rsidRPr="009836DE">
              <w:rPr>
                <w:rFonts w:eastAsia="Times New Roman"/>
                <w:color w:val="000000"/>
              </w:rPr>
              <w:t>Panic disorder</w:t>
            </w:r>
          </w:p>
        </w:tc>
        <w:tc>
          <w:tcPr>
            <w:tcW w:w="1080" w:type="dxa"/>
            <w:hideMark/>
          </w:tcPr>
          <w:p w:rsidR="00282E35" w:rsidRPr="009836DE" w:rsidRDefault="00282E35" w:rsidP="00E50C61">
            <w:pPr>
              <w:jc w:val="center"/>
              <w:cnfStyle w:val="000000000000" w:firstRow="0" w:lastRow="0" w:firstColumn="0" w:lastColumn="0" w:oddVBand="0" w:evenVBand="0" w:oddHBand="0" w:evenHBand="0" w:firstRowFirstColumn="0" w:firstRowLastColumn="0" w:lastRowFirstColumn="0" w:lastRowLastColumn="0"/>
              <w:rPr>
                <w:rFonts w:eastAsia="Calibri" w:cs="Times New Roman"/>
                <w:color w:val="000000"/>
              </w:rPr>
            </w:pPr>
            <w:r w:rsidRPr="009836DE">
              <w:rPr>
                <w:rFonts w:eastAsia="Calibri" w:cs="Times New Roman"/>
                <w:color w:val="000000"/>
              </w:rPr>
              <w:t>45</w:t>
            </w:r>
          </w:p>
        </w:tc>
        <w:tc>
          <w:tcPr>
            <w:tcW w:w="1080" w:type="dxa"/>
          </w:tcPr>
          <w:p w:rsidR="00282E35" w:rsidRPr="009836DE" w:rsidRDefault="00282E35" w:rsidP="00E50C61">
            <w:pPr>
              <w:jc w:val="center"/>
              <w:cnfStyle w:val="000000000000" w:firstRow="0" w:lastRow="0" w:firstColumn="0" w:lastColumn="0" w:oddVBand="0" w:evenVBand="0" w:oddHBand="0" w:evenHBand="0" w:firstRowFirstColumn="0" w:firstRowLastColumn="0" w:lastRowFirstColumn="0" w:lastRowLastColumn="0"/>
              <w:rPr>
                <w:rFonts w:eastAsia="Calibri" w:cs="Times New Roman"/>
              </w:rPr>
            </w:pPr>
            <w:r w:rsidRPr="009836DE">
              <w:rPr>
                <w:rFonts w:eastAsia="Calibri" w:cs="Times New Roman"/>
              </w:rPr>
              <w:t>50</w:t>
            </w:r>
          </w:p>
        </w:tc>
      </w:tr>
      <w:tr w:rsidR="00282E35" w:rsidRPr="009836DE" w:rsidTr="00E50C61">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6940" w:type="dxa"/>
            <w:noWrap/>
            <w:hideMark/>
          </w:tcPr>
          <w:p w:rsidR="00282E35" w:rsidRPr="009836DE" w:rsidRDefault="00282E35" w:rsidP="00E50C61">
            <w:pPr>
              <w:rPr>
                <w:rFonts w:eastAsia="Times New Roman"/>
                <w:color w:val="000000"/>
              </w:rPr>
            </w:pPr>
            <w:r w:rsidRPr="009836DE">
              <w:rPr>
                <w:rFonts w:eastAsia="Times New Roman"/>
                <w:color w:val="000000"/>
              </w:rPr>
              <w:t>Any neurotic disorder</w:t>
            </w:r>
          </w:p>
        </w:tc>
        <w:tc>
          <w:tcPr>
            <w:tcW w:w="1080" w:type="dxa"/>
            <w:hideMark/>
          </w:tcPr>
          <w:p w:rsidR="00282E35" w:rsidRPr="009836DE" w:rsidRDefault="00282E35" w:rsidP="00E50C61">
            <w:pPr>
              <w:jc w:val="center"/>
              <w:cnfStyle w:val="000000100000" w:firstRow="0" w:lastRow="0" w:firstColumn="0" w:lastColumn="0" w:oddVBand="0" w:evenVBand="0" w:oddHBand="1" w:evenHBand="0" w:firstRowFirstColumn="0" w:firstRowLastColumn="0" w:lastRowFirstColumn="0" w:lastRowLastColumn="0"/>
              <w:rPr>
                <w:rFonts w:eastAsia="Calibri" w:cs="Times New Roman"/>
                <w:color w:val="000000"/>
              </w:rPr>
            </w:pPr>
            <w:r w:rsidRPr="009836DE">
              <w:rPr>
                <w:rFonts w:eastAsia="Calibri" w:cs="Times New Roman"/>
                <w:color w:val="000000"/>
              </w:rPr>
              <w:t>730</w:t>
            </w:r>
          </w:p>
        </w:tc>
        <w:tc>
          <w:tcPr>
            <w:tcW w:w="1080" w:type="dxa"/>
          </w:tcPr>
          <w:p w:rsidR="00282E35" w:rsidRPr="009836DE" w:rsidRDefault="00282E35" w:rsidP="00E50C61">
            <w:pPr>
              <w:jc w:val="center"/>
              <w:cnfStyle w:val="000000100000" w:firstRow="0" w:lastRow="0" w:firstColumn="0" w:lastColumn="0" w:oddVBand="0" w:evenVBand="0" w:oddHBand="1" w:evenHBand="0" w:firstRowFirstColumn="0" w:firstRowLastColumn="0" w:lastRowFirstColumn="0" w:lastRowLastColumn="0"/>
              <w:rPr>
                <w:rFonts w:eastAsia="Calibri" w:cs="Times New Roman"/>
              </w:rPr>
            </w:pPr>
            <w:r w:rsidRPr="009836DE">
              <w:rPr>
                <w:rFonts w:eastAsia="Calibri" w:cs="Times New Roman"/>
              </w:rPr>
              <w:t>1,500</w:t>
            </w:r>
          </w:p>
        </w:tc>
      </w:tr>
    </w:tbl>
    <w:p w:rsidR="00282E35" w:rsidRPr="00D25705" w:rsidRDefault="00282E35" w:rsidP="00282E35">
      <w:pPr>
        <w:shd w:val="clear" w:color="auto" w:fill="FFFFFF"/>
        <w:spacing w:after="0"/>
        <w:rPr>
          <w:rFonts w:eastAsia="Times New Roman"/>
        </w:rPr>
      </w:pPr>
      <w:r w:rsidRPr="00D25705">
        <w:rPr>
          <w:rFonts w:eastAsia="Times New Roman"/>
        </w:rPr>
        <w:t xml:space="preserve">Source: Office for National Statistics mid-year population estimates for 2012.  </w:t>
      </w:r>
    </w:p>
    <w:p w:rsidR="00282E35" w:rsidRDefault="00282E35" w:rsidP="00282E35">
      <w:pPr>
        <w:shd w:val="clear" w:color="auto" w:fill="FFFFFF"/>
        <w:spacing w:after="0"/>
        <w:rPr>
          <w:rFonts w:eastAsia="Times New Roman"/>
          <w:i/>
          <w:sz w:val="20"/>
          <w:szCs w:val="20"/>
        </w:rPr>
      </w:pPr>
    </w:p>
    <w:p w:rsidR="00282E35" w:rsidRDefault="00282E35" w:rsidP="00282E35">
      <w:pPr>
        <w:pStyle w:val="Caption"/>
        <w:jc w:val="left"/>
        <w:rPr>
          <w:rFonts w:eastAsia="Times New Roman" w:cs="Arial"/>
          <w:b w:val="0"/>
          <w:i/>
          <w:lang w:eastAsia="en-GB"/>
        </w:rPr>
      </w:pPr>
      <w:r>
        <w:lastRenderedPageBreak/>
        <w:t xml:space="preserve">Figure </w:t>
      </w:r>
      <w:fldSimple w:instr=" STYLEREF 1 \s ">
        <w:r w:rsidR="001663C2">
          <w:rPr>
            <w:noProof/>
          </w:rPr>
          <w:t>8</w:t>
        </w:r>
      </w:fldSimple>
      <w:r w:rsidR="00943DC2">
        <w:noBreakHyphen/>
      </w:r>
      <w:fldSimple w:instr=" SEQ Figure \* ARABIC \s 1 ">
        <w:r w:rsidR="001663C2">
          <w:rPr>
            <w:noProof/>
          </w:rPr>
          <w:t>18</w:t>
        </w:r>
      </w:fldSimple>
      <w:r>
        <w:t>: A</w:t>
      </w:r>
      <w:r w:rsidRPr="002428A8">
        <w:rPr>
          <w:rFonts w:eastAsia="Times New Roman" w:cs="Arial"/>
          <w:lang w:eastAsia="en-GB"/>
        </w:rPr>
        <w:t>dmission for under 18 year olds in Barnet with mental disorder</w:t>
      </w:r>
      <w:r w:rsidRPr="00B1135D">
        <w:rPr>
          <w:rFonts w:eastAsia="Times New Roman" w:cs="Times New Roman"/>
          <w:noProof/>
          <w:lang w:eastAsia="en-GB"/>
        </w:rPr>
        <w:drawing>
          <wp:inline distT="0" distB="0" distL="0" distR="0" wp14:anchorId="4ACD96C0" wp14:editId="4C1D174B">
            <wp:extent cx="5800725" cy="3390900"/>
            <wp:effectExtent l="0" t="0" r="9525"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a:extLst>
                        <a:ext uri="{28A0092B-C50C-407E-A947-70E740481C1C}">
                          <a14:useLocalDpi xmlns:a14="http://schemas.microsoft.com/office/drawing/2010/main" val="0"/>
                        </a:ext>
                      </a:extLst>
                    </a:blip>
                    <a:srcRect l="15671" t="11795" r="25801" b="17693"/>
                    <a:stretch>
                      <a:fillRect/>
                    </a:stretch>
                  </pic:blipFill>
                  <pic:spPr bwMode="auto">
                    <a:xfrm>
                      <a:off x="0" y="0"/>
                      <a:ext cx="5800953" cy="3391033"/>
                    </a:xfrm>
                    <a:prstGeom prst="rect">
                      <a:avLst/>
                    </a:prstGeom>
                    <a:noFill/>
                    <a:ln>
                      <a:noFill/>
                    </a:ln>
                  </pic:spPr>
                </pic:pic>
              </a:graphicData>
            </a:graphic>
          </wp:inline>
        </w:drawing>
      </w:r>
    </w:p>
    <w:p w:rsidR="00282E35" w:rsidRPr="00C74CEB" w:rsidRDefault="00282E35" w:rsidP="00282E35">
      <w:pPr>
        <w:shd w:val="clear" w:color="auto" w:fill="FFFFFF"/>
        <w:spacing w:after="0"/>
        <w:rPr>
          <w:rFonts w:eastAsia="Times New Roman"/>
          <w:i/>
          <w:sz w:val="20"/>
          <w:szCs w:val="20"/>
        </w:rPr>
      </w:pPr>
    </w:p>
    <w:p w:rsidR="00282E35" w:rsidRPr="00A01559" w:rsidRDefault="00282E35" w:rsidP="00282E35">
      <w:pPr>
        <w:pStyle w:val="Heading3"/>
        <w:keepNext w:val="0"/>
        <w:keepLines w:val="0"/>
        <w:spacing w:line="271" w:lineRule="auto"/>
        <w:rPr>
          <w:rFonts w:eastAsia="Times New Roman"/>
          <w:i/>
          <w:lang w:eastAsia="en-GB"/>
        </w:rPr>
      </w:pPr>
      <w:r w:rsidRPr="002B339A">
        <w:t xml:space="preserve"> Key </w:t>
      </w:r>
      <w:r w:rsidR="00404154">
        <w:t>I</w:t>
      </w:r>
      <w:r w:rsidRPr="002B339A">
        <w:t>ssues</w:t>
      </w:r>
      <w:r w:rsidR="00404154">
        <w:t>/C</w:t>
      </w:r>
      <w:r>
        <w:t>hallenges</w:t>
      </w:r>
    </w:p>
    <w:p w:rsidR="00282E35" w:rsidRPr="008F0F7A" w:rsidRDefault="00D25705" w:rsidP="008921BF">
      <w:pPr>
        <w:pStyle w:val="ListParagraph"/>
        <w:numPr>
          <w:ilvl w:val="0"/>
          <w:numId w:val="104"/>
        </w:numPr>
        <w:autoSpaceDE w:val="0"/>
        <w:autoSpaceDN w:val="0"/>
        <w:adjustRightInd w:val="0"/>
        <w:spacing w:after="0" w:line="240" w:lineRule="auto"/>
        <w:rPr>
          <w:rFonts w:cs="Arial"/>
        </w:rPr>
      </w:pPr>
      <w:r>
        <w:rPr>
          <w:rFonts w:cs="Arial"/>
        </w:rPr>
        <w:t>y</w:t>
      </w:r>
      <w:r w:rsidR="00282E35" w:rsidRPr="008F0F7A">
        <w:rPr>
          <w:rFonts w:cs="Arial"/>
        </w:rPr>
        <w:t xml:space="preserve">oung people voted mental health as one of their top service/needs priorities at a Children’s Trust Board event. </w:t>
      </w:r>
    </w:p>
    <w:p w:rsidR="00282E35" w:rsidRPr="008F0F7A" w:rsidRDefault="00D25705" w:rsidP="008921BF">
      <w:pPr>
        <w:pStyle w:val="ListParagraph"/>
        <w:numPr>
          <w:ilvl w:val="0"/>
          <w:numId w:val="104"/>
        </w:numPr>
        <w:autoSpaceDE w:val="0"/>
        <w:autoSpaceDN w:val="0"/>
        <w:adjustRightInd w:val="0"/>
        <w:spacing w:after="0" w:line="240" w:lineRule="auto"/>
        <w:rPr>
          <w:rFonts w:cs="Arial"/>
        </w:rPr>
      </w:pPr>
      <w:r>
        <w:rPr>
          <w:rFonts w:cs="Arial"/>
        </w:rPr>
        <w:t>i</w:t>
      </w:r>
      <w:r w:rsidR="00282E35" w:rsidRPr="008F0F7A">
        <w:rPr>
          <w:rFonts w:cs="Arial"/>
        </w:rPr>
        <w:t xml:space="preserve">mplementation of the CAPA and improving Access to Psychological Therapies </w:t>
      </w:r>
    </w:p>
    <w:p w:rsidR="00282E35" w:rsidRPr="008F0F7A" w:rsidRDefault="00D25705" w:rsidP="008921BF">
      <w:pPr>
        <w:pStyle w:val="ListParagraph"/>
        <w:numPr>
          <w:ilvl w:val="0"/>
          <w:numId w:val="104"/>
        </w:numPr>
        <w:autoSpaceDE w:val="0"/>
        <w:autoSpaceDN w:val="0"/>
        <w:adjustRightInd w:val="0"/>
        <w:spacing w:after="0" w:line="240" w:lineRule="auto"/>
        <w:jc w:val="both"/>
        <w:rPr>
          <w:rFonts w:cs="Arial"/>
        </w:rPr>
      </w:pPr>
      <w:r>
        <w:rPr>
          <w:rFonts w:cs="Arial"/>
        </w:rPr>
        <w:t>r</w:t>
      </w:r>
      <w:r w:rsidR="00282E35">
        <w:rPr>
          <w:rFonts w:cs="Arial"/>
        </w:rPr>
        <w:t xml:space="preserve">e-modelling of CAMHS through a jointly developed specification with CCG and public health that invests  in prevention and early intervention </w:t>
      </w:r>
    </w:p>
    <w:p w:rsidR="00282E35" w:rsidRPr="008F0F7A" w:rsidRDefault="00D25705" w:rsidP="008921BF">
      <w:pPr>
        <w:pStyle w:val="ListParagraph"/>
        <w:numPr>
          <w:ilvl w:val="0"/>
          <w:numId w:val="104"/>
        </w:numPr>
        <w:autoSpaceDE w:val="0"/>
        <w:autoSpaceDN w:val="0"/>
        <w:adjustRightInd w:val="0"/>
        <w:spacing w:after="0" w:line="240" w:lineRule="auto"/>
        <w:rPr>
          <w:rFonts w:cs="Arial"/>
        </w:rPr>
      </w:pPr>
      <w:r>
        <w:rPr>
          <w:rFonts w:cs="Arial"/>
        </w:rPr>
        <w:t>t</w:t>
      </w:r>
      <w:r w:rsidR="00282E35" w:rsidRPr="008F0F7A">
        <w:rPr>
          <w:rFonts w:cs="Arial"/>
        </w:rPr>
        <w:t xml:space="preserve">ransition to adult services is a challenge </w:t>
      </w:r>
    </w:p>
    <w:p w:rsidR="00282E35" w:rsidRDefault="00282E35" w:rsidP="00282E35">
      <w:pPr>
        <w:spacing w:after="0" w:line="240" w:lineRule="auto"/>
        <w:rPr>
          <w:rFonts w:cs="Arial"/>
        </w:rPr>
      </w:pPr>
    </w:p>
    <w:p w:rsidR="00282E35" w:rsidRDefault="00282E35" w:rsidP="00282E35">
      <w:pPr>
        <w:spacing w:after="0" w:line="240" w:lineRule="auto"/>
        <w:jc w:val="both"/>
        <w:rPr>
          <w:rFonts w:cs="Arial"/>
          <w:b/>
          <w:sz w:val="24"/>
          <w:szCs w:val="24"/>
        </w:rPr>
      </w:pPr>
      <w:r w:rsidRPr="00B1135D">
        <w:rPr>
          <w:rFonts w:cs="Arial"/>
        </w:rPr>
        <w:t>Although Barnet appears to be providing a range of good services</w:t>
      </w:r>
      <w:r>
        <w:rPr>
          <w:rFonts w:cs="Arial"/>
        </w:rPr>
        <w:t>,</w:t>
      </w:r>
      <w:r w:rsidRPr="00B1135D">
        <w:rPr>
          <w:rFonts w:cs="Arial"/>
        </w:rPr>
        <w:t xml:space="preserve"> there remains considerable challenge to transform the service. The CAMHS core group is working to implement recommendations from previous Barnet reviews and national recommendations</w:t>
      </w:r>
    </w:p>
    <w:p w:rsidR="00282E35" w:rsidRPr="00727BF8" w:rsidRDefault="00282E35" w:rsidP="00282E35">
      <w:pPr>
        <w:pStyle w:val="Heading2"/>
        <w:keepNext w:val="0"/>
        <w:keepLines w:val="0"/>
      </w:pPr>
      <w:bookmarkStart w:id="883" w:name="_Toc426723385"/>
      <w:bookmarkStart w:id="884" w:name="_Toc431225212"/>
      <w:r>
        <w:t>Young Carers</w:t>
      </w:r>
      <w:bookmarkEnd w:id="883"/>
      <w:bookmarkEnd w:id="884"/>
      <w:r>
        <w:t xml:space="preserve"> </w:t>
      </w:r>
    </w:p>
    <w:p w:rsidR="00282E35" w:rsidRPr="00B37020" w:rsidRDefault="00282E35" w:rsidP="00282E35">
      <w:pPr>
        <w:pStyle w:val="NoSpacing"/>
        <w:jc w:val="both"/>
        <w:rPr>
          <w:sz w:val="22"/>
          <w:szCs w:val="22"/>
        </w:rPr>
      </w:pPr>
      <w:r w:rsidRPr="00B37020">
        <w:rPr>
          <w:sz w:val="22"/>
          <w:szCs w:val="22"/>
        </w:rPr>
        <w:t>According to the 2011 census there are 166,363 young carers</w:t>
      </w:r>
      <w:r w:rsidR="00D25705">
        <w:rPr>
          <w:sz w:val="22"/>
          <w:szCs w:val="22"/>
        </w:rPr>
        <w:t xml:space="preserve"> living in Barnet</w:t>
      </w:r>
      <w:r w:rsidRPr="00B37020">
        <w:rPr>
          <w:sz w:val="22"/>
          <w:szCs w:val="22"/>
        </w:rPr>
        <w:t>,</w:t>
      </w:r>
      <w:r w:rsidR="00D25705">
        <w:rPr>
          <w:sz w:val="22"/>
          <w:szCs w:val="22"/>
        </w:rPr>
        <w:t xml:space="preserve"> which is</w:t>
      </w:r>
      <w:r w:rsidRPr="00B37020">
        <w:rPr>
          <w:sz w:val="22"/>
          <w:szCs w:val="22"/>
        </w:rPr>
        <w:t xml:space="preserve"> an increase of 20% from </w:t>
      </w:r>
      <w:r w:rsidR="00D25705">
        <w:rPr>
          <w:sz w:val="22"/>
          <w:szCs w:val="22"/>
        </w:rPr>
        <w:t xml:space="preserve">the </w:t>
      </w:r>
      <w:r w:rsidRPr="00B37020">
        <w:rPr>
          <w:sz w:val="22"/>
          <w:szCs w:val="22"/>
        </w:rPr>
        <w:t>139,000 in 2001. However this figure does not reflect the scale of young carers in Barnet. Many young carers remain hidden for many reasons including f</w:t>
      </w:r>
      <w:r w:rsidR="00D25705">
        <w:rPr>
          <w:sz w:val="22"/>
          <w:szCs w:val="22"/>
        </w:rPr>
        <w:t>amily loyalty, stigma, bullying or</w:t>
      </w:r>
      <w:r w:rsidRPr="00B37020">
        <w:rPr>
          <w:sz w:val="22"/>
          <w:szCs w:val="22"/>
        </w:rPr>
        <w:t xml:space="preserve"> not knowing where to go for support. The Children’s Society estimates there could be up to four times more young carers, approximately 700,000</w:t>
      </w:r>
      <w:r w:rsidRPr="00B37020">
        <w:rPr>
          <w:sz w:val="22"/>
          <w:szCs w:val="22"/>
          <w:vertAlign w:val="superscript"/>
        </w:rPr>
        <w:footnoteReference w:id="133"/>
      </w:r>
      <w:r w:rsidRPr="00B37020">
        <w:rPr>
          <w:sz w:val="22"/>
          <w:szCs w:val="22"/>
        </w:rPr>
        <w:t>. This research also suggests 4.5% of children and young people identify themselves as having a caring responsibility. In Barnet this would equate to around 3,900 young carers. Currently the lead provider of support services for young carers in Barnet has a register of approximately 540 children and young people with a caring responsibility.</w:t>
      </w:r>
    </w:p>
    <w:p w:rsidR="00282E35" w:rsidRPr="00B1135D" w:rsidRDefault="00282E35" w:rsidP="00282E35">
      <w:pPr>
        <w:spacing w:after="0"/>
        <w:rPr>
          <w:rFonts w:cs="Arial"/>
        </w:rPr>
      </w:pPr>
    </w:p>
    <w:p w:rsidR="00282E35" w:rsidRPr="00B1135D" w:rsidRDefault="00282E35" w:rsidP="00282E35">
      <w:pPr>
        <w:tabs>
          <w:tab w:val="num" w:pos="1440"/>
        </w:tabs>
        <w:spacing w:after="0"/>
        <w:rPr>
          <w:rFonts w:cs="Arial"/>
        </w:rPr>
      </w:pPr>
      <w:r w:rsidRPr="00B1135D">
        <w:rPr>
          <w:rFonts w:cs="Arial"/>
        </w:rPr>
        <w:t>A young carer is likely to</w:t>
      </w:r>
      <w:r>
        <w:rPr>
          <w:rFonts w:cs="Arial"/>
        </w:rPr>
        <w:t>:</w:t>
      </w:r>
      <w:r w:rsidRPr="00B1135D">
        <w:rPr>
          <w:rFonts w:cs="Arial"/>
        </w:rPr>
        <w:t xml:space="preserve"> </w:t>
      </w:r>
    </w:p>
    <w:p w:rsidR="00282E35" w:rsidRPr="00A01559" w:rsidRDefault="0076680B" w:rsidP="008921BF">
      <w:pPr>
        <w:pStyle w:val="ListParagraph"/>
        <w:numPr>
          <w:ilvl w:val="0"/>
          <w:numId w:val="109"/>
        </w:numPr>
        <w:spacing w:after="0" w:line="240" w:lineRule="auto"/>
        <w:jc w:val="both"/>
        <w:rPr>
          <w:rFonts w:cs="Arial"/>
        </w:rPr>
      </w:pPr>
      <w:r>
        <w:rPr>
          <w:rFonts w:cs="Arial"/>
        </w:rPr>
        <w:t>b</w:t>
      </w:r>
      <w:r w:rsidR="00282E35" w:rsidRPr="00A01559">
        <w:rPr>
          <w:rFonts w:cs="Arial"/>
        </w:rPr>
        <w:t xml:space="preserve">e </w:t>
      </w:r>
      <w:r w:rsidR="00D25705">
        <w:rPr>
          <w:rFonts w:cs="Arial"/>
        </w:rPr>
        <w:t>B</w:t>
      </w:r>
      <w:r w:rsidR="00C52374">
        <w:rPr>
          <w:rFonts w:cs="Arial"/>
          <w:bCs/>
        </w:rPr>
        <w:t>lack, Asian and</w:t>
      </w:r>
      <w:r w:rsidR="00282E35" w:rsidRPr="00A01559">
        <w:rPr>
          <w:rFonts w:cs="Arial"/>
          <w:bCs/>
        </w:rPr>
        <w:t xml:space="preserve"> </w:t>
      </w:r>
      <w:r w:rsidR="00282E35">
        <w:rPr>
          <w:rFonts w:cs="Arial"/>
          <w:bCs/>
        </w:rPr>
        <w:t>M</w:t>
      </w:r>
      <w:r w:rsidR="00282E35" w:rsidRPr="00A01559">
        <w:rPr>
          <w:rFonts w:cs="Arial"/>
          <w:bCs/>
        </w:rPr>
        <w:t xml:space="preserve">inority </w:t>
      </w:r>
      <w:r w:rsidR="00282E35">
        <w:rPr>
          <w:rFonts w:cs="Arial"/>
          <w:bCs/>
        </w:rPr>
        <w:t>E</w:t>
      </w:r>
      <w:r w:rsidR="00282E35" w:rsidRPr="00A01559">
        <w:rPr>
          <w:rFonts w:cs="Arial"/>
          <w:bCs/>
        </w:rPr>
        <w:t xml:space="preserve">thnic, </w:t>
      </w:r>
      <w:r w:rsidR="00282E35" w:rsidRPr="00A01559">
        <w:rPr>
          <w:rFonts w:cs="Arial"/>
        </w:rPr>
        <w:t>have a disability, long</w:t>
      </w:r>
      <w:r w:rsidR="00282E35">
        <w:rPr>
          <w:rFonts w:cs="Arial"/>
        </w:rPr>
        <w:t>-</w:t>
      </w:r>
      <w:r w:rsidR="006F653A">
        <w:rPr>
          <w:rFonts w:cs="Arial"/>
        </w:rPr>
        <w:t>term illness or S</w:t>
      </w:r>
      <w:r w:rsidR="00282E35" w:rsidRPr="00A01559">
        <w:rPr>
          <w:rFonts w:cs="Arial"/>
        </w:rPr>
        <w:t xml:space="preserve">pecial </w:t>
      </w:r>
      <w:r w:rsidR="006F653A">
        <w:rPr>
          <w:rFonts w:cs="Arial"/>
        </w:rPr>
        <w:t>Educational N</w:t>
      </w:r>
      <w:r w:rsidR="00282E35" w:rsidRPr="00A01559">
        <w:rPr>
          <w:rFonts w:cs="Arial"/>
        </w:rPr>
        <w:t>eeds</w:t>
      </w:r>
      <w:r w:rsidR="006F653A">
        <w:rPr>
          <w:rFonts w:cs="Arial"/>
        </w:rPr>
        <w:t>.</w:t>
      </w:r>
    </w:p>
    <w:p w:rsidR="00282E35" w:rsidRPr="00A01559" w:rsidRDefault="0076680B" w:rsidP="008921BF">
      <w:pPr>
        <w:pStyle w:val="ListParagraph"/>
        <w:numPr>
          <w:ilvl w:val="0"/>
          <w:numId w:val="109"/>
        </w:numPr>
        <w:spacing w:after="0" w:line="240" w:lineRule="auto"/>
        <w:jc w:val="both"/>
        <w:rPr>
          <w:rFonts w:cs="Arial"/>
        </w:rPr>
      </w:pPr>
      <w:r>
        <w:rPr>
          <w:rFonts w:cs="Arial"/>
        </w:rPr>
        <w:lastRenderedPageBreak/>
        <w:t>c</w:t>
      </w:r>
      <w:r w:rsidR="00282E35" w:rsidRPr="00A01559">
        <w:rPr>
          <w:rFonts w:cs="Arial"/>
        </w:rPr>
        <w:t xml:space="preserve">are for </w:t>
      </w:r>
      <w:r w:rsidR="00282E35" w:rsidRPr="00A01559">
        <w:rPr>
          <w:rFonts w:cs="Arial"/>
          <w:bCs/>
        </w:rPr>
        <w:t xml:space="preserve">siblings </w:t>
      </w:r>
      <w:r w:rsidR="00282E35" w:rsidRPr="00A01559">
        <w:rPr>
          <w:rFonts w:cs="Arial"/>
        </w:rPr>
        <w:t xml:space="preserve">and </w:t>
      </w:r>
      <w:r w:rsidR="00282E35" w:rsidRPr="00A01559">
        <w:rPr>
          <w:rFonts w:cs="Arial"/>
          <w:bCs/>
        </w:rPr>
        <w:t>adults</w:t>
      </w:r>
      <w:r w:rsidR="00282E35" w:rsidRPr="00A01559">
        <w:rPr>
          <w:rFonts w:cs="Arial"/>
        </w:rPr>
        <w:t xml:space="preserve"> with </w:t>
      </w:r>
      <w:r w:rsidR="00282E35" w:rsidRPr="00A01559">
        <w:rPr>
          <w:rFonts w:cs="Arial"/>
          <w:bCs/>
        </w:rPr>
        <w:t>physical</w:t>
      </w:r>
      <w:r w:rsidR="00282E35">
        <w:rPr>
          <w:rFonts w:cs="Arial"/>
        </w:rPr>
        <w:t xml:space="preserve"> or</w:t>
      </w:r>
      <w:r w:rsidR="00282E35" w:rsidRPr="00A01559">
        <w:rPr>
          <w:rFonts w:cs="Arial"/>
        </w:rPr>
        <w:t xml:space="preserve"> </w:t>
      </w:r>
      <w:r w:rsidR="00282E35" w:rsidRPr="00A01559">
        <w:rPr>
          <w:rFonts w:cs="Arial"/>
          <w:bCs/>
        </w:rPr>
        <w:t>mental problems</w:t>
      </w:r>
      <w:r w:rsidR="00282E35">
        <w:rPr>
          <w:rFonts w:cs="Arial"/>
          <w:bCs/>
        </w:rPr>
        <w:t>,</w:t>
      </w:r>
      <w:r w:rsidR="00282E35" w:rsidRPr="00A01559">
        <w:rPr>
          <w:rFonts w:cs="Arial"/>
          <w:bCs/>
        </w:rPr>
        <w:t xml:space="preserve"> </w:t>
      </w:r>
      <w:r w:rsidR="00282E35" w:rsidRPr="00A01559">
        <w:rPr>
          <w:rFonts w:cs="Arial"/>
        </w:rPr>
        <w:t xml:space="preserve">or </w:t>
      </w:r>
      <w:r w:rsidR="00282E35">
        <w:rPr>
          <w:rFonts w:cs="Arial"/>
        </w:rPr>
        <w:t xml:space="preserve">a </w:t>
      </w:r>
      <w:r w:rsidR="00282E35" w:rsidRPr="00A01559">
        <w:rPr>
          <w:rFonts w:cs="Arial"/>
        </w:rPr>
        <w:t>learning difficulty</w:t>
      </w:r>
    </w:p>
    <w:p w:rsidR="00282E35" w:rsidRPr="00A01559" w:rsidRDefault="0076680B" w:rsidP="008921BF">
      <w:pPr>
        <w:pStyle w:val="ListParagraph"/>
        <w:numPr>
          <w:ilvl w:val="0"/>
          <w:numId w:val="109"/>
        </w:numPr>
        <w:spacing w:after="0" w:line="240" w:lineRule="auto"/>
        <w:jc w:val="both"/>
        <w:rPr>
          <w:rFonts w:cs="Arial"/>
        </w:rPr>
      </w:pPr>
      <w:r>
        <w:rPr>
          <w:rFonts w:cs="Arial"/>
          <w:bCs/>
        </w:rPr>
        <w:t>c</w:t>
      </w:r>
      <w:r w:rsidR="00282E35" w:rsidRPr="00A01559">
        <w:rPr>
          <w:rFonts w:cs="Arial"/>
          <w:bCs/>
        </w:rPr>
        <w:t>are</w:t>
      </w:r>
      <w:r w:rsidR="00282E35" w:rsidRPr="00A01559">
        <w:rPr>
          <w:rFonts w:cs="Arial"/>
        </w:rPr>
        <w:t xml:space="preserve"> for </w:t>
      </w:r>
      <w:r w:rsidR="00282E35" w:rsidRPr="00A01559">
        <w:rPr>
          <w:rFonts w:cs="Arial"/>
          <w:bCs/>
        </w:rPr>
        <w:t>up to 15 hours per week</w:t>
      </w:r>
      <w:r w:rsidR="00282E35" w:rsidRPr="00A01559">
        <w:rPr>
          <w:rFonts w:cs="Arial"/>
        </w:rPr>
        <w:t xml:space="preserve">, but some even up to </w:t>
      </w:r>
      <w:r w:rsidR="00282E35" w:rsidRPr="00A01559">
        <w:rPr>
          <w:rFonts w:cs="Arial"/>
          <w:bCs/>
        </w:rPr>
        <w:t>30</w:t>
      </w:r>
    </w:p>
    <w:p w:rsidR="00282E35" w:rsidRPr="00A01559" w:rsidRDefault="0076680B" w:rsidP="008921BF">
      <w:pPr>
        <w:pStyle w:val="ListParagraph"/>
        <w:numPr>
          <w:ilvl w:val="0"/>
          <w:numId w:val="109"/>
        </w:numPr>
        <w:spacing w:after="0" w:line="240" w:lineRule="auto"/>
        <w:jc w:val="both"/>
        <w:rPr>
          <w:rFonts w:cs="Arial"/>
        </w:rPr>
      </w:pPr>
      <w:r>
        <w:rPr>
          <w:rFonts w:cs="Arial"/>
        </w:rPr>
        <w:t>m</w:t>
      </w:r>
      <w:r w:rsidR="00282E35" w:rsidRPr="00A01559">
        <w:rPr>
          <w:rFonts w:cs="Arial"/>
        </w:rPr>
        <w:t>iss out on school, have lower GCSE results than peers and be NEET, or if employed be in a lower skilled occupation</w:t>
      </w:r>
    </w:p>
    <w:p w:rsidR="00282E35" w:rsidRPr="00A01559" w:rsidRDefault="0076680B" w:rsidP="008921BF">
      <w:pPr>
        <w:pStyle w:val="ListParagraph"/>
        <w:numPr>
          <w:ilvl w:val="0"/>
          <w:numId w:val="109"/>
        </w:numPr>
        <w:spacing w:after="0" w:line="240" w:lineRule="auto"/>
        <w:jc w:val="both"/>
        <w:rPr>
          <w:rFonts w:cs="Arial"/>
        </w:rPr>
      </w:pPr>
      <w:r>
        <w:rPr>
          <w:rFonts w:cs="Arial"/>
        </w:rPr>
        <w:t>h</w:t>
      </w:r>
      <w:r w:rsidR="00282E35" w:rsidRPr="00A01559">
        <w:rPr>
          <w:rFonts w:cs="Arial"/>
        </w:rPr>
        <w:t xml:space="preserve">ave </w:t>
      </w:r>
      <w:r w:rsidR="00282E35" w:rsidRPr="00A01559">
        <w:rPr>
          <w:rFonts w:cs="Arial"/>
          <w:bCs/>
        </w:rPr>
        <w:t>parents</w:t>
      </w:r>
      <w:r w:rsidR="00282E35" w:rsidRPr="00A01559">
        <w:rPr>
          <w:rFonts w:cs="Arial"/>
        </w:rPr>
        <w:t xml:space="preserve"> who are </w:t>
      </w:r>
      <w:r w:rsidR="00282E35" w:rsidRPr="00A01559">
        <w:rPr>
          <w:rFonts w:cs="Arial"/>
          <w:bCs/>
        </w:rPr>
        <w:t>not in work</w:t>
      </w:r>
      <w:r w:rsidR="00282E35" w:rsidRPr="00A01559">
        <w:rPr>
          <w:rFonts w:cs="Arial"/>
        </w:rPr>
        <w:t xml:space="preserve">, one with a </w:t>
      </w:r>
      <w:r w:rsidR="00282E35" w:rsidRPr="00A01559">
        <w:rPr>
          <w:rFonts w:cs="Arial"/>
          <w:bCs/>
        </w:rPr>
        <w:t>disability</w:t>
      </w:r>
      <w:r w:rsidR="00282E35" w:rsidRPr="00A01559">
        <w:rPr>
          <w:rFonts w:cs="Arial"/>
        </w:rPr>
        <w:t xml:space="preserve"> and</w:t>
      </w:r>
      <w:r w:rsidR="00282E35" w:rsidRPr="00A01559">
        <w:rPr>
          <w:rFonts w:cs="Arial"/>
          <w:bCs/>
        </w:rPr>
        <w:t xml:space="preserve"> a mother with no educational qualifications</w:t>
      </w:r>
    </w:p>
    <w:p w:rsidR="00282E35" w:rsidRPr="00A01559" w:rsidRDefault="0076680B" w:rsidP="008921BF">
      <w:pPr>
        <w:pStyle w:val="ListParagraph"/>
        <w:numPr>
          <w:ilvl w:val="0"/>
          <w:numId w:val="109"/>
        </w:numPr>
        <w:spacing w:after="0" w:line="240" w:lineRule="auto"/>
        <w:jc w:val="both"/>
        <w:rPr>
          <w:rFonts w:cs="Arial"/>
        </w:rPr>
      </w:pPr>
      <w:r>
        <w:rPr>
          <w:rFonts w:cs="Arial"/>
        </w:rPr>
        <w:t>h</w:t>
      </w:r>
      <w:r w:rsidR="00282E35" w:rsidRPr="00A01559">
        <w:rPr>
          <w:rFonts w:cs="Arial"/>
        </w:rPr>
        <w:t xml:space="preserve">ave a </w:t>
      </w:r>
      <w:r w:rsidR="00282E35" w:rsidRPr="00A01559">
        <w:rPr>
          <w:rFonts w:cs="Arial"/>
          <w:bCs/>
        </w:rPr>
        <w:t xml:space="preserve">lower family income </w:t>
      </w:r>
      <w:r w:rsidR="00282E35" w:rsidRPr="00A01559">
        <w:rPr>
          <w:rFonts w:cs="Arial"/>
        </w:rPr>
        <w:t xml:space="preserve">and </w:t>
      </w:r>
      <w:r w:rsidR="00282E35" w:rsidRPr="00A01559">
        <w:rPr>
          <w:rFonts w:cs="Arial"/>
          <w:bCs/>
        </w:rPr>
        <w:t xml:space="preserve">more than three children </w:t>
      </w:r>
      <w:r w:rsidR="00282E35" w:rsidRPr="00A01559">
        <w:rPr>
          <w:rFonts w:cs="Arial"/>
        </w:rPr>
        <w:t>in their family</w:t>
      </w:r>
    </w:p>
    <w:p w:rsidR="00282E35" w:rsidRPr="00A01559" w:rsidRDefault="0076680B" w:rsidP="008921BF">
      <w:pPr>
        <w:pStyle w:val="ListParagraph"/>
        <w:numPr>
          <w:ilvl w:val="0"/>
          <w:numId w:val="109"/>
        </w:numPr>
        <w:spacing w:after="0" w:line="240" w:lineRule="auto"/>
        <w:jc w:val="both"/>
        <w:rPr>
          <w:rFonts w:cs="Arial"/>
        </w:rPr>
      </w:pPr>
      <w:r>
        <w:rPr>
          <w:rFonts w:cs="Arial"/>
        </w:rPr>
        <w:t>n</w:t>
      </w:r>
      <w:r w:rsidR="00282E35" w:rsidRPr="00A01559">
        <w:rPr>
          <w:rFonts w:cs="Arial"/>
        </w:rPr>
        <w:t xml:space="preserve">ot </w:t>
      </w:r>
      <w:r w:rsidR="00282E35" w:rsidRPr="00A01559">
        <w:rPr>
          <w:rFonts w:cs="Arial"/>
          <w:bCs/>
        </w:rPr>
        <w:t>be in contact wi</w:t>
      </w:r>
      <w:r>
        <w:rPr>
          <w:rFonts w:cs="Arial"/>
          <w:bCs/>
        </w:rPr>
        <w:t>th support agencies.</w:t>
      </w:r>
    </w:p>
    <w:p w:rsidR="00282E35" w:rsidRPr="00B1135D" w:rsidRDefault="00282E35" w:rsidP="00282E35">
      <w:pPr>
        <w:spacing w:after="0"/>
        <w:jc w:val="both"/>
        <w:rPr>
          <w:rFonts w:cs="Arial"/>
        </w:rPr>
      </w:pPr>
    </w:p>
    <w:p w:rsidR="00282E35" w:rsidRPr="00B1135D" w:rsidRDefault="00282E35" w:rsidP="00282E35">
      <w:pPr>
        <w:spacing w:after="0"/>
        <w:jc w:val="both"/>
        <w:rPr>
          <w:rFonts w:cs="Arial"/>
        </w:rPr>
      </w:pPr>
      <w:r w:rsidRPr="00B1135D">
        <w:rPr>
          <w:rFonts w:cs="Arial"/>
        </w:rPr>
        <w:t xml:space="preserve">The current lead provider in Barnet of support services to young </w:t>
      </w:r>
      <w:r w:rsidR="00DD3A76" w:rsidRPr="00B1135D">
        <w:rPr>
          <w:rFonts w:cs="Arial"/>
        </w:rPr>
        <w:t>carers</w:t>
      </w:r>
      <w:r w:rsidRPr="00B1135D">
        <w:rPr>
          <w:rFonts w:cs="Arial"/>
        </w:rPr>
        <w:t xml:space="preserve"> provides support through respite clubs, counselling and mentoring. A school liaison service is provided which delivers support using leaflets, 1:1’s and group work</w:t>
      </w:r>
      <w:r>
        <w:rPr>
          <w:rFonts w:cs="Arial"/>
        </w:rPr>
        <w:t>,</w:t>
      </w:r>
      <w:r w:rsidRPr="00B1135D">
        <w:rPr>
          <w:rFonts w:cs="Arial"/>
        </w:rPr>
        <w:t xml:space="preserve"> as well as presentations to increase the awareness of, and identify young carers. There is also a service to provide help to young carers affected by drug or alcohol misuse by parents or siblings and a service which provides specific assessments and focuses on transitional issues such as education, training and work.</w:t>
      </w:r>
    </w:p>
    <w:p w:rsidR="00282E35" w:rsidRPr="00B1135D" w:rsidRDefault="00282E35" w:rsidP="00282E35">
      <w:pPr>
        <w:spacing w:after="0"/>
        <w:jc w:val="both"/>
        <w:rPr>
          <w:rFonts w:cs="Arial"/>
        </w:rPr>
      </w:pPr>
    </w:p>
    <w:p w:rsidR="00282E35" w:rsidRDefault="00282E35" w:rsidP="00282E35">
      <w:pPr>
        <w:spacing w:after="0"/>
        <w:jc w:val="both"/>
        <w:rPr>
          <w:rFonts w:cs="Arial"/>
        </w:rPr>
      </w:pPr>
      <w:r w:rsidRPr="00B1135D">
        <w:rPr>
          <w:rFonts w:cs="Arial"/>
        </w:rPr>
        <w:t>The Care Act 2014 and the Children and Families Act 2014 together provide a framework to ensure inappropriate caring for young people is prevented or reduced and whole family needs are met. The Acts give young</w:t>
      </w:r>
      <w:r w:rsidR="0076680B">
        <w:rPr>
          <w:rFonts w:cs="Arial"/>
        </w:rPr>
        <w:t xml:space="preserve"> carers</w:t>
      </w:r>
      <w:r w:rsidRPr="00B1135D">
        <w:rPr>
          <w:rFonts w:cs="Arial"/>
        </w:rPr>
        <w:t xml:space="preserve"> and parent</w:t>
      </w:r>
      <w:r w:rsidR="0076680B">
        <w:rPr>
          <w:rFonts w:cs="Arial"/>
        </w:rPr>
        <w:t>s</w:t>
      </w:r>
      <w:r w:rsidRPr="00B1135D">
        <w:rPr>
          <w:rFonts w:cs="Arial"/>
        </w:rPr>
        <w:t xml:space="preserve"> similar rights to assessment as other carers have under the Care Act. </w:t>
      </w:r>
      <w:r>
        <w:rPr>
          <w:rFonts w:cs="Arial"/>
        </w:rPr>
        <w:t>F</w:t>
      </w:r>
      <w:r w:rsidRPr="00B1135D">
        <w:rPr>
          <w:rFonts w:cs="Arial"/>
        </w:rPr>
        <w:t>or the first time carers are being recognised by law in the same way as those they care for and are eligi</w:t>
      </w:r>
      <w:r>
        <w:rPr>
          <w:rFonts w:cs="Arial"/>
        </w:rPr>
        <w:t>ble for assessment and support.</w:t>
      </w:r>
    </w:p>
    <w:p w:rsidR="00282E35" w:rsidRPr="008650E7" w:rsidRDefault="00282E35" w:rsidP="00282E35">
      <w:pPr>
        <w:spacing w:after="0"/>
        <w:jc w:val="both"/>
        <w:rPr>
          <w:rFonts w:cs="Arial"/>
        </w:rPr>
      </w:pPr>
    </w:p>
    <w:p w:rsidR="00282E35" w:rsidRPr="00B1135D" w:rsidRDefault="00282E35" w:rsidP="00282E35">
      <w:pPr>
        <w:spacing w:after="0"/>
        <w:jc w:val="both"/>
        <w:rPr>
          <w:rFonts w:cs="Arial"/>
        </w:rPr>
      </w:pPr>
      <w:r w:rsidRPr="00B1135D">
        <w:rPr>
          <w:rFonts w:cs="Arial"/>
          <w:bCs/>
        </w:rPr>
        <w:t>In line with recent legislative changes</w:t>
      </w:r>
      <w:r>
        <w:rPr>
          <w:rFonts w:cs="Arial"/>
          <w:bCs/>
        </w:rPr>
        <w:t>,</w:t>
      </w:r>
      <w:r w:rsidRPr="00B1135D">
        <w:rPr>
          <w:rFonts w:cs="Arial"/>
          <w:bCs/>
        </w:rPr>
        <w:t xml:space="preserve"> Barnet will develop a strategy for the vision and </w:t>
      </w:r>
      <w:r w:rsidR="0076680B">
        <w:rPr>
          <w:rFonts w:cs="Arial"/>
          <w:bCs/>
        </w:rPr>
        <w:t>future delivery of young carers’</w:t>
      </w:r>
      <w:r w:rsidRPr="00B1135D">
        <w:rPr>
          <w:rFonts w:cs="Arial"/>
          <w:bCs/>
        </w:rPr>
        <w:t xml:space="preserve"> services alongside a needs analysis to ensure service delivery is needs led. </w:t>
      </w:r>
      <w:r w:rsidRPr="00B1135D">
        <w:rPr>
          <w:rFonts w:cs="Arial"/>
        </w:rPr>
        <w:t>Barnet will continue to improve outcomes for young carers and their families. Prioriti</w:t>
      </w:r>
      <w:r w:rsidR="0076680B">
        <w:rPr>
          <w:rFonts w:cs="Arial"/>
        </w:rPr>
        <w:t>es in order to do this include:</w:t>
      </w:r>
    </w:p>
    <w:p w:rsidR="00282E35" w:rsidRPr="00B1135D" w:rsidRDefault="00282E35" w:rsidP="00282E35">
      <w:pPr>
        <w:spacing w:after="0"/>
        <w:jc w:val="both"/>
        <w:rPr>
          <w:rFonts w:cs="Arial"/>
          <w:lang w:eastAsia="en-GB"/>
        </w:rPr>
      </w:pPr>
    </w:p>
    <w:p w:rsidR="00282E35" w:rsidRPr="00240FD4" w:rsidRDefault="00C80C19" w:rsidP="008921BF">
      <w:pPr>
        <w:numPr>
          <w:ilvl w:val="0"/>
          <w:numId w:val="92"/>
        </w:numPr>
        <w:spacing w:after="0" w:line="240" w:lineRule="auto"/>
        <w:jc w:val="both"/>
        <w:rPr>
          <w:rFonts w:cs="Arial"/>
          <w:lang w:eastAsia="en-GB"/>
        </w:rPr>
      </w:pPr>
      <w:r>
        <w:rPr>
          <w:rFonts w:cs="Arial"/>
          <w:lang w:eastAsia="en-GB"/>
        </w:rPr>
        <w:t>P</w:t>
      </w:r>
      <w:r w:rsidR="00282E35" w:rsidRPr="00B1135D">
        <w:rPr>
          <w:rFonts w:cs="Arial"/>
          <w:lang w:eastAsia="en-GB"/>
        </w:rPr>
        <w:t>roactive identification through training and raising awareness amongst key practitioners and partner agencies to ensure young carers do not remain hidden</w:t>
      </w:r>
    </w:p>
    <w:p w:rsidR="00282E35" w:rsidRPr="00B1135D" w:rsidRDefault="00C80C19" w:rsidP="008921BF">
      <w:pPr>
        <w:numPr>
          <w:ilvl w:val="0"/>
          <w:numId w:val="92"/>
        </w:numPr>
        <w:spacing w:after="0" w:line="240" w:lineRule="auto"/>
        <w:jc w:val="both"/>
        <w:rPr>
          <w:rFonts w:cs="Arial"/>
          <w:lang w:eastAsia="en-GB"/>
        </w:rPr>
      </w:pPr>
      <w:r>
        <w:rPr>
          <w:rFonts w:cs="Arial"/>
          <w:lang w:eastAsia="en-GB"/>
        </w:rPr>
        <w:t>S</w:t>
      </w:r>
      <w:r w:rsidR="00282E35" w:rsidRPr="00B1135D">
        <w:rPr>
          <w:rFonts w:cs="Arial"/>
          <w:lang w:eastAsia="en-GB"/>
        </w:rPr>
        <w:t>trengthening referral pathways</w:t>
      </w:r>
      <w:r w:rsidR="0076680B">
        <w:rPr>
          <w:rFonts w:cs="Arial"/>
          <w:lang w:eastAsia="en-GB"/>
        </w:rPr>
        <w:t>.</w:t>
      </w:r>
      <w:r w:rsidR="00282E35" w:rsidRPr="00B1135D">
        <w:rPr>
          <w:rFonts w:cs="Arial"/>
          <w:lang w:eastAsia="en-GB"/>
        </w:rPr>
        <w:t xml:space="preserve"> </w:t>
      </w:r>
    </w:p>
    <w:p w:rsidR="00282E35" w:rsidRPr="00B1135D" w:rsidRDefault="00C80C19" w:rsidP="008921BF">
      <w:pPr>
        <w:numPr>
          <w:ilvl w:val="0"/>
          <w:numId w:val="92"/>
        </w:numPr>
        <w:spacing w:after="0" w:line="240" w:lineRule="auto"/>
        <w:jc w:val="both"/>
        <w:rPr>
          <w:rFonts w:cs="Times New Roman"/>
          <w:lang w:eastAsia="en-GB"/>
        </w:rPr>
      </w:pPr>
      <w:r>
        <w:rPr>
          <w:rFonts w:cs="Arial"/>
          <w:lang w:eastAsia="en-GB"/>
        </w:rPr>
        <w:t>J</w:t>
      </w:r>
      <w:r w:rsidR="00282E35" w:rsidRPr="00B1135D">
        <w:rPr>
          <w:rFonts w:cs="Arial"/>
          <w:lang w:eastAsia="en-GB"/>
        </w:rPr>
        <w:t>oint working with Adults and Communities delivery unit to undertake appropriate whole family approach assessments to prevent young carers providing inappropriate levels of care and ensure whole family needs are met.</w:t>
      </w:r>
      <w:r w:rsidR="00282E35" w:rsidRPr="00B1135D">
        <w:rPr>
          <w:rFonts w:cs="Times New Roman"/>
          <w:lang w:eastAsia="en-GB"/>
        </w:rPr>
        <w:t xml:space="preserve"> </w:t>
      </w:r>
    </w:p>
    <w:p w:rsidR="00282E35" w:rsidRPr="00B1135D" w:rsidRDefault="00C80C19" w:rsidP="008921BF">
      <w:pPr>
        <w:numPr>
          <w:ilvl w:val="0"/>
          <w:numId w:val="92"/>
        </w:numPr>
        <w:spacing w:after="0" w:line="240" w:lineRule="auto"/>
        <w:jc w:val="both"/>
        <w:rPr>
          <w:rFonts w:cs="Arial"/>
          <w:lang w:eastAsia="en-GB"/>
        </w:rPr>
      </w:pPr>
      <w:r>
        <w:rPr>
          <w:rFonts w:cs="Arial"/>
          <w:lang w:eastAsia="en-GB"/>
        </w:rPr>
        <w:t>P</w:t>
      </w:r>
      <w:r w:rsidR="00282E35" w:rsidRPr="00B1135D">
        <w:rPr>
          <w:rFonts w:cs="Arial"/>
          <w:lang w:eastAsia="en-GB"/>
        </w:rPr>
        <w:t>roviding individualised, tailored and appropriate support to young carers so each young carer can achieve their potential and have the same opportunities to progress in life as their peers.</w:t>
      </w:r>
    </w:p>
    <w:p w:rsidR="00282E35" w:rsidRPr="00B1135D" w:rsidRDefault="00C80C19" w:rsidP="008921BF">
      <w:pPr>
        <w:numPr>
          <w:ilvl w:val="0"/>
          <w:numId w:val="92"/>
        </w:numPr>
        <w:spacing w:after="0" w:line="240" w:lineRule="auto"/>
        <w:jc w:val="both"/>
        <w:rPr>
          <w:rFonts w:cs="Arial"/>
          <w:lang w:eastAsia="en-GB"/>
        </w:rPr>
      </w:pPr>
      <w:r>
        <w:rPr>
          <w:rFonts w:cs="Arial"/>
          <w:lang w:eastAsia="en-GB"/>
        </w:rPr>
        <w:t>E</w:t>
      </w:r>
      <w:r w:rsidR="00282E35" w:rsidRPr="00B1135D">
        <w:rPr>
          <w:rFonts w:cs="Arial"/>
          <w:lang w:eastAsia="en-GB"/>
        </w:rPr>
        <w:t xml:space="preserve">nsuring young carers are signposted to and </w:t>
      </w:r>
      <w:r w:rsidR="00DD3A76" w:rsidRPr="00B1135D">
        <w:rPr>
          <w:rFonts w:cs="Arial"/>
          <w:lang w:eastAsia="en-GB"/>
        </w:rPr>
        <w:t>access existing</w:t>
      </w:r>
      <w:r w:rsidR="00282E35" w:rsidRPr="00B1135D">
        <w:rPr>
          <w:rFonts w:cs="Arial"/>
          <w:lang w:eastAsia="en-GB"/>
        </w:rPr>
        <w:t xml:space="preserve"> mainstream as well as specialist support services</w:t>
      </w:r>
      <w:r w:rsidR="0076680B">
        <w:rPr>
          <w:rFonts w:cs="Arial"/>
          <w:lang w:eastAsia="en-GB"/>
        </w:rPr>
        <w:t>.</w:t>
      </w:r>
    </w:p>
    <w:p w:rsidR="00282E35" w:rsidRPr="00B1135D" w:rsidRDefault="00C80C19" w:rsidP="008921BF">
      <w:pPr>
        <w:numPr>
          <w:ilvl w:val="0"/>
          <w:numId w:val="92"/>
        </w:numPr>
        <w:spacing w:after="0" w:line="240" w:lineRule="auto"/>
        <w:jc w:val="both"/>
        <w:rPr>
          <w:rFonts w:cs="Arial"/>
          <w:lang w:eastAsia="en-GB"/>
        </w:rPr>
      </w:pPr>
      <w:r>
        <w:rPr>
          <w:rFonts w:cs="Arial"/>
          <w:lang w:eastAsia="en-GB"/>
        </w:rPr>
        <w:t>P</w:t>
      </w:r>
      <w:r w:rsidR="00282E35" w:rsidRPr="00B1135D">
        <w:rPr>
          <w:rFonts w:cs="Arial"/>
          <w:lang w:eastAsia="en-GB"/>
        </w:rPr>
        <w:t>rovide transitions assessments and planning to support young carers prepare for adulthood and raise and fulfil their aspirations</w:t>
      </w:r>
      <w:r w:rsidR="0076680B">
        <w:rPr>
          <w:rFonts w:cs="Arial"/>
          <w:lang w:eastAsia="en-GB"/>
        </w:rPr>
        <w:t>.</w:t>
      </w:r>
    </w:p>
    <w:p w:rsidR="00282E35" w:rsidRPr="002A496F" w:rsidRDefault="00282E35" w:rsidP="00282E35">
      <w:pPr>
        <w:pStyle w:val="Heading3"/>
        <w:jc w:val="both"/>
      </w:pPr>
      <w:r>
        <w:t>Scale</w:t>
      </w:r>
    </w:p>
    <w:p w:rsidR="00282E35" w:rsidRPr="002A496F" w:rsidRDefault="00C80C19" w:rsidP="008921BF">
      <w:pPr>
        <w:numPr>
          <w:ilvl w:val="0"/>
          <w:numId w:val="110"/>
        </w:numPr>
        <w:spacing w:after="0"/>
        <w:contextualSpacing/>
        <w:jc w:val="both"/>
        <w:rPr>
          <w:rFonts w:cs="Arial"/>
        </w:rPr>
      </w:pPr>
      <w:r>
        <w:rPr>
          <w:rFonts w:cs="Arial"/>
        </w:rPr>
        <w:t>T</w:t>
      </w:r>
      <w:r w:rsidR="00282E35" w:rsidRPr="002A496F">
        <w:rPr>
          <w:rFonts w:cs="Arial"/>
        </w:rPr>
        <w:t>he number of young carers in the UK has increased by 20% from 2001 to 2011.</w:t>
      </w:r>
    </w:p>
    <w:p w:rsidR="00282E35" w:rsidRPr="008650E7" w:rsidRDefault="00C80C19" w:rsidP="008921BF">
      <w:pPr>
        <w:numPr>
          <w:ilvl w:val="0"/>
          <w:numId w:val="110"/>
        </w:numPr>
        <w:spacing w:after="0"/>
        <w:contextualSpacing/>
        <w:jc w:val="both"/>
        <w:rPr>
          <w:rFonts w:cs="Arial"/>
        </w:rPr>
      </w:pPr>
      <w:r>
        <w:rPr>
          <w:rFonts w:cs="Arial"/>
        </w:rPr>
        <w:t>H</w:t>
      </w:r>
      <w:r w:rsidR="00282E35" w:rsidRPr="002A496F">
        <w:rPr>
          <w:rFonts w:cs="Arial"/>
        </w:rPr>
        <w:t>owever</w:t>
      </w:r>
      <w:r w:rsidR="00282E35">
        <w:rPr>
          <w:rFonts w:cs="Arial"/>
        </w:rPr>
        <w:t>,</w:t>
      </w:r>
      <w:r w:rsidR="00282E35" w:rsidRPr="002A496F">
        <w:rPr>
          <w:rFonts w:cs="Arial"/>
        </w:rPr>
        <w:t xml:space="preserve"> in Barnet the numbers of young carers has increased by 30% to 1,191 young carers which is 2% of the under 18 population.</w:t>
      </w:r>
    </w:p>
    <w:p w:rsidR="00282E35" w:rsidRPr="00C80C19" w:rsidRDefault="00C80C19" w:rsidP="008921BF">
      <w:pPr>
        <w:numPr>
          <w:ilvl w:val="0"/>
          <w:numId w:val="110"/>
        </w:numPr>
        <w:spacing w:after="0"/>
        <w:contextualSpacing/>
        <w:jc w:val="both"/>
        <w:rPr>
          <w:rFonts w:cs="Arial"/>
        </w:rPr>
      </w:pPr>
      <w:r w:rsidRPr="00C80C19">
        <w:rPr>
          <w:rFonts w:cs="Arial"/>
        </w:rPr>
        <w:t>R</w:t>
      </w:r>
      <w:r w:rsidR="00282E35" w:rsidRPr="00C80C19">
        <w:rPr>
          <w:rFonts w:cs="Arial"/>
        </w:rPr>
        <w:t xml:space="preserve">esearch estimates </w:t>
      </w:r>
      <w:r w:rsidR="0076680B" w:rsidRPr="00C80C19">
        <w:rPr>
          <w:rFonts w:cs="Arial"/>
        </w:rPr>
        <w:t xml:space="preserve">that </w:t>
      </w:r>
      <w:r w:rsidR="00282E35" w:rsidRPr="00C80C19">
        <w:rPr>
          <w:rFonts w:cs="Arial"/>
        </w:rPr>
        <w:t>there could be up to four times more young carers</w:t>
      </w:r>
      <w:r w:rsidR="0076680B" w:rsidRPr="00C80C19">
        <w:rPr>
          <w:rFonts w:cs="Arial"/>
        </w:rPr>
        <w:t>.</w:t>
      </w:r>
      <w:r>
        <w:rPr>
          <w:rFonts w:cs="Arial"/>
        </w:rPr>
        <w:t xml:space="preserve"> </w:t>
      </w:r>
      <w:r w:rsidRPr="00C80C19">
        <w:rPr>
          <w:rFonts w:cs="Arial"/>
        </w:rPr>
        <w:t>U</w:t>
      </w:r>
      <w:r w:rsidR="00282E35" w:rsidRPr="00C80C19">
        <w:rPr>
          <w:rFonts w:cs="Arial"/>
        </w:rPr>
        <w:t xml:space="preserve">sing these estimates, young carers as a percentage of the 0 - 18 population in Barnet increases from to </w:t>
      </w:r>
      <w:r w:rsidR="00282E35" w:rsidRPr="00C80C19">
        <w:rPr>
          <w:rFonts w:cs="Arial"/>
        </w:rPr>
        <w:lastRenderedPageBreak/>
        <w:t xml:space="preserve">2% to 8%. This would mean nearly 1 in 10 children and young people are providing some level of unpaid care. </w:t>
      </w:r>
    </w:p>
    <w:p w:rsidR="00282E35" w:rsidRPr="008650E7" w:rsidRDefault="00C80C19" w:rsidP="008921BF">
      <w:pPr>
        <w:numPr>
          <w:ilvl w:val="0"/>
          <w:numId w:val="110"/>
        </w:numPr>
        <w:spacing w:after="0"/>
        <w:contextualSpacing/>
        <w:jc w:val="both"/>
        <w:rPr>
          <w:rFonts w:cs="Arial"/>
        </w:rPr>
      </w:pPr>
      <w:r>
        <w:rPr>
          <w:rFonts w:cs="Arial"/>
        </w:rPr>
        <w:t>T</w:t>
      </w:r>
      <w:r w:rsidR="00282E35" w:rsidRPr="002A496F">
        <w:rPr>
          <w:rFonts w:cs="Arial"/>
        </w:rPr>
        <w:t xml:space="preserve">he provider of young carers’ services in Barnet has 627 young carers registered (April 2015). </w:t>
      </w:r>
    </w:p>
    <w:p w:rsidR="00282E35" w:rsidRPr="002A496F" w:rsidRDefault="00282E35" w:rsidP="00282E35">
      <w:pPr>
        <w:pStyle w:val="Heading3"/>
        <w:jc w:val="both"/>
      </w:pPr>
      <w:r w:rsidRPr="002A496F">
        <w:t>Age</w:t>
      </w:r>
    </w:p>
    <w:p w:rsidR="00282E35" w:rsidRPr="00A01559" w:rsidRDefault="00282E35" w:rsidP="008921BF">
      <w:pPr>
        <w:pStyle w:val="ListParagraph"/>
        <w:numPr>
          <w:ilvl w:val="0"/>
          <w:numId w:val="111"/>
        </w:numPr>
        <w:spacing w:after="0"/>
        <w:jc w:val="both"/>
        <w:rPr>
          <w:rFonts w:cs="Arial"/>
        </w:rPr>
      </w:pPr>
      <w:r w:rsidRPr="00A01559">
        <w:rPr>
          <w:rFonts w:cs="Arial"/>
        </w:rPr>
        <w:t xml:space="preserve">In Barnet there are high proportions of </w:t>
      </w:r>
      <w:r w:rsidR="00C80C19">
        <w:rPr>
          <w:rFonts w:cs="Arial"/>
        </w:rPr>
        <w:t>young carers under the age of ten</w:t>
      </w:r>
      <w:r w:rsidRPr="00A01559">
        <w:rPr>
          <w:rFonts w:cs="Arial"/>
        </w:rPr>
        <w:t xml:space="preserve"> and between 16 and 24</w:t>
      </w:r>
      <w:r>
        <w:rPr>
          <w:rFonts w:cs="Arial"/>
        </w:rPr>
        <w:t>:</w:t>
      </w:r>
    </w:p>
    <w:p w:rsidR="00282E35" w:rsidRPr="00A01559" w:rsidRDefault="00C80C19" w:rsidP="008921BF">
      <w:pPr>
        <w:pStyle w:val="ListParagraph"/>
        <w:numPr>
          <w:ilvl w:val="1"/>
          <w:numId w:val="111"/>
        </w:numPr>
        <w:spacing w:after="0"/>
        <w:jc w:val="both"/>
        <w:rPr>
          <w:rFonts w:cs="Arial"/>
        </w:rPr>
      </w:pPr>
      <w:r>
        <w:rPr>
          <w:rFonts w:cs="Arial"/>
        </w:rPr>
        <w:t>One in eight are under ten</w:t>
      </w:r>
      <w:r w:rsidR="00282E35" w:rsidRPr="00A01559">
        <w:rPr>
          <w:rFonts w:cs="Arial"/>
        </w:rPr>
        <w:t xml:space="preserve"> years </w:t>
      </w:r>
    </w:p>
    <w:p w:rsidR="00282E35" w:rsidRPr="00A01559" w:rsidRDefault="00282E35" w:rsidP="008921BF">
      <w:pPr>
        <w:pStyle w:val="ListParagraph"/>
        <w:numPr>
          <w:ilvl w:val="1"/>
          <w:numId w:val="111"/>
        </w:numPr>
        <w:spacing w:after="0"/>
        <w:jc w:val="both"/>
        <w:rPr>
          <w:rFonts w:cs="Arial"/>
        </w:rPr>
      </w:pPr>
      <w:r w:rsidRPr="00A01559">
        <w:rPr>
          <w:rFonts w:cs="Arial"/>
        </w:rPr>
        <w:t xml:space="preserve">Two thirds of 0 – 24 year olds were aged 18 - 24 </w:t>
      </w:r>
    </w:p>
    <w:p w:rsidR="00282E35" w:rsidRPr="00A01559" w:rsidRDefault="00282E35" w:rsidP="008921BF">
      <w:pPr>
        <w:pStyle w:val="ListParagraph"/>
        <w:numPr>
          <w:ilvl w:val="0"/>
          <w:numId w:val="111"/>
        </w:numPr>
        <w:spacing w:after="0"/>
        <w:jc w:val="both"/>
        <w:rPr>
          <w:rFonts w:cs="Arial"/>
        </w:rPr>
      </w:pPr>
      <w:r w:rsidRPr="00A01559">
        <w:rPr>
          <w:rFonts w:cs="Arial"/>
        </w:rPr>
        <w:t>Provider data shows good identification of children and young people under 15 years old. However</w:t>
      </w:r>
      <w:r w:rsidR="00C80C19">
        <w:rPr>
          <w:rFonts w:cs="Arial"/>
        </w:rPr>
        <w:t>,</w:t>
      </w:r>
      <w:r w:rsidRPr="00A01559">
        <w:rPr>
          <w:rFonts w:cs="Arial"/>
        </w:rPr>
        <w:t xml:space="preserve"> there is a large gap in identification of 16 – 17 year olds. Evidence shows a clear association between being a young carer at 16 – 19 and being NEET.</w:t>
      </w:r>
    </w:p>
    <w:p w:rsidR="00282E35" w:rsidRPr="00A01559" w:rsidRDefault="00C80C19" w:rsidP="008921BF">
      <w:pPr>
        <w:pStyle w:val="ListParagraph"/>
        <w:numPr>
          <w:ilvl w:val="0"/>
          <w:numId w:val="111"/>
        </w:numPr>
        <w:spacing w:after="0"/>
        <w:jc w:val="both"/>
        <w:rPr>
          <w:rFonts w:cs="Arial"/>
        </w:rPr>
      </w:pPr>
      <w:r>
        <w:rPr>
          <w:rFonts w:cs="Arial"/>
        </w:rPr>
        <w:t xml:space="preserve">There </w:t>
      </w:r>
      <w:r w:rsidR="00DD3A76">
        <w:rPr>
          <w:rFonts w:cs="Arial"/>
        </w:rPr>
        <w:t>is</w:t>
      </w:r>
      <w:r>
        <w:rPr>
          <w:rFonts w:cs="Arial"/>
        </w:rPr>
        <w:t xml:space="preserve"> a need </w:t>
      </w:r>
      <w:r w:rsidR="00282E35" w:rsidRPr="00A01559">
        <w:rPr>
          <w:rFonts w:cs="Arial"/>
        </w:rPr>
        <w:t>to ensure sufficient support for you</w:t>
      </w:r>
      <w:r>
        <w:rPr>
          <w:rFonts w:cs="Arial"/>
        </w:rPr>
        <w:t>ng carers under nine</w:t>
      </w:r>
      <w:r w:rsidR="00282E35" w:rsidRPr="00A01559">
        <w:rPr>
          <w:rFonts w:cs="Arial"/>
        </w:rPr>
        <w:t xml:space="preserve"> as well as increased identification and support for young carers in transition age. This needs to be addressed in</w:t>
      </w:r>
      <w:r>
        <w:rPr>
          <w:rFonts w:cs="Arial"/>
        </w:rPr>
        <w:t xml:space="preserve"> a</w:t>
      </w:r>
      <w:r w:rsidR="00282E35" w:rsidRPr="00A01559">
        <w:rPr>
          <w:rFonts w:cs="Arial"/>
        </w:rPr>
        <w:t xml:space="preserve"> joint commissioning process.</w:t>
      </w:r>
    </w:p>
    <w:p w:rsidR="00282E35" w:rsidRPr="002A496F" w:rsidRDefault="00DD3A76" w:rsidP="00282E35">
      <w:pPr>
        <w:pStyle w:val="Heading3"/>
        <w:jc w:val="both"/>
      </w:pPr>
      <w:r>
        <w:t>Ethnicity</w:t>
      </w:r>
    </w:p>
    <w:p w:rsidR="00282E35" w:rsidRPr="002A496F" w:rsidRDefault="00282E35" w:rsidP="00282E35">
      <w:pPr>
        <w:spacing w:after="0"/>
        <w:ind w:left="360"/>
        <w:contextualSpacing/>
        <w:jc w:val="both"/>
      </w:pPr>
      <w:r w:rsidRPr="002A496F">
        <w:rPr>
          <w:rFonts w:cs="Arial"/>
        </w:rPr>
        <w:t>National research shows young carers are 1.5 times more likely to be B</w:t>
      </w:r>
      <w:r w:rsidR="00C80C19">
        <w:rPr>
          <w:rFonts w:cs="Arial"/>
        </w:rPr>
        <w:t>lack</w:t>
      </w:r>
      <w:r w:rsidR="00FF38EA">
        <w:rPr>
          <w:rFonts w:cs="Arial"/>
        </w:rPr>
        <w:t>,</w:t>
      </w:r>
      <w:r w:rsidR="00C80C19">
        <w:rPr>
          <w:rFonts w:cs="Arial"/>
        </w:rPr>
        <w:t xml:space="preserve"> or Minority Ethnic </w:t>
      </w:r>
      <w:r w:rsidRPr="002A496F">
        <w:rPr>
          <w:rFonts w:cs="Arial"/>
        </w:rPr>
        <w:t>and less likely to identify as a young carer. In Barnet younger cohorts are more diverse than older age groups. This confirms the need to ensure sufficient identification and support for children under 10.</w:t>
      </w:r>
    </w:p>
    <w:p w:rsidR="00282E35" w:rsidRPr="002A496F" w:rsidRDefault="00282E35" w:rsidP="00282E35">
      <w:pPr>
        <w:pStyle w:val="Heading3"/>
        <w:jc w:val="both"/>
      </w:pPr>
      <w:r w:rsidRPr="002A496F">
        <w:t>Disability, long term illness, SEN</w:t>
      </w:r>
    </w:p>
    <w:p w:rsidR="00282E35" w:rsidRPr="002A496F" w:rsidRDefault="00282E35" w:rsidP="008921BF">
      <w:pPr>
        <w:pStyle w:val="ListParagraph"/>
        <w:numPr>
          <w:ilvl w:val="0"/>
          <w:numId w:val="98"/>
        </w:numPr>
        <w:jc w:val="both"/>
      </w:pPr>
      <w:r w:rsidRPr="008F0F7A">
        <w:rPr>
          <w:rFonts w:cs="Arial"/>
        </w:rPr>
        <w:t xml:space="preserve">National research shows young carers are 1.5 times more likely to have a disability, long term illness or special educational needs. </w:t>
      </w:r>
    </w:p>
    <w:p w:rsidR="00282E35" w:rsidRPr="002A496F" w:rsidRDefault="00282E35" w:rsidP="008921BF">
      <w:pPr>
        <w:pStyle w:val="ListParagraph"/>
        <w:numPr>
          <w:ilvl w:val="0"/>
          <w:numId w:val="98"/>
        </w:numPr>
        <w:jc w:val="both"/>
      </w:pPr>
      <w:r w:rsidRPr="008F0F7A">
        <w:rPr>
          <w:rFonts w:cs="Arial"/>
        </w:rPr>
        <w:t>The largest age cohorts on Barnet’s Disabled Children’s Register and classed as SEN on Barnet’s school rolls are 5 – 9 and 10 – 14</w:t>
      </w:r>
      <w:r w:rsidR="00C80C19">
        <w:rPr>
          <w:rFonts w:cs="Arial"/>
        </w:rPr>
        <w:t xml:space="preserve"> years old</w:t>
      </w:r>
      <w:r w:rsidRPr="008F0F7A">
        <w:rPr>
          <w:rFonts w:cs="Arial"/>
        </w:rPr>
        <w:t>. This confirms the need to ensure sufficient identification a</w:t>
      </w:r>
      <w:r w:rsidR="00C80C19">
        <w:rPr>
          <w:rFonts w:cs="Arial"/>
        </w:rPr>
        <w:t>nd support for children under ten years old</w:t>
      </w:r>
      <w:r w:rsidRPr="008F0F7A">
        <w:rPr>
          <w:rFonts w:cs="Arial"/>
        </w:rPr>
        <w:t>.</w:t>
      </w:r>
    </w:p>
    <w:p w:rsidR="00282E35" w:rsidRPr="008F0F7A" w:rsidRDefault="00282E35" w:rsidP="008921BF">
      <w:pPr>
        <w:pStyle w:val="ListParagraph"/>
        <w:numPr>
          <w:ilvl w:val="0"/>
          <w:numId w:val="98"/>
        </w:numPr>
        <w:jc w:val="both"/>
        <w:rPr>
          <w:rFonts w:cs="Arial"/>
        </w:rPr>
      </w:pPr>
      <w:r w:rsidRPr="008F0F7A">
        <w:rPr>
          <w:rFonts w:cs="Arial"/>
        </w:rPr>
        <w:t>Provider data shows the number of young carers with a disability has been increasing and is now over a third of all young carers registered.</w:t>
      </w:r>
    </w:p>
    <w:p w:rsidR="00282E35" w:rsidRPr="008F0F7A" w:rsidRDefault="00282E35" w:rsidP="008921BF">
      <w:pPr>
        <w:pStyle w:val="ListParagraph"/>
        <w:numPr>
          <w:ilvl w:val="0"/>
          <w:numId w:val="98"/>
        </w:numPr>
        <w:jc w:val="both"/>
        <w:rPr>
          <w:rFonts w:cs="Arial"/>
        </w:rPr>
      </w:pPr>
      <w:r w:rsidRPr="008F0F7A">
        <w:rPr>
          <w:rFonts w:cs="Arial"/>
        </w:rPr>
        <w:t>According to census figures</w:t>
      </w:r>
      <w:r>
        <w:rPr>
          <w:rFonts w:cs="Arial"/>
        </w:rPr>
        <w:t>,</w:t>
      </w:r>
      <w:r w:rsidRPr="008F0F7A">
        <w:rPr>
          <w:rFonts w:cs="Arial"/>
        </w:rPr>
        <w:t xml:space="preserve"> </w:t>
      </w:r>
      <w:r w:rsidR="00C80C19">
        <w:rPr>
          <w:rFonts w:cs="Arial"/>
        </w:rPr>
        <w:t>one</w:t>
      </w:r>
      <w:r w:rsidRPr="008F0F7A">
        <w:rPr>
          <w:rFonts w:cs="Arial"/>
        </w:rPr>
        <w:t xml:space="preserve"> in </w:t>
      </w:r>
      <w:r w:rsidR="00C80C19">
        <w:rPr>
          <w:rFonts w:cs="Arial"/>
        </w:rPr>
        <w:t>five</w:t>
      </w:r>
      <w:r w:rsidRPr="008F0F7A">
        <w:rPr>
          <w:rFonts w:cs="Arial"/>
        </w:rPr>
        <w:t xml:space="preserve"> young carers would describe their health as poor or fairly good.</w:t>
      </w:r>
    </w:p>
    <w:p w:rsidR="00282E35" w:rsidRPr="008F0F7A" w:rsidRDefault="00282E35" w:rsidP="008921BF">
      <w:pPr>
        <w:pStyle w:val="ListParagraph"/>
        <w:numPr>
          <w:ilvl w:val="0"/>
          <w:numId w:val="98"/>
        </w:numPr>
        <w:jc w:val="both"/>
        <w:rPr>
          <w:rFonts w:cs="Arial"/>
        </w:rPr>
      </w:pPr>
      <w:r w:rsidRPr="008F0F7A">
        <w:rPr>
          <w:rFonts w:cs="Arial"/>
        </w:rPr>
        <w:t>This shows the importance of young carers having their own needs assessed and supported</w:t>
      </w:r>
      <w:r>
        <w:rPr>
          <w:rFonts w:cs="Arial"/>
        </w:rPr>
        <w:t>.</w:t>
      </w:r>
      <w:r w:rsidRPr="008F0F7A">
        <w:rPr>
          <w:rFonts w:cs="Arial"/>
        </w:rPr>
        <w:t xml:space="preserve"> </w:t>
      </w:r>
    </w:p>
    <w:p w:rsidR="00282E35" w:rsidRPr="002A496F" w:rsidRDefault="00282E35" w:rsidP="00282E35">
      <w:pPr>
        <w:pStyle w:val="Heading3"/>
        <w:jc w:val="both"/>
      </w:pPr>
      <w:r w:rsidRPr="002A496F">
        <w:t>Caring responsibilities</w:t>
      </w:r>
    </w:p>
    <w:p w:rsidR="00282E35" w:rsidRPr="002A496F" w:rsidRDefault="00282E35" w:rsidP="00282E35">
      <w:pPr>
        <w:contextualSpacing/>
        <w:jc w:val="both"/>
      </w:pPr>
      <w:r w:rsidRPr="002A496F">
        <w:rPr>
          <w:rFonts w:cs="Arial"/>
          <w:bCs/>
        </w:rPr>
        <w:t>Research shows young carers providing unpaid care who are not in contact with services are likely to be caring for siblings and grandparents</w:t>
      </w:r>
      <w:r w:rsidR="00C80C19">
        <w:rPr>
          <w:rFonts w:cs="Arial"/>
          <w:bCs/>
        </w:rPr>
        <w:t xml:space="preserve">. Therefore: </w:t>
      </w:r>
    </w:p>
    <w:p w:rsidR="00282E35" w:rsidRPr="001B066B" w:rsidRDefault="00282E35" w:rsidP="008921BF">
      <w:pPr>
        <w:pStyle w:val="ListParagraph"/>
        <w:numPr>
          <w:ilvl w:val="0"/>
          <w:numId w:val="98"/>
        </w:numPr>
        <w:jc w:val="both"/>
        <w:rPr>
          <w:rFonts w:cs="Arial"/>
        </w:rPr>
      </w:pPr>
      <w:r w:rsidRPr="001B066B">
        <w:rPr>
          <w:rFonts w:cs="Arial"/>
        </w:rPr>
        <w:t>Identification should focus on services which siblings and grandparents access</w:t>
      </w:r>
    </w:p>
    <w:p w:rsidR="00282E35" w:rsidRPr="002A496F" w:rsidRDefault="00282E35" w:rsidP="008921BF">
      <w:pPr>
        <w:pStyle w:val="ListParagraph"/>
        <w:numPr>
          <w:ilvl w:val="0"/>
          <w:numId w:val="98"/>
        </w:numPr>
        <w:jc w:val="both"/>
      </w:pPr>
      <w:r w:rsidRPr="001B066B">
        <w:rPr>
          <w:rFonts w:cs="Arial"/>
        </w:rPr>
        <w:t>A</w:t>
      </w:r>
      <w:r w:rsidRPr="002A496F">
        <w:rPr>
          <w:rFonts w:cs="Arial"/>
          <w:bCs/>
        </w:rPr>
        <w:t xml:space="preserve"> section on what types of needs young carers are supporting is currently being developed</w:t>
      </w:r>
    </w:p>
    <w:p w:rsidR="00282E35" w:rsidRPr="002A496F" w:rsidRDefault="00282E35" w:rsidP="00282E35">
      <w:pPr>
        <w:pStyle w:val="Heading3"/>
        <w:jc w:val="both"/>
      </w:pPr>
      <w:r w:rsidRPr="002A496F">
        <w:t>Impact of caring responsibilities</w:t>
      </w:r>
    </w:p>
    <w:p w:rsidR="00282E35" w:rsidRPr="00A01559" w:rsidRDefault="00282E35" w:rsidP="008921BF">
      <w:pPr>
        <w:pStyle w:val="ListParagraph"/>
        <w:numPr>
          <w:ilvl w:val="0"/>
          <w:numId w:val="99"/>
        </w:numPr>
        <w:jc w:val="both"/>
        <w:rPr>
          <w:rFonts w:cs="Arial"/>
        </w:rPr>
      </w:pPr>
      <w:r w:rsidRPr="00A01559">
        <w:rPr>
          <w:rFonts w:cs="Arial"/>
        </w:rPr>
        <w:t xml:space="preserve">Evidence shows a clear association between being a young carer at 16 - 19 </w:t>
      </w:r>
      <w:r w:rsidR="00C80C19">
        <w:rPr>
          <w:rFonts w:cs="Arial"/>
        </w:rPr>
        <w:t xml:space="preserve">years old </w:t>
      </w:r>
      <w:r w:rsidRPr="00A01559">
        <w:rPr>
          <w:rFonts w:cs="Arial"/>
        </w:rPr>
        <w:t>and having low job prospects and educational opportunities. As well as being a young carer at 20</w:t>
      </w:r>
      <w:r w:rsidR="00C80C19">
        <w:rPr>
          <w:rFonts w:cs="Arial"/>
        </w:rPr>
        <w:t xml:space="preserve"> to </w:t>
      </w:r>
      <w:r w:rsidRPr="00A01559">
        <w:rPr>
          <w:rFonts w:cs="Arial"/>
        </w:rPr>
        <w:t>21</w:t>
      </w:r>
      <w:r w:rsidR="00C80C19">
        <w:rPr>
          <w:rFonts w:cs="Arial"/>
        </w:rPr>
        <w:t xml:space="preserve"> years</w:t>
      </w:r>
      <w:r w:rsidRPr="00A01559">
        <w:rPr>
          <w:rFonts w:cs="Arial"/>
        </w:rPr>
        <w:t xml:space="preserve"> and being in lower skilled occupations.</w:t>
      </w:r>
    </w:p>
    <w:p w:rsidR="00282E35" w:rsidRPr="00A01559" w:rsidRDefault="00282E35" w:rsidP="008921BF">
      <w:pPr>
        <w:pStyle w:val="ListParagraph"/>
        <w:numPr>
          <w:ilvl w:val="0"/>
          <w:numId w:val="99"/>
        </w:numPr>
        <w:jc w:val="both"/>
        <w:rPr>
          <w:rFonts w:cs="Arial"/>
        </w:rPr>
      </w:pPr>
      <w:r w:rsidRPr="00A01559">
        <w:rPr>
          <w:rFonts w:cs="Arial"/>
        </w:rPr>
        <w:lastRenderedPageBreak/>
        <w:t xml:space="preserve">In Barnet the proportion of 16 to 18 year olds </w:t>
      </w:r>
      <w:r>
        <w:rPr>
          <w:rFonts w:cs="Arial"/>
        </w:rPr>
        <w:t xml:space="preserve">who are </w:t>
      </w:r>
      <w:r w:rsidRPr="00A01559">
        <w:rPr>
          <w:rFonts w:cs="Arial"/>
        </w:rPr>
        <w:t>NEET is ranked 4th nationally and 9</w:t>
      </w:r>
      <w:r w:rsidRPr="00A01559">
        <w:rPr>
          <w:rFonts w:cs="Arial"/>
          <w:vertAlign w:val="superscript"/>
        </w:rPr>
        <w:t>th</w:t>
      </w:r>
      <w:r w:rsidRPr="00A01559">
        <w:rPr>
          <w:rFonts w:cs="Arial"/>
        </w:rPr>
        <w:t xml:space="preserve"> nationally for participation rates for pupils with learning difficulties or disabilities.</w:t>
      </w:r>
    </w:p>
    <w:p w:rsidR="00282E35" w:rsidRDefault="00C80C19" w:rsidP="008921BF">
      <w:pPr>
        <w:pStyle w:val="ListParagraph"/>
        <w:numPr>
          <w:ilvl w:val="0"/>
          <w:numId w:val="99"/>
        </w:numPr>
        <w:jc w:val="both"/>
        <w:rPr>
          <w:rFonts w:cs="Arial"/>
        </w:rPr>
      </w:pPr>
      <w:r>
        <w:rPr>
          <w:rFonts w:cs="Arial"/>
        </w:rPr>
        <w:t xml:space="preserve">It is therefore </w:t>
      </w:r>
      <w:r w:rsidR="00DD3A76">
        <w:rPr>
          <w:rFonts w:cs="Arial"/>
        </w:rPr>
        <w:t>important</w:t>
      </w:r>
      <w:r>
        <w:rPr>
          <w:rFonts w:cs="Arial"/>
        </w:rPr>
        <w:t xml:space="preserve"> that </w:t>
      </w:r>
      <w:r w:rsidR="00282E35" w:rsidRPr="00A01559">
        <w:rPr>
          <w:rFonts w:cs="Arial"/>
        </w:rPr>
        <w:t>the provision of this support is inclusive and accessible for young carers</w:t>
      </w:r>
      <w:r>
        <w:rPr>
          <w:rFonts w:cs="Arial"/>
        </w:rPr>
        <w:t>.</w:t>
      </w:r>
    </w:p>
    <w:p w:rsidR="00282E35" w:rsidRPr="00E07430" w:rsidRDefault="00282E35" w:rsidP="00282E35">
      <w:pPr>
        <w:pStyle w:val="Heading2"/>
        <w:keepNext w:val="0"/>
        <w:keepLines w:val="0"/>
        <w:jc w:val="both"/>
      </w:pPr>
      <w:bookmarkStart w:id="885" w:name="_Toc426723386"/>
      <w:bookmarkStart w:id="886" w:name="_Toc431225213"/>
      <w:r>
        <w:t>Child Poverty</w:t>
      </w:r>
      <w:bookmarkEnd w:id="885"/>
      <w:bookmarkEnd w:id="886"/>
      <w:r>
        <w:t xml:space="preserve"> </w:t>
      </w:r>
    </w:p>
    <w:p w:rsidR="00282E35" w:rsidRPr="00EF253C" w:rsidRDefault="00282E35" w:rsidP="00282E35">
      <w:pPr>
        <w:pStyle w:val="Heading3"/>
        <w:keepNext w:val="0"/>
        <w:keepLines w:val="0"/>
        <w:spacing w:line="271" w:lineRule="auto"/>
        <w:jc w:val="both"/>
      </w:pPr>
      <w:r w:rsidRPr="00EF253C">
        <w:t>Headlines:</w:t>
      </w:r>
    </w:p>
    <w:p w:rsidR="00282E35" w:rsidRPr="00EF253C" w:rsidRDefault="00282E35" w:rsidP="008921BF">
      <w:pPr>
        <w:pStyle w:val="ListParagraph"/>
        <w:numPr>
          <w:ilvl w:val="0"/>
          <w:numId w:val="97"/>
        </w:numPr>
        <w:spacing w:after="0" w:line="240" w:lineRule="auto"/>
        <w:jc w:val="both"/>
        <w:rPr>
          <w:rFonts w:cs="Arial"/>
        </w:rPr>
      </w:pPr>
      <w:r w:rsidRPr="00EF253C">
        <w:rPr>
          <w:rFonts w:cs="Arial"/>
        </w:rPr>
        <w:t>21.2% of children living in Barnet live in poverty</w:t>
      </w:r>
      <w:r>
        <w:rPr>
          <w:rFonts w:cs="Arial"/>
        </w:rPr>
        <w:t>;</w:t>
      </w:r>
      <w:r w:rsidRPr="00EF253C">
        <w:rPr>
          <w:rFonts w:cs="Arial"/>
        </w:rPr>
        <w:t xml:space="preserve"> a total of 17,330 children.</w:t>
      </w:r>
    </w:p>
    <w:p w:rsidR="00282E35" w:rsidRPr="00EF253C" w:rsidRDefault="00282E35" w:rsidP="008921BF">
      <w:pPr>
        <w:pStyle w:val="ListParagraph"/>
        <w:numPr>
          <w:ilvl w:val="0"/>
          <w:numId w:val="97"/>
        </w:numPr>
        <w:spacing w:after="0" w:line="240" w:lineRule="auto"/>
        <w:jc w:val="both"/>
        <w:rPr>
          <w:rFonts w:cs="Arial"/>
        </w:rPr>
      </w:pPr>
      <w:r w:rsidRPr="00EF253C">
        <w:rPr>
          <w:rFonts w:cs="Arial"/>
        </w:rPr>
        <w:t>Barnet has a lower level of child poverty than the London average (36%), but a slightly higher rate than the England average (20.6%). However</w:t>
      </w:r>
      <w:r w:rsidR="000548B9">
        <w:rPr>
          <w:rFonts w:cs="Arial"/>
        </w:rPr>
        <w:t>,</w:t>
      </w:r>
      <w:r w:rsidRPr="00EF253C">
        <w:rPr>
          <w:rFonts w:cs="Arial"/>
        </w:rPr>
        <w:t xml:space="preserve"> there are geographic variations across Barnet, ranging from just 7.7% in Garden Suburb to 37.5% in Colindale.</w:t>
      </w:r>
    </w:p>
    <w:p w:rsidR="00282E35" w:rsidRPr="00EF253C" w:rsidRDefault="00282E35" w:rsidP="008921BF">
      <w:pPr>
        <w:pStyle w:val="ListParagraph"/>
        <w:numPr>
          <w:ilvl w:val="0"/>
          <w:numId w:val="97"/>
        </w:numPr>
        <w:spacing w:after="0" w:line="240" w:lineRule="auto"/>
        <w:jc w:val="both"/>
        <w:rPr>
          <w:rFonts w:cs="Arial"/>
        </w:rPr>
      </w:pPr>
      <w:r w:rsidRPr="00EF253C">
        <w:rPr>
          <w:rFonts w:cs="Arial"/>
        </w:rPr>
        <w:t xml:space="preserve">In general there is a propensity for a greater number of areas in the </w:t>
      </w:r>
      <w:r w:rsidR="000548B9">
        <w:rPr>
          <w:rFonts w:cs="Arial"/>
        </w:rPr>
        <w:t>w</w:t>
      </w:r>
      <w:r w:rsidRPr="00EF253C">
        <w:rPr>
          <w:rFonts w:cs="Arial"/>
        </w:rPr>
        <w:t xml:space="preserve">est of the </w:t>
      </w:r>
      <w:r>
        <w:rPr>
          <w:rFonts w:cs="Arial"/>
        </w:rPr>
        <w:t>Borough</w:t>
      </w:r>
      <w:r w:rsidRPr="00EF253C">
        <w:rPr>
          <w:rFonts w:cs="Arial"/>
        </w:rPr>
        <w:t xml:space="preserve"> to be affected by child poverty </w:t>
      </w:r>
      <w:r>
        <w:rPr>
          <w:rFonts w:cs="Arial"/>
        </w:rPr>
        <w:t>and</w:t>
      </w:r>
      <w:r w:rsidRPr="00EF253C">
        <w:rPr>
          <w:rFonts w:cs="Arial"/>
        </w:rPr>
        <w:t xml:space="preserve"> the factors that directly </w:t>
      </w:r>
      <w:r w:rsidR="000548B9">
        <w:rPr>
          <w:rFonts w:cs="Arial"/>
        </w:rPr>
        <w:t xml:space="preserve">and </w:t>
      </w:r>
      <w:r w:rsidRPr="00EF253C">
        <w:rPr>
          <w:rFonts w:cs="Arial"/>
        </w:rPr>
        <w:t>indirectly influence it.</w:t>
      </w:r>
    </w:p>
    <w:p w:rsidR="00282E35" w:rsidRPr="00EF253C" w:rsidRDefault="00282E35" w:rsidP="008921BF">
      <w:pPr>
        <w:pStyle w:val="ListParagraph"/>
        <w:numPr>
          <w:ilvl w:val="0"/>
          <w:numId w:val="97"/>
        </w:numPr>
        <w:spacing w:after="0" w:line="240" w:lineRule="auto"/>
        <w:jc w:val="both"/>
        <w:rPr>
          <w:rFonts w:cs="Arial"/>
        </w:rPr>
      </w:pPr>
      <w:r w:rsidRPr="00EF253C">
        <w:rPr>
          <w:rFonts w:cs="Arial"/>
        </w:rPr>
        <w:t>The following groups are likely to be more at risk of poverty than others: lone parents, large families, families affected by disability, and black and minority ethnic groups.</w:t>
      </w:r>
    </w:p>
    <w:p w:rsidR="00282E35" w:rsidRDefault="00282E35" w:rsidP="00282E35">
      <w:pPr>
        <w:spacing w:after="0" w:line="240" w:lineRule="auto"/>
        <w:jc w:val="both"/>
        <w:rPr>
          <w:rFonts w:eastAsia="Times New Roman" w:cs="Arial"/>
          <w:lang w:eastAsia="en-GB"/>
        </w:rPr>
      </w:pPr>
    </w:p>
    <w:p w:rsidR="007374CD" w:rsidRDefault="007374CD" w:rsidP="00C86D72">
      <w:pPr>
        <w:jc w:val="both"/>
        <w:rPr>
          <w:color w:val="1F497D"/>
        </w:rPr>
      </w:pPr>
      <w:r>
        <w:rPr>
          <w:rFonts w:eastAsia="Times New Roman" w:cs="Arial"/>
          <w:lang w:eastAsia="en-GB"/>
        </w:rPr>
        <w:t>According to the 2010 Child Poverty Act, a</w:t>
      </w:r>
      <w:r w:rsidRPr="007374CD">
        <w:rPr>
          <w:rFonts w:eastAsia="Times New Roman" w:cs="Arial"/>
          <w:lang w:eastAsia="en-GB"/>
        </w:rPr>
        <w:t xml:space="preserve"> child is defined as being in poverty when he/she lives in a household with an income below 60% of the UK's average.</w:t>
      </w:r>
      <w:r>
        <w:rPr>
          <w:rFonts w:eastAsia="Times New Roman" w:cs="Arial"/>
          <w:lang w:eastAsia="en-GB"/>
        </w:rPr>
        <w:t xml:space="preserve"> A</w:t>
      </w:r>
      <w:r w:rsidR="00000FEC">
        <w:rPr>
          <w:rFonts w:eastAsia="Times New Roman" w:cs="Arial"/>
          <w:lang w:eastAsia="en-GB"/>
        </w:rPr>
        <w:t>lthough</w:t>
      </w:r>
      <w:r w:rsidR="007D3494">
        <w:rPr>
          <w:rFonts w:eastAsia="Times New Roman" w:cs="Arial"/>
          <w:lang w:eastAsia="en-GB"/>
        </w:rPr>
        <w:t xml:space="preserve"> at the time of writing </w:t>
      </w:r>
      <w:r w:rsidR="00000FEC">
        <w:rPr>
          <w:rFonts w:eastAsia="Times New Roman" w:cs="Arial"/>
          <w:lang w:eastAsia="en-GB"/>
        </w:rPr>
        <w:t xml:space="preserve">a </w:t>
      </w:r>
      <w:r>
        <w:rPr>
          <w:rFonts w:eastAsia="Times New Roman" w:cs="Arial"/>
          <w:lang w:eastAsia="en-GB"/>
        </w:rPr>
        <w:t>new</w:t>
      </w:r>
      <w:r w:rsidR="007D3494">
        <w:rPr>
          <w:rFonts w:eastAsia="Times New Roman" w:cs="Arial"/>
          <w:lang w:eastAsia="en-GB"/>
        </w:rPr>
        <w:t xml:space="preserve"> national</w:t>
      </w:r>
      <w:r>
        <w:rPr>
          <w:rFonts w:eastAsia="Times New Roman" w:cs="Arial"/>
          <w:lang w:eastAsia="en-GB"/>
        </w:rPr>
        <w:t xml:space="preserve"> definition </w:t>
      </w:r>
      <w:r w:rsidR="00000FEC">
        <w:rPr>
          <w:rFonts w:eastAsia="Times New Roman" w:cs="Arial"/>
          <w:lang w:eastAsia="en-GB"/>
        </w:rPr>
        <w:t xml:space="preserve">of child poverty </w:t>
      </w:r>
      <w:r>
        <w:rPr>
          <w:rFonts w:eastAsia="Times New Roman" w:cs="Arial"/>
          <w:lang w:eastAsia="en-GB"/>
        </w:rPr>
        <w:t>is</w:t>
      </w:r>
      <w:r w:rsidR="00000FEC">
        <w:rPr>
          <w:rFonts w:eastAsia="Times New Roman" w:cs="Arial"/>
          <w:lang w:eastAsia="en-GB"/>
        </w:rPr>
        <w:t xml:space="preserve"> currently</w:t>
      </w:r>
      <w:r>
        <w:rPr>
          <w:rFonts w:eastAsia="Times New Roman" w:cs="Arial"/>
          <w:lang w:eastAsia="en-GB"/>
        </w:rPr>
        <w:t xml:space="preserve"> being developed, </w:t>
      </w:r>
      <w:r w:rsidR="00000FEC">
        <w:rPr>
          <w:rFonts w:eastAsia="Times New Roman" w:cs="Arial"/>
          <w:lang w:eastAsia="en-GB"/>
        </w:rPr>
        <w:t>throughout this</w:t>
      </w:r>
      <w:r>
        <w:rPr>
          <w:rFonts w:eastAsia="Times New Roman" w:cs="Arial"/>
          <w:lang w:eastAsia="en-GB"/>
        </w:rPr>
        <w:t xml:space="preserve"> JSNA </w:t>
      </w:r>
      <w:r w:rsidR="00000FEC">
        <w:rPr>
          <w:rFonts w:eastAsia="Times New Roman" w:cs="Arial"/>
          <w:lang w:eastAsia="en-GB"/>
        </w:rPr>
        <w:t xml:space="preserve">child poverty will be </w:t>
      </w:r>
      <w:r w:rsidR="00396B09">
        <w:rPr>
          <w:rFonts w:eastAsia="Times New Roman" w:cs="Arial"/>
          <w:lang w:eastAsia="en-GB"/>
        </w:rPr>
        <w:t xml:space="preserve">defined based upon the </w:t>
      </w:r>
      <w:r>
        <w:rPr>
          <w:rFonts w:eastAsia="Times New Roman" w:cs="Arial"/>
          <w:lang w:eastAsia="en-GB"/>
        </w:rPr>
        <w:t xml:space="preserve">definition put forward by the 2010 Child Poverty Act. </w:t>
      </w:r>
    </w:p>
    <w:p w:rsidR="00282E35" w:rsidRPr="00EF253C" w:rsidRDefault="00282E35" w:rsidP="00282E35">
      <w:pPr>
        <w:spacing w:after="0" w:line="240" w:lineRule="auto"/>
        <w:jc w:val="both"/>
        <w:rPr>
          <w:rFonts w:eastAsia="Times New Roman" w:cs="Arial"/>
          <w:lang w:eastAsia="en-GB"/>
        </w:rPr>
      </w:pPr>
      <w:r w:rsidRPr="00EF253C">
        <w:rPr>
          <w:rFonts w:cs="Arial"/>
        </w:rPr>
        <w:t>A third of all children in the UK live in poverty</w:t>
      </w:r>
      <w:r w:rsidRPr="00EF253C">
        <w:rPr>
          <w:rStyle w:val="FootnoteReference"/>
          <w:rFonts w:cs="Arial"/>
        </w:rPr>
        <w:footnoteReference w:id="134"/>
      </w:r>
      <w:r w:rsidRPr="00EF253C">
        <w:rPr>
          <w:rFonts w:cs="Arial"/>
        </w:rPr>
        <w:t>. Child poverty touches all areas of a child’s life</w:t>
      </w:r>
      <w:r w:rsidR="000548B9">
        <w:rPr>
          <w:rFonts w:cs="Arial"/>
        </w:rPr>
        <w:t>,</w:t>
      </w:r>
      <w:r w:rsidRPr="00EF253C">
        <w:rPr>
          <w:rFonts w:cs="Arial"/>
        </w:rPr>
        <w:t xml:space="preserve"> from the home they live in to their health, educational attainment, involvement in crime and social exclusion. Indeed, poverty is the most significant general indicator of risk. The Government has a statutory requirement, enshrined in the Child Poverty Act 2010, to end child poverty by 2020.</w:t>
      </w:r>
    </w:p>
    <w:p w:rsidR="00282E35" w:rsidRPr="00EF253C" w:rsidRDefault="00282E35" w:rsidP="00282E35">
      <w:pPr>
        <w:spacing w:after="0" w:line="240" w:lineRule="auto"/>
        <w:jc w:val="both"/>
        <w:rPr>
          <w:rFonts w:cs="Arial"/>
        </w:rPr>
      </w:pPr>
    </w:p>
    <w:p w:rsidR="00282E35" w:rsidRPr="00EF253C" w:rsidRDefault="00282E35" w:rsidP="00282E35">
      <w:pPr>
        <w:spacing w:after="0" w:line="240" w:lineRule="auto"/>
        <w:jc w:val="both"/>
        <w:rPr>
          <w:rFonts w:cs="Arial"/>
        </w:rPr>
      </w:pPr>
      <w:r w:rsidRPr="00EF253C">
        <w:rPr>
          <w:rFonts w:cs="Arial"/>
        </w:rPr>
        <w:t xml:space="preserve">Families living in poverty can have as little as </w:t>
      </w:r>
      <w:r w:rsidRPr="00EF253C">
        <w:rPr>
          <w:rStyle w:val="Strong"/>
          <w:rFonts w:cs="Arial"/>
        </w:rPr>
        <w:t xml:space="preserve">£12 </w:t>
      </w:r>
      <w:r>
        <w:rPr>
          <w:rStyle w:val="Strong"/>
          <w:rFonts w:cs="Arial"/>
        </w:rPr>
        <w:t xml:space="preserve">per person </w:t>
      </w:r>
      <w:r w:rsidRPr="00EF253C">
        <w:rPr>
          <w:rStyle w:val="Strong"/>
          <w:rFonts w:cs="Arial"/>
        </w:rPr>
        <w:t xml:space="preserve">per day </w:t>
      </w:r>
      <w:r w:rsidRPr="00EF253C">
        <w:rPr>
          <w:rFonts w:cs="Arial"/>
          <w:b/>
        </w:rPr>
        <w:t xml:space="preserve"> </w:t>
      </w:r>
      <w:r w:rsidRPr="00EF253C">
        <w:rPr>
          <w:rFonts w:cs="Arial"/>
        </w:rPr>
        <w:t>to buy everything they need such as food, heating, toys, clothes, electricity and transport.</w:t>
      </w:r>
    </w:p>
    <w:p w:rsidR="00282E35" w:rsidRPr="00EF253C" w:rsidRDefault="00282E35" w:rsidP="00282E35">
      <w:pPr>
        <w:spacing w:after="0" w:line="240" w:lineRule="auto"/>
        <w:jc w:val="both"/>
        <w:rPr>
          <w:rFonts w:cs="Arial"/>
        </w:rPr>
      </w:pPr>
    </w:p>
    <w:p w:rsidR="00282E35" w:rsidRPr="00EF253C" w:rsidRDefault="00282E35" w:rsidP="00282E35">
      <w:pPr>
        <w:spacing w:after="0" w:line="240" w:lineRule="auto"/>
        <w:jc w:val="both"/>
        <w:rPr>
          <w:rFonts w:cs="Arial"/>
        </w:rPr>
      </w:pPr>
      <w:r w:rsidRPr="00EF253C">
        <w:rPr>
          <w:rFonts w:cs="Arial"/>
        </w:rPr>
        <w:t>Research at the national level indicates that the following groups are more at risk of poverty than others:</w:t>
      </w:r>
    </w:p>
    <w:p w:rsidR="00282E35" w:rsidRPr="00EF253C" w:rsidRDefault="00282E35" w:rsidP="00282E35">
      <w:pPr>
        <w:spacing w:after="0" w:line="240" w:lineRule="auto"/>
        <w:jc w:val="both"/>
        <w:rPr>
          <w:rFonts w:cs="Arial"/>
        </w:rPr>
      </w:pPr>
    </w:p>
    <w:p w:rsidR="00282E35" w:rsidRPr="001B066B" w:rsidRDefault="00282E35" w:rsidP="00282E35">
      <w:pPr>
        <w:spacing w:after="0" w:line="240" w:lineRule="auto"/>
        <w:jc w:val="both"/>
        <w:rPr>
          <w:rFonts w:cs="Arial"/>
          <w:b/>
        </w:rPr>
      </w:pPr>
      <w:r w:rsidRPr="001B066B">
        <w:rPr>
          <w:rFonts w:cs="Arial"/>
          <w:b/>
        </w:rPr>
        <w:t>Lone parents</w:t>
      </w:r>
    </w:p>
    <w:p w:rsidR="00282E35" w:rsidRPr="00EF253C" w:rsidRDefault="00282E35" w:rsidP="00282E35">
      <w:pPr>
        <w:spacing w:after="0" w:line="240" w:lineRule="auto"/>
        <w:jc w:val="both"/>
        <w:rPr>
          <w:rFonts w:cs="Arial"/>
          <w:color w:val="000000"/>
          <w:lang w:val="en"/>
        </w:rPr>
      </w:pPr>
      <w:r w:rsidRPr="00EF253C">
        <w:rPr>
          <w:rFonts w:cs="Arial"/>
        </w:rPr>
        <w:t>In Barnet, there are 10,026 lone parent households</w:t>
      </w:r>
      <w:r w:rsidRPr="00EF253C">
        <w:rPr>
          <w:rStyle w:val="FootnoteReference"/>
          <w:rFonts w:cs="Arial"/>
        </w:rPr>
        <w:footnoteReference w:id="135"/>
      </w:r>
      <w:r w:rsidRPr="00EF253C">
        <w:rPr>
          <w:rFonts w:cs="Arial"/>
        </w:rPr>
        <w:t xml:space="preserve"> with dependent children. Of these lone parents, 46% are not in employment. National statistics show that</w:t>
      </w:r>
      <w:r w:rsidRPr="00EF253C">
        <w:rPr>
          <w:rFonts w:cs="Arial"/>
          <w:color w:val="000000"/>
          <w:lang w:val="en"/>
        </w:rPr>
        <w:t xml:space="preserve"> women accounted for 92</w:t>
      </w:r>
      <w:r>
        <w:rPr>
          <w:rFonts w:cs="Arial"/>
          <w:color w:val="000000"/>
          <w:lang w:val="en"/>
        </w:rPr>
        <w:t>%</w:t>
      </w:r>
      <w:r w:rsidRPr="00EF253C">
        <w:rPr>
          <w:rFonts w:cs="Arial"/>
          <w:color w:val="000000"/>
          <w:lang w:val="en"/>
        </w:rPr>
        <w:t xml:space="preserve"> of lone parents with dependent children and these percentages have changed little since 2001. </w:t>
      </w:r>
    </w:p>
    <w:p w:rsidR="00282E35" w:rsidRPr="00EF253C" w:rsidRDefault="00282E35" w:rsidP="00282E35">
      <w:pPr>
        <w:spacing w:after="0" w:line="240" w:lineRule="auto"/>
        <w:jc w:val="both"/>
        <w:rPr>
          <w:rFonts w:cs="Arial"/>
        </w:rPr>
      </w:pPr>
    </w:p>
    <w:p w:rsidR="00282E35" w:rsidRPr="001B066B" w:rsidRDefault="00282E35" w:rsidP="00282E35">
      <w:pPr>
        <w:spacing w:after="0" w:line="240" w:lineRule="auto"/>
        <w:jc w:val="both"/>
        <w:rPr>
          <w:rFonts w:cs="Arial"/>
          <w:b/>
        </w:rPr>
      </w:pPr>
      <w:r w:rsidRPr="001B066B">
        <w:rPr>
          <w:rFonts w:cs="Arial"/>
          <w:b/>
        </w:rPr>
        <w:t>Large families</w:t>
      </w:r>
    </w:p>
    <w:p w:rsidR="00282E35" w:rsidRPr="00EF253C" w:rsidRDefault="00282E35" w:rsidP="00282E35">
      <w:pPr>
        <w:spacing w:after="0" w:line="240" w:lineRule="auto"/>
        <w:jc w:val="both"/>
        <w:rPr>
          <w:rFonts w:cs="Arial"/>
          <w:color w:val="000000"/>
        </w:rPr>
      </w:pPr>
      <w:r w:rsidRPr="00EF253C">
        <w:rPr>
          <w:rFonts w:cs="Arial"/>
          <w:color w:val="000000"/>
        </w:rPr>
        <w:t>Around half of Bangladeshi and Pakistani children</w:t>
      </w:r>
      <w:r w:rsidR="00FF38EA">
        <w:rPr>
          <w:rFonts w:cs="Arial"/>
          <w:color w:val="000000"/>
        </w:rPr>
        <w:t>,</w:t>
      </w:r>
      <w:r w:rsidRPr="00EF253C">
        <w:rPr>
          <w:rFonts w:cs="Arial"/>
          <w:color w:val="000000"/>
        </w:rPr>
        <w:t xml:space="preserve"> and around a third of black African children</w:t>
      </w:r>
      <w:r w:rsidR="00FF38EA">
        <w:rPr>
          <w:rFonts w:cs="Arial"/>
          <w:color w:val="000000"/>
        </w:rPr>
        <w:t>,</w:t>
      </w:r>
      <w:r w:rsidRPr="00EF253C">
        <w:rPr>
          <w:rFonts w:cs="Arial"/>
          <w:color w:val="000000"/>
        </w:rPr>
        <w:t xml:space="preserve"> are in families of three or more children compared to around a sixth of white British children</w:t>
      </w:r>
      <w:r w:rsidRPr="00EF253C">
        <w:rPr>
          <w:rStyle w:val="FootnoteReference"/>
          <w:rFonts w:cs="Arial"/>
          <w:color w:val="000000"/>
        </w:rPr>
        <w:footnoteReference w:id="136"/>
      </w:r>
      <w:r w:rsidRPr="00EF253C">
        <w:rPr>
          <w:rFonts w:cs="Arial"/>
          <w:color w:val="000000"/>
        </w:rPr>
        <w:t xml:space="preserve">. A higher proportion of families from ethnic minority groups can be found in </w:t>
      </w:r>
      <w:r w:rsidR="00DD3A76" w:rsidRPr="00EF253C">
        <w:rPr>
          <w:rFonts w:cs="Arial"/>
          <w:color w:val="000000"/>
        </w:rPr>
        <w:t>Barnet have</w:t>
      </w:r>
      <w:r w:rsidRPr="00EF253C">
        <w:rPr>
          <w:rFonts w:cs="Arial"/>
          <w:color w:val="000000"/>
        </w:rPr>
        <w:t xml:space="preserve"> more deprived wards. Furthermore, there is a minority of ultra-orthodox Jewish families living in Barnet, particularly in and around the Golders Green ward, where family sizes are typically larger.</w:t>
      </w:r>
    </w:p>
    <w:p w:rsidR="00282E35" w:rsidRPr="00EF253C" w:rsidRDefault="00282E35" w:rsidP="00282E35">
      <w:pPr>
        <w:spacing w:after="0" w:line="240" w:lineRule="auto"/>
        <w:jc w:val="both"/>
        <w:rPr>
          <w:rFonts w:cs="Arial"/>
          <w:color w:val="000000"/>
        </w:rPr>
      </w:pPr>
    </w:p>
    <w:p w:rsidR="00282E35" w:rsidRPr="001B066B" w:rsidRDefault="00282E35" w:rsidP="00282E35">
      <w:pPr>
        <w:spacing w:after="0" w:line="240" w:lineRule="auto"/>
        <w:jc w:val="both"/>
        <w:rPr>
          <w:rFonts w:cs="Arial"/>
          <w:b/>
        </w:rPr>
      </w:pPr>
      <w:r w:rsidRPr="001B066B">
        <w:rPr>
          <w:rFonts w:cs="Arial"/>
          <w:b/>
        </w:rPr>
        <w:t>Families affected by disability</w:t>
      </w:r>
    </w:p>
    <w:p w:rsidR="00282E35" w:rsidRPr="00EF253C" w:rsidRDefault="00282E35" w:rsidP="00282E35">
      <w:pPr>
        <w:spacing w:after="0" w:line="240" w:lineRule="auto"/>
        <w:jc w:val="both"/>
        <w:rPr>
          <w:rFonts w:cs="Arial"/>
        </w:rPr>
      </w:pPr>
      <w:r w:rsidRPr="00EF253C">
        <w:rPr>
          <w:rFonts w:cs="Arial"/>
        </w:rPr>
        <w:lastRenderedPageBreak/>
        <w:t>Four in every ten disabled children live in poverty</w:t>
      </w:r>
      <w:r w:rsidRPr="00EF253C">
        <w:rPr>
          <w:rStyle w:val="FootnoteReference"/>
          <w:rFonts w:cs="Arial"/>
        </w:rPr>
        <w:footnoteReference w:id="137"/>
      </w:r>
      <w:r w:rsidRPr="00EF253C">
        <w:rPr>
          <w:rFonts w:cs="Arial"/>
        </w:rPr>
        <w:t xml:space="preserve">. The Children’s Society has warned that the new Universal Credit benefit system may have an adverse impact on families affected by disability. </w:t>
      </w:r>
    </w:p>
    <w:p w:rsidR="00282E35" w:rsidRPr="00EF253C" w:rsidRDefault="00282E35" w:rsidP="00282E35">
      <w:pPr>
        <w:spacing w:after="0" w:line="240" w:lineRule="auto"/>
        <w:jc w:val="both"/>
        <w:rPr>
          <w:rFonts w:cs="Arial"/>
        </w:rPr>
      </w:pPr>
    </w:p>
    <w:p w:rsidR="00282E35" w:rsidRPr="001B066B" w:rsidRDefault="00FF38EA" w:rsidP="00282E35">
      <w:pPr>
        <w:spacing w:after="0" w:line="240" w:lineRule="auto"/>
        <w:jc w:val="both"/>
        <w:rPr>
          <w:rFonts w:cs="Arial"/>
          <w:b/>
        </w:rPr>
      </w:pPr>
      <w:r>
        <w:rPr>
          <w:rFonts w:cs="Arial"/>
          <w:b/>
        </w:rPr>
        <w:t xml:space="preserve">Black, Asian </w:t>
      </w:r>
      <w:r w:rsidR="00282E35" w:rsidRPr="001B066B">
        <w:rPr>
          <w:rFonts w:cs="Arial"/>
          <w:b/>
        </w:rPr>
        <w:t>and minority ethnic groups</w:t>
      </w:r>
    </w:p>
    <w:p w:rsidR="00282E35" w:rsidRPr="00EF253C" w:rsidRDefault="00282E35" w:rsidP="00282E35">
      <w:pPr>
        <w:jc w:val="both"/>
        <w:rPr>
          <w:rFonts w:cs="Calibri"/>
        </w:rPr>
      </w:pPr>
      <w:r w:rsidRPr="00EF253C">
        <w:rPr>
          <w:rFonts w:cs="Arial"/>
          <w:lang w:val="en-US"/>
        </w:rPr>
        <w:t xml:space="preserve">Nationally in </w:t>
      </w:r>
      <w:r w:rsidR="00FF38EA">
        <w:rPr>
          <w:rFonts w:cs="Arial"/>
          <w:lang w:val="en-US"/>
        </w:rPr>
        <w:t>2010, nearly three-quarters of seven</w:t>
      </w:r>
      <w:r w:rsidRPr="00EF253C">
        <w:rPr>
          <w:rFonts w:cs="Arial"/>
          <w:lang w:val="en-US"/>
        </w:rPr>
        <w:t>-year-old Pakistani and Bangladeshi children and just over half of those black children of the same age were living in poverty. </w:t>
      </w:r>
      <w:r w:rsidRPr="00EF253C">
        <w:rPr>
          <w:rFonts w:cs="Arial"/>
        </w:rPr>
        <w:t>Barnet has a B</w:t>
      </w:r>
      <w:r w:rsidR="00FF38EA">
        <w:rPr>
          <w:rFonts w:cs="Arial"/>
        </w:rPr>
        <w:t>lack, Asian and Minority Ethnic average of 39%. H</w:t>
      </w:r>
      <w:r w:rsidRPr="00EF253C">
        <w:rPr>
          <w:rFonts w:cs="Arial"/>
        </w:rPr>
        <w:t>owever, in Colindale, Burnt Oak and Hendon,</w:t>
      </w:r>
      <w:r w:rsidR="00FF38EA">
        <w:rPr>
          <w:rFonts w:cs="Arial"/>
        </w:rPr>
        <w:t xml:space="preserve"> Black Asian and </w:t>
      </w:r>
      <w:r w:rsidR="00DD3A76">
        <w:rPr>
          <w:rFonts w:cs="Arial"/>
        </w:rPr>
        <w:t>Minority</w:t>
      </w:r>
      <w:r w:rsidR="00FF38EA">
        <w:rPr>
          <w:rFonts w:cs="Arial"/>
        </w:rPr>
        <w:t xml:space="preserve"> Ethnic </w:t>
      </w:r>
      <w:r w:rsidRPr="00EF253C">
        <w:rPr>
          <w:rFonts w:cs="Arial"/>
        </w:rPr>
        <w:t>residents make up over half of the population.</w:t>
      </w:r>
    </w:p>
    <w:p w:rsidR="00282E35" w:rsidRPr="00EF253C" w:rsidRDefault="00282E35" w:rsidP="00282E35">
      <w:pPr>
        <w:spacing w:after="0" w:line="240" w:lineRule="auto"/>
        <w:jc w:val="both"/>
        <w:rPr>
          <w:rFonts w:cs="Arial"/>
        </w:rPr>
      </w:pPr>
      <w:r w:rsidRPr="00EF253C">
        <w:rPr>
          <w:rFonts w:cs="Arial"/>
        </w:rPr>
        <w:t xml:space="preserve">There is also a strong link between child poverty and unemployment or low levels of income. The percentage of low income families has decreased in Barnet since 2007 to 17.3% in 2012, a trend in line with the London and UK picture.   </w:t>
      </w:r>
    </w:p>
    <w:p w:rsidR="00282E35" w:rsidRPr="00EF253C" w:rsidRDefault="00282E35" w:rsidP="00282E35">
      <w:pPr>
        <w:spacing w:after="0" w:line="240" w:lineRule="auto"/>
        <w:jc w:val="both"/>
        <w:rPr>
          <w:rFonts w:cs="Arial"/>
        </w:rPr>
      </w:pPr>
    </w:p>
    <w:p w:rsidR="00282E35" w:rsidRPr="00EF253C" w:rsidRDefault="00282E35" w:rsidP="00282E35">
      <w:pPr>
        <w:spacing w:after="0" w:line="240" w:lineRule="auto"/>
        <w:jc w:val="both"/>
        <w:rPr>
          <w:rFonts w:cs="Arial"/>
        </w:rPr>
      </w:pPr>
      <w:r w:rsidRPr="00EF253C">
        <w:rPr>
          <w:rFonts w:cs="Arial"/>
        </w:rPr>
        <w:t>The number of children living in poverty in Barnet is 21.2%</w:t>
      </w:r>
      <w:r w:rsidRPr="00EF253C">
        <w:rPr>
          <w:rStyle w:val="FootnoteReference"/>
          <w:rFonts w:cs="Arial"/>
        </w:rPr>
        <w:footnoteReference w:id="138"/>
      </w:r>
      <w:r w:rsidRPr="00EF253C">
        <w:rPr>
          <w:rFonts w:cs="Arial"/>
        </w:rPr>
        <w:t xml:space="preserve"> - which is slightly higher than the UK average (20.6%). This makes Barnet the </w:t>
      </w:r>
      <w:r>
        <w:rPr>
          <w:rFonts w:cs="Arial"/>
        </w:rPr>
        <w:t>Borough</w:t>
      </w:r>
      <w:r w:rsidRPr="00EF253C">
        <w:rPr>
          <w:rFonts w:cs="Arial"/>
        </w:rPr>
        <w:t xml:space="preserve"> with the 25</w:t>
      </w:r>
      <w:r w:rsidRPr="00EF253C">
        <w:rPr>
          <w:rFonts w:cs="Arial"/>
          <w:vertAlign w:val="superscript"/>
        </w:rPr>
        <w:t>th</w:t>
      </w:r>
      <w:r w:rsidRPr="00EF253C">
        <w:rPr>
          <w:rFonts w:cs="Arial"/>
        </w:rPr>
        <w:t xml:space="preserve"> highest rate of child poverty of the 33 London Authorities. </w:t>
      </w:r>
    </w:p>
    <w:p w:rsidR="00282E35" w:rsidRPr="00EF253C" w:rsidRDefault="00282E35" w:rsidP="00282E35">
      <w:pPr>
        <w:spacing w:after="0" w:line="240" w:lineRule="auto"/>
        <w:jc w:val="both"/>
        <w:rPr>
          <w:rFonts w:cs="Arial"/>
        </w:rPr>
      </w:pPr>
    </w:p>
    <w:p w:rsidR="00282E35" w:rsidRPr="00D746EC" w:rsidRDefault="00282E35" w:rsidP="00282E35">
      <w:pPr>
        <w:jc w:val="both"/>
        <w:rPr>
          <w:rFonts w:cs="Arial"/>
        </w:rPr>
      </w:pPr>
      <w:r w:rsidRPr="00EF253C">
        <w:rPr>
          <w:rFonts w:cs="Arial"/>
        </w:rPr>
        <w:t xml:space="preserve">Children living in poverty are not distributed equally across the </w:t>
      </w:r>
      <w:r>
        <w:rPr>
          <w:rFonts w:cs="Arial"/>
        </w:rPr>
        <w:t>Borough</w:t>
      </w:r>
      <w:r w:rsidRPr="00EF253C">
        <w:rPr>
          <w:rFonts w:cs="Arial"/>
        </w:rPr>
        <w:t xml:space="preserve"> and there is a strong correlation between child poverty and deprived LSOAs in Barnet. In turn, the proportion of </w:t>
      </w:r>
      <w:r w:rsidR="00C52374" w:rsidRPr="00F60F74">
        <w:rPr>
          <w:rFonts w:cs="Arial"/>
        </w:rPr>
        <w:t>B</w:t>
      </w:r>
      <w:r w:rsidR="00C52374">
        <w:rPr>
          <w:rFonts w:cs="Arial"/>
        </w:rPr>
        <w:t xml:space="preserve">lack, Asian and Minority Ethnic </w:t>
      </w:r>
      <w:r w:rsidRPr="00EF253C">
        <w:rPr>
          <w:rFonts w:cs="Arial"/>
        </w:rPr>
        <w:t>residents is higher in these areas.</w:t>
      </w:r>
      <w:r>
        <w:rPr>
          <w:rFonts w:cs="Arial"/>
        </w:rPr>
        <w:t xml:space="preserve"> </w:t>
      </w:r>
    </w:p>
    <w:p w:rsidR="00282E35" w:rsidRPr="00B56FAA" w:rsidRDefault="00282E35" w:rsidP="002508E7">
      <w:pPr>
        <w:pStyle w:val="Caption"/>
        <w:spacing w:after="0"/>
        <w:rPr>
          <w:rFonts w:cs="Arial"/>
          <w:b w:val="0"/>
          <w:i/>
        </w:rPr>
      </w:pPr>
      <w:r>
        <w:t xml:space="preserve">Figure </w:t>
      </w:r>
      <w:fldSimple w:instr=" STYLEREF 1 \s ">
        <w:r w:rsidR="001663C2">
          <w:rPr>
            <w:noProof/>
          </w:rPr>
          <w:t>8</w:t>
        </w:r>
      </w:fldSimple>
      <w:r w:rsidR="00943DC2">
        <w:noBreakHyphen/>
      </w:r>
      <w:fldSimple w:instr=" SEQ Figure \* ARABIC \s 1 ">
        <w:r w:rsidR="001663C2">
          <w:rPr>
            <w:noProof/>
          </w:rPr>
          <w:t>19</w:t>
        </w:r>
      </w:fldSimple>
      <w:r>
        <w:t xml:space="preserve">: </w:t>
      </w:r>
      <w:r w:rsidRPr="001B066B">
        <w:rPr>
          <w:rFonts w:cs="Arial"/>
        </w:rPr>
        <w:t>Estimated numbers of children living in deprived households by age and ward</w:t>
      </w:r>
      <w:r w:rsidRPr="00EF253C">
        <w:rPr>
          <w:rFonts w:eastAsia="Times New Roman" w:cs="Times New Roman"/>
          <w:noProof/>
          <w:lang w:eastAsia="en-GB"/>
        </w:rPr>
        <w:drawing>
          <wp:inline distT="0" distB="0" distL="0" distR="0">
            <wp:extent cx="5886450" cy="2800350"/>
            <wp:effectExtent l="0" t="0" r="19050" b="19050"/>
            <wp:docPr id="124" name="Chart 1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4"/>
              </a:graphicData>
            </a:graphic>
          </wp:inline>
        </w:drawing>
      </w:r>
    </w:p>
    <w:p w:rsidR="00282E35" w:rsidRDefault="00282E35" w:rsidP="002508E7">
      <w:pPr>
        <w:spacing w:after="0" w:line="240" w:lineRule="auto"/>
        <w:rPr>
          <w:rFonts w:cs="Arial"/>
        </w:rPr>
      </w:pPr>
      <w:r>
        <w:rPr>
          <w:rFonts w:cs="Arial"/>
        </w:rPr>
        <w:t>Source: HMRC, 2010</w:t>
      </w:r>
    </w:p>
    <w:p w:rsidR="002508E7" w:rsidRDefault="002508E7" w:rsidP="002508E7">
      <w:pPr>
        <w:spacing w:after="0" w:line="240" w:lineRule="auto"/>
        <w:rPr>
          <w:rFonts w:cs="Arial"/>
        </w:rPr>
      </w:pPr>
    </w:p>
    <w:p w:rsidR="00282E35" w:rsidRPr="00EF253C" w:rsidRDefault="00282E35" w:rsidP="00282E35">
      <w:pPr>
        <w:jc w:val="both"/>
        <w:rPr>
          <w:rFonts w:cs="Arial"/>
        </w:rPr>
      </w:pPr>
      <w:r w:rsidRPr="00EF253C">
        <w:rPr>
          <w:rFonts w:cs="Arial"/>
        </w:rPr>
        <w:t xml:space="preserve">The highest rates of child poverty are in the west of the </w:t>
      </w:r>
      <w:r>
        <w:rPr>
          <w:rFonts w:cs="Arial"/>
        </w:rPr>
        <w:t>Borough</w:t>
      </w:r>
      <w:r w:rsidRPr="00EF253C">
        <w:rPr>
          <w:rFonts w:cs="Arial"/>
        </w:rPr>
        <w:t>, in particular Burnt Oak (36%) and Colindale (37.5%)</w:t>
      </w:r>
      <w:r w:rsidRPr="00EF253C">
        <w:rPr>
          <w:rStyle w:val="FootnoteReference"/>
          <w:rFonts w:cs="Arial"/>
        </w:rPr>
        <w:footnoteReference w:id="139"/>
      </w:r>
      <w:r w:rsidRPr="00EF253C">
        <w:rPr>
          <w:rFonts w:cs="Arial"/>
        </w:rPr>
        <w:t xml:space="preserve">, which exceed the national and London averages. Colindale and Burnt Oak also have the highest proportion of children living in low-income families, with just over one third of the children living in low-income families.  </w:t>
      </w:r>
    </w:p>
    <w:p w:rsidR="00282E35" w:rsidRDefault="00282E35" w:rsidP="00282E35">
      <w:pPr>
        <w:jc w:val="both"/>
        <w:rPr>
          <w:rFonts w:cs="Arial"/>
        </w:rPr>
      </w:pPr>
      <w:r w:rsidRPr="00EF253C">
        <w:rPr>
          <w:rFonts w:cs="Arial"/>
        </w:rPr>
        <w:t xml:space="preserve">Underhill, Child’s Hill and Coppetts are the wards with the next highest rates of poverty, with Underhill at 26.2% </w:t>
      </w:r>
      <w:r>
        <w:rPr>
          <w:rFonts w:cs="Arial"/>
        </w:rPr>
        <w:t>and the other wards both at 25%</w:t>
      </w:r>
    </w:p>
    <w:p w:rsidR="002D13A0" w:rsidRDefault="002D13A0" w:rsidP="00282E35">
      <w:pPr>
        <w:pStyle w:val="Caption"/>
      </w:pPr>
    </w:p>
    <w:p w:rsidR="002D13A0" w:rsidRDefault="002D13A0" w:rsidP="00282E35">
      <w:pPr>
        <w:pStyle w:val="Caption"/>
      </w:pPr>
    </w:p>
    <w:p w:rsidR="002D13A0" w:rsidRDefault="002D13A0" w:rsidP="00282E35">
      <w:pPr>
        <w:pStyle w:val="Caption"/>
      </w:pPr>
    </w:p>
    <w:p w:rsidR="00282E35" w:rsidRPr="00EF253C" w:rsidRDefault="00282E35" w:rsidP="00282E35">
      <w:pPr>
        <w:pStyle w:val="Caption"/>
        <w:rPr>
          <w:rFonts w:cs="Arial"/>
        </w:rPr>
      </w:pPr>
      <w:r>
        <w:t xml:space="preserve">Figure </w:t>
      </w:r>
      <w:fldSimple w:instr=" STYLEREF 1 \s ">
        <w:r w:rsidR="001663C2">
          <w:rPr>
            <w:noProof/>
          </w:rPr>
          <w:t>8</w:t>
        </w:r>
      </w:fldSimple>
      <w:r w:rsidR="00943DC2">
        <w:noBreakHyphen/>
      </w:r>
      <w:fldSimple w:instr=" SEQ Figure \* ARABIC \s 1 ">
        <w:r w:rsidR="001663C2">
          <w:rPr>
            <w:noProof/>
          </w:rPr>
          <w:t>20</w:t>
        </w:r>
      </w:fldSimple>
      <w:r>
        <w:t>: Child Poverty by Ward</w:t>
      </w:r>
    </w:p>
    <w:p w:rsidR="00282E35" w:rsidRPr="00EF253C" w:rsidRDefault="00282E35" w:rsidP="00282E35">
      <w:pPr>
        <w:jc w:val="both"/>
        <w:rPr>
          <w:rFonts w:cs="Arial"/>
        </w:rPr>
      </w:pPr>
      <w:r w:rsidRPr="00EF253C">
        <w:rPr>
          <w:rFonts w:cs="Arial"/>
          <w:noProof/>
          <w:lang w:eastAsia="en-GB"/>
        </w:rPr>
        <w:drawing>
          <wp:anchor distT="0" distB="0" distL="114300" distR="114300" simplePos="0" relativeHeight="251822080" behindDoc="1" locked="0" layoutInCell="1" allowOverlap="1" wp14:anchorId="74477684" wp14:editId="749A8CFA">
            <wp:simplePos x="0" y="0"/>
            <wp:positionH relativeFrom="column">
              <wp:posOffset>-134620</wp:posOffset>
            </wp:positionH>
            <wp:positionV relativeFrom="paragraph">
              <wp:posOffset>48260</wp:posOffset>
            </wp:positionV>
            <wp:extent cx="3585845" cy="3409315"/>
            <wp:effectExtent l="0" t="0" r="0" b="635"/>
            <wp:wrapTight wrapText="bothSides">
              <wp:wrapPolygon edited="0">
                <wp:start x="0" y="0"/>
                <wp:lineTo x="0" y="21483"/>
                <wp:lineTo x="21458" y="21483"/>
                <wp:lineTo x="21458" y="0"/>
                <wp:lineTo x="0" y="0"/>
              </wp:wrapPolygon>
            </wp:wrapTight>
            <wp:docPr id="1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1" name="Picture 2"/>
                    <pic:cNvPicPr>
                      <a:picLocks noChangeAspect="1"/>
                    </pic:cNvPicPr>
                  </pic:nvPicPr>
                  <pic:blipFill>
                    <a:blip r:embed="rId195">
                      <a:extLst>
                        <a:ext uri="{28A0092B-C50C-407E-A947-70E740481C1C}">
                          <a14:useLocalDpi xmlns:a14="http://schemas.microsoft.com/office/drawing/2010/main" val="0"/>
                        </a:ext>
                      </a:extLst>
                    </a:blip>
                    <a:srcRect l="16806" t="16112" r="40375" b="11555"/>
                    <a:stretch>
                      <a:fillRect/>
                    </a:stretch>
                  </pic:blipFill>
                  <pic:spPr bwMode="auto">
                    <a:xfrm>
                      <a:off x="0" y="0"/>
                      <a:ext cx="3585845" cy="340931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Pr="00EF253C">
        <w:rPr>
          <w:rFonts w:cs="Arial"/>
        </w:rPr>
        <w:t>Child poverty is particularly low in the more central wards running from north to south</w:t>
      </w:r>
      <w:r w:rsidR="00FF38EA">
        <w:rPr>
          <w:rFonts w:cs="Arial"/>
        </w:rPr>
        <w:t xml:space="preserve"> of the Borough</w:t>
      </w:r>
      <w:r w:rsidRPr="00EF253C">
        <w:rPr>
          <w:rFonts w:cs="Arial"/>
        </w:rPr>
        <w:t xml:space="preserve">: High Barnet, Totteridge, West Finchley, Finchley Church End and Garden Suburb. Garden Suburb has the lowest percentage at only 7.9%. These are also the wards in which the percentage of all children living in a low-income family is at its lowest in the </w:t>
      </w:r>
      <w:r>
        <w:rPr>
          <w:rFonts w:cs="Arial"/>
        </w:rPr>
        <w:t>Borough</w:t>
      </w:r>
      <w:r w:rsidRPr="00EF253C">
        <w:rPr>
          <w:rFonts w:cs="Arial"/>
        </w:rPr>
        <w:t xml:space="preserve">. </w:t>
      </w:r>
    </w:p>
    <w:p w:rsidR="00282E35" w:rsidRDefault="00282E35" w:rsidP="00282E35">
      <w:pPr>
        <w:jc w:val="both"/>
        <w:rPr>
          <w:rFonts w:cs="Arial"/>
        </w:rPr>
      </w:pPr>
      <w:r w:rsidRPr="00EF253C">
        <w:rPr>
          <w:rFonts w:cs="Arial"/>
        </w:rPr>
        <w:t>There are a number of factors that directly and indirectly influence child poverty, which are set out in more detail below</w:t>
      </w:r>
      <w:r>
        <w:rPr>
          <w:rFonts w:cs="Arial"/>
        </w:rPr>
        <w:t>.</w:t>
      </w:r>
    </w:p>
    <w:p w:rsidR="00282E35" w:rsidRDefault="00282E35" w:rsidP="00282E35">
      <w:pPr>
        <w:rPr>
          <w:rFonts w:cs="Arial"/>
        </w:rPr>
      </w:pPr>
    </w:p>
    <w:p w:rsidR="00282E35" w:rsidRPr="00EF253C" w:rsidRDefault="00282E35" w:rsidP="00282E35">
      <w:pPr>
        <w:pStyle w:val="Heading3"/>
        <w:keepNext w:val="0"/>
        <w:keepLines w:val="0"/>
        <w:spacing w:line="271" w:lineRule="auto"/>
      </w:pPr>
      <w:r w:rsidRPr="00EF253C">
        <w:t>Housing</w:t>
      </w:r>
    </w:p>
    <w:p w:rsidR="00282E35" w:rsidRPr="00EF253C" w:rsidRDefault="00282E35" w:rsidP="00282E35">
      <w:pPr>
        <w:jc w:val="both"/>
        <w:rPr>
          <w:rFonts w:cs="Arial"/>
          <w:iCs/>
          <w:color w:val="080808"/>
          <w:lang w:eastAsia="en-GB"/>
        </w:rPr>
      </w:pPr>
      <w:r w:rsidRPr="00EF253C">
        <w:rPr>
          <w:rFonts w:cs="Arial"/>
        </w:rPr>
        <w:t>Housing costs are a factor which can push families below the poverty line. In turn, bad housing means lower educational attainment and greater likelihood of unemployment for children</w:t>
      </w:r>
      <w:r w:rsidRPr="00EF253C">
        <w:rPr>
          <w:rStyle w:val="FootnoteReference"/>
          <w:rFonts w:cs="Arial"/>
        </w:rPr>
        <w:footnoteReference w:id="140"/>
      </w:r>
      <w:r w:rsidRPr="00EF253C">
        <w:rPr>
          <w:rFonts w:cs="Arial"/>
        </w:rPr>
        <w:t>. Private sector rents have increased faster in Barnet than in other parts of Lo</w:t>
      </w:r>
      <w:r w:rsidRPr="00EF253C">
        <w:rPr>
          <w:rFonts w:cs="Arial"/>
          <w:iCs/>
          <w:color w:val="080808"/>
          <w:lang w:eastAsia="en-GB"/>
        </w:rPr>
        <w:t>ndon and they are the 4</w:t>
      </w:r>
      <w:r w:rsidRPr="00EF253C">
        <w:rPr>
          <w:rFonts w:cs="Arial"/>
          <w:iCs/>
          <w:color w:val="080808"/>
          <w:vertAlign w:val="superscript"/>
          <w:lang w:eastAsia="en-GB"/>
        </w:rPr>
        <w:t>th</w:t>
      </w:r>
      <w:r w:rsidRPr="00EF253C">
        <w:rPr>
          <w:rFonts w:cs="Arial"/>
          <w:iCs/>
          <w:color w:val="080808"/>
          <w:lang w:eastAsia="en-GB"/>
        </w:rPr>
        <w:t xml:space="preserve"> highest of 16 Outer London </w:t>
      </w:r>
      <w:r>
        <w:rPr>
          <w:rFonts w:cs="Arial"/>
          <w:iCs/>
          <w:color w:val="080808"/>
          <w:lang w:eastAsia="en-GB"/>
        </w:rPr>
        <w:t>Borough</w:t>
      </w:r>
      <w:r w:rsidRPr="00EF253C">
        <w:rPr>
          <w:rFonts w:cs="Arial"/>
          <w:iCs/>
          <w:color w:val="080808"/>
          <w:lang w:eastAsia="en-GB"/>
        </w:rPr>
        <w:t xml:space="preserve">s. </w:t>
      </w:r>
    </w:p>
    <w:p w:rsidR="00282E35" w:rsidRPr="00EF253C" w:rsidRDefault="00282E35" w:rsidP="00282E35">
      <w:pPr>
        <w:jc w:val="both"/>
        <w:rPr>
          <w:rFonts w:cs="Arial"/>
          <w:iCs/>
          <w:color w:val="080808"/>
          <w:lang w:eastAsia="en-GB"/>
        </w:rPr>
      </w:pPr>
      <w:r w:rsidRPr="00EF253C">
        <w:rPr>
          <w:rFonts w:cs="Arial"/>
          <w:iCs/>
          <w:color w:val="080808"/>
          <w:lang w:eastAsia="en-GB"/>
        </w:rPr>
        <w:t xml:space="preserve">Increased housing costs can contribute to ‘in work poverty’, where families who are in work find that housing, bills, childcare costs and living costs mean that there is little leftover from their wages. Income is also depends on the skills and qualifications of the workforce and the level of income.  </w:t>
      </w:r>
    </w:p>
    <w:p w:rsidR="00282E35" w:rsidRDefault="00282E35" w:rsidP="00282E35">
      <w:pPr>
        <w:jc w:val="both"/>
        <w:rPr>
          <w:rFonts w:cs="Arial"/>
          <w:iCs/>
          <w:color w:val="080808"/>
          <w:lang w:eastAsia="en-GB"/>
        </w:rPr>
      </w:pPr>
      <w:r w:rsidRPr="00EF253C">
        <w:rPr>
          <w:rFonts w:cs="Arial"/>
          <w:iCs/>
          <w:color w:val="080808"/>
          <w:lang w:eastAsia="en-GB"/>
        </w:rPr>
        <w:t xml:space="preserve">This means that more low-income households may approach the </w:t>
      </w:r>
      <w:r>
        <w:rPr>
          <w:rFonts w:cs="Arial"/>
          <w:iCs/>
          <w:color w:val="080808"/>
          <w:lang w:eastAsia="en-GB"/>
        </w:rPr>
        <w:t>c</w:t>
      </w:r>
      <w:r w:rsidRPr="00EF253C">
        <w:rPr>
          <w:rFonts w:cs="Arial"/>
          <w:iCs/>
          <w:color w:val="080808"/>
          <w:lang w:eastAsia="en-GB"/>
        </w:rPr>
        <w:t xml:space="preserve">ouncil for assistance with their housing. 12% of new issues to the Barnet Citizen’s Advice Bureau in 2012/13 were related to </w:t>
      </w:r>
      <w:r>
        <w:rPr>
          <w:rFonts w:cs="Arial"/>
          <w:iCs/>
          <w:color w:val="080808"/>
          <w:lang w:eastAsia="en-GB"/>
        </w:rPr>
        <w:t>h</w:t>
      </w:r>
      <w:r w:rsidRPr="00EF253C">
        <w:rPr>
          <w:rFonts w:cs="Arial"/>
          <w:iCs/>
          <w:color w:val="080808"/>
          <w:lang w:eastAsia="en-GB"/>
        </w:rPr>
        <w:t>ousing, second to debt (16%) and benefits (35%).</w:t>
      </w:r>
    </w:p>
    <w:p w:rsidR="00282E35" w:rsidRPr="00EF253C" w:rsidRDefault="00282E35" w:rsidP="00282E35">
      <w:pPr>
        <w:jc w:val="both"/>
        <w:rPr>
          <w:rFonts w:cs="Arial"/>
          <w:iCs/>
          <w:color w:val="080808"/>
          <w:lang w:eastAsia="en-GB"/>
        </w:rPr>
      </w:pPr>
      <w:r>
        <w:rPr>
          <w:rFonts w:cs="Arial"/>
          <w:iCs/>
          <w:color w:val="080808"/>
          <w:lang w:eastAsia="en-GB"/>
        </w:rPr>
        <w:t>The number of young people being displaced who live within a family unit is increasing. These are young people and children who have to move out of Borough due to homelessness and or the lack of affordable housing.  This has implications for school attendance and sustaining family support networks.</w:t>
      </w:r>
    </w:p>
    <w:p w:rsidR="00282E35" w:rsidRPr="00EF253C" w:rsidRDefault="00282E35" w:rsidP="00282E35">
      <w:pPr>
        <w:pStyle w:val="Heading3"/>
        <w:keepNext w:val="0"/>
        <w:keepLines w:val="0"/>
        <w:spacing w:line="271" w:lineRule="auto"/>
        <w:jc w:val="both"/>
      </w:pPr>
      <w:r w:rsidRPr="00EF253C">
        <w:t>Education</w:t>
      </w:r>
    </w:p>
    <w:p w:rsidR="00282E35" w:rsidRPr="00EF253C" w:rsidRDefault="00282E35" w:rsidP="00282E35">
      <w:pPr>
        <w:jc w:val="both"/>
        <w:rPr>
          <w:rFonts w:cs="Arial"/>
        </w:rPr>
      </w:pPr>
      <w:r w:rsidRPr="00EF253C">
        <w:rPr>
          <w:rFonts w:cs="Arial"/>
        </w:rPr>
        <w:t>Children growing up in poverty are less likely to do well at school. This can put them at a disadvantage in later life which, in turn, can affect their children.</w:t>
      </w:r>
    </w:p>
    <w:p w:rsidR="00282E35" w:rsidRPr="00EF253C" w:rsidRDefault="00282E35" w:rsidP="00282E35">
      <w:pPr>
        <w:jc w:val="both"/>
        <w:rPr>
          <w:rFonts w:cs="Arial"/>
        </w:rPr>
      </w:pPr>
      <w:r w:rsidRPr="00EF253C">
        <w:rPr>
          <w:rFonts w:cs="Arial"/>
        </w:rPr>
        <w:lastRenderedPageBreak/>
        <w:t>Nationally, only 48</w:t>
      </w:r>
      <w:r>
        <w:rPr>
          <w:rFonts w:cs="Arial"/>
        </w:rPr>
        <w:t>%</w:t>
      </w:r>
      <w:r w:rsidR="00FF38EA">
        <w:rPr>
          <w:rFonts w:cs="Arial"/>
        </w:rPr>
        <w:t xml:space="preserve"> of five year olds entitled to F</w:t>
      </w:r>
      <w:r w:rsidRPr="00EF253C">
        <w:rPr>
          <w:rFonts w:cs="Arial"/>
        </w:rPr>
        <w:t xml:space="preserve">ree </w:t>
      </w:r>
      <w:r w:rsidR="00FF38EA">
        <w:rPr>
          <w:rFonts w:cs="Arial"/>
        </w:rPr>
        <w:t>S</w:t>
      </w:r>
      <w:r w:rsidRPr="00EF253C">
        <w:rPr>
          <w:rFonts w:cs="Arial"/>
        </w:rPr>
        <w:t xml:space="preserve">chool </w:t>
      </w:r>
      <w:r w:rsidR="00FF38EA">
        <w:rPr>
          <w:rFonts w:cs="Arial"/>
        </w:rPr>
        <w:t>M</w:t>
      </w:r>
      <w:r w:rsidRPr="00EF253C">
        <w:rPr>
          <w:rFonts w:cs="Arial"/>
        </w:rPr>
        <w:t>eals have a good level of development at the end of their reception year, compared to 67</w:t>
      </w:r>
      <w:r>
        <w:rPr>
          <w:rFonts w:cs="Arial"/>
        </w:rPr>
        <w:t>%</w:t>
      </w:r>
      <w:r w:rsidRPr="00EF253C">
        <w:rPr>
          <w:rFonts w:cs="Arial"/>
        </w:rPr>
        <w:t xml:space="preserve"> of all other pupils.  Less t</w:t>
      </w:r>
      <w:r w:rsidR="00FF38EA">
        <w:rPr>
          <w:rFonts w:cs="Arial"/>
        </w:rPr>
        <w:t>han half of pupils entitled to F</w:t>
      </w:r>
      <w:r w:rsidRPr="00EF253C">
        <w:rPr>
          <w:rFonts w:cs="Arial"/>
        </w:rPr>
        <w:t xml:space="preserve">ree </w:t>
      </w:r>
      <w:r w:rsidR="00FF38EA">
        <w:rPr>
          <w:rFonts w:cs="Arial"/>
        </w:rPr>
        <w:t>S</w:t>
      </w:r>
      <w:r w:rsidRPr="00EF253C">
        <w:rPr>
          <w:rFonts w:cs="Arial"/>
        </w:rPr>
        <w:t xml:space="preserve">chool </w:t>
      </w:r>
      <w:r w:rsidR="00FF38EA">
        <w:rPr>
          <w:rFonts w:cs="Arial"/>
        </w:rPr>
        <w:t>M</w:t>
      </w:r>
      <w:r w:rsidRPr="00EF253C">
        <w:rPr>
          <w:rFonts w:cs="Arial"/>
        </w:rPr>
        <w:t>eals (just 36</w:t>
      </w:r>
      <w:r>
        <w:rPr>
          <w:rFonts w:cs="Arial"/>
        </w:rPr>
        <w:t>%</w:t>
      </w:r>
      <w:r w:rsidRPr="00EF253C">
        <w:rPr>
          <w:rFonts w:cs="Arial"/>
        </w:rPr>
        <w:t>) achieve 5 GCSEs at C or above, including English and Maths, which compares to 63</w:t>
      </w:r>
      <w:r>
        <w:rPr>
          <w:rFonts w:cs="Arial"/>
        </w:rPr>
        <w:t>%</w:t>
      </w:r>
      <w:r w:rsidRPr="00EF253C">
        <w:rPr>
          <w:rFonts w:cs="Arial"/>
        </w:rPr>
        <w:t xml:space="preserve"> of pupils who are not eligible.</w:t>
      </w:r>
    </w:p>
    <w:p w:rsidR="00282E35" w:rsidRPr="00EF253C" w:rsidRDefault="00282E35" w:rsidP="00282E35">
      <w:pPr>
        <w:jc w:val="both"/>
        <w:rPr>
          <w:rFonts w:cs="Arial"/>
        </w:rPr>
      </w:pPr>
      <w:r w:rsidRPr="00EF253C">
        <w:rPr>
          <w:rFonts w:cs="Arial"/>
          <w:bCs/>
        </w:rPr>
        <w:t>In Barnet, disadvantaged children</w:t>
      </w:r>
      <w:r w:rsidRPr="00EF253C">
        <w:rPr>
          <w:rFonts w:cs="Arial"/>
        </w:rPr>
        <w:t xml:space="preserve"> continue to perform significantly </w:t>
      </w:r>
      <w:r w:rsidRPr="00EF253C">
        <w:rPr>
          <w:rFonts w:cs="Arial"/>
          <w:bCs/>
        </w:rPr>
        <w:t>below</w:t>
      </w:r>
      <w:r w:rsidRPr="00EF253C">
        <w:rPr>
          <w:rFonts w:cs="Arial"/>
        </w:rPr>
        <w:t xml:space="preserve"> their </w:t>
      </w:r>
      <w:r w:rsidRPr="00EF253C">
        <w:rPr>
          <w:rFonts w:cs="Arial"/>
          <w:bCs/>
        </w:rPr>
        <w:t>non-disadvantaged</w:t>
      </w:r>
      <w:r w:rsidRPr="00EF253C">
        <w:rPr>
          <w:rFonts w:cs="Arial"/>
        </w:rPr>
        <w:t xml:space="preserve"> counterparts. In 2014, </w:t>
      </w:r>
      <w:r w:rsidRPr="00EF253C">
        <w:rPr>
          <w:rFonts w:cs="Arial"/>
          <w:bCs/>
        </w:rPr>
        <w:t>28 percentage points separated</w:t>
      </w:r>
      <w:r w:rsidRPr="00EF253C">
        <w:rPr>
          <w:rFonts w:cs="Arial"/>
        </w:rPr>
        <w:t xml:space="preserve"> </w:t>
      </w:r>
      <w:r w:rsidRPr="00EF253C">
        <w:rPr>
          <w:rFonts w:cs="Arial"/>
          <w:bCs/>
        </w:rPr>
        <w:t xml:space="preserve">disadvantaged </w:t>
      </w:r>
      <w:r w:rsidRPr="00EF253C">
        <w:rPr>
          <w:rFonts w:cs="Arial"/>
        </w:rPr>
        <w:t>and</w:t>
      </w:r>
      <w:r w:rsidRPr="00EF253C">
        <w:rPr>
          <w:rFonts w:cs="Arial"/>
          <w:bCs/>
        </w:rPr>
        <w:t xml:space="preserve"> non-disadvantaged </w:t>
      </w:r>
      <w:r w:rsidRPr="00EF253C">
        <w:rPr>
          <w:rFonts w:cs="Arial"/>
        </w:rPr>
        <w:t xml:space="preserve">pupils at Key Stage 4. The </w:t>
      </w:r>
      <w:r w:rsidR="00FF38EA">
        <w:rPr>
          <w:rFonts w:cs="Arial"/>
        </w:rPr>
        <w:t>number of children entitled to Free S</w:t>
      </w:r>
      <w:r w:rsidRPr="00EF253C">
        <w:rPr>
          <w:rFonts w:cs="Arial"/>
        </w:rPr>
        <w:t xml:space="preserve">chool </w:t>
      </w:r>
      <w:r w:rsidR="00FF38EA">
        <w:rPr>
          <w:rFonts w:cs="Arial"/>
        </w:rPr>
        <w:t>M</w:t>
      </w:r>
      <w:r w:rsidRPr="00EF253C">
        <w:rPr>
          <w:rFonts w:cs="Arial"/>
        </w:rPr>
        <w:t xml:space="preserve">eals progressing to Level </w:t>
      </w:r>
      <w:r>
        <w:rPr>
          <w:rFonts w:cs="Arial"/>
        </w:rPr>
        <w:t>T</w:t>
      </w:r>
      <w:r w:rsidRPr="00EF253C">
        <w:rPr>
          <w:rFonts w:cs="Arial"/>
        </w:rPr>
        <w:t>wo has inc</w:t>
      </w:r>
      <w:r w:rsidR="00FF38EA">
        <w:rPr>
          <w:rFonts w:cs="Arial"/>
        </w:rPr>
        <w:t>reased steadily over the past ten</w:t>
      </w:r>
      <w:r w:rsidRPr="00EF253C">
        <w:rPr>
          <w:rFonts w:cs="Arial"/>
        </w:rPr>
        <w:t xml:space="preserve"> years, in line with London levels. </w:t>
      </w:r>
    </w:p>
    <w:p w:rsidR="00282E35" w:rsidRPr="00EF253C" w:rsidRDefault="00282E35" w:rsidP="00282E35">
      <w:pPr>
        <w:jc w:val="both"/>
        <w:rPr>
          <w:rFonts w:cs="Arial"/>
        </w:rPr>
      </w:pPr>
      <w:r w:rsidRPr="00EF253C">
        <w:rPr>
          <w:rFonts w:cs="Arial"/>
        </w:rPr>
        <w:t xml:space="preserve">The percentage of young people in Barnet progressing to higher education exceeds the London average by nine percentage points (58%). However the gap for children on </w:t>
      </w:r>
      <w:r w:rsidR="00FF38EA">
        <w:rPr>
          <w:rFonts w:cs="Arial"/>
        </w:rPr>
        <w:t>F</w:t>
      </w:r>
      <w:r w:rsidRPr="00EF253C">
        <w:rPr>
          <w:rFonts w:cs="Arial"/>
        </w:rPr>
        <w:t xml:space="preserve">ree </w:t>
      </w:r>
      <w:r w:rsidR="00FF38EA">
        <w:rPr>
          <w:rFonts w:cs="Arial"/>
        </w:rPr>
        <w:t>S</w:t>
      </w:r>
      <w:r w:rsidRPr="00EF253C">
        <w:rPr>
          <w:rFonts w:cs="Arial"/>
        </w:rPr>
        <w:t xml:space="preserve">chool </w:t>
      </w:r>
      <w:r w:rsidR="00FF38EA">
        <w:rPr>
          <w:rFonts w:cs="Arial"/>
        </w:rPr>
        <w:t>M</w:t>
      </w:r>
      <w:r w:rsidRPr="00EF253C">
        <w:rPr>
          <w:rFonts w:cs="Arial"/>
        </w:rPr>
        <w:t xml:space="preserve">eals is far smaller, </w:t>
      </w:r>
      <w:r>
        <w:rPr>
          <w:rFonts w:cs="Arial"/>
        </w:rPr>
        <w:t xml:space="preserve">at </w:t>
      </w:r>
      <w:r w:rsidR="00FF38EA">
        <w:rPr>
          <w:rFonts w:cs="Arial"/>
        </w:rPr>
        <w:t>six</w:t>
      </w:r>
      <w:r w:rsidRPr="00EF253C">
        <w:rPr>
          <w:rFonts w:cs="Arial"/>
        </w:rPr>
        <w:t xml:space="preserve"> percentage point</w:t>
      </w:r>
      <w:r>
        <w:rPr>
          <w:rFonts w:cs="Arial"/>
        </w:rPr>
        <w:t>s</w:t>
      </w:r>
      <w:r w:rsidRPr="00EF253C">
        <w:rPr>
          <w:rFonts w:cs="Arial"/>
        </w:rPr>
        <w:t xml:space="preserve"> </w:t>
      </w:r>
      <w:r>
        <w:rPr>
          <w:rFonts w:cs="Arial"/>
        </w:rPr>
        <w:t>below</w:t>
      </w:r>
      <w:r w:rsidRPr="00EF253C">
        <w:rPr>
          <w:rFonts w:cs="Arial"/>
        </w:rPr>
        <w:t xml:space="preserve"> (43%)</w:t>
      </w:r>
      <w:r>
        <w:rPr>
          <w:rFonts w:cs="Arial"/>
        </w:rPr>
        <w:t xml:space="preserve"> </w:t>
      </w:r>
      <w:r w:rsidRPr="00EF253C">
        <w:rPr>
          <w:rFonts w:cs="Arial"/>
        </w:rPr>
        <w:t xml:space="preserve">the London average. </w:t>
      </w:r>
    </w:p>
    <w:p w:rsidR="00282E35" w:rsidRPr="00EF253C" w:rsidRDefault="00282E35" w:rsidP="00282E35">
      <w:pPr>
        <w:pStyle w:val="Heading3"/>
        <w:keepNext w:val="0"/>
        <w:keepLines w:val="0"/>
        <w:spacing w:line="271" w:lineRule="auto"/>
        <w:jc w:val="both"/>
      </w:pPr>
      <w:r w:rsidRPr="00EF253C">
        <w:t>Health</w:t>
      </w:r>
    </w:p>
    <w:p w:rsidR="00282E35" w:rsidRPr="00EF253C" w:rsidRDefault="00282E35" w:rsidP="00282E35">
      <w:pPr>
        <w:autoSpaceDE w:val="0"/>
        <w:autoSpaceDN w:val="0"/>
        <w:adjustRightInd w:val="0"/>
        <w:spacing w:after="0" w:line="240" w:lineRule="auto"/>
        <w:jc w:val="both"/>
        <w:rPr>
          <w:rFonts w:cs="Arial"/>
        </w:rPr>
      </w:pPr>
      <w:r w:rsidRPr="00EF253C">
        <w:rPr>
          <w:rFonts w:cs="Arial"/>
        </w:rPr>
        <w:t>Poverty has been the major determinant of child and adult health and it remains a major cause of ill health with huge public health consequences</w:t>
      </w:r>
      <w:r w:rsidRPr="00EF253C">
        <w:rPr>
          <w:rStyle w:val="FootnoteReference"/>
          <w:rFonts w:cs="Arial"/>
        </w:rPr>
        <w:footnoteReference w:id="141"/>
      </w:r>
      <w:r w:rsidRPr="00EF253C">
        <w:rPr>
          <w:rFonts w:cs="Arial"/>
        </w:rPr>
        <w:t>. A report from End Child Poverty states the following:</w:t>
      </w:r>
    </w:p>
    <w:p w:rsidR="00282E35" w:rsidRPr="00EF253C" w:rsidRDefault="00282E35" w:rsidP="00282E35">
      <w:pPr>
        <w:spacing w:after="0" w:line="240" w:lineRule="auto"/>
        <w:jc w:val="both"/>
        <w:rPr>
          <w:rFonts w:cs="Arial"/>
        </w:rPr>
      </w:pPr>
    </w:p>
    <w:p w:rsidR="00282E35" w:rsidRPr="00EF253C" w:rsidRDefault="00FF38EA" w:rsidP="008921BF">
      <w:pPr>
        <w:pStyle w:val="ListParagraph"/>
        <w:numPr>
          <w:ilvl w:val="0"/>
          <w:numId w:val="113"/>
        </w:numPr>
        <w:autoSpaceDE w:val="0"/>
        <w:autoSpaceDN w:val="0"/>
        <w:adjustRightInd w:val="0"/>
        <w:spacing w:after="0" w:line="240" w:lineRule="auto"/>
        <w:jc w:val="both"/>
        <w:rPr>
          <w:rFonts w:cs="Arial"/>
        </w:rPr>
      </w:pPr>
      <w:r>
        <w:rPr>
          <w:rFonts w:cs="Arial"/>
        </w:rPr>
        <w:t>t</w:t>
      </w:r>
      <w:r w:rsidR="00282E35" w:rsidRPr="00EF253C">
        <w:rPr>
          <w:rFonts w:cs="Arial"/>
        </w:rPr>
        <w:t xml:space="preserve">he effects of poverty are passed across generations through pregnancy.  </w:t>
      </w:r>
    </w:p>
    <w:p w:rsidR="00282E35" w:rsidRPr="00EF253C" w:rsidRDefault="00FF38EA" w:rsidP="008921BF">
      <w:pPr>
        <w:pStyle w:val="ListParagraph"/>
        <w:numPr>
          <w:ilvl w:val="0"/>
          <w:numId w:val="113"/>
        </w:numPr>
        <w:autoSpaceDE w:val="0"/>
        <w:autoSpaceDN w:val="0"/>
        <w:adjustRightInd w:val="0"/>
        <w:spacing w:after="0" w:line="240" w:lineRule="auto"/>
        <w:jc w:val="both"/>
        <w:rPr>
          <w:rFonts w:cs="Arial"/>
        </w:rPr>
      </w:pPr>
      <w:r>
        <w:rPr>
          <w:rFonts w:cs="Arial"/>
        </w:rPr>
        <w:t>p</w:t>
      </w:r>
      <w:r w:rsidR="00282E35" w:rsidRPr="00EF253C">
        <w:rPr>
          <w:rFonts w:cs="Arial"/>
        </w:rPr>
        <w:t>oor infants are more likely to be born small and/or early</w:t>
      </w:r>
      <w:r w:rsidR="00282E35">
        <w:rPr>
          <w:rFonts w:cs="Arial"/>
        </w:rPr>
        <w:t>.</w:t>
      </w:r>
    </w:p>
    <w:p w:rsidR="00282E35" w:rsidRPr="00EF253C" w:rsidRDefault="00FF38EA" w:rsidP="008921BF">
      <w:pPr>
        <w:pStyle w:val="ListParagraph"/>
        <w:numPr>
          <w:ilvl w:val="0"/>
          <w:numId w:val="113"/>
        </w:numPr>
        <w:autoSpaceDE w:val="0"/>
        <w:autoSpaceDN w:val="0"/>
        <w:adjustRightInd w:val="0"/>
        <w:spacing w:after="0" w:line="240" w:lineRule="auto"/>
        <w:jc w:val="both"/>
        <w:rPr>
          <w:rFonts w:cs="Arial"/>
        </w:rPr>
      </w:pPr>
      <w:r>
        <w:rPr>
          <w:rFonts w:cs="Arial"/>
        </w:rPr>
        <w:t>a</w:t>
      </w:r>
      <w:r w:rsidR="00282E35" w:rsidRPr="00EF253C">
        <w:rPr>
          <w:rFonts w:cs="Arial"/>
        </w:rPr>
        <w:t>cute illnesses are more likely to affect poor children and they are more likely to experience hospital admission.</w:t>
      </w:r>
    </w:p>
    <w:p w:rsidR="00282E35" w:rsidRPr="00EF253C" w:rsidRDefault="00FF38EA" w:rsidP="008921BF">
      <w:pPr>
        <w:pStyle w:val="ListParagraph"/>
        <w:numPr>
          <w:ilvl w:val="0"/>
          <w:numId w:val="113"/>
        </w:numPr>
        <w:autoSpaceDE w:val="0"/>
        <w:autoSpaceDN w:val="0"/>
        <w:adjustRightInd w:val="0"/>
        <w:spacing w:after="0" w:line="240" w:lineRule="auto"/>
        <w:jc w:val="both"/>
        <w:rPr>
          <w:rFonts w:cs="HelveticaNeue-Light"/>
        </w:rPr>
      </w:pPr>
      <w:r>
        <w:rPr>
          <w:rFonts w:cs="HelveticaNeue-Light"/>
        </w:rPr>
        <w:t>c</w:t>
      </w:r>
      <w:r w:rsidR="00282E35" w:rsidRPr="00EF253C">
        <w:rPr>
          <w:rFonts w:cs="HelveticaNeue-Light"/>
        </w:rPr>
        <w:t>hild abuse and neglect appear to be more common among poor families, possibly related to the adverse effects of poverty on child rearing.</w:t>
      </w:r>
    </w:p>
    <w:p w:rsidR="00282E35" w:rsidRPr="00EF253C" w:rsidRDefault="00FF38EA" w:rsidP="008921BF">
      <w:pPr>
        <w:pStyle w:val="ListParagraph"/>
        <w:numPr>
          <w:ilvl w:val="0"/>
          <w:numId w:val="113"/>
        </w:numPr>
        <w:autoSpaceDE w:val="0"/>
        <w:autoSpaceDN w:val="0"/>
        <w:adjustRightInd w:val="0"/>
        <w:spacing w:after="0" w:line="240" w:lineRule="auto"/>
        <w:jc w:val="both"/>
        <w:rPr>
          <w:rFonts w:cs="HelveticaNeue-Light"/>
        </w:rPr>
      </w:pPr>
      <w:r>
        <w:rPr>
          <w:rFonts w:cs="HelveticaNeue-Light"/>
        </w:rPr>
        <w:t>b</w:t>
      </w:r>
      <w:r w:rsidR="00282E35" w:rsidRPr="00EF253C">
        <w:rPr>
          <w:rFonts w:cs="HelveticaNeue-Light"/>
        </w:rPr>
        <w:t>reastfeeding is strongly socially patterned.</w:t>
      </w:r>
    </w:p>
    <w:p w:rsidR="00282E35" w:rsidRPr="00EF253C" w:rsidRDefault="00282E35" w:rsidP="00282E35">
      <w:pPr>
        <w:autoSpaceDE w:val="0"/>
        <w:autoSpaceDN w:val="0"/>
        <w:adjustRightInd w:val="0"/>
        <w:spacing w:after="0" w:line="240" w:lineRule="auto"/>
        <w:jc w:val="both"/>
        <w:rPr>
          <w:rFonts w:cs="HelveticaNeue-Light"/>
        </w:rPr>
      </w:pPr>
    </w:p>
    <w:p w:rsidR="00282E35" w:rsidRPr="002F6BBA" w:rsidRDefault="00282E35" w:rsidP="00282E35">
      <w:pPr>
        <w:autoSpaceDE w:val="0"/>
        <w:autoSpaceDN w:val="0"/>
        <w:adjustRightInd w:val="0"/>
        <w:spacing w:after="0" w:line="240" w:lineRule="auto"/>
        <w:jc w:val="both"/>
        <w:rPr>
          <w:rFonts w:cs="Arial"/>
        </w:rPr>
      </w:pPr>
      <w:r w:rsidRPr="00EF253C">
        <w:rPr>
          <w:rFonts w:cs="HelveticaNeue-Light"/>
        </w:rPr>
        <w:t xml:space="preserve">In Barnet, 7% of live </w:t>
      </w:r>
      <w:r w:rsidRPr="00EF253C">
        <w:rPr>
          <w:rFonts w:cs="Arial"/>
        </w:rPr>
        <w:t>births are under 2.5kg and 1% of children in reception year are underweight, which is largely in line with the London and England averages. Life expectancy for males and females is</w:t>
      </w:r>
      <w:r w:rsidR="00FF38EA">
        <w:rPr>
          <w:rFonts w:cs="Arial"/>
        </w:rPr>
        <w:t xml:space="preserve"> higher than the London average. H</w:t>
      </w:r>
      <w:r w:rsidRPr="00EF253C">
        <w:rPr>
          <w:rFonts w:cs="Arial"/>
        </w:rPr>
        <w:t>owever, life expectancy is 7.8 years lower for men and 5.6 years lower for women in the most deprived areas of Barnet th</w:t>
      </w:r>
      <w:r>
        <w:rPr>
          <w:rFonts w:cs="Arial"/>
        </w:rPr>
        <w:t>an in the least deprived areas.</w:t>
      </w:r>
    </w:p>
    <w:p w:rsidR="00282E35" w:rsidRPr="00EF253C" w:rsidRDefault="00282E35" w:rsidP="00282E35">
      <w:pPr>
        <w:pStyle w:val="Heading3"/>
        <w:keepNext w:val="0"/>
        <w:keepLines w:val="0"/>
        <w:spacing w:line="271" w:lineRule="auto"/>
        <w:jc w:val="both"/>
      </w:pPr>
      <w:r w:rsidRPr="00EF253C">
        <w:t>Employment</w:t>
      </w:r>
    </w:p>
    <w:p w:rsidR="00282E35" w:rsidRDefault="00282E35" w:rsidP="00282E35">
      <w:pPr>
        <w:jc w:val="both"/>
        <w:rPr>
          <w:rFonts w:cs="Arial"/>
          <w:lang w:val="en-US"/>
        </w:rPr>
      </w:pPr>
      <w:r w:rsidRPr="00EF253C">
        <w:rPr>
          <w:rFonts w:cs="Arial"/>
          <w:lang w:val="en-US"/>
        </w:rPr>
        <w:t xml:space="preserve">The government’s </w:t>
      </w:r>
      <w:hyperlink r:id="rId196" w:history="1">
        <w:r w:rsidRPr="00EF253C">
          <w:rPr>
            <w:rStyle w:val="Hyperlink"/>
            <w:rFonts w:cs="Arial"/>
            <w:i/>
            <w:iCs/>
            <w:lang w:val="en-US"/>
          </w:rPr>
          <w:t>Child Poverty Strategy</w:t>
        </w:r>
      </w:hyperlink>
      <w:r w:rsidRPr="00EF253C">
        <w:rPr>
          <w:rFonts w:cs="Arial"/>
          <w:lang w:val="en-US"/>
        </w:rPr>
        <w:t xml:space="preserve"> states that tackling the ‘root causes’ of child poverty means job creation, </w:t>
      </w:r>
      <w:proofErr w:type="spellStart"/>
      <w:r w:rsidRPr="00EF253C">
        <w:rPr>
          <w:rFonts w:cs="Arial"/>
          <w:lang w:val="en-US"/>
        </w:rPr>
        <w:t>labour</w:t>
      </w:r>
      <w:proofErr w:type="spellEnd"/>
      <w:r w:rsidRPr="00EF253C">
        <w:rPr>
          <w:rFonts w:cs="Arial"/>
          <w:lang w:val="en-US"/>
        </w:rPr>
        <w:t xml:space="preserve"> market </w:t>
      </w:r>
      <w:proofErr w:type="spellStart"/>
      <w:r w:rsidRPr="00EF253C">
        <w:rPr>
          <w:rFonts w:cs="Arial"/>
          <w:lang w:val="en-US"/>
        </w:rPr>
        <w:t>programmes</w:t>
      </w:r>
      <w:proofErr w:type="spellEnd"/>
      <w:r w:rsidRPr="00EF253C">
        <w:rPr>
          <w:rFonts w:cs="Arial"/>
          <w:lang w:val="en-US"/>
        </w:rPr>
        <w:t xml:space="preserve"> helping parents into employment and ‘making work pay’. However, benefits and tax credits also play a role.</w:t>
      </w:r>
    </w:p>
    <w:p w:rsidR="002D13A0" w:rsidRDefault="002D13A0" w:rsidP="00282E35">
      <w:pPr>
        <w:jc w:val="both"/>
        <w:rPr>
          <w:rFonts w:cs="Arial"/>
          <w:lang w:val="en-US"/>
        </w:rPr>
      </w:pPr>
    </w:p>
    <w:p w:rsidR="002D13A0" w:rsidRDefault="002D13A0" w:rsidP="00282E35">
      <w:pPr>
        <w:jc w:val="both"/>
        <w:rPr>
          <w:rFonts w:cs="Arial"/>
          <w:lang w:val="en-US"/>
        </w:rPr>
      </w:pPr>
    </w:p>
    <w:p w:rsidR="002D13A0" w:rsidRDefault="002D13A0" w:rsidP="00282E35">
      <w:pPr>
        <w:jc w:val="both"/>
        <w:rPr>
          <w:rFonts w:cs="Arial"/>
          <w:lang w:val="en-US"/>
        </w:rPr>
      </w:pPr>
    </w:p>
    <w:p w:rsidR="002D13A0" w:rsidRDefault="002D13A0" w:rsidP="00282E35">
      <w:pPr>
        <w:jc w:val="both"/>
        <w:rPr>
          <w:rFonts w:cs="Arial"/>
          <w:lang w:val="en-US"/>
        </w:rPr>
      </w:pPr>
    </w:p>
    <w:p w:rsidR="002D13A0" w:rsidRDefault="002D13A0" w:rsidP="00282E35">
      <w:pPr>
        <w:jc w:val="both"/>
        <w:rPr>
          <w:rFonts w:cs="Arial"/>
          <w:lang w:val="en-US"/>
        </w:rPr>
      </w:pPr>
    </w:p>
    <w:p w:rsidR="002D13A0" w:rsidRPr="00EF253C" w:rsidRDefault="002D13A0" w:rsidP="00282E35">
      <w:pPr>
        <w:jc w:val="both"/>
        <w:rPr>
          <w:rFonts w:cs="Arial"/>
          <w:lang w:val="en-US"/>
        </w:rPr>
      </w:pPr>
    </w:p>
    <w:p w:rsidR="00282E35" w:rsidRPr="00EF253C" w:rsidRDefault="00282E35" w:rsidP="00282E35">
      <w:pPr>
        <w:pStyle w:val="Caption"/>
        <w:rPr>
          <w:rFonts w:cs="Arial"/>
          <w:b w:val="0"/>
        </w:rPr>
      </w:pPr>
      <w:r>
        <w:lastRenderedPageBreak/>
        <w:t xml:space="preserve">Table </w:t>
      </w:r>
      <w:fldSimple w:instr=" STYLEREF 1 \s ">
        <w:r w:rsidR="001663C2">
          <w:rPr>
            <w:noProof/>
          </w:rPr>
          <w:t>8</w:t>
        </w:r>
      </w:fldSimple>
      <w:r>
        <w:noBreakHyphen/>
      </w:r>
      <w:fldSimple w:instr=" SEQ Table \* ARABIC \s 1 ">
        <w:r w:rsidR="001663C2">
          <w:rPr>
            <w:noProof/>
          </w:rPr>
          <w:t>15</w:t>
        </w:r>
      </w:fldSimple>
      <w:r w:rsidRPr="00EF253C">
        <w:rPr>
          <w:rFonts w:cs="Arial"/>
          <w:b w:val="0"/>
          <w:i/>
        </w:rPr>
        <w:t>:</w:t>
      </w:r>
      <w:r w:rsidRPr="00EF253C">
        <w:rPr>
          <w:rFonts w:cs="Arial"/>
          <w:b w:val="0"/>
          <w:i/>
          <w:color w:val="000000"/>
        </w:rPr>
        <w:t xml:space="preserve"> </w:t>
      </w:r>
      <w:r w:rsidRPr="00191AD7">
        <w:rPr>
          <w:rFonts w:cs="Arial"/>
        </w:rPr>
        <w:t>The proportion of children living in families in receipt of out-of-work (means-tested) benefits or in families in receipt of tax credits whose reported income is less than 60% of median income</w:t>
      </w:r>
    </w:p>
    <w:tbl>
      <w:tblPr>
        <w:tblW w:w="9320"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0"/>
        <w:gridCol w:w="1522"/>
        <w:gridCol w:w="1478"/>
        <w:gridCol w:w="1351"/>
        <w:gridCol w:w="1249"/>
        <w:gridCol w:w="1351"/>
        <w:gridCol w:w="1249"/>
      </w:tblGrid>
      <w:tr w:rsidR="00282E35" w:rsidRPr="00EF253C" w:rsidTr="00E50C61">
        <w:trPr>
          <w:trHeight w:val="300"/>
        </w:trPr>
        <w:tc>
          <w:tcPr>
            <w:tcW w:w="1120" w:type="dxa"/>
            <w:shd w:val="clear" w:color="auto" w:fill="BFBFBF" w:themeFill="background1" w:themeFillShade="BF"/>
            <w:noWrap/>
            <w:vAlign w:val="bottom"/>
            <w:hideMark/>
          </w:tcPr>
          <w:p w:rsidR="00282E35" w:rsidRPr="00EF253C" w:rsidRDefault="00282E35" w:rsidP="00E50C61">
            <w:pPr>
              <w:spacing w:after="0" w:line="240" w:lineRule="auto"/>
              <w:rPr>
                <w:rFonts w:cs="Arial"/>
              </w:rPr>
            </w:pPr>
            <w:r w:rsidRPr="00EF253C">
              <w:rPr>
                <w:rFonts w:cs="Arial"/>
              </w:rPr>
              <w:t>Year</w:t>
            </w:r>
          </w:p>
        </w:tc>
        <w:tc>
          <w:tcPr>
            <w:tcW w:w="3000" w:type="dxa"/>
            <w:gridSpan w:val="2"/>
            <w:shd w:val="clear" w:color="auto" w:fill="BFBFBF" w:themeFill="background1" w:themeFillShade="BF"/>
            <w:vAlign w:val="bottom"/>
            <w:hideMark/>
          </w:tcPr>
          <w:p w:rsidR="00282E35" w:rsidRPr="00EF253C" w:rsidRDefault="00282E35" w:rsidP="00E50C61">
            <w:pPr>
              <w:spacing w:after="0" w:line="240" w:lineRule="auto"/>
              <w:rPr>
                <w:rFonts w:cs="Arial"/>
              </w:rPr>
            </w:pPr>
            <w:r w:rsidRPr="00EF253C">
              <w:rPr>
                <w:rFonts w:cs="Arial"/>
              </w:rPr>
              <w:t>Barnet</w:t>
            </w:r>
          </w:p>
        </w:tc>
        <w:tc>
          <w:tcPr>
            <w:tcW w:w="2600" w:type="dxa"/>
            <w:gridSpan w:val="2"/>
            <w:shd w:val="clear" w:color="auto" w:fill="BFBFBF" w:themeFill="background1" w:themeFillShade="BF"/>
            <w:vAlign w:val="bottom"/>
            <w:hideMark/>
          </w:tcPr>
          <w:p w:rsidR="00282E35" w:rsidRPr="00EF253C" w:rsidRDefault="00282E35" w:rsidP="00E50C61">
            <w:pPr>
              <w:spacing w:after="0" w:line="240" w:lineRule="auto"/>
              <w:rPr>
                <w:rFonts w:cs="Arial"/>
              </w:rPr>
            </w:pPr>
            <w:r w:rsidRPr="00EF253C">
              <w:rPr>
                <w:rFonts w:cs="Arial"/>
              </w:rPr>
              <w:t>London</w:t>
            </w:r>
          </w:p>
        </w:tc>
        <w:tc>
          <w:tcPr>
            <w:tcW w:w="2600" w:type="dxa"/>
            <w:gridSpan w:val="2"/>
            <w:shd w:val="clear" w:color="auto" w:fill="BFBFBF" w:themeFill="background1" w:themeFillShade="BF"/>
            <w:vAlign w:val="bottom"/>
            <w:hideMark/>
          </w:tcPr>
          <w:p w:rsidR="00282E35" w:rsidRPr="00EF253C" w:rsidRDefault="00282E35" w:rsidP="00E50C61">
            <w:pPr>
              <w:spacing w:after="0" w:line="240" w:lineRule="auto"/>
              <w:rPr>
                <w:rFonts w:cs="Arial"/>
              </w:rPr>
            </w:pPr>
            <w:r w:rsidRPr="00EF253C">
              <w:rPr>
                <w:rFonts w:cs="Arial"/>
              </w:rPr>
              <w:t>England</w:t>
            </w:r>
          </w:p>
        </w:tc>
      </w:tr>
      <w:tr w:rsidR="00282E35" w:rsidRPr="00EF253C" w:rsidTr="00E50C61">
        <w:trPr>
          <w:trHeight w:val="300"/>
        </w:trPr>
        <w:tc>
          <w:tcPr>
            <w:tcW w:w="1120" w:type="dxa"/>
            <w:shd w:val="clear" w:color="auto" w:fill="BFBFBF" w:themeFill="background1" w:themeFillShade="BF"/>
            <w:noWrap/>
            <w:vAlign w:val="bottom"/>
            <w:hideMark/>
          </w:tcPr>
          <w:p w:rsidR="00282E35" w:rsidRPr="00EF253C" w:rsidRDefault="00282E35" w:rsidP="00E50C61">
            <w:pPr>
              <w:spacing w:after="0" w:line="240" w:lineRule="auto"/>
              <w:rPr>
                <w:rFonts w:cs="Arial"/>
              </w:rPr>
            </w:pPr>
          </w:p>
        </w:tc>
        <w:tc>
          <w:tcPr>
            <w:tcW w:w="1522" w:type="dxa"/>
            <w:shd w:val="clear" w:color="auto" w:fill="BFBFBF" w:themeFill="background1" w:themeFillShade="BF"/>
            <w:noWrap/>
            <w:vAlign w:val="bottom"/>
            <w:hideMark/>
          </w:tcPr>
          <w:p w:rsidR="00282E35" w:rsidRPr="00EF253C" w:rsidRDefault="00282E35" w:rsidP="00E50C61">
            <w:pPr>
              <w:spacing w:after="0" w:line="240" w:lineRule="auto"/>
              <w:rPr>
                <w:rFonts w:cs="Arial"/>
              </w:rPr>
            </w:pPr>
            <w:r w:rsidRPr="00EF253C">
              <w:rPr>
                <w:rFonts w:cs="Arial"/>
              </w:rPr>
              <w:t>Number</w:t>
            </w:r>
          </w:p>
        </w:tc>
        <w:tc>
          <w:tcPr>
            <w:tcW w:w="1478" w:type="dxa"/>
            <w:shd w:val="clear" w:color="auto" w:fill="BFBFBF" w:themeFill="background1" w:themeFillShade="BF"/>
            <w:noWrap/>
            <w:vAlign w:val="bottom"/>
            <w:hideMark/>
          </w:tcPr>
          <w:p w:rsidR="00282E35" w:rsidRPr="00EF253C" w:rsidRDefault="00282E35" w:rsidP="00E50C61">
            <w:pPr>
              <w:spacing w:after="0" w:line="240" w:lineRule="auto"/>
              <w:jc w:val="center"/>
              <w:rPr>
                <w:rFonts w:cs="Arial"/>
              </w:rPr>
            </w:pPr>
            <w:r w:rsidRPr="00EF253C">
              <w:rPr>
                <w:rFonts w:cs="Arial"/>
              </w:rPr>
              <w:t>Percentage</w:t>
            </w:r>
          </w:p>
        </w:tc>
        <w:tc>
          <w:tcPr>
            <w:tcW w:w="1351" w:type="dxa"/>
            <w:shd w:val="clear" w:color="auto" w:fill="BFBFBF" w:themeFill="background1" w:themeFillShade="BF"/>
            <w:noWrap/>
            <w:vAlign w:val="bottom"/>
            <w:hideMark/>
          </w:tcPr>
          <w:p w:rsidR="00282E35" w:rsidRPr="00EF253C" w:rsidRDefault="00282E35" w:rsidP="00E50C61">
            <w:pPr>
              <w:spacing w:after="0" w:line="240" w:lineRule="auto"/>
              <w:rPr>
                <w:rFonts w:cs="Arial"/>
              </w:rPr>
            </w:pPr>
            <w:r w:rsidRPr="00EF253C">
              <w:rPr>
                <w:rFonts w:cs="Arial"/>
              </w:rPr>
              <w:t>Number</w:t>
            </w:r>
          </w:p>
        </w:tc>
        <w:tc>
          <w:tcPr>
            <w:tcW w:w="1249" w:type="dxa"/>
            <w:shd w:val="clear" w:color="auto" w:fill="BFBFBF" w:themeFill="background1" w:themeFillShade="BF"/>
            <w:noWrap/>
            <w:vAlign w:val="bottom"/>
            <w:hideMark/>
          </w:tcPr>
          <w:p w:rsidR="00282E35" w:rsidRPr="00EF253C" w:rsidRDefault="00282E35" w:rsidP="00E50C61">
            <w:pPr>
              <w:spacing w:after="0" w:line="240" w:lineRule="auto"/>
              <w:jc w:val="center"/>
              <w:rPr>
                <w:rFonts w:cs="Arial"/>
              </w:rPr>
            </w:pPr>
            <w:r w:rsidRPr="00EF253C">
              <w:rPr>
                <w:rFonts w:cs="Arial"/>
              </w:rPr>
              <w:t>Percentage</w:t>
            </w:r>
          </w:p>
        </w:tc>
        <w:tc>
          <w:tcPr>
            <w:tcW w:w="1351" w:type="dxa"/>
            <w:shd w:val="clear" w:color="auto" w:fill="BFBFBF" w:themeFill="background1" w:themeFillShade="BF"/>
            <w:noWrap/>
            <w:vAlign w:val="bottom"/>
            <w:hideMark/>
          </w:tcPr>
          <w:p w:rsidR="00282E35" w:rsidRPr="00EF253C" w:rsidRDefault="00282E35" w:rsidP="00E50C61">
            <w:pPr>
              <w:spacing w:after="0" w:line="240" w:lineRule="auto"/>
              <w:rPr>
                <w:rFonts w:cs="Arial"/>
              </w:rPr>
            </w:pPr>
            <w:r w:rsidRPr="00EF253C">
              <w:rPr>
                <w:rFonts w:cs="Arial"/>
              </w:rPr>
              <w:t>Number</w:t>
            </w:r>
          </w:p>
        </w:tc>
        <w:tc>
          <w:tcPr>
            <w:tcW w:w="1249" w:type="dxa"/>
            <w:shd w:val="clear" w:color="auto" w:fill="BFBFBF" w:themeFill="background1" w:themeFillShade="BF"/>
            <w:noWrap/>
            <w:vAlign w:val="bottom"/>
            <w:hideMark/>
          </w:tcPr>
          <w:p w:rsidR="00282E35" w:rsidRPr="00EF253C" w:rsidRDefault="00282E35" w:rsidP="00E50C61">
            <w:pPr>
              <w:spacing w:after="0" w:line="240" w:lineRule="auto"/>
              <w:jc w:val="center"/>
              <w:rPr>
                <w:rFonts w:cs="Arial"/>
              </w:rPr>
            </w:pPr>
            <w:r w:rsidRPr="00EF253C">
              <w:rPr>
                <w:rFonts w:cs="Arial"/>
              </w:rPr>
              <w:t>Percentage</w:t>
            </w:r>
          </w:p>
        </w:tc>
      </w:tr>
      <w:tr w:rsidR="00282E35" w:rsidRPr="00EF253C" w:rsidTr="00E50C61">
        <w:trPr>
          <w:trHeight w:val="300"/>
        </w:trPr>
        <w:tc>
          <w:tcPr>
            <w:tcW w:w="1120" w:type="dxa"/>
            <w:shd w:val="clear" w:color="000000" w:fill="FFFFFF"/>
            <w:noWrap/>
            <w:hideMark/>
          </w:tcPr>
          <w:p w:rsidR="00282E35" w:rsidRPr="00EF253C" w:rsidRDefault="00282E35" w:rsidP="00E50C61">
            <w:pPr>
              <w:spacing w:after="0" w:line="240" w:lineRule="auto"/>
              <w:jc w:val="center"/>
              <w:rPr>
                <w:rFonts w:cs="Arial"/>
              </w:rPr>
            </w:pPr>
            <w:r w:rsidRPr="00EF253C">
              <w:rPr>
                <w:rFonts w:cs="Arial"/>
              </w:rPr>
              <w:t>2006</w:t>
            </w:r>
          </w:p>
        </w:tc>
        <w:tc>
          <w:tcPr>
            <w:tcW w:w="1522" w:type="dxa"/>
            <w:shd w:val="clear" w:color="000000" w:fill="FFFFFF"/>
            <w:noWrap/>
            <w:hideMark/>
          </w:tcPr>
          <w:p w:rsidR="00282E35" w:rsidRPr="00EF253C" w:rsidRDefault="00282E35" w:rsidP="00E50C61">
            <w:pPr>
              <w:spacing w:after="0" w:line="240" w:lineRule="auto"/>
              <w:jc w:val="center"/>
              <w:rPr>
                <w:rFonts w:cs="Arial"/>
              </w:rPr>
            </w:pPr>
            <w:r w:rsidRPr="00EF253C">
              <w:rPr>
                <w:rFonts w:cs="Arial"/>
              </w:rPr>
              <w:t>17,690</w:t>
            </w:r>
          </w:p>
        </w:tc>
        <w:tc>
          <w:tcPr>
            <w:tcW w:w="1478" w:type="dxa"/>
            <w:shd w:val="clear" w:color="000000" w:fill="FFFFFF"/>
            <w:noWrap/>
            <w:hideMark/>
          </w:tcPr>
          <w:p w:rsidR="00282E35" w:rsidRPr="00EF253C" w:rsidRDefault="00282E35" w:rsidP="00E50C61">
            <w:pPr>
              <w:spacing w:after="0" w:line="240" w:lineRule="auto"/>
              <w:jc w:val="center"/>
              <w:rPr>
                <w:rFonts w:cs="Arial"/>
              </w:rPr>
            </w:pPr>
            <w:r w:rsidRPr="00EF253C">
              <w:rPr>
                <w:rFonts w:cs="Arial"/>
              </w:rPr>
              <w:t>23.8%</w:t>
            </w:r>
          </w:p>
        </w:tc>
        <w:tc>
          <w:tcPr>
            <w:tcW w:w="1351" w:type="dxa"/>
            <w:shd w:val="clear" w:color="000000" w:fill="FFFFFF"/>
            <w:noWrap/>
            <w:hideMark/>
          </w:tcPr>
          <w:p w:rsidR="00282E35" w:rsidRPr="00EF253C" w:rsidRDefault="00282E35" w:rsidP="00E50C61">
            <w:pPr>
              <w:spacing w:after="0" w:line="240" w:lineRule="auto"/>
              <w:jc w:val="center"/>
              <w:rPr>
                <w:rFonts w:cs="Arial"/>
              </w:rPr>
            </w:pPr>
            <w:r w:rsidRPr="00EF253C">
              <w:rPr>
                <w:rFonts w:cs="Arial"/>
              </w:rPr>
              <w:t>531,700</w:t>
            </w:r>
          </w:p>
        </w:tc>
        <w:tc>
          <w:tcPr>
            <w:tcW w:w="1249" w:type="dxa"/>
            <w:shd w:val="clear" w:color="000000" w:fill="FFFFFF"/>
            <w:noWrap/>
            <w:hideMark/>
          </w:tcPr>
          <w:p w:rsidR="00282E35" w:rsidRPr="00EF253C" w:rsidRDefault="00282E35" w:rsidP="00E50C61">
            <w:pPr>
              <w:spacing w:after="0" w:line="240" w:lineRule="auto"/>
              <w:jc w:val="center"/>
              <w:rPr>
                <w:rFonts w:cs="Arial"/>
              </w:rPr>
            </w:pPr>
            <w:r w:rsidRPr="00EF253C">
              <w:rPr>
                <w:rFonts w:cs="Arial"/>
              </w:rPr>
              <w:t>31.5%</w:t>
            </w:r>
          </w:p>
        </w:tc>
        <w:tc>
          <w:tcPr>
            <w:tcW w:w="1351" w:type="dxa"/>
            <w:shd w:val="clear" w:color="000000" w:fill="FFFFFF"/>
            <w:noWrap/>
            <w:hideMark/>
          </w:tcPr>
          <w:p w:rsidR="00282E35" w:rsidRPr="00EF253C" w:rsidRDefault="00282E35" w:rsidP="00E50C61">
            <w:pPr>
              <w:spacing w:after="0" w:line="240" w:lineRule="auto"/>
              <w:jc w:val="center"/>
              <w:rPr>
                <w:rFonts w:cs="Arial"/>
              </w:rPr>
            </w:pPr>
            <w:r w:rsidRPr="00EF253C">
              <w:rPr>
                <w:rFonts w:cs="Arial"/>
              </w:rPr>
              <w:t>2,298,385</w:t>
            </w:r>
          </w:p>
        </w:tc>
        <w:tc>
          <w:tcPr>
            <w:tcW w:w="1249" w:type="dxa"/>
            <w:shd w:val="clear" w:color="000000" w:fill="FFFFFF"/>
            <w:noWrap/>
            <w:hideMark/>
          </w:tcPr>
          <w:p w:rsidR="00282E35" w:rsidRPr="00EF253C" w:rsidRDefault="00282E35" w:rsidP="00E50C61">
            <w:pPr>
              <w:spacing w:after="0" w:line="240" w:lineRule="auto"/>
              <w:jc w:val="center"/>
              <w:rPr>
                <w:rFonts w:cs="Arial"/>
              </w:rPr>
            </w:pPr>
            <w:r w:rsidRPr="00EF253C">
              <w:rPr>
                <w:rFonts w:cs="Arial"/>
              </w:rPr>
              <w:t>20.8%</w:t>
            </w:r>
          </w:p>
        </w:tc>
      </w:tr>
      <w:tr w:rsidR="00282E35" w:rsidRPr="00EF253C" w:rsidTr="00E50C61">
        <w:trPr>
          <w:trHeight w:val="300"/>
        </w:trPr>
        <w:tc>
          <w:tcPr>
            <w:tcW w:w="1120" w:type="dxa"/>
            <w:shd w:val="clear" w:color="000000" w:fill="FFFFFF"/>
            <w:noWrap/>
            <w:hideMark/>
          </w:tcPr>
          <w:p w:rsidR="00282E35" w:rsidRPr="00EF253C" w:rsidRDefault="00282E35" w:rsidP="00E50C61">
            <w:pPr>
              <w:spacing w:after="0" w:line="240" w:lineRule="auto"/>
              <w:jc w:val="center"/>
              <w:rPr>
                <w:rFonts w:cs="Arial"/>
              </w:rPr>
            </w:pPr>
            <w:r w:rsidRPr="00EF253C">
              <w:rPr>
                <w:rFonts w:cs="Arial"/>
              </w:rPr>
              <w:t>2007</w:t>
            </w:r>
          </w:p>
        </w:tc>
        <w:tc>
          <w:tcPr>
            <w:tcW w:w="1522" w:type="dxa"/>
            <w:shd w:val="clear" w:color="000000" w:fill="FFFFFF"/>
            <w:noWrap/>
            <w:hideMark/>
          </w:tcPr>
          <w:p w:rsidR="00282E35" w:rsidRPr="00EF253C" w:rsidRDefault="00282E35" w:rsidP="00E50C61">
            <w:pPr>
              <w:spacing w:after="0" w:line="240" w:lineRule="auto"/>
              <w:jc w:val="center"/>
              <w:rPr>
                <w:rFonts w:cs="Arial"/>
              </w:rPr>
            </w:pPr>
            <w:r w:rsidRPr="00EF253C">
              <w:rPr>
                <w:rFonts w:cs="Arial"/>
              </w:rPr>
              <w:t>18,555</w:t>
            </w:r>
          </w:p>
        </w:tc>
        <w:tc>
          <w:tcPr>
            <w:tcW w:w="1478" w:type="dxa"/>
            <w:shd w:val="clear" w:color="000000" w:fill="FFFFFF"/>
            <w:noWrap/>
            <w:hideMark/>
          </w:tcPr>
          <w:p w:rsidR="00282E35" w:rsidRPr="00EF253C" w:rsidRDefault="00282E35" w:rsidP="00E50C61">
            <w:pPr>
              <w:spacing w:after="0" w:line="240" w:lineRule="auto"/>
              <w:jc w:val="center"/>
              <w:rPr>
                <w:rFonts w:cs="Arial"/>
              </w:rPr>
            </w:pPr>
            <w:r w:rsidRPr="00EF253C">
              <w:rPr>
                <w:rFonts w:cs="Arial"/>
              </w:rPr>
              <w:t>24.6%</w:t>
            </w:r>
          </w:p>
        </w:tc>
        <w:tc>
          <w:tcPr>
            <w:tcW w:w="1351" w:type="dxa"/>
            <w:shd w:val="clear" w:color="000000" w:fill="FFFFFF"/>
            <w:noWrap/>
            <w:hideMark/>
          </w:tcPr>
          <w:p w:rsidR="00282E35" w:rsidRPr="00EF253C" w:rsidRDefault="00282E35" w:rsidP="00E50C61">
            <w:pPr>
              <w:spacing w:after="0" w:line="240" w:lineRule="auto"/>
              <w:jc w:val="center"/>
              <w:rPr>
                <w:rFonts w:cs="Arial"/>
              </w:rPr>
            </w:pPr>
            <w:r w:rsidRPr="00EF253C">
              <w:rPr>
                <w:rFonts w:cs="Arial"/>
              </w:rPr>
              <w:t>552,725</w:t>
            </w:r>
          </w:p>
        </w:tc>
        <w:tc>
          <w:tcPr>
            <w:tcW w:w="1249" w:type="dxa"/>
            <w:shd w:val="clear" w:color="000000" w:fill="FFFFFF"/>
            <w:noWrap/>
            <w:hideMark/>
          </w:tcPr>
          <w:p w:rsidR="00282E35" w:rsidRPr="00EF253C" w:rsidRDefault="00282E35" w:rsidP="00E50C61">
            <w:pPr>
              <w:spacing w:after="0" w:line="240" w:lineRule="auto"/>
              <w:jc w:val="center"/>
              <w:rPr>
                <w:rFonts w:cs="Arial"/>
              </w:rPr>
            </w:pPr>
            <w:r w:rsidRPr="00EF253C">
              <w:rPr>
                <w:rFonts w:cs="Arial"/>
              </w:rPr>
              <w:t>32.5%</w:t>
            </w:r>
          </w:p>
        </w:tc>
        <w:tc>
          <w:tcPr>
            <w:tcW w:w="1351" w:type="dxa"/>
            <w:shd w:val="clear" w:color="000000" w:fill="FFFFFF"/>
            <w:noWrap/>
            <w:hideMark/>
          </w:tcPr>
          <w:p w:rsidR="00282E35" w:rsidRPr="00EF253C" w:rsidRDefault="00282E35" w:rsidP="00E50C61">
            <w:pPr>
              <w:spacing w:after="0" w:line="240" w:lineRule="auto"/>
              <w:jc w:val="center"/>
              <w:rPr>
                <w:rFonts w:cs="Arial"/>
              </w:rPr>
            </w:pPr>
            <w:r w:rsidRPr="00EF253C">
              <w:rPr>
                <w:rFonts w:cs="Arial"/>
              </w:rPr>
              <w:t>2,397,645</w:t>
            </w:r>
          </w:p>
        </w:tc>
        <w:tc>
          <w:tcPr>
            <w:tcW w:w="1249" w:type="dxa"/>
            <w:shd w:val="clear" w:color="000000" w:fill="FFFFFF"/>
            <w:noWrap/>
            <w:hideMark/>
          </w:tcPr>
          <w:p w:rsidR="00282E35" w:rsidRPr="00EF253C" w:rsidRDefault="00282E35" w:rsidP="00E50C61">
            <w:pPr>
              <w:spacing w:after="0" w:line="240" w:lineRule="auto"/>
              <w:jc w:val="center"/>
              <w:rPr>
                <w:rFonts w:cs="Arial"/>
              </w:rPr>
            </w:pPr>
            <w:r w:rsidRPr="00EF253C">
              <w:rPr>
                <w:rFonts w:cs="Arial"/>
              </w:rPr>
              <w:t>21.6%</w:t>
            </w:r>
          </w:p>
        </w:tc>
      </w:tr>
      <w:tr w:rsidR="00282E35" w:rsidRPr="00EF253C" w:rsidTr="00E50C61">
        <w:trPr>
          <w:trHeight w:val="300"/>
        </w:trPr>
        <w:tc>
          <w:tcPr>
            <w:tcW w:w="1120" w:type="dxa"/>
            <w:shd w:val="clear" w:color="000000" w:fill="FFFFFF"/>
            <w:noWrap/>
            <w:hideMark/>
          </w:tcPr>
          <w:p w:rsidR="00282E35" w:rsidRPr="00EF253C" w:rsidRDefault="00282E35" w:rsidP="00E50C61">
            <w:pPr>
              <w:spacing w:after="0" w:line="240" w:lineRule="auto"/>
              <w:jc w:val="center"/>
              <w:rPr>
                <w:rFonts w:cs="Arial"/>
              </w:rPr>
            </w:pPr>
            <w:r w:rsidRPr="00EF253C">
              <w:rPr>
                <w:rFonts w:cs="Arial"/>
              </w:rPr>
              <w:t>2008</w:t>
            </w:r>
          </w:p>
        </w:tc>
        <w:tc>
          <w:tcPr>
            <w:tcW w:w="1522" w:type="dxa"/>
            <w:shd w:val="clear" w:color="000000" w:fill="FFFFFF"/>
            <w:noWrap/>
            <w:hideMark/>
          </w:tcPr>
          <w:p w:rsidR="00282E35" w:rsidRPr="00EF253C" w:rsidRDefault="00282E35" w:rsidP="00E50C61">
            <w:pPr>
              <w:spacing w:after="0" w:line="240" w:lineRule="auto"/>
              <w:jc w:val="center"/>
              <w:rPr>
                <w:rFonts w:cs="Arial"/>
              </w:rPr>
            </w:pPr>
            <w:r w:rsidRPr="00EF253C">
              <w:rPr>
                <w:rFonts w:cs="Arial"/>
              </w:rPr>
              <w:t>18,195</w:t>
            </w:r>
          </w:p>
        </w:tc>
        <w:tc>
          <w:tcPr>
            <w:tcW w:w="1478" w:type="dxa"/>
            <w:shd w:val="clear" w:color="000000" w:fill="FFFFFF"/>
            <w:noWrap/>
            <w:hideMark/>
          </w:tcPr>
          <w:p w:rsidR="00282E35" w:rsidRPr="00EF253C" w:rsidRDefault="00282E35" w:rsidP="00E50C61">
            <w:pPr>
              <w:spacing w:after="0" w:line="240" w:lineRule="auto"/>
              <w:jc w:val="center"/>
              <w:rPr>
                <w:rFonts w:cs="Arial"/>
              </w:rPr>
            </w:pPr>
            <w:r w:rsidRPr="00EF253C">
              <w:rPr>
                <w:rFonts w:cs="Arial"/>
              </w:rPr>
              <w:t>23.7%</w:t>
            </w:r>
          </w:p>
        </w:tc>
        <w:tc>
          <w:tcPr>
            <w:tcW w:w="1351" w:type="dxa"/>
            <w:shd w:val="clear" w:color="000000" w:fill="FFFFFF"/>
            <w:noWrap/>
            <w:hideMark/>
          </w:tcPr>
          <w:p w:rsidR="00282E35" w:rsidRPr="00EF253C" w:rsidRDefault="00282E35" w:rsidP="00E50C61">
            <w:pPr>
              <w:spacing w:after="0" w:line="240" w:lineRule="auto"/>
              <w:jc w:val="center"/>
              <w:rPr>
                <w:rFonts w:cs="Arial"/>
              </w:rPr>
            </w:pPr>
            <w:r w:rsidRPr="00EF253C">
              <w:rPr>
                <w:rFonts w:cs="Arial"/>
              </w:rPr>
              <w:t>534,095</w:t>
            </w:r>
          </w:p>
        </w:tc>
        <w:tc>
          <w:tcPr>
            <w:tcW w:w="1249" w:type="dxa"/>
            <w:shd w:val="clear" w:color="000000" w:fill="FFFFFF"/>
            <w:noWrap/>
            <w:hideMark/>
          </w:tcPr>
          <w:p w:rsidR="00282E35" w:rsidRPr="00EF253C" w:rsidRDefault="00282E35" w:rsidP="00E50C61">
            <w:pPr>
              <w:spacing w:after="0" w:line="240" w:lineRule="auto"/>
              <w:jc w:val="center"/>
              <w:rPr>
                <w:rFonts w:cs="Arial"/>
              </w:rPr>
            </w:pPr>
            <w:r w:rsidRPr="00EF253C">
              <w:rPr>
                <w:rFonts w:cs="Arial"/>
              </w:rPr>
              <w:t>30.8%</w:t>
            </w:r>
          </w:p>
        </w:tc>
        <w:tc>
          <w:tcPr>
            <w:tcW w:w="1351" w:type="dxa"/>
            <w:shd w:val="clear" w:color="000000" w:fill="FFFFFF"/>
            <w:noWrap/>
            <w:hideMark/>
          </w:tcPr>
          <w:p w:rsidR="00282E35" w:rsidRPr="00EF253C" w:rsidRDefault="00282E35" w:rsidP="00E50C61">
            <w:pPr>
              <w:spacing w:after="0" w:line="240" w:lineRule="auto"/>
              <w:jc w:val="center"/>
              <w:rPr>
                <w:rFonts w:cs="Arial"/>
              </w:rPr>
            </w:pPr>
            <w:r w:rsidRPr="00EF253C">
              <w:rPr>
                <w:rFonts w:cs="Arial"/>
              </w:rPr>
              <w:t>2,341,975</w:t>
            </w:r>
          </w:p>
        </w:tc>
        <w:tc>
          <w:tcPr>
            <w:tcW w:w="1249" w:type="dxa"/>
            <w:shd w:val="clear" w:color="000000" w:fill="FFFFFF"/>
            <w:noWrap/>
            <w:hideMark/>
          </w:tcPr>
          <w:p w:rsidR="00282E35" w:rsidRPr="00EF253C" w:rsidRDefault="00282E35" w:rsidP="00E50C61">
            <w:pPr>
              <w:spacing w:after="0" w:line="240" w:lineRule="auto"/>
              <w:jc w:val="center"/>
              <w:rPr>
                <w:rFonts w:cs="Arial"/>
              </w:rPr>
            </w:pPr>
            <w:r w:rsidRPr="00EF253C">
              <w:rPr>
                <w:rFonts w:cs="Arial"/>
              </w:rPr>
              <w:t>20.9%</w:t>
            </w:r>
          </w:p>
        </w:tc>
      </w:tr>
      <w:tr w:rsidR="00282E35" w:rsidRPr="00EF253C" w:rsidTr="00E50C61">
        <w:trPr>
          <w:trHeight w:val="300"/>
        </w:trPr>
        <w:tc>
          <w:tcPr>
            <w:tcW w:w="1120" w:type="dxa"/>
            <w:shd w:val="clear" w:color="000000" w:fill="FFFFFF"/>
            <w:noWrap/>
            <w:hideMark/>
          </w:tcPr>
          <w:p w:rsidR="00282E35" w:rsidRPr="00EF253C" w:rsidRDefault="00282E35" w:rsidP="00E50C61">
            <w:pPr>
              <w:spacing w:after="0" w:line="240" w:lineRule="auto"/>
              <w:jc w:val="center"/>
              <w:rPr>
                <w:rFonts w:cs="Arial"/>
              </w:rPr>
            </w:pPr>
            <w:r w:rsidRPr="00EF253C">
              <w:rPr>
                <w:rFonts w:cs="Arial"/>
              </w:rPr>
              <w:t>2009</w:t>
            </w:r>
          </w:p>
        </w:tc>
        <w:tc>
          <w:tcPr>
            <w:tcW w:w="1522" w:type="dxa"/>
            <w:shd w:val="clear" w:color="000000" w:fill="FFFFFF"/>
            <w:noWrap/>
            <w:hideMark/>
          </w:tcPr>
          <w:p w:rsidR="00282E35" w:rsidRPr="00EF253C" w:rsidRDefault="00282E35" w:rsidP="00E50C61">
            <w:pPr>
              <w:spacing w:after="0" w:line="240" w:lineRule="auto"/>
              <w:jc w:val="center"/>
              <w:rPr>
                <w:rFonts w:cs="Arial"/>
              </w:rPr>
            </w:pPr>
            <w:r w:rsidRPr="00EF253C">
              <w:rPr>
                <w:rFonts w:cs="Arial"/>
              </w:rPr>
              <w:t>18,120</w:t>
            </w:r>
          </w:p>
        </w:tc>
        <w:tc>
          <w:tcPr>
            <w:tcW w:w="1478" w:type="dxa"/>
            <w:shd w:val="clear" w:color="000000" w:fill="FFFFFF"/>
            <w:noWrap/>
            <w:hideMark/>
          </w:tcPr>
          <w:p w:rsidR="00282E35" w:rsidRPr="00EF253C" w:rsidRDefault="00282E35" w:rsidP="00E50C61">
            <w:pPr>
              <w:spacing w:after="0" w:line="240" w:lineRule="auto"/>
              <w:jc w:val="center"/>
              <w:rPr>
                <w:rFonts w:cs="Arial"/>
              </w:rPr>
            </w:pPr>
            <w:r w:rsidRPr="00EF253C">
              <w:rPr>
                <w:rFonts w:cs="Arial"/>
              </w:rPr>
              <w:t>22.7%</w:t>
            </w:r>
          </w:p>
        </w:tc>
        <w:tc>
          <w:tcPr>
            <w:tcW w:w="1351" w:type="dxa"/>
            <w:shd w:val="clear" w:color="000000" w:fill="FFFFFF"/>
            <w:noWrap/>
            <w:hideMark/>
          </w:tcPr>
          <w:p w:rsidR="00282E35" w:rsidRPr="00EF253C" w:rsidRDefault="00282E35" w:rsidP="00E50C61">
            <w:pPr>
              <w:spacing w:after="0" w:line="240" w:lineRule="auto"/>
              <w:jc w:val="center"/>
              <w:rPr>
                <w:rFonts w:cs="Arial"/>
              </w:rPr>
            </w:pPr>
            <w:r w:rsidRPr="00EF253C">
              <w:rPr>
                <w:rFonts w:cs="Arial"/>
              </w:rPr>
              <w:t>531,970</w:t>
            </w:r>
          </w:p>
        </w:tc>
        <w:tc>
          <w:tcPr>
            <w:tcW w:w="1249" w:type="dxa"/>
            <w:shd w:val="clear" w:color="000000" w:fill="FFFFFF"/>
            <w:noWrap/>
            <w:hideMark/>
          </w:tcPr>
          <w:p w:rsidR="00282E35" w:rsidRPr="00EF253C" w:rsidRDefault="00282E35" w:rsidP="00E50C61">
            <w:pPr>
              <w:spacing w:after="0" w:line="240" w:lineRule="auto"/>
              <w:jc w:val="center"/>
              <w:rPr>
                <w:rFonts w:cs="Arial"/>
              </w:rPr>
            </w:pPr>
            <w:r w:rsidRPr="00EF253C">
              <w:rPr>
                <w:rFonts w:cs="Arial"/>
              </w:rPr>
              <w:t>29.6%</w:t>
            </w:r>
          </w:p>
        </w:tc>
        <w:tc>
          <w:tcPr>
            <w:tcW w:w="1351" w:type="dxa"/>
            <w:shd w:val="clear" w:color="000000" w:fill="FFFFFF"/>
            <w:noWrap/>
            <w:hideMark/>
          </w:tcPr>
          <w:p w:rsidR="00282E35" w:rsidRPr="00EF253C" w:rsidRDefault="00282E35" w:rsidP="00E50C61">
            <w:pPr>
              <w:spacing w:after="0" w:line="240" w:lineRule="auto"/>
              <w:jc w:val="center"/>
              <w:rPr>
                <w:rFonts w:cs="Arial"/>
              </w:rPr>
            </w:pPr>
            <w:r w:rsidRPr="00EF253C">
              <w:rPr>
                <w:rFonts w:cs="Arial"/>
              </w:rPr>
              <w:t>2,429,305</w:t>
            </w:r>
          </w:p>
        </w:tc>
        <w:tc>
          <w:tcPr>
            <w:tcW w:w="1249" w:type="dxa"/>
            <w:shd w:val="clear" w:color="000000" w:fill="FFFFFF"/>
            <w:noWrap/>
            <w:hideMark/>
          </w:tcPr>
          <w:p w:rsidR="00282E35" w:rsidRPr="00EF253C" w:rsidRDefault="00282E35" w:rsidP="00E50C61">
            <w:pPr>
              <w:spacing w:after="0" w:line="240" w:lineRule="auto"/>
              <w:jc w:val="center"/>
              <w:rPr>
                <w:rFonts w:cs="Arial"/>
              </w:rPr>
            </w:pPr>
            <w:r w:rsidRPr="00EF253C">
              <w:rPr>
                <w:rFonts w:cs="Arial"/>
              </w:rPr>
              <w:t>21.3%</w:t>
            </w:r>
          </w:p>
        </w:tc>
      </w:tr>
      <w:tr w:rsidR="00282E35" w:rsidRPr="00EF253C" w:rsidTr="00E50C61">
        <w:trPr>
          <w:trHeight w:val="300"/>
        </w:trPr>
        <w:tc>
          <w:tcPr>
            <w:tcW w:w="1120" w:type="dxa"/>
            <w:shd w:val="clear" w:color="000000" w:fill="FFFFFF"/>
            <w:noWrap/>
            <w:hideMark/>
          </w:tcPr>
          <w:p w:rsidR="00282E35" w:rsidRPr="00EF253C" w:rsidRDefault="00282E35" w:rsidP="00E50C61">
            <w:pPr>
              <w:spacing w:after="0" w:line="240" w:lineRule="auto"/>
              <w:jc w:val="center"/>
              <w:rPr>
                <w:rFonts w:cs="Arial"/>
              </w:rPr>
            </w:pPr>
            <w:r w:rsidRPr="00EF253C">
              <w:rPr>
                <w:rFonts w:cs="Arial"/>
              </w:rPr>
              <w:t>2010</w:t>
            </w:r>
          </w:p>
        </w:tc>
        <w:tc>
          <w:tcPr>
            <w:tcW w:w="1522" w:type="dxa"/>
            <w:shd w:val="clear" w:color="000000" w:fill="FFFFFF"/>
            <w:noWrap/>
            <w:hideMark/>
          </w:tcPr>
          <w:p w:rsidR="00282E35" w:rsidRPr="00EF253C" w:rsidRDefault="00282E35" w:rsidP="00E50C61">
            <w:pPr>
              <w:spacing w:after="0" w:line="240" w:lineRule="auto"/>
              <w:jc w:val="center"/>
              <w:rPr>
                <w:rFonts w:cs="Arial"/>
              </w:rPr>
            </w:pPr>
            <w:r w:rsidRPr="00EF253C">
              <w:rPr>
                <w:rFonts w:cs="Arial"/>
              </w:rPr>
              <w:t>17,330</w:t>
            </w:r>
          </w:p>
        </w:tc>
        <w:tc>
          <w:tcPr>
            <w:tcW w:w="1478" w:type="dxa"/>
            <w:shd w:val="clear" w:color="000000" w:fill="FFFFFF"/>
            <w:noWrap/>
            <w:hideMark/>
          </w:tcPr>
          <w:p w:rsidR="00282E35" w:rsidRPr="00EF253C" w:rsidRDefault="00282E35" w:rsidP="00E50C61">
            <w:pPr>
              <w:spacing w:after="0" w:line="240" w:lineRule="auto"/>
              <w:jc w:val="center"/>
              <w:rPr>
                <w:rFonts w:cs="Arial"/>
              </w:rPr>
            </w:pPr>
            <w:r w:rsidRPr="00EF253C">
              <w:rPr>
                <w:rFonts w:cs="Arial"/>
              </w:rPr>
              <w:t>21.2%</w:t>
            </w:r>
          </w:p>
        </w:tc>
        <w:tc>
          <w:tcPr>
            <w:tcW w:w="1351" w:type="dxa"/>
            <w:shd w:val="clear" w:color="000000" w:fill="FFFFFF"/>
            <w:noWrap/>
            <w:hideMark/>
          </w:tcPr>
          <w:p w:rsidR="00282E35" w:rsidRPr="00EF253C" w:rsidRDefault="00282E35" w:rsidP="00E50C61">
            <w:pPr>
              <w:spacing w:after="0" w:line="240" w:lineRule="auto"/>
              <w:jc w:val="center"/>
              <w:rPr>
                <w:rFonts w:cs="Arial"/>
              </w:rPr>
            </w:pPr>
            <w:r w:rsidRPr="00EF253C">
              <w:rPr>
                <w:rFonts w:cs="Arial"/>
              </w:rPr>
              <w:t>512,185</w:t>
            </w:r>
          </w:p>
        </w:tc>
        <w:tc>
          <w:tcPr>
            <w:tcW w:w="1249" w:type="dxa"/>
            <w:shd w:val="clear" w:color="000000" w:fill="FFFFFF"/>
            <w:noWrap/>
            <w:hideMark/>
          </w:tcPr>
          <w:p w:rsidR="00282E35" w:rsidRPr="00EF253C" w:rsidRDefault="00282E35" w:rsidP="00E50C61">
            <w:pPr>
              <w:spacing w:after="0" w:line="240" w:lineRule="auto"/>
              <w:jc w:val="center"/>
              <w:rPr>
                <w:rFonts w:cs="Arial"/>
              </w:rPr>
            </w:pPr>
            <w:r w:rsidRPr="00EF253C">
              <w:rPr>
                <w:rFonts w:cs="Arial"/>
              </w:rPr>
              <w:t>28.0%</w:t>
            </w:r>
          </w:p>
        </w:tc>
        <w:tc>
          <w:tcPr>
            <w:tcW w:w="1351" w:type="dxa"/>
            <w:shd w:val="clear" w:color="000000" w:fill="FFFFFF"/>
            <w:noWrap/>
            <w:hideMark/>
          </w:tcPr>
          <w:p w:rsidR="00282E35" w:rsidRPr="00EF253C" w:rsidRDefault="00282E35" w:rsidP="00E50C61">
            <w:pPr>
              <w:spacing w:after="0" w:line="240" w:lineRule="auto"/>
              <w:jc w:val="center"/>
              <w:rPr>
                <w:rFonts w:cs="Arial"/>
              </w:rPr>
            </w:pPr>
            <w:r w:rsidRPr="00EF253C">
              <w:rPr>
                <w:rFonts w:cs="Arial"/>
              </w:rPr>
              <w:t>2,367,335</w:t>
            </w:r>
          </w:p>
        </w:tc>
        <w:tc>
          <w:tcPr>
            <w:tcW w:w="1249" w:type="dxa"/>
            <w:shd w:val="clear" w:color="000000" w:fill="FFFFFF"/>
            <w:noWrap/>
            <w:hideMark/>
          </w:tcPr>
          <w:p w:rsidR="00282E35" w:rsidRPr="00EF253C" w:rsidRDefault="00282E35" w:rsidP="00E50C61">
            <w:pPr>
              <w:spacing w:after="0" w:line="240" w:lineRule="auto"/>
              <w:jc w:val="center"/>
              <w:rPr>
                <w:rFonts w:cs="Arial"/>
              </w:rPr>
            </w:pPr>
            <w:r w:rsidRPr="00EF253C">
              <w:rPr>
                <w:rFonts w:cs="Arial"/>
              </w:rPr>
              <w:t>20.6%</w:t>
            </w:r>
          </w:p>
        </w:tc>
      </w:tr>
      <w:tr w:rsidR="00282E35" w:rsidRPr="00EF253C" w:rsidTr="00E50C61">
        <w:trPr>
          <w:trHeight w:val="280"/>
        </w:trPr>
        <w:tc>
          <w:tcPr>
            <w:tcW w:w="1120" w:type="dxa"/>
            <w:shd w:val="clear" w:color="000000" w:fill="FFFFFF"/>
            <w:noWrap/>
            <w:hideMark/>
          </w:tcPr>
          <w:p w:rsidR="00282E35" w:rsidRPr="00EF253C" w:rsidRDefault="00282E35" w:rsidP="00E50C61">
            <w:pPr>
              <w:spacing w:after="0" w:line="240" w:lineRule="auto"/>
              <w:jc w:val="center"/>
              <w:rPr>
                <w:rFonts w:cs="Arial"/>
              </w:rPr>
            </w:pPr>
            <w:r w:rsidRPr="00EF253C">
              <w:rPr>
                <w:rFonts w:cs="Arial"/>
              </w:rPr>
              <w:t>2011</w:t>
            </w:r>
          </w:p>
        </w:tc>
        <w:tc>
          <w:tcPr>
            <w:tcW w:w="1522" w:type="dxa"/>
            <w:shd w:val="clear" w:color="000000" w:fill="FFFFFF"/>
            <w:noWrap/>
            <w:hideMark/>
          </w:tcPr>
          <w:p w:rsidR="00282E35" w:rsidRPr="00EF253C" w:rsidRDefault="00282E35" w:rsidP="00E50C61">
            <w:pPr>
              <w:spacing w:after="0" w:line="240" w:lineRule="auto"/>
              <w:jc w:val="center"/>
              <w:rPr>
                <w:rFonts w:cs="Arial"/>
              </w:rPr>
            </w:pPr>
            <w:r w:rsidRPr="00EF253C">
              <w:rPr>
                <w:rFonts w:cs="Arial"/>
              </w:rPr>
              <w:t>16,640</w:t>
            </w:r>
          </w:p>
        </w:tc>
        <w:tc>
          <w:tcPr>
            <w:tcW w:w="1478" w:type="dxa"/>
            <w:shd w:val="clear" w:color="000000" w:fill="FFFFFF"/>
            <w:noWrap/>
            <w:hideMark/>
          </w:tcPr>
          <w:p w:rsidR="00282E35" w:rsidRPr="00EF253C" w:rsidRDefault="00282E35" w:rsidP="00E50C61">
            <w:pPr>
              <w:spacing w:after="0" w:line="240" w:lineRule="auto"/>
              <w:jc w:val="center"/>
              <w:rPr>
                <w:rFonts w:cs="Arial"/>
              </w:rPr>
            </w:pPr>
            <w:r w:rsidRPr="00EF253C">
              <w:rPr>
                <w:rFonts w:cs="Arial"/>
              </w:rPr>
              <w:t>20.1%</w:t>
            </w:r>
          </w:p>
        </w:tc>
        <w:tc>
          <w:tcPr>
            <w:tcW w:w="1351" w:type="dxa"/>
            <w:shd w:val="clear" w:color="000000" w:fill="FFFFFF"/>
            <w:noWrap/>
            <w:hideMark/>
          </w:tcPr>
          <w:p w:rsidR="00282E35" w:rsidRPr="00EF253C" w:rsidRDefault="00282E35" w:rsidP="00E50C61">
            <w:pPr>
              <w:spacing w:after="0" w:line="240" w:lineRule="auto"/>
              <w:jc w:val="center"/>
              <w:rPr>
                <w:rFonts w:cs="Arial"/>
              </w:rPr>
            </w:pPr>
            <w:r w:rsidRPr="00EF253C">
              <w:rPr>
                <w:rFonts w:cs="Arial"/>
              </w:rPr>
              <w:t>495,625</w:t>
            </w:r>
          </w:p>
        </w:tc>
        <w:tc>
          <w:tcPr>
            <w:tcW w:w="1249" w:type="dxa"/>
            <w:shd w:val="clear" w:color="000000" w:fill="FFFFFF"/>
            <w:noWrap/>
            <w:hideMark/>
          </w:tcPr>
          <w:p w:rsidR="00282E35" w:rsidRPr="00EF253C" w:rsidRDefault="00282E35" w:rsidP="00E50C61">
            <w:pPr>
              <w:spacing w:after="0" w:line="240" w:lineRule="auto"/>
              <w:jc w:val="center"/>
              <w:rPr>
                <w:rFonts w:cs="Arial"/>
              </w:rPr>
            </w:pPr>
            <w:r w:rsidRPr="00EF253C">
              <w:rPr>
                <w:rFonts w:cs="Arial"/>
              </w:rPr>
              <w:t>26.7%</w:t>
            </w:r>
          </w:p>
        </w:tc>
        <w:tc>
          <w:tcPr>
            <w:tcW w:w="1351" w:type="dxa"/>
            <w:shd w:val="clear" w:color="000000" w:fill="FFFFFF"/>
            <w:noWrap/>
            <w:hideMark/>
          </w:tcPr>
          <w:p w:rsidR="00282E35" w:rsidRPr="00EF253C" w:rsidRDefault="00282E35" w:rsidP="00E50C61">
            <w:pPr>
              <w:spacing w:after="0" w:line="240" w:lineRule="auto"/>
              <w:jc w:val="center"/>
              <w:rPr>
                <w:rFonts w:cs="Arial"/>
              </w:rPr>
            </w:pPr>
            <w:r w:rsidRPr="00EF253C">
              <w:rPr>
                <w:rFonts w:cs="Arial"/>
              </w:rPr>
              <w:t>2,319,450</w:t>
            </w:r>
          </w:p>
        </w:tc>
        <w:tc>
          <w:tcPr>
            <w:tcW w:w="1249" w:type="dxa"/>
            <w:shd w:val="clear" w:color="000000" w:fill="FFFFFF"/>
            <w:noWrap/>
            <w:hideMark/>
          </w:tcPr>
          <w:p w:rsidR="00282E35" w:rsidRPr="00EF253C" w:rsidRDefault="00282E35" w:rsidP="00E50C61">
            <w:pPr>
              <w:spacing w:after="0" w:line="240" w:lineRule="auto"/>
              <w:jc w:val="center"/>
              <w:rPr>
                <w:rFonts w:cs="Arial"/>
              </w:rPr>
            </w:pPr>
            <w:r w:rsidRPr="00EF253C">
              <w:rPr>
                <w:rFonts w:cs="Arial"/>
              </w:rPr>
              <w:t>20.1%</w:t>
            </w:r>
          </w:p>
        </w:tc>
      </w:tr>
      <w:tr w:rsidR="00282E35" w:rsidRPr="00EF253C" w:rsidTr="00E50C61">
        <w:trPr>
          <w:trHeight w:val="465"/>
        </w:trPr>
        <w:tc>
          <w:tcPr>
            <w:tcW w:w="1120" w:type="dxa"/>
            <w:shd w:val="clear" w:color="000000" w:fill="FFFFFF"/>
            <w:noWrap/>
            <w:hideMark/>
          </w:tcPr>
          <w:p w:rsidR="00282E35" w:rsidRPr="00EF253C" w:rsidRDefault="00282E35" w:rsidP="00E50C61">
            <w:pPr>
              <w:spacing w:after="0" w:line="240" w:lineRule="auto"/>
              <w:jc w:val="center"/>
              <w:rPr>
                <w:rFonts w:cs="Arial"/>
              </w:rPr>
            </w:pPr>
            <w:r w:rsidRPr="00EF253C">
              <w:rPr>
                <w:rFonts w:cs="Arial"/>
              </w:rPr>
              <w:t>2012</w:t>
            </w:r>
          </w:p>
        </w:tc>
        <w:tc>
          <w:tcPr>
            <w:tcW w:w="1522" w:type="dxa"/>
            <w:shd w:val="clear" w:color="000000" w:fill="FFFFFF"/>
            <w:noWrap/>
            <w:hideMark/>
          </w:tcPr>
          <w:p w:rsidR="00282E35" w:rsidRPr="00EF253C" w:rsidRDefault="00282E35" w:rsidP="00E50C61">
            <w:pPr>
              <w:spacing w:after="0" w:line="240" w:lineRule="auto"/>
              <w:jc w:val="center"/>
              <w:rPr>
                <w:rFonts w:cs="Arial"/>
              </w:rPr>
            </w:pPr>
            <w:r w:rsidRPr="00EF253C">
              <w:rPr>
                <w:rFonts w:cs="Arial"/>
              </w:rPr>
              <w:t>14,600</w:t>
            </w:r>
          </w:p>
        </w:tc>
        <w:tc>
          <w:tcPr>
            <w:tcW w:w="1478" w:type="dxa"/>
            <w:shd w:val="clear" w:color="000000" w:fill="FFFFFF"/>
            <w:noWrap/>
            <w:hideMark/>
          </w:tcPr>
          <w:p w:rsidR="00282E35" w:rsidRPr="00EF253C" w:rsidRDefault="00282E35" w:rsidP="00E50C61">
            <w:pPr>
              <w:spacing w:after="0" w:line="240" w:lineRule="auto"/>
              <w:jc w:val="center"/>
              <w:rPr>
                <w:rFonts w:cs="Arial"/>
              </w:rPr>
            </w:pPr>
            <w:r w:rsidRPr="00EF253C">
              <w:rPr>
                <w:rFonts w:cs="Arial"/>
              </w:rPr>
              <w:t>17.3%</w:t>
            </w:r>
          </w:p>
        </w:tc>
        <w:tc>
          <w:tcPr>
            <w:tcW w:w="1351" w:type="dxa"/>
            <w:shd w:val="clear" w:color="000000" w:fill="FFFFFF"/>
            <w:noWrap/>
            <w:hideMark/>
          </w:tcPr>
          <w:p w:rsidR="00282E35" w:rsidRPr="00EF253C" w:rsidRDefault="00282E35" w:rsidP="00E50C61">
            <w:pPr>
              <w:spacing w:after="0" w:line="240" w:lineRule="auto"/>
              <w:jc w:val="center"/>
              <w:rPr>
                <w:rFonts w:cs="Arial"/>
              </w:rPr>
            </w:pPr>
            <w:r w:rsidRPr="00EF253C">
              <w:rPr>
                <w:rFonts w:cs="Arial"/>
              </w:rPr>
              <w:t>442,275</w:t>
            </w:r>
          </w:p>
        </w:tc>
        <w:tc>
          <w:tcPr>
            <w:tcW w:w="1249" w:type="dxa"/>
            <w:shd w:val="clear" w:color="000000" w:fill="FFFFFF"/>
            <w:noWrap/>
            <w:hideMark/>
          </w:tcPr>
          <w:p w:rsidR="00282E35" w:rsidRPr="00EF253C" w:rsidRDefault="00282E35" w:rsidP="00E50C61">
            <w:pPr>
              <w:spacing w:after="0" w:line="240" w:lineRule="auto"/>
              <w:jc w:val="center"/>
              <w:rPr>
                <w:rFonts w:cs="Arial"/>
              </w:rPr>
            </w:pPr>
            <w:r w:rsidRPr="00EF253C">
              <w:rPr>
                <w:rFonts w:cs="Arial"/>
              </w:rPr>
              <w:t>23.5%</w:t>
            </w:r>
          </w:p>
        </w:tc>
        <w:tc>
          <w:tcPr>
            <w:tcW w:w="1351" w:type="dxa"/>
            <w:shd w:val="clear" w:color="000000" w:fill="FFFFFF"/>
            <w:noWrap/>
            <w:hideMark/>
          </w:tcPr>
          <w:p w:rsidR="00282E35" w:rsidRPr="00EF253C" w:rsidRDefault="00282E35" w:rsidP="00E50C61">
            <w:pPr>
              <w:spacing w:after="0" w:line="240" w:lineRule="auto"/>
              <w:jc w:val="center"/>
              <w:rPr>
                <w:rFonts w:cs="Arial"/>
              </w:rPr>
            </w:pPr>
            <w:r w:rsidRPr="00EF253C">
              <w:rPr>
                <w:rFonts w:cs="Arial"/>
              </w:rPr>
              <w:t>2,156,280</w:t>
            </w:r>
          </w:p>
        </w:tc>
        <w:tc>
          <w:tcPr>
            <w:tcW w:w="1249" w:type="dxa"/>
            <w:shd w:val="clear" w:color="000000" w:fill="FFFFFF"/>
            <w:noWrap/>
            <w:hideMark/>
          </w:tcPr>
          <w:p w:rsidR="00282E35" w:rsidRPr="00EF253C" w:rsidRDefault="00282E35" w:rsidP="00E50C61">
            <w:pPr>
              <w:spacing w:after="0" w:line="240" w:lineRule="auto"/>
              <w:jc w:val="center"/>
              <w:rPr>
                <w:rFonts w:cs="Arial"/>
              </w:rPr>
            </w:pPr>
            <w:r w:rsidRPr="00EF253C">
              <w:rPr>
                <w:rFonts w:cs="Arial"/>
              </w:rPr>
              <w:t>18.6%</w:t>
            </w:r>
          </w:p>
        </w:tc>
      </w:tr>
    </w:tbl>
    <w:p w:rsidR="00282E35" w:rsidRPr="00EF253C" w:rsidRDefault="00282E35" w:rsidP="00282E35">
      <w:pPr>
        <w:spacing w:after="0" w:line="240" w:lineRule="auto"/>
        <w:rPr>
          <w:rFonts w:cs="Arial"/>
        </w:rPr>
      </w:pPr>
      <w:r w:rsidRPr="00EF253C">
        <w:rPr>
          <w:rFonts w:cs="Arial"/>
        </w:rPr>
        <w:t>Source: https://www.gov.uk/government/publications/personal-tax-credits-children-in-low-income-families-local-measure</w:t>
      </w:r>
    </w:p>
    <w:p w:rsidR="00282E35" w:rsidRDefault="00282E35" w:rsidP="00282E35">
      <w:pPr>
        <w:spacing w:after="0" w:line="240" w:lineRule="auto"/>
        <w:rPr>
          <w:rFonts w:cs="Arial"/>
          <w:b/>
          <w:i/>
        </w:rPr>
      </w:pPr>
    </w:p>
    <w:p w:rsidR="00282E35" w:rsidRPr="00EF253C" w:rsidRDefault="00282E35" w:rsidP="00282E35">
      <w:pPr>
        <w:spacing w:after="0" w:line="240" w:lineRule="auto"/>
        <w:rPr>
          <w:rFonts w:cs="Arial"/>
          <w:b/>
          <w:i/>
        </w:rPr>
      </w:pPr>
      <w:r w:rsidRPr="002508E7">
        <w:rPr>
          <w:rFonts w:cs="Arial"/>
          <w:b/>
        </w:rPr>
        <w:t xml:space="preserve">Table </w:t>
      </w:r>
      <w:r w:rsidR="00E67ABC" w:rsidRPr="002508E7">
        <w:rPr>
          <w:rFonts w:cs="Arial"/>
          <w:b/>
        </w:rPr>
        <w:t>8-</w:t>
      </w:r>
      <w:r w:rsidRPr="002508E7">
        <w:rPr>
          <w:rFonts w:cs="Arial"/>
          <w:b/>
        </w:rPr>
        <w:t>16: Children living in a low income family</w:t>
      </w:r>
    </w:p>
    <w:tbl>
      <w:tblPr>
        <w:tblW w:w="8320" w:type="dxa"/>
        <w:jc w:val="center"/>
        <w:tblInd w:w="93" w:type="dxa"/>
        <w:tblLook w:val="04A0" w:firstRow="1" w:lastRow="0" w:firstColumn="1" w:lastColumn="0" w:noHBand="0" w:noVBand="1"/>
      </w:tblPr>
      <w:tblGrid>
        <w:gridCol w:w="2340"/>
        <w:gridCol w:w="2140"/>
        <w:gridCol w:w="1920"/>
        <w:gridCol w:w="1920"/>
      </w:tblGrid>
      <w:tr w:rsidR="00282E35" w:rsidRPr="00EF253C" w:rsidTr="00282E35">
        <w:trPr>
          <w:trHeight w:val="960"/>
          <w:jc w:val="center"/>
        </w:trPr>
        <w:tc>
          <w:tcPr>
            <w:tcW w:w="2340" w:type="dxa"/>
            <w:tcBorders>
              <w:top w:val="single" w:sz="4" w:space="0" w:color="auto"/>
              <w:left w:val="single" w:sz="4" w:space="0" w:color="auto"/>
              <w:bottom w:val="single" w:sz="4" w:space="0" w:color="auto"/>
              <w:right w:val="single" w:sz="4" w:space="0" w:color="auto"/>
            </w:tcBorders>
            <w:shd w:val="clear" w:color="000000" w:fill="BFBFBF"/>
            <w:noWrap/>
            <w:hideMark/>
          </w:tcPr>
          <w:p w:rsidR="00282E35" w:rsidRPr="00EF253C" w:rsidRDefault="00282E35" w:rsidP="00E50C61">
            <w:pPr>
              <w:spacing w:after="0" w:line="240" w:lineRule="auto"/>
              <w:jc w:val="center"/>
              <w:rPr>
                <w:rFonts w:cs="Arial"/>
              </w:rPr>
            </w:pPr>
            <w:r w:rsidRPr="00EF253C">
              <w:rPr>
                <w:rFonts w:cs="Arial"/>
              </w:rPr>
              <w:t>Ward</w:t>
            </w:r>
          </w:p>
        </w:tc>
        <w:tc>
          <w:tcPr>
            <w:tcW w:w="2140" w:type="dxa"/>
            <w:tcBorders>
              <w:top w:val="single" w:sz="4" w:space="0" w:color="auto"/>
              <w:left w:val="nil"/>
              <w:bottom w:val="single" w:sz="4" w:space="0" w:color="auto"/>
              <w:right w:val="single" w:sz="4" w:space="0" w:color="auto"/>
            </w:tcBorders>
            <w:shd w:val="clear" w:color="000000" w:fill="BFBFBF"/>
            <w:hideMark/>
          </w:tcPr>
          <w:p w:rsidR="00282E35" w:rsidRPr="00EF253C" w:rsidRDefault="00282E35" w:rsidP="00E50C61">
            <w:pPr>
              <w:spacing w:after="0" w:line="240" w:lineRule="auto"/>
              <w:jc w:val="center"/>
              <w:rPr>
                <w:rFonts w:cs="Arial"/>
              </w:rPr>
            </w:pPr>
            <w:r w:rsidRPr="00EF253C">
              <w:rPr>
                <w:rFonts w:cs="Arial"/>
              </w:rPr>
              <w:t>Number of all children living in a low-income family</w:t>
            </w:r>
          </w:p>
        </w:tc>
        <w:tc>
          <w:tcPr>
            <w:tcW w:w="1920" w:type="dxa"/>
            <w:tcBorders>
              <w:top w:val="single" w:sz="4" w:space="0" w:color="auto"/>
              <w:left w:val="nil"/>
              <w:bottom w:val="single" w:sz="4" w:space="0" w:color="auto"/>
              <w:right w:val="single" w:sz="4" w:space="0" w:color="auto"/>
            </w:tcBorders>
            <w:shd w:val="clear" w:color="000000" w:fill="BFBFBF"/>
            <w:hideMark/>
          </w:tcPr>
          <w:p w:rsidR="00282E35" w:rsidRPr="00EF253C" w:rsidRDefault="00282E35" w:rsidP="00E50C61">
            <w:pPr>
              <w:spacing w:after="0" w:line="240" w:lineRule="auto"/>
              <w:jc w:val="center"/>
              <w:rPr>
                <w:rFonts w:cs="Arial"/>
              </w:rPr>
            </w:pPr>
            <w:r w:rsidRPr="00EF253C">
              <w:rPr>
                <w:rFonts w:cs="Arial"/>
              </w:rPr>
              <w:t>% of all children living in a low-income family</w:t>
            </w:r>
          </w:p>
        </w:tc>
        <w:tc>
          <w:tcPr>
            <w:tcW w:w="1920" w:type="dxa"/>
            <w:tcBorders>
              <w:top w:val="single" w:sz="4" w:space="0" w:color="auto"/>
              <w:left w:val="nil"/>
              <w:bottom w:val="single" w:sz="4" w:space="0" w:color="auto"/>
              <w:right w:val="single" w:sz="4" w:space="0" w:color="auto"/>
            </w:tcBorders>
            <w:shd w:val="clear" w:color="000000" w:fill="BFBFBF"/>
          </w:tcPr>
          <w:p w:rsidR="00282E35" w:rsidRPr="00EF253C" w:rsidRDefault="00282E35" w:rsidP="00E50C61">
            <w:pPr>
              <w:spacing w:after="0" w:line="240" w:lineRule="auto"/>
              <w:jc w:val="center"/>
              <w:rPr>
                <w:rFonts w:cs="Arial"/>
              </w:rPr>
            </w:pPr>
            <w:r w:rsidRPr="00EF253C">
              <w:rPr>
                <w:rFonts w:cs="Arial"/>
              </w:rPr>
              <w:t>% of all children living in poverty</w:t>
            </w:r>
          </w:p>
        </w:tc>
      </w:tr>
      <w:tr w:rsidR="00282E35" w:rsidRPr="00EF253C" w:rsidTr="00282E35">
        <w:trPr>
          <w:trHeight w:val="300"/>
          <w:jc w:val="center"/>
        </w:trPr>
        <w:tc>
          <w:tcPr>
            <w:tcW w:w="2340" w:type="dxa"/>
            <w:tcBorders>
              <w:top w:val="nil"/>
              <w:left w:val="single" w:sz="4" w:space="0" w:color="auto"/>
              <w:bottom w:val="single" w:sz="4" w:space="0" w:color="auto"/>
              <w:right w:val="single" w:sz="4" w:space="0" w:color="auto"/>
            </w:tcBorders>
            <w:shd w:val="clear" w:color="auto" w:fill="auto"/>
            <w:noWrap/>
            <w:vAlign w:val="bottom"/>
            <w:hideMark/>
          </w:tcPr>
          <w:p w:rsidR="00282E35" w:rsidRPr="00EF253C" w:rsidRDefault="00282E35" w:rsidP="00E50C61">
            <w:pPr>
              <w:spacing w:after="0" w:line="240" w:lineRule="auto"/>
              <w:rPr>
                <w:rFonts w:cs="Arial"/>
              </w:rPr>
            </w:pPr>
            <w:r w:rsidRPr="00EF253C">
              <w:rPr>
                <w:rFonts w:cs="Arial"/>
              </w:rPr>
              <w:t>Brunswick Park</w:t>
            </w:r>
          </w:p>
        </w:tc>
        <w:tc>
          <w:tcPr>
            <w:tcW w:w="2140" w:type="dxa"/>
            <w:tcBorders>
              <w:top w:val="nil"/>
              <w:left w:val="nil"/>
              <w:bottom w:val="single" w:sz="4" w:space="0" w:color="auto"/>
              <w:right w:val="single" w:sz="4" w:space="0" w:color="auto"/>
            </w:tcBorders>
            <w:shd w:val="clear" w:color="auto" w:fill="auto"/>
            <w:noWrap/>
            <w:vAlign w:val="bottom"/>
            <w:hideMark/>
          </w:tcPr>
          <w:p w:rsidR="00282E35" w:rsidRPr="00EF253C" w:rsidRDefault="00282E35" w:rsidP="00E50C61">
            <w:pPr>
              <w:spacing w:after="0" w:line="240" w:lineRule="auto"/>
              <w:jc w:val="center"/>
              <w:rPr>
                <w:rFonts w:cs="Arial"/>
              </w:rPr>
            </w:pPr>
            <w:r w:rsidRPr="00EF253C">
              <w:rPr>
                <w:rFonts w:cs="Arial"/>
              </w:rPr>
              <w:t>565</w:t>
            </w:r>
          </w:p>
        </w:tc>
        <w:tc>
          <w:tcPr>
            <w:tcW w:w="1920" w:type="dxa"/>
            <w:tcBorders>
              <w:top w:val="nil"/>
              <w:left w:val="nil"/>
              <w:bottom w:val="single" w:sz="4" w:space="0" w:color="auto"/>
              <w:right w:val="single" w:sz="4" w:space="0" w:color="auto"/>
            </w:tcBorders>
            <w:shd w:val="clear" w:color="auto" w:fill="auto"/>
            <w:noWrap/>
            <w:vAlign w:val="bottom"/>
            <w:hideMark/>
          </w:tcPr>
          <w:p w:rsidR="00282E35" w:rsidRPr="00EF253C" w:rsidRDefault="00282E35" w:rsidP="00E50C61">
            <w:pPr>
              <w:spacing w:after="0" w:line="240" w:lineRule="auto"/>
              <w:jc w:val="center"/>
              <w:rPr>
                <w:rFonts w:cs="Arial"/>
              </w:rPr>
            </w:pPr>
            <w:r w:rsidRPr="00EF253C">
              <w:rPr>
                <w:rFonts w:cs="Arial"/>
              </w:rPr>
              <w:t>14.1%</w:t>
            </w:r>
          </w:p>
        </w:tc>
        <w:tc>
          <w:tcPr>
            <w:tcW w:w="1920" w:type="dxa"/>
            <w:tcBorders>
              <w:top w:val="nil"/>
              <w:left w:val="nil"/>
              <w:bottom w:val="single" w:sz="4" w:space="0" w:color="auto"/>
              <w:right w:val="single" w:sz="4" w:space="0" w:color="auto"/>
            </w:tcBorders>
            <w:vAlign w:val="bottom"/>
          </w:tcPr>
          <w:p w:rsidR="00282E35" w:rsidRPr="00EF253C" w:rsidRDefault="00282E35" w:rsidP="00E50C61">
            <w:pPr>
              <w:spacing w:after="0" w:line="240" w:lineRule="auto"/>
              <w:jc w:val="center"/>
              <w:rPr>
                <w:rFonts w:cs="Arial"/>
              </w:rPr>
            </w:pPr>
            <w:r w:rsidRPr="00EF253C">
              <w:rPr>
                <w:rFonts w:cs="Arial"/>
              </w:rPr>
              <w:t>18.0%</w:t>
            </w:r>
          </w:p>
        </w:tc>
      </w:tr>
      <w:tr w:rsidR="00282E35" w:rsidRPr="00EF253C" w:rsidTr="00282E35">
        <w:trPr>
          <w:trHeight w:val="300"/>
          <w:jc w:val="center"/>
        </w:trPr>
        <w:tc>
          <w:tcPr>
            <w:tcW w:w="2340" w:type="dxa"/>
            <w:tcBorders>
              <w:top w:val="nil"/>
              <w:left w:val="single" w:sz="4" w:space="0" w:color="auto"/>
              <w:bottom w:val="single" w:sz="4" w:space="0" w:color="auto"/>
              <w:right w:val="single" w:sz="4" w:space="0" w:color="auto"/>
            </w:tcBorders>
            <w:shd w:val="clear" w:color="000000" w:fill="FFFFFF"/>
            <w:noWrap/>
            <w:vAlign w:val="bottom"/>
            <w:hideMark/>
          </w:tcPr>
          <w:p w:rsidR="00282E35" w:rsidRPr="00EF253C" w:rsidRDefault="00282E35" w:rsidP="00E50C61">
            <w:pPr>
              <w:spacing w:after="0" w:line="240" w:lineRule="auto"/>
              <w:rPr>
                <w:rFonts w:cs="Arial"/>
              </w:rPr>
            </w:pPr>
            <w:r w:rsidRPr="00EF253C">
              <w:rPr>
                <w:rFonts w:cs="Arial"/>
              </w:rPr>
              <w:t>Burnt Oak</w:t>
            </w:r>
          </w:p>
        </w:tc>
        <w:tc>
          <w:tcPr>
            <w:tcW w:w="2140" w:type="dxa"/>
            <w:tcBorders>
              <w:top w:val="nil"/>
              <w:left w:val="nil"/>
              <w:bottom w:val="single" w:sz="4" w:space="0" w:color="auto"/>
              <w:right w:val="single" w:sz="4" w:space="0" w:color="auto"/>
            </w:tcBorders>
            <w:shd w:val="clear" w:color="000000" w:fill="FFFFFF"/>
            <w:noWrap/>
            <w:vAlign w:val="bottom"/>
            <w:hideMark/>
          </w:tcPr>
          <w:p w:rsidR="00282E35" w:rsidRPr="00EF253C" w:rsidRDefault="00282E35" w:rsidP="00E50C61">
            <w:pPr>
              <w:spacing w:after="0" w:line="240" w:lineRule="auto"/>
              <w:jc w:val="center"/>
              <w:rPr>
                <w:rFonts w:cs="Arial"/>
              </w:rPr>
            </w:pPr>
            <w:r w:rsidRPr="00EF253C">
              <w:rPr>
                <w:rFonts w:cs="Arial"/>
              </w:rPr>
              <w:t>1595</w:t>
            </w:r>
          </w:p>
        </w:tc>
        <w:tc>
          <w:tcPr>
            <w:tcW w:w="1920" w:type="dxa"/>
            <w:tcBorders>
              <w:top w:val="nil"/>
              <w:left w:val="nil"/>
              <w:bottom w:val="single" w:sz="4" w:space="0" w:color="auto"/>
              <w:right w:val="single" w:sz="4" w:space="0" w:color="auto"/>
            </w:tcBorders>
            <w:shd w:val="clear" w:color="000000" w:fill="FFFFFF"/>
            <w:noWrap/>
            <w:vAlign w:val="bottom"/>
            <w:hideMark/>
          </w:tcPr>
          <w:p w:rsidR="00282E35" w:rsidRPr="00EF253C" w:rsidRDefault="00282E35" w:rsidP="00E50C61">
            <w:pPr>
              <w:spacing w:after="0" w:line="240" w:lineRule="auto"/>
              <w:jc w:val="center"/>
              <w:rPr>
                <w:rFonts w:cs="Arial"/>
              </w:rPr>
            </w:pPr>
            <w:r w:rsidRPr="00EF253C">
              <w:rPr>
                <w:rFonts w:cs="Arial"/>
              </w:rPr>
              <w:t>28.5%</w:t>
            </w:r>
          </w:p>
        </w:tc>
        <w:tc>
          <w:tcPr>
            <w:tcW w:w="1920" w:type="dxa"/>
            <w:tcBorders>
              <w:top w:val="nil"/>
              <w:left w:val="nil"/>
              <w:bottom w:val="single" w:sz="4" w:space="0" w:color="auto"/>
              <w:right w:val="single" w:sz="4" w:space="0" w:color="auto"/>
            </w:tcBorders>
            <w:shd w:val="clear" w:color="000000" w:fill="FFFFFF"/>
            <w:vAlign w:val="bottom"/>
          </w:tcPr>
          <w:p w:rsidR="00282E35" w:rsidRPr="00EF253C" w:rsidRDefault="00282E35" w:rsidP="00E50C61">
            <w:pPr>
              <w:spacing w:after="0" w:line="240" w:lineRule="auto"/>
              <w:jc w:val="center"/>
              <w:rPr>
                <w:rFonts w:cs="Arial"/>
              </w:rPr>
            </w:pPr>
            <w:r w:rsidRPr="00EF253C">
              <w:rPr>
                <w:rFonts w:cs="Arial"/>
              </w:rPr>
              <w:t>36.0%</w:t>
            </w:r>
          </w:p>
        </w:tc>
      </w:tr>
      <w:tr w:rsidR="00282E35" w:rsidRPr="00EF253C" w:rsidTr="00282E35">
        <w:trPr>
          <w:trHeight w:val="300"/>
          <w:jc w:val="center"/>
        </w:trPr>
        <w:tc>
          <w:tcPr>
            <w:tcW w:w="2340" w:type="dxa"/>
            <w:tcBorders>
              <w:top w:val="nil"/>
              <w:left w:val="single" w:sz="4" w:space="0" w:color="auto"/>
              <w:bottom w:val="single" w:sz="4" w:space="0" w:color="auto"/>
              <w:right w:val="single" w:sz="4" w:space="0" w:color="auto"/>
            </w:tcBorders>
            <w:shd w:val="clear" w:color="000000" w:fill="FFFFFF"/>
            <w:noWrap/>
            <w:vAlign w:val="bottom"/>
            <w:hideMark/>
          </w:tcPr>
          <w:p w:rsidR="00282E35" w:rsidRPr="00EF253C" w:rsidRDefault="00282E35" w:rsidP="00E50C61">
            <w:pPr>
              <w:spacing w:after="0" w:line="240" w:lineRule="auto"/>
              <w:rPr>
                <w:rFonts w:cs="Arial"/>
              </w:rPr>
            </w:pPr>
            <w:r w:rsidRPr="00EF253C">
              <w:rPr>
                <w:rFonts w:cs="Arial"/>
              </w:rPr>
              <w:t>Childs Hill</w:t>
            </w:r>
          </w:p>
        </w:tc>
        <w:tc>
          <w:tcPr>
            <w:tcW w:w="2140" w:type="dxa"/>
            <w:tcBorders>
              <w:top w:val="nil"/>
              <w:left w:val="nil"/>
              <w:bottom w:val="single" w:sz="4" w:space="0" w:color="auto"/>
              <w:right w:val="single" w:sz="4" w:space="0" w:color="auto"/>
            </w:tcBorders>
            <w:shd w:val="clear" w:color="000000" w:fill="FFFFFF"/>
            <w:noWrap/>
            <w:vAlign w:val="bottom"/>
            <w:hideMark/>
          </w:tcPr>
          <w:p w:rsidR="00282E35" w:rsidRPr="00EF253C" w:rsidRDefault="00282E35" w:rsidP="00E50C61">
            <w:pPr>
              <w:spacing w:after="0" w:line="240" w:lineRule="auto"/>
              <w:jc w:val="center"/>
              <w:rPr>
                <w:rFonts w:cs="Arial"/>
              </w:rPr>
            </w:pPr>
            <w:r w:rsidRPr="00EF253C">
              <w:rPr>
                <w:rFonts w:cs="Arial"/>
              </w:rPr>
              <w:t>940</w:t>
            </w:r>
          </w:p>
        </w:tc>
        <w:tc>
          <w:tcPr>
            <w:tcW w:w="1920" w:type="dxa"/>
            <w:tcBorders>
              <w:top w:val="nil"/>
              <w:left w:val="nil"/>
              <w:bottom w:val="single" w:sz="4" w:space="0" w:color="auto"/>
              <w:right w:val="single" w:sz="4" w:space="0" w:color="auto"/>
            </w:tcBorders>
            <w:shd w:val="clear" w:color="000000" w:fill="FFFFFF"/>
            <w:noWrap/>
            <w:vAlign w:val="bottom"/>
            <w:hideMark/>
          </w:tcPr>
          <w:p w:rsidR="00282E35" w:rsidRPr="00EF253C" w:rsidRDefault="00282E35" w:rsidP="00E50C61">
            <w:pPr>
              <w:spacing w:after="0" w:line="240" w:lineRule="auto"/>
              <w:jc w:val="center"/>
              <w:rPr>
                <w:rFonts w:cs="Arial"/>
              </w:rPr>
            </w:pPr>
            <w:r w:rsidRPr="00EF253C">
              <w:rPr>
                <w:rFonts w:cs="Arial"/>
              </w:rPr>
              <w:t>22.3%</w:t>
            </w:r>
          </w:p>
        </w:tc>
        <w:tc>
          <w:tcPr>
            <w:tcW w:w="1920" w:type="dxa"/>
            <w:tcBorders>
              <w:top w:val="nil"/>
              <w:left w:val="nil"/>
              <w:bottom w:val="single" w:sz="4" w:space="0" w:color="auto"/>
              <w:right w:val="single" w:sz="4" w:space="0" w:color="auto"/>
            </w:tcBorders>
            <w:shd w:val="clear" w:color="000000" w:fill="FFFFFF"/>
            <w:vAlign w:val="bottom"/>
          </w:tcPr>
          <w:p w:rsidR="00282E35" w:rsidRPr="00EF253C" w:rsidRDefault="00282E35" w:rsidP="00E50C61">
            <w:pPr>
              <w:spacing w:after="0" w:line="240" w:lineRule="auto"/>
              <w:jc w:val="center"/>
              <w:rPr>
                <w:rFonts w:cs="Arial"/>
              </w:rPr>
            </w:pPr>
            <w:r w:rsidRPr="00EF253C">
              <w:rPr>
                <w:rFonts w:cs="Arial"/>
              </w:rPr>
              <w:t>25.0%</w:t>
            </w:r>
          </w:p>
        </w:tc>
      </w:tr>
      <w:tr w:rsidR="00282E35" w:rsidRPr="00EF253C" w:rsidTr="00282E35">
        <w:trPr>
          <w:trHeight w:val="300"/>
          <w:jc w:val="center"/>
        </w:trPr>
        <w:tc>
          <w:tcPr>
            <w:tcW w:w="2340" w:type="dxa"/>
            <w:tcBorders>
              <w:top w:val="nil"/>
              <w:left w:val="single" w:sz="4" w:space="0" w:color="auto"/>
              <w:bottom w:val="single" w:sz="4" w:space="0" w:color="auto"/>
              <w:right w:val="single" w:sz="4" w:space="0" w:color="auto"/>
            </w:tcBorders>
            <w:shd w:val="clear" w:color="000000" w:fill="FFFFFF"/>
            <w:noWrap/>
            <w:vAlign w:val="bottom"/>
            <w:hideMark/>
          </w:tcPr>
          <w:p w:rsidR="00282E35" w:rsidRPr="00EF253C" w:rsidRDefault="00282E35" w:rsidP="00E50C61">
            <w:pPr>
              <w:spacing w:after="0" w:line="240" w:lineRule="auto"/>
              <w:rPr>
                <w:rFonts w:cs="Arial"/>
              </w:rPr>
            </w:pPr>
            <w:r w:rsidRPr="00EF253C">
              <w:rPr>
                <w:rFonts w:cs="Arial"/>
              </w:rPr>
              <w:t>Colindale</w:t>
            </w:r>
          </w:p>
        </w:tc>
        <w:tc>
          <w:tcPr>
            <w:tcW w:w="2140" w:type="dxa"/>
            <w:tcBorders>
              <w:top w:val="nil"/>
              <w:left w:val="nil"/>
              <w:bottom w:val="single" w:sz="4" w:space="0" w:color="auto"/>
              <w:right w:val="single" w:sz="4" w:space="0" w:color="auto"/>
            </w:tcBorders>
            <w:shd w:val="clear" w:color="000000" w:fill="FFFFFF"/>
            <w:noWrap/>
            <w:vAlign w:val="bottom"/>
            <w:hideMark/>
          </w:tcPr>
          <w:p w:rsidR="00282E35" w:rsidRPr="00EF253C" w:rsidRDefault="00282E35" w:rsidP="00E50C61">
            <w:pPr>
              <w:spacing w:after="0" w:line="240" w:lineRule="auto"/>
              <w:jc w:val="center"/>
              <w:rPr>
                <w:rFonts w:cs="Arial"/>
              </w:rPr>
            </w:pPr>
            <w:r w:rsidRPr="00EF253C">
              <w:rPr>
                <w:rFonts w:cs="Arial"/>
              </w:rPr>
              <w:t>1460</w:t>
            </w:r>
          </w:p>
        </w:tc>
        <w:tc>
          <w:tcPr>
            <w:tcW w:w="1920" w:type="dxa"/>
            <w:tcBorders>
              <w:top w:val="nil"/>
              <w:left w:val="nil"/>
              <w:bottom w:val="single" w:sz="4" w:space="0" w:color="auto"/>
              <w:right w:val="single" w:sz="4" w:space="0" w:color="auto"/>
            </w:tcBorders>
            <w:shd w:val="clear" w:color="000000" w:fill="FFFFFF"/>
            <w:noWrap/>
            <w:vAlign w:val="bottom"/>
            <w:hideMark/>
          </w:tcPr>
          <w:p w:rsidR="00282E35" w:rsidRPr="00EF253C" w:rsidRDefault="00282E35" w:rsidP="00E50C61">
            <w:pPr>
              <w:spacing w:after="0" w:line="240" w:lineRule="auto"/>
              <w:jc w:val="center"/>
              <w:rPr>
                <w:rFonts w:cs="Arial"/>
              </w:rPr>
            </w:pPr>
            <w:r w:rsidRPr="00EF253C">
              <w:rPr>
                <w:rFonts w:cs="Arial"/>
              </w:rPr>
              <w:t>30.9%</w:t>
            </w:r>
          </w:p>
        </w:tc>
        <w:tc>
          <w:tcPr>
            <w:tcW w:w="1920" w:type="dxa"/>
            <w:tcBorders>
              <w:top w:val="nil"/>
              <w:left w:val="nil"/>
              <w:bottom w:val="single" w:sz="4" w:space="0" w:color="auto"/>
              <w:right w:val="single" w:sz="4" w:space="0" w:color="auto"/>
            </w:tcBorders>
            <w:shd w:val="clear" w:color="000000" w:fill="FFFFFF"/>
            <w:vAlign w:val="bottom"/>
          </w:tcPr>
          <w:p w:rsidR="00282E35" w:rsidRPr="00EF253C" w:rsidRDefault="00282E35" w:rsidP="00E50C61">
            <w:pPr>
              <w:spacing w:after="0" w:line="240" w:lineRule="auto"/>
              <w:jc w:val="center"/>
              <w:rPr>
                <w:rFonts w:cs="Arial"/>
              </w:rPr>
            </w:pPr>
            <w:r w:rsidRPr="00EF253C">
              <w:rPr>
                <w:rFonts w:cs="Arial"/>
              </w:rPr>
              <w:t>37.5%</w:t>
            </w:r>
          </w:p>
        </w:tc>
      </w:tr>
      <w:tr w:rsidR="00282E35" w:rsidRPr="00EF253C" w:rsidTr="00282E35">
        <w:trPr>
          <w:trHeight w:val="300"/>
          <w:jc w:val="center"/>
        </w:trPr>
        <w:tc>
          <w:tcPr>
            <w:tcW w:w="2340" w:type="dxa"/>
            <w:tcBorders>
              <w:top w:val="nil"/>
              <w:left w:val="single" w:sz="4" w:space="0" w:color="auto"/>
              <w:bottom w:val="single" w:sz="4" w:space="0" w:color="auto"/>
              <w:right w:val="single" w:sz="4" w:space="0" w:color="auto"/>
            </w:tcBorders>
            <w:shd w:val="clear" w:color="000000" w:fill="FFFFFF"/>
            <w:noWrap/>
            <w:vAlign w:val="bottom"/>
            <w:hideMark/>
          </w:tcPr>
          <w:p w:rsidR="00282E35" w:rsidRPr="00EF253C" w:rsidRDefault="00282E35" w:rsidP="00E50C61">
            <w:pPr>
              <w:spacing w:after="0" w:line="240" w:lineRule="auto"/>
              <w:rPr>
                <w:rFonts w:cs="Arial"/>
              </w:rPr>
            </w:pPr>
            <w:r w:rsidRPr="00EF253C">
              <w:rPr>
                <w:rFonts w:cs="Arial"/>
              </w:rPr>
              <w:t>Coppetts</w:t>
            </w:r>
          </w:p>
        </w:tc>
        <w:tc>
          <w:tcPr>
            <w:tcW w:w="2140" w:type="dxa"/>
            <w:tcBorders>
              <w:top w:val="nil"/>
              <w:left w:val="nil"/>
              <w:bottom w:val="single" w:sz="4" w:space="0" w:color="auto"/>
              <w:right w:val="single" w:sz="4" w:space="0" w:color="auto"/>
            </w:tcBorders>
            <w:shd w:val="clear" w:color="000000" w:fill="FFFFFF"/>
            <w:noWrap/>
            <w:vAlign w:val="bottom"/>
            <w:hideMark/>
          </w:tcPr>
          <w:p w:rsidR="00282E35" w:rsidRPr="00EF253C" w:rsidRDefault="00282E35" w:rsidP="00E50C61">
            <w:pPr>
              <w:spacing w:after="0" w:line="240" w:lineRule="auto"/>
              <w:jc w:val="center"/>
              <w:rPr>
                <w:rFonts w:cs="Arial"/>
              </w:rPr>
            </w:pPr>
            <w:r w:rsidRPr="00EF253C">
              <w:rPr>
                <w:rFonts w:cs="Arial"/>
              </w:rPr>
              <w:t>815</w:t>
            </w:r>
          </w:p>
        </w:tc>
        <w:tc>
          <w:tcPr>
            <w:tcW w:w="1920" w:type="dxa"/>
            <w:tcBorders>
              <w:top w:val="nil"/>
              <w:left w:val="nil"/>
              <w:bottom w:val="single" w:sz="4" w:space="0" w:color="auto"/>
              <w:right w:val="single" w:sz="4" w:space="0" w:color="auto"/>
            </w:tcBorders>
            <w:shd w:val="clear" w:color="000000" w:fill="FFFFFF"/>
            <w:noWrap/>
            <w:vAlign w:val="bottom"/>
            <w:hideMark/>
          </w:tcPr>
          <w:p w:rsidR="00282E35" w:rsidRPr="00EF253C" w:rsidRDefault="00282E35" w:rsidP="00E50C61">
            <w:pPr>
              <w:spacing w:after="0" w:line="240" w:lineRule="auto"/>
              <w:jc w:val="center"/>
              <w:rPr>
                <w:rFonts w:cs="Arial"/>
              </w:rPr>
            </w:pPr>
            <w:r w:rsidRPr="00EF253C">
              <w:rPr>
                <w:rFonts w:cs="Arial"/>
              </w:rPr>
              <w:t>21.1%</w:t>
            </w:r>
          </w:p>
        </w:tc>
        <w:tc>
          <w:tcPr>
            <w:tcW w:w="1920" w:type="dxa"/>
            <w:tcBorders>
              <w:top w:val="nil"/>
              <w:left w:val="nil"/>
              <w:bottom w:val="single" w:sz="4" w:space="0" w:color="auto"/>
              <w:right w:val="single" w:sz="4" w:space="0" w:color="auto"/>
            </w:tcBorders>
            <w:shd w:val="clear" w:color="000000" w:fill="FFFFFF"/>
            <w:vAlign w:val="bottom"/>
          </w:tcPr>
          <w:p w:rsidR="00282E35" w:rsidRPr="00EF253C" w:rsidRDefault="00282E35" w:rsidP="00E50C61">
            <w:pPr>
              <w:spacing w:after="0" w:line="240" w:lineRule="auto"/>
              <w:jc w:val="center"/>
              <w:rPr>
                <w:rFonts w:cs="Arial"/>
              </w:rPr>
            </w:pPr>
            <w:r w:rsidRPr="00EF253C">
              <w:rPr>
                <w:rFonts w:cs="Arial"/>
              </w:rPr>
              <w:t>25.0%</w:t>
            </w:r>
          </w:p>
        </w:tc>
      </w:tr>
      <w:tr w:rsidR="00282E35" w:rsidRPr="00EF253C" w:rsidTr="00282E35">
        <w:trPr>
          <w:trHeight w:val="300"/>
          <w:jc w:val="center"/>
        </w:trPr>
        <w:tc>
          <w:tcPr>
            <w:tcW w:w="2340" w:type="dxa"/>
            <w:tcBorders>
              <w:top w:val="nil"/>
              <w:left w:val="single" w:sz="4" w:space="0" w:color="auto"/>
              <w:bottom w:val="single" w:sz="4" w:space="0" w:color="auto"/>
              <w:right w:val="single" w:sz="4" w:space="0" w:color="auto"/>
            </w:tcBorders>
            <w:shd w:val="clear" w:color="000000" w:fill="FFFFFF"/>
            <w:noWrap/>
            <w:vAlign w:val="bottom"/>
            <w:hideMark/>
          </w:tcPr>
          <w:p w:rsidR="00282E35" w:rsidRPr="00EF253C" w:rsidRDefault="00282E35" w:rsidP="00E50C61">
            <w:pPr>
              <w:spacing w:after="0" w:line="240" w:lineRule="auto"/>
              <w:rPr>
                <w:rFonts w:cs="Arial"/>
              </w:rPr>
            </w:pPr>
            <w:r w:rsidRPr="00EF253C">
              <w:rPr>
                <w:rFonts w:cs="Arial"/>
              </w:rPr>
              <w:t>East Barnet</w:t>
            </w:r>
          </w:p>
        </w:tc>
        <w:tc>
          <w:tcPr>
            <w:tcW w:w="2140" w:type="dxa"/>
            <w:tcBorders>
              <w:top w:val="nil"/>
              <w:left w:val="nil"/>
              <w:bottom w:val="single" w:sz="4" w:space="0" w:color="auto"/>
              <w:right w:val="single" w:sz="4" w:space="0" w:color="auto"/>
            </w:tcBorders>
            <w:shd w:val="clear" w:color="000000" w:fill="FFFFFF"/>
            <w:noWrap/>
            <w:vAlign w:val="bottom"/>
            <w:hideMark/>
          </w:tcPr>
          <w:p w:rsidR="00282E35" w:rsidRPr="00EF253C" w:rsidRDefault="00282E35" w:rsidP="00E50C61">
            <w:pPr>
              <w:spacing w:after="0" w:line="240" w:lineRule="auto"/>
              <w:jc w:val="center"/>
              <w:rPr>
                <w:rFonts w:cs="Arial"/>
              </w:rPr>
            </w:pPr>
            <w:r w:rsidRPr="00EF253C">
              <w:rPr>
                <w:rFonts w:cs="Arial"/>
              </w:rPr>
              <w:t>680</w:t>
            </w:r>
          </w:p>
        </w:tc>
        <w:tc>
          <w:tcPr>
            <w:tcW w:w="1920" w:type="dxa"/>
            <w:tcBorders>
              <w:top w:val="nil"/>
              <w:left w:val="nil"/>
              <w:bottom w:val="single" w:sz="4" w:space="0" w:color="auto"/>
              <w:right w:val="single" w:sz="4" w:space="0" w:color="auto"/>
            </w:tcBorders>
            <w:shd w:val="clear" w:color="000000" w:fill="FFFFFF"/>
            <w:noWrap/>
            <w:vAlign w:val="bottom"/>
            <w:hideMark/>
          </w:tcPr>
          <w:p w:rsidR="00282E35" w:rsidRPr="00EF253C" w:rsidRDefault="00282E35" w:rsidP="00E50C61">
            <w:pPr>
              <w:spacing w:after="0" w:line="240" w:lineRule="auto"/>
              <w:jc w:val="center"/>
              <w:rPr>
                <w:rFonts w:cs="Arial"/>
              </w:rPr>
            </w:pPr>
            <w:r w:rsidRPr="00EF253C">
              <w:rPr>
                <w:rFonts w:cs="Arial"/>
              </w:rPr>
              <w:t>17.4%</w:t>
            </w:r>
          </w:p>
        </w:tc>
        <w:tc>
          <w:tcPr>
            <w:tcW w:w="1920" w:type="dxa"/>
            <w:tcBorders>
              <w:top w:val="nil"/>
              <w:left w:val="nil"/>
              <w:bottom w:val="single" w:sz="4" w:space="0" w:color="auto"/>
              <w:right w:val="single" w:sz="4" w:space="0" w:color="auto"/>
            </w:tcBorders>
            <w:shd w:val="clear" w:color="000000" w:fill="FFFFFF"/>
            <w:vAlign w:val="bottom"/>
          </w:tcPr>
          <w:p w:rsidR="00282E35" w:rsidRPr="00EF253C" w:rsidRDefault="00282E35" w:rsidP="00E50C61">
            <w:pPr>
              <w:spacing w:after="0" w:line="240" w:lineRule="auto"/>
              <w:jc w:val="center"/>
              <w:rPr>
                <w:rFonts w:cs="Arial"/>
              </w:rPr>
            </w:pPr>
            <w:r w:rsidRPr="00EF253C">
              <w:rPr>
                <w:rFonts w:cs="Arial"/>
              </w:rPr>
              <w:t>19.7%</w:t>
            </w:r>
          </w:p>
        </w:tc>
      </w:tr>
      <w:tr w:rsidR="00282E35" w:rsidRPr="00EF253C" w:rsidTr="00282E35">
        <w:trPr>
          <w:trHeight w:val="300"/>
          <w:jc w:val="center"/>
        </w:trPr>
        <w:tc>
          <w:tcPr>
            <w:tcW w:w="2340" w:type="dxa"/>
            <w:tcBorders>
              <w:top w:val="nil"/>
              <w:left w:val="single" w:sz="4" w:space="0" w:color="auto"/>
              <w:bottom w:val="single" w:sz="4" w:space="0" w:color="auto"/>
              <w:right w:val="single" w:sz="4" w:space="0" w:color="auto"/>
            </w:tcBorders>
            <w:shd w:val="clear" w:color="000000" w:fill="FFFFFF"/>
            <w:noWrap/>
            <w:vAlign w:val="bottom"/>
            <w:hideMark/>
          </w:tcPr>
          <w:p w:rsidR="00282E35" w:rsidRPr="00EF253C" w:rsidRDefault="00282E35" w:rsidP="00E50C61">
            <w:pPr>
              <w:spacing w:after="0" w:line="240" w:lineRule="auto"/>
              <w:rPr>
                <w:rFonts w:cs="Arial"/>
              </w:rPr>
            </w:pPr>
            <w:r w:rsidRPr="00EF253C">
              <w:rPr>
                <w:rFonts w:cs="Arial"/>
              </w:rPr>
              <w:t>East Finchley</w:t>
            </w:r>
          </w:p>
        </w:tc>
        <w:tc>
          <w:tcPr>
            <w:tcW w:w="2140" w:type="dxa"/>
            <w:tcBorders>
              <w:top w:val="nil"/>
              <w:left w:val="nil"/>
              <w:bottom w:val="single" w:sz="4" w:space="0" w:color="auto"/>
              <w:right w:val="single" w:sz="4" w:space="0" w:color="auto"/>
            </w:tcBorders>
            <w:shd w:val="clear" w:color="000000" w:fill="FFFFFF"/>
            <w:noWrap/>
            <w:vAlign w:val="bottom"/>
            <w:hideMark/>
          </w:tcPr>
          <w:p w:rsidR="00282E35" w:rsidRPr="00EF253C" w:rsidRDefault="00282E35" w:rsidP="00E50C61">
            <w:pPr>
              <w:spacing w:after="0" w:line="240" w:lineRule="auto"/>
              <w:jc w:val="center"/>
              <w:rPr>
                <w:rFonts w:cs="Arial"/>
              </w:rPr>
            </w:pPr>
            <w:r w:rsidRPr="00EF253C">
              <w:rPr>
                <w:rFonts w:cs="Arial"/>
              </w:rPr>
              <w:t>630</w:t>
            </w:r>
          </w:p>
        </w:tc>
        <w:tc>
          <w:tcPr>
            <w:tcW w:w="1920" w:type="dxa"/>
            <w:tcBorders>
              <w:top w:val="nil"/>
              <w:left w:val="nil"/>
              <w:bottom w:val="single" w:sz="4" w:space="0" w:color="auto"/>
              <w:right w:val="single" w:sz="4" w:space="0" w:color="auto"/>
            </w:tcBorders>
            <w:shd w:val="clear" w:color="000000" w:fill="FFFFFF"/>
            <w:noWrap/>
            <w:vAlign w:val="bottom"/>
            <w:hideMark/>
          </w:tcPr>
          <w:p w:rsidR="00282E35" w:rsidRPr="00EF253C" w:rsidRDefault="00282E35" w:rsidP="00E50C61">
            <w:pPr>
              <w:spacing w:after="0" w:line="240" w:lineRule="auto"/>
              <w:jc w:val="center"/>
              <w:rPr>
                <w:rFonts w:cs="Arial"/>
              </w:rPr>
            </w:pPr>
            <w:r w:rsidRPr="00EF253C">
              <w:rPr>
                <w:rFonts w:cs="Arial"/>
              </w:rPr>
              <w:t>18.9%</w:t>
            </w:r>
          </w:p>
        </w:tc>
        <w:tc>
          <w:tcPr>
            <w:tcW w:w="1920" w:type="dxa"/>
            <w:tcBorders>
              <w:top w:val="nil"/>
              <w:left w:val="nil"/>
              <w:bottom w:val="single" w:sz="4" w:space="0" w:color="auto"/>
              <w:right w:val="single" w:sz="4" w:space="0" w:color="auto"/>
            </w:tcBorders>
            <w:shd w:val="clear" w:color="000000" w:fill="FFFFFF"/>
            <w:vAlign w:val="bottom"/>
          </w:tcPr>
          <w:p w:rsidR="00282E35" w:rsidRPr="00EF253C" w:rsidRDefault="00282E35" w:rsidP="00E50C61">
            <w:pPr>
              <w:spacing w:after="0" w:line="240" w:lineRule="auto"/>
              <w:jc w:val="center"/>
              <w:rPr>
                <w:rFonts w:cs="Arial"/>
              </w:rPr>
            </w:pPr>
            <w:r w:rsidRPr="00EF253C">
              <w:rPr>
                <w:rFonts w:cs="Arial"/>
              </w:rPr>
              <w:t>22.8%</w:t>
            </w:r>
          </w:p>
        </w:tc>
      </w:tr>
      <w:tr w:rsidR="00282E35" w:rsidRPr="00EF253C" w:rsidTr="00282E35">
        <w:trPr>
          <w:trHeight w:val="300"/>
          <w:jc w:val="center"/>
        </w:trPr>
        <w:tc>
          <w:tcPr>
            <w:tcW w:w="2340" w:type="dxa"/>
            <w:tcBorders>
              <w:top w:val="nil"/>
              <w:left w:val="single" w:sz="4" w:space="0" w:color="auto"/>
              <w:bottom w:val="single" w:sz="4" w:space="0" w:color="auto"/>
              <w:right w:val="single" w:sz="4" w:space="0" w:color="auto"/>
            </w:tcBorders>
            <w:shd w:val="clear" w:color="000000" w:fill="FFFFFF"/>
            <w:noWrap/>
            <w:vAlign w:val="bottom"/>
            <w:hideMark/>
          </w:tcPr>
          <w:p w:rsidR="00282E35" w:rsidRPr="00EF253C" w:rsidRDefault="00282E35" w:rsidP="00E50C61">
            <w:pPr>
              <w:spacing w:after="0" w:line="240" w:lineRule="auto"/>
              <w:rPr>
                <w:rFonts w:cs="Arial"/>
              </w:rPr>
            </w:pPr>
            <w:r w:rsidRPr="00EF253C">
              <w:rPr>
                <w:rFonts w:cs="Arial"/>
              </w:rPr>
              <w:t>Edgware</w:t>
            </w:r>
          </w:p>
        </w:tc>
        <w:tc>
          <w:tcPr>
            <w:tcW w:w="2140" w:type="dxa"/>
            <w:tcBorders>
              <w:top w:val="nil"/>
              <w:left w:val="nil"/>
              <w:bottom w:val="single" w:sz="4" w:space="0" w:color="auto"/>
              <w:right w:val="single" w:sz="4" w:space="0" w:color="auto"/>
            </w:tcBorders>
            <w:shd w:val="clear" w:color="000000" w:fill="FFFFFF"/>
            <w:noWrap/>
            <w:vAlign w:val="bottom"/>
            <w:hideMark/>
          </w:tcPr>
          <w:p w:rsidR="00282E35" w:rsidRPr="00EF253C" w:rsidRDefault="00282E35" w:rsidP="00E50C61">
            <w:pPr>
              <w:spacing w:after="0" w:line="240" w:lineRule="auto"/>
              <w:jc w:val="center"/>
              <w:rPr>
                <w:rFonts w:cs="Arial"/>
              </w:rPr>
            </w:pPr>
            <w:r w:rsidRPr="00EF253C">
              <w:rPr>
                <w:rFonts w:cs="Arial"/>
              </w:rPr>
              <w:t>725</w:t>
            </w:r>
          </w:p>
        </w:tc>
        <w:tc>
          <w:tcPr>
            <w:tcW w:w="1920" w:type="dxa"/>
            <w:tcBorders>
              <w:top w:val="nil"/>
              <w:left w:val="nil"/>
              <w:bottom w:val="single" w:sz="4" w:space="0" w:color="auto"/>
              <w:right w:val="single" w:sz="4" w:space="0" w:color="auto"/>
            </w:tcBorders>
            <w:shd w:val="clear" w:color="000000" w:fill="FFFFFF"/>
            <w:noWrap/>
            <w:vAlign w:val="bottom"/>
            <w:hideMark/>
          </w:tcPr>
          <w:p w:rsidR="00282E35" w:rsidRPr="00EF253C" w:rsidRDefault="00282E35" w:rsidP="00E50C61">
            <w:pPr>
              <w:spacing w:after="0" w:line="240" w:lineRule="auto"/>
              <w:jc w:val="center"/>
              <w:rPr>
                <w:rFonts w:cs="Arial"/>
              </w:rPr>
            </w:pPr>
            <w:r w:rsidRPr="00EF253C">
              <w:rPr>
                <w:rFonts w:cs="Arial"/>
              </w:rPr>
              <w:t>15.9%</w:t>
            </w:r>
          </w:p>
        </w:tc>
        <w:tc>
          <w:tcPr>
            <w:tcW w:w="1920" w:type="dxa"/>
            <w:tcBorders>
              <w:top w:val="nil"/>
              <w:left w:val="nil"/>
              <w:bottom w:val="single" w:sz="4" w:space="0" w:color="auto"/>
              <w:right w:val="single" w:sz="4" w:space="0" w:color="auto"/>
            </w:tcBorders>
            <w:shd w:val="clear" w:color="000000" w:fill="FFFFFF"/>
            <w:vAlign w:val="bottom"/>
          </w:tcPr>
          <w:p w:rsidR="00282E35" w:rsidRPr="00EF253C" w:rsidRDefault="00282E35" w:rsidP="00E50C61">
            <w:pPr>
              <w:spacing w:after="0" w:line="240" w:lineRule="auto"/>
              <w:jc w:val="center"/>
              <w:rPr>
                <w:rFonts w:cs="Arial"/>
              </w:rPr>
            </w:pPr>
            <w:r w:rsidRPr="00EF253C">
              <w:rPr>
                <w:rFonts w:cs="Arial"/>
              </w:rPr>
              <w:t>23.7%</w:t>
            </w:r>
          </w:p>
        </w:tc>
      </w:tr>
      <w:tr w:rsidR="00282E35" w:rsidRPr="00EF253C" w:rsidTr="00282E35">
        <w:trPr>
          <w:trHeight w:val="300"/>
          <w:jc w:val="center"/>
        </w:trPr>
        <w:tc>
          <w:tcPr>
            <w:tcW w:w="2340" w:type="dxa"/>
            <w:tcBorders>
              <w:top w:val="nil"/>
              <w:left w:val="single" w:sz="4" w:space="0" w:color="auto"/>
              <w:bottom w:val="single" w:sz="4" w:space="0" w:color="auto"/>
              <w:right w:val="single" w:sz="4" w:space="0" w:color="auto"/>
            </w:tcBorders>
            <w:shd w:val="clear" w:color="000000" w:fill="FFFFFF"/>
            <w:noWrap/>
            <w:vAlign w:val="bottom"/>
            <w:hideMark/>
          </w:tcPr>
          <w:p w:rsidR="00282E35" w:rsidRPr="00EF253C" w:rsidRDefault="00282E35" w:rsidP="00E50C61">
            <w:pPr>
              <w:spacing w:after="0" w:line="240" w:lineRule="auto"/>
              <w:rPr>
                <w:rFonts w:cs="Arial"/>
              </w:rPr>
            </w:pPr>
            <w:r w:rsidRPr="00EF253C">
              <w:rPr>
                <w:rFonts w:cs="Arial"/>
              </w:rPr>
              <w:t>Finchley Church End</w:t>
            </w:r>
          </w:p>
        </w:tc>
        <w:tc>
          <w:tcPr>
            <w:tcW w:w="2140" w:type="dxa"/>
            <w:tcBorders>
              <w:top w:val="nil"/>
              <w:left w:val="nil"/>
              <w:bottom w:val="single" w:sz="4" w:space="0" w:color="auto"/>
              <w:right w:val="single" w:sz="4" w:space="0" w:color="auto"/>
            </w:tcBorders>
            <w:shd w:val="clear" w:color="000000" w:fill="FFFFFF"/>
            <w:noWrap/>
            <w:vAlign w:val="bottom"/>
            <w:hideMark/>
          </w:tcPr>
          <w:p w:rsidR="00282E35" w:rsidRPr="00EF253C" w:rsidRDefault="00282E35" w:rsidP="00E50C61">
            <w:pPr>
              <w:spacing w:after="0" w:line="240" w:lineRule="auto"/>
              <w:jc w:val="center"/>
              <w:rPr>
                <w:rFonts w:cs="Arial"/>
              </w:rPr>
            </w:pPr>
            <w:r w:rsidRPr="00EF253C">
              <w:rPr>
                <w:rFonts w:cs="Arial"/>
              </w:rPr>
              <w:t>300</w:t>
            </w:r>
          </w:p>
        </w:tc>
        <w:tc>
          <w:tcPr>
            <w:tcW w:w="1920" w:type="dxa"/>
            <w:tcBorders>
              <w:top w:val="nil"/>
              <w:left w:val="nil"/>
              <w:bottom w:val="single" w:sz="4" w:space="0" w:color="auto"/>
              <w:right w:val="single" w:sz="4" w:space="0" w:color="auto"/>
            </w:tcBorders>
            <w:shd w:val="clear" w:color="000000" w:fill="FFFFFF"/>
            <w:noWrap/>
            <w:vAlign w:val="bottom"/>
            <w:hideMark/>
          </w:tcPr>
          <w:p w:rsidR="00282E35" w:rsidRPr="00EF253C" w:rsidRDefault="00282E35" w:rsidP="00E50C61">
            <w:pPr>
              <w:spacing w:after="0" w:line="240" w:lineRule="auto"/>
              <w:jc w:val="center"/>
              <w:rPr>
                <w:rFonts w:cs="Arial"/>
              </w:rPr>
            </w:pPr>
            <w:r w:rsidRPr="00EF253C">
              <w:rPr>
                <w:rFonts w:cs="Arial"/>
              </w:rPr>
              <w:t>9.6%</w:t>
            </w:r>
          </w:p>
        </w:tc>
        <w:tc>
          <w:tcPr>
            <w:tcW w:w="1920" w:type="dxa"/>
            <w:tcBorders>
              <w:top w:val="nil"/>
              <w:left w:val="nil"/>
              <w:bottom w:val="single" w:sz="4" w:space="0" w:color="auto"/>
              <w:right w:val="single" w:sz="4" w:space="0" w:color="auto"/>
            </w:tcBorders>
            <w:shd w:val="clear" w:color="000000" w:fill="FFFFFF"/>
            <w:vAlign w:val="bottom"/>
          </w:tcPr>
          <w:p w:rsidR="00282E35" w:rsidRPr="00EF253C" w:rsidRDefault="00282E35" w:rsidP="00E50C61">
            <w:pPr>
              <w:spacing w:after="0" w:line="240" w:lineRule="auto"/>
              <w:jc w:val="center"/>
              <w:rPr>
                <w:rFonts w:cs="Arial"/>
              </w:rPr>
            </w:pPr>
            <w:r w:rsidRPr="00EF253C">
              <w:rPr>
                <w:rFonts w:cs="Arial"/>
              </w:rPr>
              <w:t>12.2%</w:t>
            </w:r>
          </w:p>
        </w:tc>
      </w:tr>
      <w:tr w:rsidR="00282E35" w:rsidRPr="00EF253C" w:rsidTr="00282E35">
        <w:trPr>
          <w:trHeight w:val="300"/>
          <w:jc w:val="center"/>
        </w:trPr>
        <w:tc>
          <w:tcPr>
            <w:tcW w:w="2340" w:type="dxa"/>
            <w:tcBorders>
              <w:top w:val="nil"/>
              <w:left w:val="single" w:sz="4" w:space="0" w:color="auto"/>
              <w:bottom w:val="single" w:sz="4" w:space="0" w:color="auto"/>
              <w:right w:val="single" w:sz="4" w:space="0" w:color="auto"/>
            </w:tcBorders>
            <w:shd w:val="clear" w:color="000000" w:fill="FFFFFF"/>
            <w:noWrap/>
            <w:vAlign w:val="bottom"/>
            <w:hideMark/>
          </w:tcPr>
          <w:p w:rsidR="00282E35" w:rsidRPr="00EF253C" w:rsidRDefault="00282E35" w:rsidP="00E50C61">
            <w:pPr>
              <w:spacing w:after="0" w:line="240" w:lineRule="auto"/>
              <w:rPr>
                <w:rFonts w:cs="Arial"/>
              </w:rPr>
            </w:pPr>
            <w:r w:rsidRPr="00EF253C">
              <w:rPr>
                <w:rFonts w:cs="Arial"/>
              </w:rPr>
              <w:t>Garden Suburb</w:t>
            </w:r>
          </w:p>
        </w:tc>
        <w:tc>
          <w:tcPr>
            <w:tcW w:w="2140" w:type="dxa"/>
            <w:tcBorders>
              <w:top w:val="nil"/>
              <w:left w:val="nil"/>
              <w:bottom w:val="single" w:sz="4" w:space="0" w:color="auto"/>
              <w:right w:val="single" w:sz="4" w:space="0" w:color="auto"/>
            </w:tcBorders>
            <w:shd w:val="clear" w:color="000000" w:fill="FFFFFF"/>
            <w:noWrap/>
            <w:vAlign w:val="bottom"/>
            <w:hideMark/>
          </w:tcPr>
          <w:p w:rsidR="00282E35" w:rsidRPr="00EF253C" w:rsidRDefault="00282E35" w:rsidP="00E50C61">
            <w:pPr>
              <w:spacing w:after="0" w:line="240" w:lineRule="auto"/>
              <w:jc w:val="center"/>
              <w:rPr>
                <w:rFonts w:cs="Arial"/>
              </w:rPr>
            </w:pPr>
            <w:r w:rsidRPr="00EF253C">
              <w:rPr>
                <w:rFonts w:cs="Arial"/>
              </w:rPr>
              <w:t>255</w:t>
            </w:r>
          </w:p>
        </w:tc>
        <w:tc>
          <w:tcPr>
            <w:tcW w:w="1920" w:type="dxa"/>
            <w:tcBorders>
              <w:top w:val="nil"/>
              <w:left w:val="nil"/>
              <w:bottom w:val="single" w:sz="4" w:space="0" w:color="auto"/>
              <w:right w:val="single" w:sz="4" w:space="0" w:color="auto"/>
            </w:tcBorders>
            <w:shd w:val="clear" w:color="000000" w:fill="FFFFFF"/>
            <w:noWrap/>
            <w:vAlign w:val="bottom"/>
            <w:hideMark/>
          </w:tcPr>
          <w:p w:rsidR="00282E35" w:rsidRPr="00EF253C" w:rsidRDefault="00282E35" w:rsidP="00E50C61">
            <w:pPr>
              <w:spacing w:after="0" w:line="240" w:lineRule="auto"/>
              <w:jc w:val="center"/>
              <w:rPr>
                <w:rFonts w:cs="Arial"/>
              </w:rPr>
            </w:pPr>
            <w:r w:rsidRPr="00EF253C">
              <w:rPr>
                <w:rFonts w:cs="Arial"/>
              </w:rPr>
              <w:t>7.9%</w:t>
            </w:r>
          </w:p>
        </w:tc>
        <w:tc>
          <w:tcPr>
            <w:tcW w:w="1920" w:type="dxa"/>
            <w:tcBorders>
              <w:top w:val="nil"/>
              <w:left w:val="nil"/>
              <w:bottom w:val="single" w:sz="4" w:space="0" w:color="auto"/>
              <w:right w:val="single" w:sz="4" w:space="0" w:color="auto"/>
            </w:tcBorders>
            <w:shd w:val="clear" w:color="000000" w:fill="FFFFFF"/>
            <w:vAlign w:val="bottom"/>
          </w:tcPr>
          <w:p w:rsidR="00282E35" w:rsidRPr="00EF253C" w:rsidRDefault="00282E35" w:rsidP="00E50C61">
            <w:pPr>
              <w:spacing w:after="0" w:line="240" w:lineRule="auto"/>
              <w:jc w:val="center"/>
              <w:rPr>
                <w:rFonts w:cs="Arial"/>
              </w:rPr>
            </w:pPr>
            <w:r w:rsidRPr="00EF253C">
              <w:rPr>
                <w:rFonts w:cs="Arial"/>
              </w:rPr>
              <w:t>7.7%</w:t>
            </w:r>
          </w:p>
        </w:tc>
      </w:tr>
      <w:tr w:rsidR="00282E35" w:rsidRPr="00EF253C" w:rsidTr="00282E35">
        <w:trPr>
          <w:trHeight w:val="85"/>
          <w:jc w:val="center"/>
        </w:trPr>
        <w:tc>
          <w:tcPr>
            <w:tcW w:w="2340" w:type="dxa"/>
            <w:tcBorders>
              <w:top w:val="nil"/>
              <w:left w:val="single" w:sz="4" w:space="0" w:color="auto"/>
              <w:bottom w:val="single" w:sz="4" w:space="0" w:color="auto"/>
              <w:right w:val="single" w:sz="4" w:space="0" w:color="auto"/>
            </w:tcBorders>
            <w:shd w:val="clear" w:color="000000" w:fill="FFFFFF"/>
            <w:noWrap/>
            <w:vAlign w:val="bottom"/>
            <w:hideMark/>
          </w:tcPr>
          <w:p w:rsidR="00282E35" w:rsidRPr="00EF253C" w:rsidRDefault="00282E35" w:rsidP="00E50C61">
            <w:pPr>
              <w:spacing w:after="0" w:line="240" w:lineRule="auto"/>
              <w:rPr>
                <w:rFonts w:cs="Arial"/>
              </w:rPr>
            </w:pPr>
            <w:r w:rsidRPr="00EF253C">
              <w:rPr>
                <w:rFonts w:cs="Arial"/>
              </w:rPr>
              <w:t>Golders Green</w:t>
            </w:r>
          </w:p>
        </w:tc>
        <w:tc>
          <w:tcPr>
            <w:tcW w:w="2140" w:type="dxa"/>
            <w:tcBorders>
              <w:top w:val="nil"/>
              <w:left w:val="nil"/>
              <w:bottom w:val="single" w:sz="4" w:space="0" w:color="auto"/>
              <w:right w:val="single" w:sz="4" w:space="0" w:color="auto"/>
            </w:tcBorders>
            <w:shd w:val="clear" w:color="000000" w:fill="FFFFFF"/>
            <w:noWrap/>
            <w:vAlign w:val="bottom"/>
            <w:hideMark/>
          </w:tcPr>
          <w:p w:rsidR="00282E35" w:rsidRPr="00EF253C" w:rsidRDefault="00282E35" w:rsidP="00E50C61">
            <w:pPr>
              <w:spacing w:after="0" w:line="240" w:lineRule="auto"/>
              <w:jc w:val="center"/>
              <w:rPr>
                <w:rFonts w:cs="Arial"/>
              </w:rPr>
            </w:pPr>
            <w:r w:rsidRPr="00EF253C">
              <w:rPr>
                <w:rFonts w:cs="Arial"/>
              </w:rPr>
              <w:t>825</w:t>
            </w:r>
          </w:p>
        </w:tc>
        <w:tc>
          <w:tcPr>
            <w:tcW w:w="1920" w:type="dxa"/>
            <w:tcBorders>
              <w:top w:val="nil"/>
              <w:left w:val="nil"/>
              <w:bottom w:val="single" w:sz="4" w:space="0" w:color="auto"/>
              <w:right w:val="single" w:sz="4" w:space="0" w:color="auto"/>
            </w:tcBorders>
            <w:shd w:val="clear" w:color="000000" w:fill="FFFFFF"/>
            <w:noWrap/>
            <w:vAlign w:val="bottom"/>
            <w:hideMark/>
          </w:tcPr>
          <w:p w:rsidR="00282E35" w:rsidRPr="00EF253C" w:rsidRDefault="00282E35" w:rsidP="00E50C61">
            <w:pPr>
              <w:spacing w:after="0" w:line="240" w:lineRule="auto"/>
              <w:jc w:val="center"/>
              <w:rPr>
                <w:rFonts w:cs="Arial"/>
              </w:rPr>
            </w:pPr>
            <w:r w:rsidRPr="00EF253C">
              <w:rPr>
                <w:rFonts w:cs="Arial"/>
              </w:rPr>
              <w:t>14.0%</w:t>
            </w:r>
          </w:p>
        </w:tc>
        <w:tc>
          <w:tcPr>
            <w:tcW w:w="1920" w:type="dxa"/>
            <w:tcBorders>
              <w:top w:val="nil"/>
              <w:left w:val="nil"/>
              <w:bottom w:val="single" w:sz="4" w:space="0" w:color="auto"/>
              <w:right w:val="single" w:sz="4" w:space="0" w:color="auto"/>
            </w:tcBorders>
            <w:shd w:val="clear" w:color="000000" w:fill="FFFFFF"/>
            <w:vAlign w:val="bottom"/>
          </w:tcPr>
          <w:p w:rsidR="00282E35" w:rsidRPr="00EF253C" w:rsidRDefault="00282E35" w:rsidP="00E50C61">
            <w:pPr>
              <w:spacing w:after="0" w:line="240" w:lineRule="auto"/>
              <w:jc w:val="center"/>
              <w:rPr>
                <w:rFonts w:cs="Arial"/>
              </w:rPr>
            </w:pPr>
            <w:r w:rsidRPr="00EF253C">
              <w:rPr>
                <w:rFonts w:cs="Arial"/>
              </w:rPr>
              <w:t>17.5%</w:t>
            </w:r>
          </w:p>
        </w:tc>
      </w:tr>
      <w:tr w:rsidR="00282E35" w:rsidRPr="00EF253C" w:rsidTr="00282E35">
        <w:trPr>
          <w:trHeight w:val="300"/>
          <w:jc w:val="center"/>
        </w:trPr>
        <w:tc>
          <w:tcPr>
            <w:tcW w:w="2340" w:type="dxa"/>
            <w:tcBorders>
              <w:top w:val="nil"/>
              <w:left w:val="single" w:sz="4" w:space="0" w:color="auto"/>
              <w:bottom w:val="single" w:sz="4" w:space="0" w:color="auto"/>
              <w:right w:val="single" w:sz="4" w:space="0" w:color="auto"/>
            </w:tcBorders>
            <w:shd w:val="clear" w:color="000000" w:fill="FFFFFF"/>
            <w:noWrap/>
            <w:vAlign w:val="bottom"/>
            <w:hideMark/>
          </w:tcPr>
          <w:p w:rsidR="00282E35" w:rsidRPr="00EF253C" w:rsidRDefault="00282E35" w:rsidP="00E50C61">
            <w:pPr>
              <w:spacing w:after="0" w:line="240" w:lineRule="auto"/>
              <w:rPr>
                <w:rFonts w:cs="Arial"/>
              </w:rPr>
            </w:pPr>
            <w:r w:rsidRPr="00EF253C">
              <w:rPr>
                <w:rFonts w:cs="Arial"/>
              </w:rPr>
              <w:t>Hale</w:t>
            </w:r>
          </w:p>
        </w:tc>
        <w:tc>
          <w:tcPr>
            <w:tcW w:w="2140" w:type="dxa"/>
            <w:tcBorders>
              <w:top w:val="nil"/>
              <w:left w:val="nil"/>
              <w:bottom w:val="single" w:sz="4" w:space="0" w:color="auto"/>
              <w:right w:val="single" w:sz="4" w:space="0" w:color="auto"/>
            </w:tcBorders>
            <w:shd w:val="clear" w:color="000000" w:fill="FFFFFF"/>
            <w:noWrap/>
            <w:vAlign w:val="bottom"/>
            <w:hideMark/>
          </w:tcPr>
          <w:p w:rsidR="00282E35" w:rsidRPr="00EF253C" w:rsidRDefault="00282E35" w:rsidP="00E50C61">
            <w:pPr>
              <w:spacing w:after="0" w:line="240" w:lineRule="auto"/>
              <w:jc w:val="center"/>
              <w:rPr>
                <w:rFonts w:cs="Arial"/>
              </w:rPr>
            </w:pPr>
            <w:r w:rsidRPr="00EF253C">
              <w:rPr>
                <w:rFonts w:cs="Arial"/>
              </w:rPr>
              <w:t>800</w:t>
            </w:r>
          </w:p>
        </w:tc>
        <w:tc>
          <w:tcPr>
            <w:tcW w:w="1920" w:type="dxa"/>
            <w:tcBorders>
              <w:top w:val="nil"/>
              <w:left w:val="nil"/>
              <w:bottom w:val="single" w:sz="4" w:space="0" w:color="auto"/>
              <w:right w:val="single" w:sz="4" w:space="0" w:color="auto"/>
            </w:tcBorders>
            <w:shd w:val="clear" w:color="000000" w:fill="FFFFFF"/>
            <w:noWrap/>
            <w:vAlign w:val="bottom"/>
            <w:hideMark/>
          </w:tcPr>
          <w:p w:rsidR="00282E35" w:rsidRPr="00EF253C" w:rsidRDefault="00282E35" w:rsidP="00E50C61">
            <w:pPr>
              <w:spacing w:after="0" w:line="240" w:lineRule="auto"/>
              <w:jc w:val="center"/>
              <w:rPr>
                <w:rFonts w:cs="Arial"/>
              </w:rPr>
            </w:pPr>
            <w:r w:rsidRPr="00EF253C">
              <w:rPr>
                <w:rFonts w:cs="Arial"/>
              </w:rPr>
              <w:t>17.0%</w:t>
            </w:r>
          </w:p>
        </w:tc>
        <w:tc>
          <w:tcPr>
            <w:tcW w:w="1920" w:type="dxa"/>
            <w:tcBorders>
              <w:top w:val="nil"/>
              <w:left w:val="nil"/>
              <w:bottom w:val="single" w:sz="4" w:space="0" w:color="auto"/>
              <w:right w:val="single" w:sz="4" w:space="0" w:color="auto"/>
            </w:tcBorders>
            <w:shd w:val="clear" w:color="000000" w:fill="FFFFFF"/>
            <w:vAlign w:val="bottom"/>
          </w:tcPr>
          <w:p w:rsidR="00282E35" w:rsidRPr="00EF253C" w:rsidRDefault="00282E35" w:rsidP="00E50C61">
            <w:pPr>
              <w:spacing w:after="0" w:line="240" w:lineRule="auto"/>
              <w:jc w:val="center"/>
              <w:rPr>
                <w:rFonts w:cs="Arial"/>
              </w:rPr>
            </w:pPr>
            <w:r w:rsidRPr="00EF253C">
              <w:rPr>
                <w:rFonts w:cs="Arial"/>
              </w:rPr>
              <w:t>21.2%</w:t>
            </w:r>
          </w:p>
        </w:tc>
      </w:tr>
      <w:tr w:rsidR="00282E35" w:rsidRPr="00EF253C" w:rsidTr="00282E35">
        <w:trPr>
          <w:trHeight w:val="300"/>
          <w:jc w:val="center"/>
        </w:trPr>
        <w:tc>
          <w:tcPr>
            <w:tcW w:w="2340" w:type="dxa"/>
            <w:tcBorders>
              <w:top w:val="nil"/>
              <w:left w:val="single" w:sz="4" w:space="0" w:color="auto"/>
              <w:bottom w:val="single" w:sz="4" w:space="0" w:color="auto"/>
              <w:right w:val="single" w:sz="4" w:space="0" w:color="auto"/>
            </w:tcBorders>
            <w:shd w:val="clear" w:color="000000" w:fill="FFFFFF"/>
            <w:noWrap/>
            <w:vAlign w:val="bottom"/>
            <w:hideMark/>
          </w:tcPr>
          <w:p w:rsidR="00282E35" w:rsidRPr="00EF253C" w:rsidRDefault="00282E35" w:rsidP="00E50C61">
            <w:pPr>
              <w:spacing w:after="0" w:line="240" w:lineRule="auto"/>
              <w:rPr>
                <w:rFonts w:cs="Arial"/>
              </w:rPr>
            </w:pPr>
            <w:r w:rsidRPr="00EF253C">
              <w:rPr>
                <w:rFonts w:cs="Arial"/>
              </w:rPr>
              <w:t>Hendon</w:t>
            </w:r>
          </w:p>
        </w:tc>
        <w:tc>
          <w:tcPr>
            <w:tcW w:w="2140" w:type="dxa"/>
            <w:tcBorders>
              <w:top w:val="nil"/>
              <w:left w:val="nil"/>
              <w:bottom w:val="single" w:sz="4" w:space="0" w:color="auto"/>
              <w:right w:val="single" w:sz="4" w:space="0" w:color="auto"/>
            </w:tcBorders>
            <w:shd w:val="clear" w:color="000000" w:fill="FFFFFF"/>
            <w:noWrap/>
            <w:vAlign w:val="bottom"/>
            <w:hideMark/>
          </w:tcPr>
          <w:p w:rsidR="00282E35" w:rsidRPr="00EF253C" w:rsidRDefault="00282E35" w:rsidP="00E50C61">
            <w:pPr>
              <w:spacing w:after="0" w:line="240" w:lineRule="auto"/>
              <w:jc w:val="center"/>
              <w:rPr>
                <w:rFonts w:cs="Arial"/>
              </w:rPr>
            </w:pPr>
            <w:r w:rsidRPr="00EF253C">
              <w:rPr>
                <w:rFonts w:cs="Arial"/>
              </w:rPr>
              <w:t>515</w:t>
            </w:r>
          </w:p>
        </w:tc>
        <w:tc>
          <w:tcPr>
            <w:tcW w:w="1920" w:type="dxa"/>
            <w:tcBorders>
              <w:top w:val="nil"/>
              <w:left w:val="nil"/>
              <w:bottom w:val="single" w:sz="4" w:space="0" w:color="auto"/>
              <w:right w:val="single" w:sz="4" w:space="0" w:color="auto"/>
            </w:tcBorders>
            <w:shd w:val="clear" w:color="000000" w:fill="FFFFFF"/>
            <w:noWrap/>
            <w:vAlign w:val="bottom"/>
            <w:hideMark/>
          </w:tcPr>
          <w:p w:rsidR="00282E35" w:rsidRPr="00EF253C" w:rsidRDefault="00282E35" w:rsidP="00E50C61">
            <w:pPr>
              <w:spacing w:after="0" w:line="240" w:lineRule="auto"/>
              <w:jc w:val="center"/>
              <w:rPr>
                <w:rFonts w:cs="Arial"/>
              </w:rPr>
            </w:pPr>
            <w:r w:rsidRPr="00EF253C">
              <w:rPr>
                <w:rFonts w:cs="Arial"/>
              </w:rPr>
              <w:t>11.9%</w:t>
            </w:r>
          </w:p>
        </w:tc>
        <w:tc>
          <w:tcPr>
            <w:tcW w:w="1920" w:type="dxa"/>
            <w:tcBorders>
              <w:top w:val="nil"/>
              <w:left w:val="nil"/>
              <w:bottom w:val="single" w:sz="4" w:space="0" w:color="auto"/>
              <w:right w:val="single" w:sz="4" w:space="0" w:color="auto"/>
            </w:tcBorders>
            <w:shd w:val="clear" w:color="000000" w:fill="FFFFFF"/>
            <w:vAlign w:val="bottom"/>
          </w:tcPr>
          <w:p w:rsidR="00282E35" w:rsidRPr="00EF253C" w:rsidRDefault="00282E35" w:rsidP="00E50C61">
            <w:pPr>
              <w:spacing w:after="0" w:line="240" w:lineRule="auto"/>
              <w:jc w:val="center"/>
              <w:rPr>
                <w:rFonts w:cs="Arial"/>
              </w:rPr>
            </w:pPr>
            <w:r w:rsidRPr="00EF253C">
              <w:rPr>
                <w:rFonts w:cs="Arial"/>
              </w:rPr>
              <w:t>16.5%</w:t>
            </w:r>
          </w:p>
        </w:tc>
      </w:tr>
      <w:tr w:rsidR="00282E35" w:rsidRPr="00EF253C" w:rsidTr="00282E35">
        <w:trPr>
          <w:trHeight w:val="300"/>
          <w:jc w:val="center"/>
        </w:trPr>
        <w:tc>
          <w:tcPr>
            <w:tcW w:w="2340" w:type="dxa"/>
            <w:tcBorders>
              <w:top w:val="nil"/>
              <w:left w:val="single" w:sz="4" w:space="0" w:color="auto"/>
              <w:bottom w:val="single" w:sz="4" w:space="0" w:color="auto"/>
              <w:right w:val="single" w:sz="4" w:space="0" w:color="auto"/>
            </w:tcBorders>
            <w:shd w:val="clear" w:color="000000" w:fill="FFFFFF"/>
            <w:noWrap/>
            <w:vAlign w:val="bottom"/>
            <w:hideMark/>
          </w:tcPr>
          <w:p w:rsidR="00282E35" w:rsidRPr="00EF253C" w:rsidRDefault="00282E35" w:rsidP="00E50C61">
            <w:pPr>
              <w:spacing w:after="0" w:line="240" w:lineRule="auto"/>
              <w:rPr>
                <w:rFonts w:cs="Arial"/>
              </w:rPr>
            </w:pPr>
            <w:r w:rsidRPr="00EF253C">
              <w:rPr>
                <w:rFonts w:cs="Arial"/>
              </w:rPr>
              <w:t>High Barnet</w:t>
            </w:r>
          </w:p>
        </w:tc>
        <w:tc>
          <w:tcPr>
            <w:tcW w:w="2140" w:type="dxa"/>
            <w:tcBorders>
              <w:top w:val="nil"/>
              <w:left w:val="nil"/>
              <w:bottom w:val="single" w:sz="4" w:space="0" w:color="auto"/>
              <w:right w:val="single" w:sz="4" w:space="0" w:color="auto"/>
            </w:tcBorders>
            <w:shd w:val="clear" w:color="000000" w:fill="FFFFFF"/>
            <w:noWrap/>
            <w:vAlign w:val="bottom"/>
            <w:hideMark/>
          </w:tcPr>
          <w:p w:rsidR="00282E35" w:rsidRPr="00EF253C" w:rsidRDefault="00282E35" w:rsidP="00E50C61">
            <w:pPr>
              <w:spacing w:after="0" w:line="240" w:lineRule="auto"/>
              <w:jc w:val="center"/>
              <w:rPr>
                <w:rFonts w:cs="Arial"/>
              </w:rPr>
            </w:pPr>
            <w:r w:rsidRPr="00EF253C">
              <w:rPr>
                <w:rFonts w:cs="Arial"/>
              </w:rPr>
              <w:t>310</w:t>
            </w:r>
          </w:p>
        </w:tc>
        <w:tc>
          <w:tcPr>
            <w:tcW w:w="1920" w:type="dxa"/>
            <w:tcBorders>
              <w:top w:val="nil"/>
              <w:left w:val="nil"/>
              <w:bottom w:val="single" w:sz="4" w:space="0" w:color="auto"/>
              <w:right w:val="single" w:sz="4" w:space="0" w:color="auto"/>
            </w:tcBorders>
            <w:shd w:val="clear" w:color="000000" w:fill="FFFFFF"/>
            <w:noWrap/>
            <w:vAlign w:val="bottom"/>
            <w:hideMark/>
          </w:tcPr>
          <w:p w:rsidR="00282E35" w:rsidRPr="00EF253C" w:rsidRDefault="00282E35" w:rsidP="00E50C61">
            <w:pPr>
              <w:spacing w:after="0" w:line="240" w:lineRule="auto"/>
              <w:jc w:val="center"/>
              <w:rPr>
                <w:rFonts w:cs="Arial"/>
              </w:rPr>
            </w:pPr>
            <w:r w:rsidRPr="00EF253C">
              <w:rPr>
                <w:rFonts w:cs="Arial"/>
              </w:rPr>
              <w:t>9.5%</w:t>
            </w:r>
          </w:p>
        </w:tc>
        <w:tc>
          <w:tcPr>
            <w:tcW w:w="1920" w:type="dxa"/>
            <w:tcBorders>
              <w:top w:val="nil"/>
              <w:left w:val="nil"/>
              <w:bottom w:val="single" w:sz="4" w:space="0" w:color="auto"/>
              <w:right w:val="single" w:sz="4" w:space="0" w:color="auto"/>
            </w:tcBorders>
            <w:shd w:val="clear" w:color="000000" w:fill="FFFFFF"/>
            <w:vAlign w:val="bottom"/>
          </w:tcPr>
          <w:p w:rsidR="00282E35" w:rsidRPr="00EF253C" w:rsidRDefault="00282E35" w:rsidP="00E50C61">
            <w:pPr>
              <w:spacing w:after="0" w:line="240" w:lineRule="auto"/>
              <w:jc w:val="center"/>
              <w:rPr>
                <w:rFonts w:cs="Arial"/>
              </w:rPr>
            </w:pPr>
            <w:r w:rsidRPr="00EF253C">
              <w:rPr>
                <w:rFonts w:cs="Arial"/>
              </w:rPr>
              <w:t>10.7%</w:t>
            </w:r>
          </w:p>
        </w:tc>
      </w:tr>
      <w:tr w:rsidR="00282E35" w:rsidRPr="00EF253C" w:rsidTr="00282E35">
        <w:trPr>
          <w:trHeight w:val="300"/>
          <w:jc w:val="center"/>
        </w:trPr>
        <w:tc>
          <w:tcPr>
            <w:tcW w:w="2340" w:type="dxa"/>
            <w:tcBorders>
              <w:top w:val="nil"/>
              <w:left w:val="single" w:sz="4" w:space="0" w:color="auto"/>
              <w:bottom w:val="single" w:sz="4" w:space="0" w:color="auto"/>
              <w:right w:val="single" w:sz="4" w:space="0" w:color="auto"/>
            </w:tcBorders>
            <w:shd w:val="clear" w:color="000000" w:fill="FFFFFF"/>
            <w:noWrap/>
            <w:vAlign w:val="bottom"/>
            <w:hideMark/>
          </w:tcPr>
          <w:p w:rsidR="00282E35" w:rsidRPr="00EF253C" w:rsidRDefault="00282E35" w:rsidP="00E50C61">
            <w:pPr>
              <w:spacing w:after="0" w:line="240" w:lineRule="auto"/>
              <w:rPr>
                <w:rFonts w:cs="Arial"/>
              </w:rPr>
            </w:pPr>
            <w:r w:rsidRPr="00EF253C">
              <w:rPr>
                <w:rFonts w:cs="Arial"/>
              </w:rPr>
              <w:t>Mill Hill</w:t>
            </w:r>
          </w:p>
        </w:tc>
        <w:tc>
          <w:tcPr>
            <w:tcW w:w="2140" w:type="dxa"/>
            <w:tcBorders>
              <w:top w:val="nil"/>
              <w:left w:val="nil"/>
              <w:bottom w:val="single" w:sz="4" w:space="0" w:color="auto"/>
              <w:right w:val="single" w:sz="4" w:space="0" w:color="auto"/>
            </w:tcBorders>
            <w:shd w:val="clear" w:color="000000" w:fill="FFFFFF"/>
            <w:noWrap/>
            <w:vAlign w:val="bottom"/>
            <w:hideMark/>
          </w:tcPr>
          <w:p w:rsidR="00282E35" w:rsidRPr="00EF253C" w:rsidRDefault="00282E35" w:rsidP="00E50C61">
            <w:pPr>
              <w:spacing w:after="0" w:line="240" w:lineRule="auto"/>
              <w:jc w:val="center"/>
              <w:rPr>
                <w:rFonts w:cs="Arial"/>
              </w:rPr>
            </w:pPr>
            <w:r w:rsidRPr="00EF253C">
              <w:rPr>
                <w:rFonts w:cs="Arial"/>
              </w:rPr>
              <w:t>720</w:t>
            </w:r>
          </w:p>
        </w:tc>
        <w:tc>
          <w:tcPr>
            <w:tcW w:w="1920" w:type="dxa"/>
            <w:tcBorders>
              <w:top w:val="nil"/>
              <w:left w:val="nil"/>
              <w:bottom w:val="single" w:sz="4" w:space="0" w:color="auto"/>
              <w:right w:val="single" w:sz="4" w:space="0" w:color="auto"/>
            </w:tcBorders>
            <w:shd w:val="clear" w:color="000000" w:fill="FFFFFF"/>
            <w:noWrap/>
            <w:vAlign w:val="bottom"/>
            <w:hideMark/>
          </w:tcPr>
          <w:p w:rsidR="00282E35" w:rsidRPr="00EF253C" w:rsidRDefault="00282E35" w:rsidP="00E50C61">
            <w:pPr>
              <w:spacing w:after="0" w:line="240" w:lineRule="auto"/>
              <w:jc w:val="center"/>
              <w:rPr>
                <w:rFonts w:cs="Arial"/>
              </w:rPr>
            </w:pPr>
            <w:r w:rsidRPr="00EF253C">
              <w:rPr>
                <w:rFonts w:cs="Arial"/>
              </w:rPr>
              <w:t>15.5%</w:t>
            </w:r>
          </w:p>
        </w:tc>
        <w:tc>
          <w:tcPr>
            <w:tcW w:w="1920" w:type="dxa"/>
            <w:tcBorders>
              <w:top w:val="nil"/>
              <w:left w:val="nil"/>
              <w:bottom w:val="single" w:sz="4" w:space="0" w:color="auto"/>
              <w:right w:val="single" w:sz="4" w:space="0" w:color="auto"/>
            </w:tcBorders>
            <w:shd w:val="clear" w:color="000000" w:fill="FFFFFF"/>
            <w:vAlign w:val="bottom"/>
          </w:tcPr>
          <w:p w:rsidR="00282E35" w:rsidRPr="00EF253C" w:rsidRDefault="00282E35" w:rsidP="00E50C61">
            <w:pPr>
              <w:spacing w:after="0" w:line="240" w:lineRule="auto"/>
              <w:jc w:val="center"/>
              <w:rPr>
                <w:rFonts w:cs="Arial"/>
              </w:rPr>
            </w:pPr>
            <w:r w:rsidRPr="00EF253C">
              <w:rPr>
                <w:rFonts w:cs="Arial"/>
              </w:rPr>
              <w:t>21.9%</w:t>
            </w:r>
          </w:p>
        </w:tc>
      </w:tr>
      <w:tr w:rsidR="00282E35" w:rsidRPr="00EF253C" w:rsidTr="00282E35">
        <w:trPr>
          <w:trHeight w:val="300"/>
          <w:jc w:val="center"/>
        </w:trPr>
        <w:tc>
          <w:tcPr>
            <w:tcW w:w="2340" w:type="dxa"/>
            <w:tcBorders>
              <w:top w:val="nil"/>
              <w:left w:val="single" w:sz="4" w:space="0" w:color="auto"/>
              <w:bottom w:val="single" w:sz="4" w:space="0" w:color="auto"/>
              <w:right w:val="single" w:sz="4" w:space="0" w:color="auto"/>
            </w:tcBorders>
            <w:shd w:val="clear" w:color="000000" w:fill="FFFFFF"/>
            <w:noWrap/>
            <w:vAlign w:val="bottom"/>
            <w:hideMark/>
          </w:tcPr>
          <w:p w:rsidR="00282E35" w:rsidRPr="00EF253C" w:rsidRDefault="00282E35" w:rsidP="00E50C61">
            <w:pPr>
              <w:spacing w:after="0" w:line="240" w:lineRule="auto"/>
              <w:rPr>
                <w:rFonts w:cs="Arial"/>
              </w:rPr>
            </w:pPr>
            <w:r w:rsidRPr="00EF253C">
              <w:rPr>
                <w:rFonts w:cs="Arial"/>
              </w:rPr>
              <w:t>Oakleigh</w:t>
            </w:r>
          </w:p>
        </w:tc>
        <w:tc>
          <w:tcPr>
            <w:tcW w:w="2140" w:type="dxa"/>
            <w:tcBorders>
              <w:top w:val="nil"/>
              <w:left w:val="nil"/>
              <w:bottom w:val="single" w:sz="4" w:space="0" w:color="auto"/>
              <w:right w:val="single" w:sz="4" w:space="0" w:color="auto"/>
            </w:tcBorders>
            <w:shd w:val="clear" w:color="000000" w:fill="FFFFFF"/>
            <w:noWrap/>
            <w:vAlign w:val="bottom"/>
            <w:hideMark/>
          </w:tcPr>
          <w:p w:rsidR="00282E35" w:rsidRPr="00EF253C" w:rsidRDefault="00282E35" w:rsidP="00E50C61">
            <w:pPr>
              <w:spacing w:after="0" w:line="240" w:lineRule="auto"/>
              <w:jc w:val="center"/>
              <w:rPr>
                <w:rFonts w:cs="Arial"/>
              </w:rPr>
            </w:pPr>
            <w:r w:rsidRPr="00EF253C">
              <w:rPr>
                <w:rFonts w:cs="Arial"/>
              </w:rPr>
              <w:t>555</w:t>
            </w:r>
          </w:p>
        </w:tc>
        <w:tc>
          <w:tcPr>
            <w:tcW w:w="1920" w:type="dxa"/>
            <w:tcBorders>
              <w:top w:val="nil"/>
              <w:left w:val="nil"/>
              <w:bottom w:val="single" w:sz="4" w:space="0" w:color="auto"/>
              <w:right w:val="single" w:sz="4" w:space="0" w:color="auto"/>
            </w:tcBorders>
            <w:shd w:val="clear" w:color="000000" w:fill="FFFFFF"/>
            <w:noWrap/>
            <w:vAlign w:val="bottom"/>
            <w:hideMark/>
          </w:tcPr>
          <w:p w:rsidR="00282E35" w:rsidRPr="00EF253C" w:rsidRDefault="00282E35" w:rsidP="00E50C61">
            <w:pPr>
              <w:spacing w:after="0" w:line="240" w:lineRule="auto"/>
              <w:jc w:val="center"/>
              <w:rPr>
                <w:rFonts w:cs="Arial"/>
              </w:rPr>
            </w:pPr>
            <w:r w:rsidRPr="00EF253C">
              <w:rPr>
                <w:rFonts w:cs="Arial"/>
              </w:rPr>
              <w:t>15.5%</w:t>
            </w:r>
          </w:p>
        </w:tc>
        <w:tc>
          <w:tcPr>
            <w:tcW w:w="1920" w:type="dxa"/>
            <w:tcBorders>
              <w:top w:val="nil"/>
              <w:left w:val="nil"/>
              <w:bottom w:val="single" w:sz="4" w:space="0" w:color="auto"/>
              <w:right w:val="single" w:sz="4" w:space="0" w:color="auto"/>
            </w:tcBorders>
            <w:shd w:val="clear" w:color="000000" w:fill="FFFFFF"/>
            <w:vAlign w:val="bottom"/>
          </w:tcPr>
          <w:p w:rsidR="00282E35" w:rsidRPr="00EF253C" w:rsidRDefault="00282E35" w:rsidP="00E50C61">
            <w:pPr>
              <w:spacing w:after="0" w:line="240" w:lineRule="auto"/>
              <w:jc w:val="center"/>
              <w:rPr>
                <w:rFonts w:cs="Arial"/>
              </w:rPr>
            </w:pPr>
            <w:r w:rsidRPr="00EF253C">
              <w:rPr>
                <w:rFonts w:cs="Arial"/>
              </w:rPr>
              <w:t>18.0%</w:t>
            </w:r>
          </w:p>
        </w:tc>
      </w:tr>
      <w:tr w:rsidR="00282E35" w:rsidRPr="00EF253C" w:rsidTr="00282E35">
        <w:trPr>
          <w:trHeight w:val="300"/>
          <w:jc w:val="center"/>
        </w:trPr>
        <w:tc>
          <w:tcPr>
            <w:tcW w:w="2340" w:type="dxa"/>
            <w:tcBorders>
              <w:top w:val="nil"/>
              <w:left w:val="single" w:sz="4" w:space="0" w:color="auto"/>
              <w:bottom w:val="single" w:sz="4" w:space="0" w:color="auto"/>
              <w:right w:val="single" w:sz="4" w:space="0" w:color="auto"/>
            </w:tcBorders>
            <w:shd w:val="clear" w:color="000000" w:fill="FFFFFF"/>
            <w:noWrap/>
            <w:vAlign w:val="bottom"/>
            <w:hideMark/>
          </w:tcPr>
          <w:p w:rsidR="00282E35" w:rsidRPr="00EF253C" w:rsidRDefault="00282E35" w:rsidP="00E50C61">
            <w:pPr>
              <w:spacing w:after="0" w:line="240" w:lineRule="auto"/>
              <w:rPr>
                <w:rFonts w:cs="Arial"/>
              </w:rPr>
            </w:pPr>
            <w:r w:rsidRPr="00EF253C">
              <w:rPr>
                <w:rFonts w:cs="Arial"/>
              </w:rPr>
              <w:t>Totteridge</w:t>
            </w:r>
          </w:p>
        </w:tc>
        <w:tc>
          <w:tcPr>
            <w:tcW w:w="2140" w:type="dxa"/>
            <w:tcBorders>
              <w:top w:val="nil"/>
              <w:left w:val="nil"/>
              <w:bottom w:val="single" w:sz="4" w:space="0" w:color="auto"/>
              <w:right w:val="single" w:sz="4" w:space="0" w:color="auto"/>
            </w:tcBorders>
            <w:shd w:val="clear" w:color="000000" w:fill="FFFFFF"/>
            <w:noWrap/>
            <w:vAlign w:val="bottom"/>
            <w:hideMark/>
          </w:tcPr>
          <w:p w:rsidR="00282E35" w:rsidRPr="00EF253C" w:rsidRDefault="00282E35" w:rsidP="00E50C61">
            <w:pPr>
              <w:spacing w:after="0" w:line="240" w:lineRule="auto"/>
              <w:jc w:val="center"/>
              <w:rPr>
                <w:rFonts w:cs="Arial"/>
              </w:rPr>
            </w:pPr>
            <w:r w:rsidRPr="00EF253C">
              <w:rPr>
                <w:rFonts w:cs="Arial"/>
              </w:rPr>
              <w:t>355</w:t>
            </w:r>
          </w:p>
        </w:tc>
        <w:tc>
          <w:tcPr>
            <w:tcW w:w="1920" w:type="dxa"/>
            <w:tcBorders>
              <w:top w:val="nil"/>
              <w:left w:val="nil"/>
              <w:bottom w:val="single" w:sz="4" w:space="0" w:color="auto"/>
              <w:right w:val="single" w:sz="4" w:space="0" w:color="auto"/>
            </w:tcBorders>
            <w:shd w:val="clear" w:color="000000" w:fill="FFFFFF"/>
            <w:noWrap/>
            <w:vAlign w:val="bottom"/>
            <w:hideMark/>
          </w:tcPr>
          <w:p w:rsidR="00282E35" w:rsidRPr="00EF253C" w:rsidRDefault="00282E35" w:rsidP="00E50C61">
            <w:pPr>
              <w:spacing w:after="0" w:line="240" w:lineRule="auto"/>
              <w:jc w:val="center"/>
              <w:rPr>
                <w:rFonts w:cs="Arial"/>
              </w:rPr>
            </w:pPr>
            <w:r w:rsidRPr="00EF253C">
              <w:rPr>
                <w:rFonts w:cs="Arial"/>
              </w:rPr>
              <w:t>11.3%</w:t>
            </w:r>
          </w:p>
        </w:tc>
        <w:tc>
          <w:tcPr>
            <w:tcW w:w="1920" w:type="dxa"/>
            <w:tcBorders>
              <w:top w:val="nil"/>
              <w:left w:val="nil"/>
              <w:bottom w:val="single" w:sz="4" w:space="0" w:color="auto"/>
              <w:right w:val="single" w:sz="4" w:space="0" w:color="auto"/>
            </w:tcBorders>
            <w:shd w:val="clear" w:color="000000" w:fill="FFFFFF"/>
            <w:vAlign w:val="bottom"/>
          </w:tcPr>
          <w:p w:rsidR="00282E35" w:rsidRPr="00EF253C" w:rsidRDefault="00282E35" w:rsidP="00E50C61">
            <w:pPr>
              <w:spacing w:after="0" w:line="240" w:lineRule="auto"/>
              <w:jc w:val="center"/>
              <w:rPr>
                <w:rFonts w:cs="Arial"/>
              </w:rPr>
            </w:pPr>
            <w:r w:rsidRPr="00EF253C">
              <w:rPr>
                <w:rFonts w:cs="Arial"/>
              </w:rPr>
              <w:t>12.8%</w:t>
            </w:r>
          </w:p>
        </w:tc>
      </w:tr>
      <w:tr w:rsidR="00282E35" w:rsidRPr="00EF253C" w:rsidTr="00282E35">
        <w:trPr>
          <w:trHeight w:val="300"/>
          <w:jc w:val="center"/>
        </w:trPr>
        <w:tc>
          <w:tcPr>
            <w:tcW w:w="2340" w:type="dxa"/>
            <w:tcBorders>
              <w:top w:val="nil"/>
              <w:left w:val="single" w:sz="4" w:space="0" w:color="auto"/>
              <w:bottom w:val="single" w:sz="4" w:space="0" w:color="auto"/>
              <w:right w:val="single" w:sz="4" w:space="0" w:color="auto"/>
            </w:tcBorders>
            <w:shd w:val="clear" w:color="000000" w:fill="FFFFFF"/>
            <w:noWrap/>
            <w:vAlign w:val="bottom"/>
            <w:hideMark/>
          </w:tcPr>
          <w:p w:rsidR="00282E35" w:rsidRPr="00EF253C" w:rsidRDefault="00282E35" w:rsidP="00E50C61">
            <w:pPr>
              <w:spacing w:after="0" w:line="240" w:lineRule="auto"/>
              <w:rPr>
                <w:rFonts w:cs="Arial"/>
              </w:rPr>
            </w:pPr>
            <w:r w:rsidRPr="00EF253C">
              <w:rPr>
                <w:rFonts w:cs="Arial"/>
              </w:rPr>
              <w:t>Underhill</w:t>
            </w:r>
          </w:p>
        </w:tc>
        <w:tc>
          <w:tcPr>
            <w:tcW w:w="2140" w:type="dxa"/>
            <w:tcBorders>
              <w:top w:val="nil"/>
              <w:left w:val="nil"/>
              <w:bottom w:val="single" w:sz="4" w:space="0" w:color="auto"/>
              <w:right w:val="single" w:sz="4" w:space="0" w:color="auto"/>
            </w:tcBorders>
            <w:shd w:val="clear" w:color="000000" w:fill="FFFFFF"/>
            <w:noWrap/>
            <w:vAlign w:val="bottom"/>
            <w:hideMark/>
          </w:tcPr>
          <w:p w:rsidR="00282E35" w:rsidRPr="00EF253C" w:rsidRDefault="00282E35" w:rsidP="00E50C61">
            <w:pPr>
              <w:spacing w:after="0" w:line="240" w:lineRule="auto"/>
              <w:jc w:val="center"/>
              <w:rPr>
                <w:rFonts w:cs="Arial"/>
              </w:rPr>
            </w:pPr>
            <w:r w:rsidRPr="00EF253C">
              <w:rPr>
                <w:rFonts w:cs="Arial"/>
              </w:rPr>
              <w:t>940</w:t>
            </w:r>
          </w:p>
        </w:tc>
        <w:tc>
          <w:tcPr>
            <w:tcW w:w="1920" w:type="dxa"/>
            <w:tcBorders>
              <w:top w:val="nil"/>
              <w:left w:val="nil"/>
              <w:bottom w:val="single" w:sz="4" w:space="0" w:color="auto"/>
              <w:right w:val="single" w:sz="4" w:space="0" w:color="auto"/>
            </w:tcBorders>
            <w:shd w:val="clear" w:color="000000" w:fill="FFFFFF"/>
            <w:noWrap/>
            <w:vAlign w:val="bottom"/>
            <w:hideMark/>
          </w:tcPr>
          <w:p w:rsidR="00282E35" w:rsidRPr="00EF253C" w:rsidRDefault="00282E35" w:rsidP="00E50C61">
            <w:pPr>
              <w:spacing w:after="0" w:line="240" w:lineRule="auto"/>
              <w:jc w:val="center"/>
              <w:rPr>
                <w:rFonts w:cs="Arial"/>
              </w:rPr>
            </w:pPr>
            <w:r w:rsidRPr="00EF253C">
              <w:rPr>
                <w:rFonts w:cs="Arial"/>
              </w:rPr>
              <w:t>24.8%</w:t>
            </w:r>
          </w:p>
        </w:tc>
        <w:tc>
          <w:tcPr>
            <w:tcW w:w="1920" w:type="dxa"/>
            <w:tcBorders>
              <w:top w:val="nil"/>
              <w:left w:val="nil"/>
              <w:bottom w:val="single" w:sz="4" w:space="0" w:color="auto"/>
              <w:right w:val="single" w:sz="4" w:space="0" w:color="auto"/>
            </w:tcBorders>
            <w:shd w:val="clear" w:color="000000" w:fill="FFFFFF"/>
            <w:vAlign w:val="bottom"/>
          </w:tcPr>
          <w:p w:rsidR="00282E35" w:rsidRPr="00EF253C" w:rsidRDefault="00282E35" w:rsidP="00E50C61">
            <w:pPr>
              <w:spacing w:after="0" w:line="240" w:lineRule="auto"/>
              <w:jc w:val="center"/>
              <w:rPr>
                <w:rFonts w:cs="Arial"/>
              </w:rPr>
            </w:pPr>
            <w:r w:rsidRPr="00EF253C">
              <w:rPr>
                <w:rFonts w:cs="Arial"/>
              </w:rPr>
              <w:t>26.2%</w:t>
            </w:r>
          </w:p>
        </w:tc>
      </w:tr>
      <w:tr w:rsidR="00282E35" w:rsidRPr="00EF253C" w:rsidTr="00282E35">
        <w:trPr>
          <w:trHeight w:val="300"/>
          <w:jc w:val="center"/>
        </w:trPr>
        <w:tc>
          <w:tcPr>
            <w:tcW w:w="2340" w:type="dxa"/>
            <w:tcBorders>
              <w:top w:val="nil"/>
              <w:left w:val="single" w:sz="4" w:space="0" w:color="auto"/>
              <w:bottom w:val="single" w:sz="4" w:space="0" w:color="auto"/>
              <w:right w:val="single" w:sz="4" w:space="0" w:color="auto"/>
            </w:tcBorders>
            <w:shd w:val="clear" w:color="auto" w:fill="auto"/>
            <w:noWrap/>
            <w:vAlign w:val="bottom"/>
            <w:hideMark/>
          </w:tcPr>
          <w:p w:rsidR="00282E35" w:rsidRPr="00EF253C" w:rsidRDefault="00282E35" w:rsidP="00E50C61">
            <w:pPr>
              <w:spacing w:after="0" w:line="240" w:lineRule="auto"/>
              <w:rPr>
                <w:rFonts w:cs="Arial"/>
              </w:rPr>
            </w:pPr>
            <w:r w:rsidRPr="00EF253C">
              <w:rPr>
                <w:rFonts w:cs="Arial"/>
              </w:rPr>
              <w:t>West Finchley</w:t>
            </w:r>
          </w:p>
        </w:tc>
        <w:tc>
          <w:tcPr>
            <w:tcW w:w="2140" w:type="dxa"/>
            <w:tcBorders>
              <w:top w:val="nil"/>
              <w:left w:val="nil"/>
              <w:bottom w:val="single" w:sz="4" w:space="0" w:color="auto"/>
              <w:right w:val="single" w:sz="4" w:space="0" w:color="auto"/>
            </w:tcBorders>
            <w:shd w:val="clear" w:color="auto" w:fill="auto"/>
            <w:noWrap/>
            <w:vAlign w:val="bottom"/>
            <w:hideMark/>
          </w:tcPr>
          <w:p w:rsidR="00282E35" w:rsidRPr="00EF253C" w:rsidRDefault="00282E35" w:rsidP="00E50C61">
            <w:pPr>
              <w:spacing w:after="0" w:line="240" w:lineRule="auto"/>
              <w:jc w:val="center"/>
              <w:rPr>
                <w:rFonts w:cs="Arial"/>
              </w:rPr>
            </w:pPr>
            <w:r w:rsidRPr="00EF253C">
              <w:rPr>
                <w:rFonts w:cs="Arial"/>
              </w:rPr>
              <w:t>345</w:t>
            </w:r>
          </w:p>
        </w:tc>
        <w:tc>
          <w:tcPr>
            <w:tcW w:w="1920" w:type="dxa"/>
            <w:tcBorders>
              <w:top w:val="nil"/>
              <w:left w:val="nil"/>
              <w:bottom w:val="single" w:sz="4" w:space="0" w:color="auto"/>
              <w:right w:val="single" w:sz="4" w:space="0" w:color="auto"/>
            </w:tcBorders>
            <w:shd w:val="clear" w:color="auto" w:fill="auto"/>
            <w:noWrap/>
            <w:vAlign w:val="bottom"/>
            <w:hideMark/>
          </w:tcPr>
          <w:p w:rsidR="00282E35" w:rsidRPr="00EF253C" w:rsidRDefault="00282E35" w:rsidP="00E50C61">
            <w:pPr>
              <w:spacing w:after="0" w:line="240" w:lineRule="auto"/>
              <w:jc w:val="center"/>
              <w:rPr>
                <w:rFonts w:cs="Arial"/>
              </w:rPr>
            </w:pPr>
            <w:r w:rsidRPr="00EF253C">
              <w:rPr>
                <w:rFonts w:cs="Arial"/>
              </w:rPr>
              <w:t>11.4%</w:t>
            </w:r>
          </w:p>
        </w:tc>
        <w:tc>
          <w:tcPr>
            <w:tcW w:w="1920" w:type="dxa"/>
            <w:tcBorders>
              <w:top w:val="nil"/>
              <w:left w:val="nil"/>
              <w:bottom w:val="single" w:sz="4" w:space="0" w:color="auto"/>
              <w:right w:val="single" w:sz="4" w:space="0" w:color="auto"/>
            </w:tcBorders>
            <w:vAlign w:val="bottom"/>
          </w:tcPr>
          <w:p w:rsidR="00282E35" w:rsidRPr="00EF253C" w:rsidRDefault="00282E35" w:rsidP="00E50C61">
            <w:pPr>
              <w:spacing w:after="0" w:line="240" w:lineRule="auto"/>
              <w:jc w:val="center"/>
              <w:rPr>
                <w:rFonts w:cs="Arial"/>
              </w:rPr>
            </w:pPr>
            <w:r w:rsidRPr="00EF253C">
              <w:rPr>
                <w:rFonts w:cs="Arial"/>
              </w:rPr>
              <w:t>15.7%</w:t>
            </w:r>
          </w:p>
        </w:tc>
      </w:tr>
      <w:tr w:rsidR="00282E35" w:rsidRPr="00EF253C" w:rsidTr="00282E35">
        <w:trPr>
          <w:trHeight w:val="300"/>
          <w:jc w:val="center"/>
        </w:trPr>
        <w:tc>
          <w:tcPr>
            <w:tcW w:w="2340" w:type="dxa"/>
            <w:tcBorders>
              <w:top w:val="nil"/>
              <w:left w:val="single" w:sz="4" w:space="0" w:color="auto"/>
              <w:bottom w:val="single" w:sz="4" w:space="0" w:color="auto"/>
              <w:right w:val="single" w:sz="4" w:space="0" w:color="auto"/>
            </w:tcBorders>
            <w:shd w:val="clear" w:color="auto" w:fill="auto"/>
            <w:noWrap/>
            <w:vAlign w:val="bottom"/>
            <w:hideMark/>
          </w:tcPr>
          <w:p w:rsidR="00282E35" w:rsidRPr="00EF253C" w:rsidRDefault="00282E35" w:rsidP="00E50C61">
            <w:pPr>
              <w:spacing w:after="0" w:line="240" w:lineRule="auto"/>
              <w:rPr>
                <w:rFonts w:cs="Arial"/>
              </w:rPr>
            </w:pPr>
            <w:r w:rsidRPr="00EF253C">
              <w:rPr>
                <w:rFonts w:cs="Arial"/>
              </w:rPr>
              <w:t>West Hendon</w:t>
            </w:r>
          </w:p>
        </w:tc>
        <w:tc>
          <w:tcPr>
            <w:tcW w:w="2140" w:type="dxa"/>
            <w:tcBorders>
              <w:top w:val="nil"/>
              <w:left w:val="nil"/>
              <w:bottom w:val="single" w:sz="4" w:space="0" w:color="auto"/>
              <w:right w:val="single" w:sz="4" w:space="0" w:color="auto"/>
            </w:tcBorders>
            <w:shd w:val="clear" w:color="auto" w:fill="auto"/>
            <w:noWrap/>
            <w:vAlign w:val="bottom"/>
            <w:hideMark/>
          </w:tcPr>
          <w:p w:rsidR="00282E35" w:rsidRPr="00EF253C" w:rsidRDefault="00282E35" w:rsidP="00E50C61">
            <w:pPr>
              <w:spacing w:after="0" w:line="240" w:lineRule="auto"/>
              <w:jc w:val="center"/>
              <w:rPr>
                <w:rFonts w:cs="Arial"/>
              </w:rPr>
            </w:pPr>
            <w:r w:rsidRPr="00EF253C">
              <w:rPr>
                <w:rFonts w:cs="Arial"/>
              </w:rPr>
              <w:t>655</w:t>
            </w:r>
          </w:p>
        </w:tc>
        <w:tc>
          <w:tcPr>
            <w:tcW w:w="1920" w:type="dxa"/>
            <w:tcBorders>
              <w:top w:val="nil"/>
              <w:left w:val="nil"/>
              <w:bottom w:val="single" w:sz="4" w:space="0" w:color="auto"/>
              <w:right w:val="single" w:sz="4" w:space="0" w:color="auto"/>
            </w:tcBorders>
            <w:shd w:val="clear" w:color="auto" w:fill="auto"/>
            <w:noWrap/>
            <w:vAlign w:val="bottom"/>
            <w:hideMark/>
          </w:tcPr>
          <w:p w:rsidR="00282E35" w:rsidRPr="00EF253C" w:rsidRDefault="00282E35" w:rsidP="00E50C61">
            <w:pPr>
              <w:spacing w:after="0" w:line="240" w:lineRule="auto"/>
              <w:jc w:val="center"/>
              <w:rPr>
                <w:rFonts w:cs="Arial"/>
              </w:rPr>
            </w:pPr>
            <w:r w:rsidRPr="00EF253C">
              <w:rPr>
                <w:rFonts w:cs="Arial"/>
              </w:rPr>
              <w:t>16.8%</w:t>
            </w:r>
          </w:p>
        </w:tc>
        <w:tc>
          <w:tcPr>
            <w:tcW w:w="1920" w:type="dxa"/>
            <w:tcBorders>
              <w:top w:val="nil"/>
              <w:left w:val="nil"/>
              <w:bottom w:val="single" w:sz="4" w:space="0" w:color="auto"/>
              <w:right w:val="single" w:sz="4" w:space="0" w:color="auto"/>
            </w:tcBorders>
            <w:vAlign w:val="bottom"/>
          </w:tcPr>
          <w:p w:rsidR="00282E35" w:rsidRPr="00EF253C" w:rsidRDefault="00282E35" w:rsidP="00E50C61">
            <w:pPr>
              <w:spacing w:after="0" w:line="240" w:lineRule="auto"/>
              <w:jc w:val="center"/>
              <w:rPr>
                <w:rFonts w:cs="Arial"/>
              </w:rPr>
            </w:pPr>
            <w:r w:rsidRPr="00EF253C">
              <w:rPr>
                <w:rFonts w:cs="Arial"/>
              </w:rPr>
              <w:t>21.6%</w:t>
            </w:r>
          </w:p>
        </w:tc>
      </w:tr>
      <w:tr w:rsidR="00282E35" w:rsidRPr="00EF253C" w:rsidTr="00282E35">
        <w:trPr>
          <w:trHeight w:val="300"/>
          <w:jc w:val="center"/>
        </w:trPr>
        <w:tc>
          <w:tcPr>
            <w:tcW w:w="2340" w:type="dxa"/>
            <w:tcBorders>
              <w:top w:val="nil"/>
              <w:left w:val="single" w:sz="4" w:space="0" w:color="auto"/>
              <w:bottom w:val="single" w:sz="4" w:space="0" w:color="auto"/>
              <w:right w:val="single" w:sz="4" w:space="0" w:color="auto"/>
            </w:tcBorders>
            <w:shd w:val="clear" w:color="auto" w:fill="auto"/>
            <w:noWrap/>
            <w:vAlign w:val="bottom"/>
            <w:hideMark/>
          </w:tcPr>
          <w:p w:rsidR="00282E35" w:rsidRPr="00EF253C" w:rsidRDefault="00282E35" w:rsidP="00E50C61">
            <w:pPr>
              <w:spacing w:after="0" w:line="240" w:lineRule="auto"/>
              <w:rPr>
                <w:rFonts w:cs="Arial"/>
              </w:rPr>
            </w:pPr>
            <w:r w:rsidRPr="00EF253C">
              <w:rPr>
                <w:rFonts w:cs="Arial"/>
              </w:rPr>
              <w:t>Woodhouse</w:t>
            </w:r>
          </w:p>
        </w:tc>
        <w:tc>
          <w:tcPr>
            <w:tcW w:w="2140" w:type="dxa"/>
            <w:tcBorders>
              <w:top w:val="nil"/>
              <w:left w:val="nil"/>
              <w:bottom w:val="single" w:sz="4" w:space="0" w:color="auto"/>
              <w:right w:val="single" w:sz="4" w:space="0" w:color="auto"/>
            </w:tcBorders>
            <w:shd w:val="clear" w:color="auto" w:fill="auto"/>
            <w:noWrap/>
            <w:vAlign w:val="bottom"/>
            <w:hideMark/>
          </w:tcPr>
          <w:p w:rsidR="00282E35" w:rsidRPr="00EF253C" w:rsidRDefault="00282E35" w:rsidP="00E50C61">
            <w:pPr>
              <w:spacing w:after="0" w:line="240" w:lineRule="auto"/>
              <w:jc w:val="center"/>
              <w:rPr>
                <w:rFonts w:cs="Arial"/>
              </w:rPr>
            </w:pPr>
            <w:r w:rsidRPr="00EF253C">
              <w:rPr>
                <w:rFonts w:cs="Arial"/>
              </w:rPr>
              <w:t>640</w:t>
            </w:r>
          </w:p>
        </w:tc>
        <w:tc>
          <w:tcPr>
            <w:tcW w:w="1920" w:type="dxa"/>
            <w:tcBorders>
              <w:top w:val="nil"/>
              <w:left w:val="nil"/>
              <w:bottom w:val="single" w:sz="4" w:space="0" w:color="auto"/>
              <w:right w:val="single" w:sz="4" w:space="0" w:color="auto"/>
            </w:tcBorders>
            <w:shd w:val="clear" w:color="auto" w:fill="auto"/>
            <w:noWrap/>
            <w:vAlign w:val="bottom"/>
            <w:hideMark/>
          </w:tcPr>
          <w:p w:rsidR="00282E35" w:rsidRPr="00EF253C" w:rsidRDefault="00282E35" w:rsidP="00E50C61">
            <w:pPr>
              <w:spacing w:after="0" w:line="240" w:lineRule="auto"/>
              <w:jc w:val="center"/>
              <w:rPr>
                <w:rFonts w:cs="Arial"/>
              </w:rPr>
            </w:pPr>
            <w:r w:rsidRPr="00EF253C">
              <w:rPr>
                <w:rFonts w:cs="Arial"/>
              </w:rPr>
              <w:t>17.3%</w:t>
            </w:r>
          </w:p>
        </w:tc>
        <w:tc>
          <w:tcPr>
            <w:tcW w:w="1920" w:type="dxa"/>
            <w:tcBorders>
              <w:top w:val="nil"/>
              <w:left w:val="nil"/>
              <w:bottom w:val="single" w:sz="4" w:space="0" w:color="auto"/>
              <w:right w:val="single" w:sz="4" w:space="0" w:color="auto"/>
            </w:tcBorders>
            <w:vAlign w:val="bottom"/>
          </w:tcPr>
          <w:p w:rsidR="00282E35" w:rsidRPr="00EF253C" w:rsidRDefault="00282E35" w:rsidP="00E50C61">
            <w:pPr>
              <w:spacing w:after="0" w:line="240" w:lineRule="auto"/>
              <w:jc w:val="center"/>
              <w:rPr>
                <w:rFonts w:cs="Arial"/>
              </w:rPr>
            </w:pPr>
            <w:r w:rsidRPr="00EF253C">
              <w:rPr>
                <w:rFonts w:cs="Arial"/>
              </w:rPr>
              <w:t>20.9%</w:t>
            </w:r>
          </w:p>
        </w:tc>
      </w:tr>
    </w:tbl>
    <w:p w:rsidR="00282E35" w:rsidRPr="00EF253C" w:rsidRDefault="00282E35" w:rsidP="00282E35">
      <w:pPr>
        <w:spacing w:after="0" w:line="240" w:lineRule="auto"/>
        <w:rPr>
          <w:rFonts w:cs="Arial"/>
        </w:rPr>
      </w:pPr>
      <w:r w:rsidRPr="00EF253C">
        <w:rPr>
          <w:rFonts w:cs="Arial"/>
        </w:rPr>
        <w:t>Source: HMRC snapshot as at 31 August 2012</w:t>
      </w:r>
    </w:p>
    <w:p w:rsidR="00282E35" w:rsidRDefault="00282E35" w:rsidP="00282E35">
      <w:pPr>
        <w:rPr>
          <w:rFonts w:cs="Arial"/>
        </w:rPr>
      </w:pPr>
    </w:p>
    <w:p w:rsidR="00282E35" w:rsidRDefault="00282E35" w:rsidP="00FF38EA">
      <w:pPr>
        <w:jc w:val="both"/>
        <w:rPr>
          <w:rFonts w:cs="Arial"/>
        </w:rPr>
      </w:pPr>
      <w:r w:rsidRPr="00EF253C">
        <w:rPr>
          <w:rFonts w:cs="Arial"/>
        </w:rPr>
        <w:lastRenderedPageBreak/>
        <w:t>The percentage of children in workless households in Barnet (13%) has decreased to below both the London and England average</w:t>
      </w:r>
      <w:r w:rsidRPr="00EF253C">
        <w:rPr>
          <w:rStyle w:val="FootnoteReference"/>
          <w:rFonts w:cs="Arial"/>
        </w:rPr>
        <w:footnoteReference w:id="142"/>
      </w:r>
      <w:r w:rsidRPr="00EF253C">
        <w:rPr>
          <w:rFonts w:cs="Arial"/>
        </w:rPr>
        <w:t>, and  the percentage of children in working households has reached 52%, which is the high</w:t>
      </w:r>
      <w:r w:rsidR="00FF38EA">
        <w:rPr>
          <w:rFonts w:cs="Arial"/>
        </w:rPr>
        <w:t>est level seen in the past ten</w:t>
      </w:r>
      <w:r w:rsidRPr="00EF253C">
        <w:rPr>
          <w:rFonts w:cs="Arial"/>
        </w:rPr>
        <w:t xml:space="preserve"> years. Although employment across Barnet has increased, the highest rates of unempl</w:t>
      </w:r>
      <w:r w:rsidR="00FF38EA">
        <w:rPr>
          <w:rFonts w:cs="Arial"/>
        </w:rPr>
        <w:t>oyment are located towards the w</w:t>
      </w:r>
      <w:r w:rsidRPr="00EF253C">
        <w:rPr>
          <w:rFonts w:cs="Arial"/>
        </w:rPr>
        <w:t xml:space="preserve">est of the </w:t>
      </w:r>
      <w:r>
        <w:rPr>
          <w:rFonts w:cs="Arial"/>
        </w:rPr>
        <w:t>Borough</w:t>
      </w:r>
      <w:r w:rsidRPr="00EF253C">
        <w:rPr>
          <w:rFonts w:cs="Arial"/>
        </w:rPr>
        <w:t xml:space="preserve">, in Colindale (8.4%) and Burnt Oak (8.1%).   </w:t>
      </w:r>
    </w:p>
    <w:p w:rsidR="00282E35" w:rsidRPr="00483DF6" w:rsidRDefault="00282E35" w:rsidP="002508E7">
      <w:pPr>
        <w:spacing w:after="0" w:line="240" w:lineRule="auto"/>
        <w:rPr>
          <w:rFonts w:cs="Arial"/>
          <w:b/>
        </w:rPr>
      </w:pPr>
      <w:r>
        <w:rPr>
          <w:rFonts w:cs="Arial"/>
          <w:b/>
        </w:rPr>
        <w:t>Table 8-17: Children in Workless Households</w:t>
      </w:r>
    </w:p>
    <w:tbl>
      <w:tblPr>
        <w:tblW w:w="6720"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52"/>
        <w:gridCol w:w="1668"/>
        <w:gridCol w:w="1284"/>
        <w:gridCol w:w="1316"/>
      </w:tblGrid>
      <w:tr w:rsidR="002508E7" w:rsidRPr="00EF253C" w:rsidTr="00AA058C">
        <w:trPr>
          <w:trHeight w:val="338"/>
          <w:jc w:val="center"/>
        </w:trPr>
        <w:tc>
          <w:tcPr>
            <w:tcW w:w="2452" w:type="dxa"/>
            <w:shd w:val="clear" w:color="auto" w:fill="D9D9D9" w:themeFill="background1" w:themeFillShade="D9"/>
            <w:noWrap/>
            <w:vAlign w:val="center"/>
            <w:hideMark/>
          </w:tcPr>
          <w:p w:rsidR="002508E7" w:rsidRPr="00EF253C" w:rsidRDefault="002508E7" w:rsidP="002508E7">
            <w:pPr>
              <w:spacing w:after="0" w:line="240" w:lineRule="auto"/>
              <w:jc w:val="center"/>
              <w:rPr>
                <w:rFonts w:eastAsia="Times New Roman" w:cs="Arial"/>
                <w:color w:val="000000"/>
                <w:lang w:eastAsia="en-GB"/>
              </w:rPr>
            </w:pPr>
          </w:p>
        </w:tc>
        <w:tc>
          <w:tcPr>
            <w:tcW w:w="1668" w:type="dxa"/>
            <w:shd w:val="clear" w:color="auto" w:fill="D9D9D9" w:themeFill="background1" w:themeFillShade="D9"/>
            <w:vAlign w:val="center"/>
            <w:hideMark/>
          </w:tcPr>
          <w:p w:rsidR="002508E7" w:rsidRPr="00EF253C" w:rsidRDefault="002508E7" w:rsidP="002508E7">
            <w:pPr>
              <w:spacing w:after="0" w:line="240" w:lineRule="auto"/>
              <w:jc w:val="center"/>
              <w:rPr>
                <w:rFonts w:eastAsia="Times New Roman" w:cs="Arial"/>
                <w:color w:val="000000"/>
                <w:lang w:eastAsia="en-GB"/>
              </w:rPr>
            </w:pPr>
            <w:r w:rsidRPr="00EF253C">
              <w:rPr>
                <w:rFonts w:eastAsia="Times New Roman" w:cs="Arial"/>
                <w:color w:val="000000"/>
                <w:lang w:eastAsia="en-GB"/>
              </w:rPr>
              <w:t>Barnet</w:t>
            </w:r>
          </w:p>
        </w:tc>
        <w:tc>
          <w:tcPr>
            <w:tcW w:w="1284" w:type="dxa"/>
            <w:shd w:val="clear" w:color="auto" w:fill="D9D9D9" w:themeFill="background1" w:themeFillShade="D9"/>
            <w:vAlign w:val="center"/>
            <w:hideMark/>
          </w:tcPr>
          <w:p w:rsidR="002508E7" w:rsidRPr="00EF253C" w:rsidRDefault="002508E7" w:rsidP="002508E7">
            <w:pPr>
              <w:spacing w:after="0" w:line="240" w:lineRule="auto"/>
              <w:jc w:val="center"/>
              <w:rPr>
                <w:rFonts w:eastAsia="Times New Roman" w:cs="Arial"/>
                <w:color w:val="000000"/>
                <w:lang w:eastAsia="en-GB"/>
              </w:rPr>
            </w:pPr>
            <w:r w:rsidRPr="00EF253C">
              <w:rPr>
                <w:rFonts w:eastAsia="Times New Roman" w:cs="Arial"/>
                <w:color w:val="000000"/>
                <w:lang w:eastAsia="en-GB"/>
              </w:rPr>
              <w:t>London</w:t>
            </w:r>
          </w:p>
        </w:tc>
        <w:tc>
          <w:tcPr>
            <w:tcW w:w="1316" w:type="dxa"/>
            <w:shd w:val="clear" w:color="auto" w:fill="D9D9D9" w:themeFill="background1" w:themeFillShade="D9"/>
            <w:noWrap/>
            <w:vAlign w:val="center"/>
            <w:hideMark/>
          </w:tcPr>
          <w:p w:rsidR="002508E7" w:rsidRPr="00EF253C" w:rsidRDefault="002508E7" w:rsidP="002508E7">
            <w:pPr>
              <w:spacing w:after="0" w:line="240" w:lineRule="auto"/>
              <w:jc w:val="center"/>
              <w:rPr>
                <w:rFonts w:eastAsia="Times New Roman" w:cs="Arial"/>
                <w:color w:val="000000"/>
                <w:lang w:eastAsia="en-GB"/>
              </w:rPr>
            </w:pPr>
            <w:r w:rsidRPr="00EF253C">
              <w:rPr>
                <w:rFonts w:eastAsia="Times New Roman" w:cs="Arial"/>
                <w:color w:val="000000"/>
                <w:lang w:eastAsia="en-GB"/>
              </w:rPr>
              <w:t>England</w:t>
            </w:r>
          </w:p>
        </w:tc>
      </w:tr>
      <w:tr w:rsidR="00282E35" w:rsidRPr="00EF253C" w:rsidTr="00282E35">
        <w:trPr>
          <w:trHeight w:val="564"/>
          <w:jc w:val="center"/>
        </w:trPr>
        <w:tc>
          <w:tcPr>
            <w:tcW w:w="2452" w:type="dxa"/>
            <w:shd w:val="clear" w:color="auto" w:fill="FFFFFF" w:themeFill="background1"/>
            <w:vAlign w:val="center"/>
            <w:hideMark/>
          </w:tcPr>
          <w:p w:rsidR="00282E35" w:rsidRPr="00EF253C" w:rsidRDefault="00282E35" w:rsidP="00E50C61">
            <w:pPr>
              <w:spacing w:after="0" w:line="240" w:lineRule="auto"/>
              <w:jc w:val="center"/>
              <w:rPr>
                <w:rFonts w:eastAsia="Times New Roman" w:cs="Arial"/>
                <w:color w:val="000000"/>
                <w:lang w:eastAsia="en-GB"/>
              </w:rPr>
            </w:pPr>
            <w:r w:rsidRPr="00EF253C">
              <w:rPr>
                <w:rFonts w:eastAsia="Times New Roman" w:cs="Arial"/>
                <w:color w:val="000000"/>
                <w:lang w:eastAsia="en-GB"/>
              </w:rPr>
              <w:t>Children in Workless Households (%)</w:t>
            </w:r>
          </w:p>
        </w:tc>
        <w:tc>
          <w:tcPr>
            <w:tcW w:w="1668" w:type="dxa"/>
            <w:shd w:val="clear" w:color="auto" w:fill="FFFFFF" w:themeFill="background1"/>
            <w:vAlign w:val="center"/>
            <w:hideMark/>
          </w:tcPr>
          <w:p w:rsidR="00282E35" w:rsidRPr="00EF253C" w:rsidRDefault="00282E35" w:rsidP="00E50C61">
            <w:pPr>
              <w:spacing w:after="0" w:line="240" w:lineRule="auto"/>
              <w:jc w:val="center"/>
              <w:rPr>
                <w:rFonts w:eastAsia="Times New Roman" w:cs="Arial"/>
                <w:color w:val="000000"/>
                <w:lang w:eastAsia="en-GB"/>
              </w:rPr>
            </w:pPr>
            <w:r w:rsidRPr="00EF253C">
              <w:rPr>
                <w:rFonts w:eastAsia="Times New Roman" w:cs="Arial"/>
                <w:color w:val="000000"/>
                <w:lang w:eastAsia="en-GB"/>
              </w:rPr>
              <w:t>13%</w:t>
            </w:r>
          </w:p>
        </w:tc>
        <w:tc>
          <w:tcPr>
            <w:tcW w:w="1284" w:type="dxa"/>
            <w:shd w:val="clear" w:color="auto" w:fill="FFFFFF" w:themeFill="background1"/>
            <w:vAlign w:val="center"/>
            <w:hideMark/>
          </w:tcPr>
          <w:p w:rsidR="00282E35" w:rsidRPr="00EF253C" w:rsidRDefault="00282E35" w:rsidP="00E50C61">
            <w:pPr>
              <w:spacing w:after="0" w:line="240" w:lineRule="auto"/>
              <w:jc w:val="center"/>
              <w:rPr>
                <w:rFonts w:eastAsia="Times New Roman" w:cs="Arial"/>
                <w:color w:val="000000"/>
                <w:lang w:eastAsia="en-GB"/>
              </w:rPr>
            </w:pPr>
            <w:r w:rsidRPr="00EF253C">
              <w:rPr>
                <w:rFonts w:eastAsia="Times New Roman" w:cs="Arial"/>
                <w:color w:val="000000"/>
                <w:lang w:eastAsia="en-GB"/>
              </w:rPr>
              <w:t>17%</w:t>
            </w:r>
          </w:p>
        </w:tc>
        <w:tc>
          <w:tcPr>
            <w:tcW w:w="1316" w:type="dxa"/>
            <w:shd w:val="clear" w:color="auto" w:fill="FFFFFF" w:themeFill="background1"/>
            <w:vAlign w:val="center"/>
            <w:hideMark/>
          </w:tcPr>
          <w:p w:rsidR="00282E35" w:rsidRPr="00EF253C" w:rsidRDefault="00282E35" w:rsidP="00E50C61">
            <w:pPr>
              <w:spacing w:after="0" w:line="240" w:lineRule="auto"/>
              <w:jc w:val="center"/>
              <w:rPr>
                <w:rFonts w:eastAsia="Times New Roman" w:cs="Arial"/>
                <w:color w:val="000000"/>
                <w:lang w:eastAsia="en-GB"/>
              </w:rPr>
            </w:pPr>
            <w:r w:rsidRPr="00EF253C">
              <w:rPr>
                <w:rFonts w:eastAsia="Times New Roman" w:cs="Arial"/>
                <w:color w:val="000000"/>
                <w:lang w:eastAsia="en-GB"/>
              </w:rPr>
              <w:t>14%</w:t>
            </w:r>
          </w:p>
        </w:tc>
      </w:tr>
    </w:tbl>
    <w:p w:rsidR="002508E7" w:rsidRDefault="002508E7" w:rsidP="002508E7">
      <w:pPr>
        <w:spacing w:after="0" w:line="240" w:lineRule="auto"/>
        <w:jc w:val="both"/>
        <w:rPr>
          <w:rFonts w:cs="Arial"/>
        </w:rPr>
      </w:pPr>
    </w:p>
    <w:p w:rsidR="00282E35" w:rsidRPr="00EF253C" w:rsidRDefault="00282E35" w:rsidP="002508E7">
      <w:pPr>
        <w:spacing w:after="0" w:line="240" w:lineRule="auto"/>
        <w:jc w:val="both"/>
        <w:rPr>
          <w:rFonts w:cs="Arial"/>
        </w:rPr>
      </w:pPr>
      <w:r w:rsidRPr="00EF253C">
        <w:rPr>
          <w:rFonts w:cs="Arial"/>
        </w:rPr>
        <w:t>All services across the partnership share a commitment to improving outcomes for children, young people and families in poverty. However, reduced public sector spending will have a significant implication on the delivery of front line services</w:t>
      </w:r>
      <w:r>
        <w:rPr>
          <w:rFonts w:cs="Arial"/>
        </w:rPr>
        <w:t>,</w:t>
      </w:r>
      <w:r w:rsidRPr="00EF253C">
        <w:rPr>
          <w:rFonts w:cs="Arial"/>
        </w:rPr>
        <w:t xml:space="preserve"> in particular the amount of preventative services </w:t>
      </w:r>
      <w:r>
        <w:rPr>
          <w:rFonts w:cs="Arial"/>
        </w:rPr>
        <w:t>and</w:t>
      </w:r>
      <w:r w:rsidRPr="00EF253C">
        <w:rPr>
          <w:rFonts w:cs="Arial"/>
        </w:rPr>
        <w:t xml:space="preserve"> early intervention programmes that can make a difference and create efficiencies.</w:t>
      </w:r>
    </w:p>
    <w:p w:rsidR="00282E35" w:rsidRPr="00EF253C" w:rsidRDefault="00282E35" w:rsidP="00282E35">
      <w:pPr>
        <w:autoSpaceDE w:val="0"/>
        <w:autoSpaceDN w:val="0"/>
        <w:adjustRightInd w:val="0"/>
        <w:spacing w:after="0" w:line="240" w:lineRule="auto"/>
        <w:jc w:val="both"/>
        <w:rPr>
          <w:rFonts w:cs="Arial"/>
        </w:rPr>
      </w:pPr>
      <w:r w:rsidRPr="00EF253C">
        <w:rPr>
          <w:rFonts w:cs="Arial"/>
        </w:rPr>
        <w:t xml:space="preserve">Services need to work together on a whole family basis in order to improve outcomes </w:t>
      </w:r>
      <w:r>
        <w:rPr>
          <w:rFonts w:cs="Arial"/>
        </w:rPr>
        <w:t>and</w:t>
      </w:r>
      <w:r w:rsidRPr="00EF253C">
        <w:rPr>
          <w:rFonts w:cs="Arial"/>
        </w:rPr>
        <w:t xml:space="preserve"> wellbeing for children living in poverty. Evidence suggests that single agency responses are unlikely to affect the change a child and family requires to escape deep-rooted poverty.</w:t>
      </w:r>
    </w:p>
    <w:p w:rsidR="00282E35" w:rsidRDefault="00282E35" w:rsidP="00282E35">
      <w:pPr>
        <w:pStyle w:val="Heading2"/>
        <w:keepNext w:val="0"/>
        <w:keepLines w:val="0"/>
      </w:pPr>
      <w:bookmarkStart w:id="887" w:name="_Toc426723387"/>
      <w:bookmarkStart w:id="888" w:name="_Toc431225214"/>
      <w:r w:rsidRPr="00C341C3">
        <w:t>Voice of the Child</w:t>
      </w:r>
      <w:bookmarkEnd w:id="887"/>
      <w:bookmarkEnd w:id="888"/>
      <w:r w:rsidRPr="00C341C3">
        <w:t xml:space="preserve"> </w:t>
      </w:r>
    </w:p>
    <w:p w:rsidR="00282E35" w:rsidRPr="00996141" w:rsidRDefault="00282E35" w:rsidP="00282E35">
      <w:pPr>
        <w:pStyle w:val="ListParagraph"/>
        <w:ind w:left="0"/>
        <w:jc w:val="both"/>
        <w:rPr>
          <w:rFonts w:cs="Arial"/>
        </w:rPr>
      </w:pPr>
      <w:r w:rsidRPr="00996141">
        <w:rPr>
          <w:rFonts w:eastAsia="Times New Roman" w:cs="Arial"/>
          <w:lang w:eastAsia="en-GB"/>
        </w:rPr>
        <w:t xml:space="preserve">Barnet delivers a diverse range of participation forums which enable children and young people to have their voices heard. </w:t>
      </w:r>
    </w:p>
    <w:p w:rsidR="00282E35" w:rsidRPr="00B36183" w:rsidRDefault="00282E35" w:rsidP="008921BF">
      <w:pPr>
        <w:pStyle w:val="ListParagraph"/>
        <w:numPr>
          <w:ilvl w:val="0"/>
          <w:numId w:val="105"/>
        </w:numPr>
        <w:tabs>
          <w:tab w:val="left" w:pos="0"/>
        </w:tabs>
        <w:jc w:val="both"/>
        <w:rPr>
          <w:rFonts w:cs="Arial"/>
        </w:rPr>
      </w:pPr>
      <w:r w:rsidRPr="00B36183">
        <w:rPr>
          <w:rFonts w:eastAsia="Times New Roman" w:cs="Arial"/>
          <w:b/>
          <w:lang w:eastAsia="en-GB"/>
        </w:rPr>
        <w:t>Barnet Youth Board</w:t>
      </w:r>
      <w:r w:rsidRPr="00B36183">
        <w:rPr>
          <w:rFonts w:eastAsia="Times New Roman" w:cs="Arial"/>
          <w:lang w:eastAsia="en-GB"/>
        </w:rPr>
        <w:t xml:space="preserve"> - A representative panel of young people aged 13- 24 years acting as a voice for the wider youth community of Barnet. </w:t>
      </w:r>
    </w:p>
    <w:p w:rsidR="00282E35" w:rsidRPr="00B36183" w:rsidRDefault="00282E35" w:rsidP="008921BF">
      <w:pPr>
        <w:pStyle w:val="ListParagraph"/>
        <w:numPr>
          <w:ilvl w:val="0"/>
          <w:numId w:val="105"/>
        </w:numPr>
        <w:tabs>
          <w:tab w:val="left" w:pos="0"/>
        </w:tabs>
        <w:spacing w:after="0" w:line="240" w:lineRule="auto"/>
        <w:jc w:val="both"/>
        <w:rPr>
          <w:rFonts w:eastAsia="Times New Roman" w:cs="Arial"/>
          <w:lang w:eastAsia="en-GB"/>
        </w:rPr>
      </w:pPr>
      <w:r w:rsidRPr="00B36183">
        <w:rPr>
          <w:rFonts w:eastAsia="Times New Roman" w:cs="Arial"/>
          <w:b/>
          <w:lang w:eastAsia="en-GB"/>
        </w:rPr>
        <w:t>UK Youth Parliament (UKYP</w:t>
      </w:r>
      <w:r w:rsidRPr="00B36183">
        <w:rPr>
          <w:rFonts w:eastAsia="Times New Roman" w:cs="Arial"/>
          <w:lang w:eastAsia="en-GB"/>
        </w:rPr>
        <w:t>)</w:t>
      </w:r>
    </w:p>
    <w:p w:rsidR="00282E35" w:rsidRPr="00987EE2" w:rsidRDefault="00282E35" w:rsidP="008921BF">
      <w:pPr>
        <w:pStyle w:val="ListParagraph"/>
        <w:numPr>
          <w:ilvl w:val="0"/>
          <w:numId w:val="105"/>
        </w:numPr>
        <w:tabs>
          <w:tab w:val="left" w:pos="0"/>
        </w:tabs>
        <w:spacing w:after="0" w:line="240" w:lineRule="auto"/>
        <w:jc w:val="both"/>
        <w:rPr>
          <w:rFonts w:eastAsia="Times New Roman" w:cs="Arial"/>
          <w:lang w:eastAsia="en-GB"/>
        </w:rPr>
      </w:pPr>
      <w:r w:rsidRPr="00987EE2">
        <w:rPr>
          <w:rFonts w:eastAsia="Times New Roman" w:cs="Arial"/>
          <w:b/>
          <w:lang w:eastAsia="en-GB"/>
        </w:rPr>
        <w:t>Role Model Army (RMA)</w:t>
      </w:r>
      <w:r>
        <w:rPr>
          <w:rFonts w:eastAsia="Times New Roman" w:cs="Arial"/>
          <w:b/>
          <w:lang w:eastAsia="en-GB"/>
        </w:rPr>
        <w:t xml:space="preserve"> </w:t>
      </w:r>
      <w:r w:rsidRPr="00987EE2">
        <w:rPr>
          <w:rFonts w:eastAsia="Times New Roman" w:cs="Arial"/>
          <w:b/>
          <w:lang w:eastAsia="en-GB"/>
        </w:rPr>
        <w:t xml:space="preserve">- </w:t>
      </w:r>
      <w:r w:rsidRPr="00987EE2">
        <w:rPr>
          <w:rFonts w:eastAsia="Times New Roman" w:cs="Arial"/>
          <w:lang w:eastAsia="en-GB"/>
        </w:rPr>
        <w:t xml:space="preserve">The RMA is Barnet’s Children in Care Council. </w:t>
      </w:r>
    </w:p>
    <w:p w:rsidR="00282E35" w:rsidRDefault="00282E35" w:rsidP="008921BF">
      <w:pPr>
        <w:pStyle w:val="ListParagraph"/>
        <w:numPr>
          <w:ilvl w:val="0"/>
          <w:numId w:val="105"/>
        </w:numPr>
        <w:tabs>
          <w:tab w:val="left" w:pos="0"/>
          <w:tab w:val="left" w:pos="709"/>
        </w:tabs>
        <w:spacing w:after="0" w:line="240" w:lineRule="auto"/>
        <w:ind w:left="709" w:right="566"/>
        <w:jc w:val="both"/>
        <w:rPr>
          <w:rFonts w:eastAsia="Times New Roman" w:cs="Arial"/>
          <w:lang w:eastAsia="en-GB"/>
        </w:rPr>
      </w:pPr>
      <w:r w:rsidRPr="00987EE2">
        <w:rPr>
          <w:rFonts w:eastAsia="Times New Roman" w:cs="Arial"/>
          <w:b/>
          <w:lang w:eastAsia="en-GB"/>
        </w:rPr>
        <w:t xml:space="preserve">Youth Shield - </w:t>
      </w:r>
      <w:r w:rsidRPr="00987EE2">
        <w:rPr>
          <w:rFonts w:eastAsia="Times New Roman" w:cs="Arial"/>
          <w:lang w:eastAsia="en-GB"/>
        </w:rPr>
        <w:t xml:space="preserve">Youth Shield is Barnet's Youth Safeguarding Panel for young people aged 14-25 years run by CommUNITY Barnet on behalf of Barnet Safeguarding Children Board (BSCB). </w:t>
      </w:r>
    </w:p>
    <w:p w:rsidR="00282E35" w:rsidRPr="00AA75D0" w:rsidRDefault="00282E35" w:rsidP="008921BF">
      <w:pPr>
        <w:pStyle w:val="ListParagraph"/>
        <w:numPr>
          <w:ilvl w:val="0"/>
          <w:numId w:val="105"/>
        </w:numPr>
        <w:jc w:val="both"/>
        <w:rPr>
          <w:i/>
          <w:iCs/>
          <w:color w:val="1F497D"/>
          <w:sz w:val="24"/>
          <w:szCs w:val="24"/>
        </w:rPr>
      </w:pPr>
      <w:r w:rsidRPr="00AA75D0">
        <w:rPr>
          <w:rFonts w:eastAsia="Times New Roman" w:cs="Arial"/>
          <w:b/>
          <w:lang w:eastAsia="en-GB"/>
        </w:rPr>
        <w:t>Young Commissioners</w:t>
      </w:r>
      <w:r w:rsidRPr="00AA75D0">
        <w:rPr>
          <w:rFonts w:eastAsia="Times New Roman" w:cs="Arial"/>
          <w:lang w:eastAsia="en-GB"/>
        </w:rPr>
        <w:t xml:space="preserve"> – </w:t>
      </w:r>
      <w:r>
        <w:rPr>
          <w:rFonts w:eastAsia="Times New Roman" w:cs="Arial"/>
          <w:lang w:eastAsia="en-GB"/>
        </w:rPr>
        <w:t>A</w:t>
      </w:r>
      <w:r w:rsidRPr="00AA75D0">
        <w:rPr>
          <w:rFonts w:eastAsia="Times New Roman" w:cs="Arial"/>
          <w:lang w:eastAsia="en-GB"/>
        </w:rPr>
        <w:t xml:space="preserve"> group of children and young people embedded within the commissioning cycle providing their unique voice and insight in to service specification and design.</w:t>
      </w:r>
    </w:p>
    <w:p w:rsidR="00282E35" w:rsidRDefault="00282E35" w:rsidP="00282E35">
      <w:pPr>
        <w:tabs>
          <w:tab w:val="left" w:pos="709"/>
          <w:tab w:val="left" w:pos="8931"/>
        </w:tabs>
        <w:spacing w:after="0" w:line="240" w:lineRule="auto"/>
        <w:ind w:right="95"/>
        <w:jc w:val="both"/>
        <w:rPr>
          <w:rFonts w:eastAsia="Times New Roman" w:cs="Arial"/>
          <w:lang w:eastAsia="en-GB"/>
        </w:rPr>
      </w:pPr>
      <w:r>
        <w:rPr>
          <w:rFonts w:eastAsia="Times New Roman" w:cs="Arial"/>
          <w:lang w:eastAsia="en-GB"/>
        </w:rPr>
        <w:t xml:space="preserve">In addition, a programme of work targeting young people engaged with the YOS team, PRU, and foyer is also under way. Some of the key / top priorities that children and young people have already told us are: </w:t>
      </w:r>
    </w:p>
    <w:p w:rsidR="00282E35" w:rsidRDefault="00282E35" w:rsidP="00282E35">
      <w:pPr>
        <w:tabs>
          <w:tab w:val="left" w:pos="709"/>
          <w:tab w:val="left" w:pos="8931"/>
        </w:tabs>
        <w:spacing w:after="0" w:line="240" w:lineRule="auto"/>
        <w:ind w:right="95"/>
        <w:jc w:val="both"/>
        <w:rPr>
          <w:rFonts w:eastAsia="Times New Roman" w:cs="Arial"/>
          <w:lang w:eastAsia="en-GB"/>
        </w:rPr>
      </w:pPr>
    </w:p>
    <w:p w:rsidR="00282E35" w:rsidRDefault="00282E35" w:rsidP="008921BF">
      <w:pPr>
        <w:pStyle w:val="ListParagraph"/>
        <w:numPr>
          <w:ilvl w:val="0"/>
          <w:numId w:val="106"/>
        </w:numPr>
        <w:spacing w:after="0" w:line="240" w:lineRule="auto"/>
        <w:ind w:right="566"/>
        <w:jc w:val="both"/>
        <w:rPr>
          <w:rFonts w:eastAsia="Times New Roman" w:cs="Arial"/>
          <w:lang w:eastAsia="en-GB"/>
        </w:rPr>
      </w:pPr>
      <w:r w:rsidRPr="00AB3133">
        <w:rPr>
          <w:rFonts w:eastAsia="Times New Roman" w:cs="Arial"/>
          <w:lang w:eastAsia="en-GB"/>
        </w:rPr>
        <w:t>Mental health services for children and young people</w:t>
      </w:r>
      <w:r w:rsidR="005953AE">
        <w:rPr>
          <w:rFonts w:eastAsia="Times New Roman" w:cs="Arial"/>
          <w:lang w:eastAsia="en-GB"/>
        </w:rPr>
        <w:t>.</w:t>
      </w:r>
    </w:p>
    <w:p w:rsidR="00282E35" w:rsidRPr="00AB3133" w:rsidRDefault="00282E35" w:rsidP="008921BF">
      <w:pPr>
        <w:pStyle w:val="ListParagraph"/>
        <w:numPr>
          <w:ilvl w:val="0"/>
          <w:numId w:val="106"/>
        </w:numPr>
        <w:spacing w:after="0" w:line="240" w:lineRule="auto"/>
        <w:jc w:val="both"/>
        <w:rPr>
          <w:rFonts w:cs="Arial"/>
        </w:rPr>
      </w:pPr>
      <w:r w:rsidRPr="00AB3133">
        <w:rPr>
          <w:rFonts w:cs="Arial"/>
        </w:rPr>
        <w:t>Improved access to, and quality of, mental health provision at the earliest possible opportunity for children and young people</w:t>
      </w:r>
      <w:r w:rsidR="005953AE">
        <w:rPr>
          <w:rFonts w:cs="Arial"/>
        </w:rPr>
        <w:t>.</w:t>
      </w:r>
    </w:p>
    <w:p w:rsidR="00282E35" w:rsidRPr="00AB3133" w:rsidRDefault="00282E35" w:rsidP="008921BF">
      <w:pPr>
        <w:pStyle w:val="ListParagraph"/>
        <w:numPr>
          <w:ilvl w:val="0"/>
          <w:numId w:val="106"/>
        </w:numPr>
        <w:spacing w:after="0" w:line="240" w:lineRule="auto"/>
        <w:ind w:right="566"/>
        <w:jc w:val="both"/>
        <w:rPr>
          <w:rFonts w:eastAsia="Times New Roman" w:cs="Arial"/>
          <w:lang w:eastAsia="en-GB"/>
        </w:rPr>
      </w:pPr>
      <w:r w:rsidRPr="00AB3133">
        <w:rPr>
          <w:rFonts w:eastAsia="Times New Roman" w:cs="Arial"/>
          <w:lang w:eastAsia="en-GB"/>
        </w:rPr>
        <w:t>Reducing child poverty</w:t>
      </w:r>
      <w:r w:rsidR="005953AE">
        <w:rPr>
          <w:rFonts w:eastAsia="Times New Roman" w:cs="Arial"/>
          <w:lang w:eastAsia="en-GB"/>
        </w:rPr>
        <w:t>.</w:t>
      </w:r>
      <w:r w:rsidRPr="00AB3133">
        <w:rPr>
          <w:rFonts w:eastAsia="Times New Roman" w:cs="Arial"/>
          <w:lang w:eastAsia="en-GB"/>
        </w:rPr>
        <w:t xml:space="preserve"> </w:t>
      </w:r>
    </w:p>
    <w:p w:rsidR="00282E35" w:rsidRPr="00AB3133" w:rsidRDefault="00282E35" w:rsidP="008921BF">
      <w:pPr>
        <w:pStyle w:val="ListParagraph"/>
        <w:numPr>
          <w:ilvl w:val="0"/>
          <w:numId w:val="106"/>
        </w:numPr>
        <w:spacing w:after="0" w:line="240" w:lineRule="auto"/>
        <w:ind w:right="566"/>
        <w:jc w:val="both"/>
        <w:rPr>
          <w:rFonts w:eastAsia="Times New Roman" w:cs="Arial"/>
          <w:lang w:eastAsia="en-GB"/>
        </w:rPr>
      </w:pPr>
      <w:r w:rsidRPr="00AB3133">
        <w:rPr>
          <w:rFonts w:eastAsia="Times New Roman" w:cs="Arial"/>
          <w:lang w:eastAsia="en-GB"/>
        </w:rPr>
        <w:t>Helping disadvantaged children and young people to do well in school</w:t>
      </w:r>
      <w:r w:rsidR="005953AE">
        <w:rPr>
          <w:rFonts w:eastAsia="Times New Roman" w:cs="Arial"/>
          <w:lang w:eastAsia="en-GB"/>
        </w:rPr>
        <w:t>.</w:t>
      </w:r>
    </w:p>
    <w:p w:rsidR="00282E35" w:rsidRPr="00AB3133" w:rsidRDefault="00282E35" w:rsidP="008921BF">
      <w:pPr>
        <w:pStyle w:val="ListParagraph"/>
        <w:numPr>
          <w:ilvl w:val="0"/>
          <w:numId w:val="106"/>
        </w:numPr>
        <w:spacing w:after="0" w:line="240" w:lineRule="auto"/>
        <w:ind w:right="566"/>
        <w:jc w:val="both"/>
        <w:rPr>
          <w:rFonts w:eastAsia="Times New Roman" w:cs="Arial"/>
          <w:lang w:eastAsia="en-GB"/>
        </w:rPr>
      </w:pPr>
      <w:r w:rsidRPr="00AB3133">
        <w:rPr>
          <w:rFonts w:eastAsia="Times New Roman" w:cs="Arial"/>
          <w:lang w:eastAsia="en-GB"/>
        </w:rPr>
        <w:t>Making sure everyone can read and write at primary school</w:t>
      </w:r>
      <w:r w:rsidR="005953AE">
        <w:rPr>
          <w:rFonts w:eastAsia="Times New Roman" w:cs="Arial"/>
          <w:lang w:eastAsia="en-GB"/>
        </w:rPr>
        <w:t>.</w:t>
      </w:r>
    </w:p>
    <w:p w:rsidR="00282E35" w:rsidRPr="00AB3133" w:rsidRDefault="00282E35" w:rsidP="008921BF">
      <w:pPr>
        <w:pStyle w:val="ListParagraph"/>
        <w:numPr>
          <w:ilvl w:val="0"/>
          <w:numId w:val="106"/>
        </w:numPr>
        <w:spacing w:after="0" w:line="240" w:lineRule="auto"/>
        <w:ind w:right="566"/>
        <w:jc w:val="both"/>
        <w:rPr>
          <w:rFonts w:eastAsia="Times New Roman" w:cs="Arial"/>
          <w:lang w:eastAsia="en-GB"/>
        </w:rPr>
      </w:pPr>
      <w:r w:rsidRPr="00AB3133">
        <w:rPr>
          <w:rFonts w:eastAsia="Times New Roman" w:cs="Arial"/>
          <w:lang w:eastAsia="en-GB"/>
        </w:rPr>
        <w:t>Protecting young people from bullying, violence and sexual exploitation</w:t>
      </w:r>
      <w:r w:rsidR="005953AE">
        <w:rPr>
          <w:rFonts w:eastAsia="Times New Roman" w:cs="Arial"/>
          <w:lang w:eastAsia="en-GB"/>
        </w:rPr>
        <w:t>.</w:t>
      </w:r>
    </w:p>
    <w:p w:rsidR="00282E35" w:rsidRPr="00AB3133" w:rsidRDefault="00282E35" w:rsidP="008921BF">
      <w:pPr>
        <w:pStyle w:val="ListParagraph"/>
        <w:numPr>
          <w:ilvl w:val="0"/>
          <w:numId w:val="106"/>
        </w:numPr>
        <w:spacing w:after="0" w:line="240" w:lineRule="auto"/>
        <w:ind w:right="566"/>
        <w:jc w:val="both"/>
        <w:rPr>
          <w:rFonts w:eastAsia="Times New Roman" w:cs="Arial"/>
          <w:lang w:eastAsia="en-GB"/>
        </w:rPr>
      </w:pPr>
      <w:r w:rsidRPr="00AB3133">
        <w:rPr>
          <w:rFonts w:eastAsia="Times New Roman" w:cs="Arial"/>
          <w:lang w:eastAsia="en-GB"/>
        </w:rPr>
        <w:t>Youth centres and activities for teenagers</w:t>
      </w:r>
      <w:r w:rsidR="005953AE">
        <w:rPr>
          <w:rFonts w:eastAsia="Times New Roman" w:cs="Arial"/>
          <w:lang w:eastAsia="en-GB"/>
        </w:rPr>
        <w:t>.</w:t>
      </w:r>
      <w:r w:rsidRPr="00AB3133">
        <w:rPr>
          <w:rFonts w:eastAsia="Times New Roman" w:cs="Arial"/>
          <w:lang w:eastAsia="en-GB"/>
        </w:rPr>
        <w:t xml:space="preserve"> </w:t>
      </w:r>
    </w:p>
    <w:p w:rsidR="00282E35" w:rsidRPr="00AB3133" w:rsidRDefault="00282E35" w:rsidP="008921BF">
      <w:pPr>
        <w:pStyle w:val="ListParagraph"/>
        <w:numPr>
          <w:ilvl w:val="0"/>
          <w:numId w:val="100"/>
        </w:numPr>
        <w:spacing w:after="0" w:line="240" w:lineRule="auto"/>
        <w:ind w:right="566"/>
        <w:jc w:val="both"/>
        <w:rPr>
          <w:rFonts w:eastAsia="Times New Roman" w:cs="Arial"/>
          <w:lang w:eastAsia="en-GB"/>
        </w:rPr>
      </w:pPr>
      <w:r w:rsidRPr="00AB3133">
        <w:rPr>
          <w:rFonts w:eastAsia="Times New Roman" w:cs="Arial"/>
          <w:lang w:eastAsia="en-GB"/>
        </w:rPr>
        <w:t>Young girls have increasingly spoken out about relationships and how they can support each other. They would seek help initially from their GP</w:t>
      </w:r>
      <w:r w:rsidR="005953AE">
        <w:rPr>
          <w:rFonts w:eastAsia="Times New Roman" w:cs="Arial"/>
          <w:lang w:eastAsia="en-GB"/>
        </w:rPr>
        <w:t>.</w:t>
      </w:r>
      <w:r w:rsidRPr="00AB3133">
        <w:rPr>
          <w:rFonts w:eastAsia="Times New Roman" w:cs="Arial"/>
          <w:lang w:eastAsia="en-GB"/>
        </w:rPr>
        <w:t xml:space="preserve"> </w:t>
      </w:r>
    </w:p>
    <w:p w:rsidR="00282E35" w:rsidRPr="00AB3133" w:rsidRDefault="00282E35" w:rsidP="008921BF">
      <w:pPr>
        <w:pStyle w:val="ListParagraph"/>
        <w:numPr>
          <w:ilvl w:val="0"/>
          <w:numId w:val="100"/>
        </w:numPr>
        <w:spacing w:after="0" w:line="240" w:lineRule="auto"/>
        <w:jc w:val="both"/>
        <w:rPr>
          <w:rFonts w:cs="Arial"/>
        </w:rPr>
      </w:pPr>
      <w:r w:rsidRPr="00AB3133">
        <w:rPr>
          <w:rFonts w:cs="Arial"/>
        </w:rPr>
        <w:lastRenderedPageBreak/>
        <w:t>A commitment from all employers to pay the London Living Wage to young people</w:t>
      </w:r>
      <w:r w:rsidR="005953AE">
        <w:rPr>
          <w:rFonts w:cs="Arial"/>
        </w:rPr>
        <w:t>.</w:t>
      </w:r>
    </w:p>
    <w:p w:rsidR="00282E35" w:rsidRPr="00AB3133" w:rsidRDefault="00282E35" w:rsidP="008921BF">
      <w:pPr>
        <w:pStyle w:val="ListParagraph"/>
        <w:numPr>
          <w:ilvl w:val="0"/>
          <w:numId w:val="100"/>
        </w:numPr>
        <w:spacing w:after="0" w:line="240" w:lineRule="auto"/>
        <w:jc w:val="both"/>
        <w:rPr>
          <w:rFonts w:cs="Arial"/>
        </w:rPr>
      </w:pPr>
      <w:r w:rsidRPr="00AB3133">
        <w:rPr>
          <w:rFonts w:cs="Arial"/>
        </w:rPr>
        <w:t>Improved quality of extra-curricular activities with a focus on sport and fitness</w:t>
      </w:r>
      <w:r w:rsidR="005953AE">
        <w:rPr>
          <w:rFonts w:cs="Arial"/>
        </w:rPr>
        <w:t>.</w:t>
      </w:r>
    </w:p>
    <w:p w:rsidR="00282E35" w:rsidRPr="00AB3133" w:rsidRDefault="00282E35" w:rsidP="008921BF">
      <w:pPr>
        <w:pStyle w:val="ListParagraph"/>
        <w:numPr>
          <w:ilvl w:val="0"/>
          <w:numId w:val="100"/>
        </w:numPr>
        <w:spacing w:after="0" w:line="240" w:lineRule="auto"/>
        <w:jc w:val="both"/>
        <w:rPr>
          <w:rFonts w:cs="Arial"/>
        </w:rPr>
      </w:pPr>
      <w:r w:rsidRPr="00AB3133">
        <w:rPr>
          <w:rFonts w:cs="Arial"/>
        </w:rPr>
        <w:t>Improved road safety across Barnet</w:t>
      </w:r>
      <w:r w:rsidR="005953AE">
        <w:rPr>
          <w:rFonts w:cs="Arial"/>
        </w:rPr>
        <w:t>.</w:t>
      </w:r>
    </w:p>
    <w:p w:rsidR="00282E35" w:rsidRPr="00AB3133" w:rsidRDefault="00282E35" w:rsidP="008921BF">
      <w:pPr>
        <w:pStyle w:val="ListParagraph"/>
        <w:numPr>
          <w:ilvl w:val="0"/>
          <w:numId w:val="100"/>
        </w:numPr>
        <w:spacing w:after="0" w:line="240" w:lineRule="auto"/>
        <w:jc w:val="both"/>
        <w:rPr>
          <w:rFonts w:cs="Arial"/>
        </w:rPr>
      </w:pPr>
      <w:r w:rsidRPr="00AB3133">
        <w:rPr>
          <w:rFonts w:cs="Arial"/>
        </w:rPr>
        <w:t>Improvement in young people’s participation with politics and local democracy</w:t>
      </w:r>
      <w:r w:rsidR="005953AE">
        <w:rPr>
          <w:rFonts w:cs="Arial"/>
        </w:rPr>
        <w:t>.</w:t>
      </w:r>
    </w:p>
    <w:p w:rsidR="00282E35" w:rsidRDefault="005953AE" w:rsidP="008921BF">
      <w:pPr>
        <w:pStyle w:val="ListParagraph"/>
        <w:numPr>
          <w:ilvl w:val="0"/>
          <w:numId w:val="100"/>
        </w:numPr>
        <w:spacing w:after="0" w:line="240" w:lineRule="auto"/>
        <w:jc w:val="both"/>
        <w:rPr>
          <w:rFonts w:cs="Arial"/>
        </w:rPr>
      </w:pPr>
      <w:r>
        <w:rPr>
          <w:rFonts w:cs="Arial"/>
        </w:rPr>
        <w:t xml:space="preserve">Looked After Children </w:t>
      </w:r>
      <w:r w:rsidR="00282E35" w:rsidRPr="00AB3133">
        <w:rPr>
          <w:rFonts w:cs="Arial"/>
        </w:rPr>
        <w:t>to receive a more thorough and considered induction into care and a more flexible approach to their care reviews</w:t>
      </w:r>
      <w:r>
        <w:rPr>
          <w:rFonts w:cs="Arial"/>
        </w:rPr>
        <w:t>.</w:t>
      </w:r>
    </w:p>
    <w:p w:rsidR="00282E35" w:rsidRPr="00AB3133" w:rsidRDefault="005953AE" w:rsidP="008921BF">
      <w:pPr>
        <w:pStyle w:val="ListParagraph"/>
        <w:numPr>
          <w:ilvl w:val="0"/>
          <w:numId w:val="100"/>
        </w:numPr>
        <w:spacing w:after="0" w:line="240" w:lineRule="auto"/>
        <w:jc w:val="both"/>
        <w:rPr>
          <w:rFonts w:cs="Arial"/>
        </w:rPr>
      </w:pPr>
      <w:r>
        <w:rPr>
          <w:rFonts w:cs="Arial"/>
        </w:rPr>
        <w:t xml:space="preserve">Looked After </w:t>
      </w:r>
      <w:r w:rsidR="00DD3A76">
        <w:rPr>
          <w:rFonts w:cs="Arial"/>
        </w:rPr>
        <w:t>Children</w:t>
      </w:r>
      <w:r w:rsidR="00282E35" w:rsidRPr="00AB3133">
        <w:rPr>
          <w:rFonts w:cs="Arial"/>
        </w:rPr>
        <w:t xml:space="preserve"> to be able to receive concise information upon </w:t>
      </w:r>
      <w:r>
        <w:rPr>
          <w:rFonts w:cs="Arial"/>
        </w:rPr>
        <w:t xml:space="preserve">their entitlements upon receipt of Looked After </w:t>
      </w:r>
      <w:r w:rsidR="00DD3A76">
        <w:rPr>
          <w:rFonts w:cs="Arial"/>
        </w:rPr>
        <w:t xml:space="preserve">Children </w:t>
      </w:r>
      <w:r w:rsidR="00DD3A76" w:rsidRPr="00AB3133">
        <w:rPr>
          <w:rFonts w:cs="Arial"/>
        </w:rPr>
        <w:t>status</w:t>
      </w:r>
      <w:r>
        <w:rPr>
          <w:rFonts w:cs="Arial"/>
        </w:rPr>
        <w:t>.</w:t>
      </w:r>
    </w:p>
    <w:p w:rsidR="00282E35" w:rsidRPr="00AB3133" w:rsidRDefault="00282E35" w:rsidP="008921BF">
      <w:pPr>
        <w:pStyle w:val="ListParagraph"/>
        <w:numPr>
          <w:ilvl w:val="0"/>
          <w:numId w:val="100"/>
        </w:numPr>
        <w:spacing w:after="0" w:line="240" w:lineRule="auto"/>
        <w:jc w:val="both"/>
        <w:rPr>
          <w:rFonts w:cs="Arial"/>
        </w:rPr>
      </w:pPr>
      <w:r w:rsidRPr="00AB3133">
        <w:rPr>
          <w:rFonts w:cs="Arial"/>
        </w:rPr>
        <w:t>More effective work experience programmes</w:t>
      </w:r>
      <w:r w:rsidR="005953AE">
        <w:rPr>
          <w:rFonts w:cs="Arial"/>
        </w:rPr>
        <w:t>.</w:t>
      </w:r>
    </w:p>
    <w:p w:rsidR="00282E35" w:rsidRPr="00AB3133" w:rsidRDefault="00282E35" w:rsidP="008921BF">
      <w:pPr>
        <w:pStyle w:val="ListParagraph"/>
        <w:numPr>
          <w:ilvl w:val="0"/>
          <w:numId w:val="100"/>
        </w:numPr>
        <w:spacing w:after="0" w:line="240" w:lineRule="auto"/>
        <w:jc w:val="both"/>
        <w:rPr>
          <w:rFonts w:cs="Arial"/>
        </w:rPr>
      </w:pPr>
      <w:r w:rsidRPr="00AB3133">
        <w:rPr>
          <w:rFonts w:cs="Arial"/>
        </w:rPr>
        <w:t>Wider and more vocal campaigning for votes at 16</w:t>
      </w:r>
      <w:r w:rsidR="005953AE">
        <w:rPr>
          <w:rFonts w:cs="Arial"/>
        </w:rPr>
        <w:t>.</w:t>
      </w:r>
    </w:p>
    <w:p w:rsidR="00282E35" w:rsidRPr="00CA1EDD" w:rsidRDefault="00282E35" w:rsidP="008921BF">
      <w:pPr>
        <w:pStyle w:val="ListParagraph"/>
        <w:numPr>
          <w:ilvl w:val="0"/>
          <w:numId w:val="100"/>
        </w:numPr>
        <w:spacing w:after="0" w:line="240" w:lineRule="auto"/>
        <w:jc w:val="both"/>
        <w:rPr>
          <w:rFonts w:cs="Arial"/>
        </w:rPr>
      </w:pPr>
      <w:r w:rsidRPr="00AB3133">
        <w:rPr>
          <w:rFonts w:cs="Arial"/>
        </w:rPr>
        <w:t xml:space="preserve">Improvement to community cohesion and the breaking down of barriers based on gender, race, ethnicity, religion, sexuality and demography. </w:t>
      </w:r>
    </w:p>
    <w:p w:rsidR="00282E35" w:rsidRDefault="00282E35" w:rsidP="00282E35">
      <w:pPr>
        <w:pStyle w:val="Heading3"/>
        <w:jc w:val="both"/>
      </w:pPr>
      <w:r>
        <w:t>Participation</w:t>
      </w:r>
    </w:p>
    <w:p w:rsidR="00282E35" w:rsidRPr="000D622B" w:rsidRDefault="00DF36B4" w:rsidP="00282E35">
      <w:pPr>
        <w:jc w:val="both"/>
      </w:pPr>
      <w:r>
        <w:t>‘</w:t>
      </w:r>
      <w:r w:rsidR="00282E35">
        <w:t>The State of the Children’s Rights in London</w:t>
      </w:r>
      <w:r>
        <w:t>’</w:t>
      </w:r>
      <w:r w:rsidR="00282E35">
        <w:t xml:space="preserve"> report highlights the importance of ensuring that local authorities pla</w:t>
      </w:r>
      <w:r>
        <w:t>ce children and young people</w:t>
      </w:r>
      <w:r w:rsidR="00282E35">
        <w:t xml:space="preserve"> at the heart of the decision-making process. This highlights the importance of not only listening to the ‘voice’ of children and young people,</w:t>
      </w:r>
      <w:r w:rsidR="00282E35" w:rsidRPr="00256A39">
        <w:t xml:space="preserve"> </w:t>
      </w:r>
      <w:r w:rsidR="00282E35">
        <w:t xml:space="preserve">but also ensuring that they participate in the planning, delivery and improvement of services that matter to them. </w:t>
      </w:r>
    </w:p>
    <w:p w:rsidR="00282E35" w:rsidRDefault="00282E35" w:rsidP="00282E35">
      <w:pPr>
        <w:jc w:val="both"/>
      </w:pPr>
      <w:r>
        <w:t>Participation means talking to, listening to and hearing from children and young people whilst encouraging and supporting them to contribute, participate in discussions and have their voices heard. It is then important to act on the views and ideas presented whilst being open, honest and realistic with them on the levels of involvement that they can have.</w:t>
      </w:r>
    </w:p>
    <w:p w:rsidR="00282E35" w:rsidRDefault="00282E35" w:rsidP="00282E35">
      <w:pPr>
        <w:jc w:val="both"/>
        <w:rPr>
          <w:rFonts w:ascii="Calibri" w:hAnsi="Calibri"/>
        </w:rPr>
      </w:pPr>
      <w:r w:rsidRPr="000D622B">
        <w:rPr>
          <w:rFonts w:ascii="Calibri" w:hAnsi="Calibri"/>
        </w:rPr>
        <w:t>Barnet has a large population</w:t>
      </w:r>
      <w:r>
        <w:rPr>
          <w:rFonts w:ascii="Calibri" w:hAnsi="Calibri"/>
        </w:rPr>
        <w:t xml:space="preserve"> of </w:t>
      </w:r>
      <w:r w:rsidRPr="000D622B">
        <w:rPr>
          <w:rFonts w:ascii="Calibri" w:hAnsi="Calibri"/>
        </w:rPr>
        <w:t xml:space="preserve">children and young people and </w:t>
      </w:r>
      <w:r>
        <w:rPr>
          <w:rFonts w:ascii="Calibri" w:hAnsi="Calibri"/>
        </w:rPr>
        <w:t xml:space="preserve">despite the </w:t>
      </w:r>
      <w:r w:rsidRPr="00996141">
        <w:rPr>
          <w:rFonts w:eastAsia="Times New Roman" w:cs="Arial"/>
          <w:lang w:eastAsia="en-GB"/>
        </w:rPr>
        <w:t xml:space="preserve">range of </w:t>
      </w:r>
      <w:r>
        <w:rPr>
          <w:rFonts w:eastAsia="Times New Roman" w:cs="Arial"/>
          <w:lang w:eastAsia="en-GB"/>
        </w:rPr>
        <w:t>engagement</w:t>
      </w:r>
      <w:r w:rsidRPr="00996141">
        <w:rPr>
          <w:rFonts w:eastAsia="Times New Roman" w:cs="Arial"/>
          <w:lang w:eastAsia="en-GB"/>
        </w:rPr>
        <w:t xml:space="preserve"> forums</w:t>
      </w:r>
      <w:r>
        <w:rPr>
          <w:rFonts w:eastAsia="Times New Roman" w:cs="Arial"/>
          <w:lang w:eastAsia="en-GB"/>
        </w:rPr>
        <w:t>,</w:t>
      </w:r>
      <w:r w:rsidRPr="00996141">
        <w:rPr>
          <w:rFonts w:eastAsia="Times New Roman" w:cs="Arial"/>
          <w:lang w:eastAsia="en-GB"/>
        </w:rPr>
        <w:t xml:space="preserve"> </w:t>
      </w:r>
      <w:r>
        <w:rPr>
          <w:rFonts w:ascii="Calibri" w:hAnsi="Calibri"/>
        </w:rPr>
        <w:t>there is still an opportunity for improving the way in which they participate with the council.</w:t>
      </w:r>
    </w:p>
    <w:p w:rsidR="00282E35" w:rsidRPr="00684851" w:rsidRDefault="00EA5799" w:rsidP="00282E35">
      <w:pPr>
        <w:jc w:val="both"/>
      </w:pPr>
      <w:r>
        <w:t>One area in particular where t</w:t>
      </w:r>
      <w:r w:rsidR="00282E35" w:rsidRPr="00684851">
        <w:t>here is room for improvement is around</w:t>
      </w:r>
      <w:r w:rsidR="00282E35">
        <w:t xml:space="preserve"> crime</w:t>
      </w:r>
      <w:r>
        <w:t>. It is known</w:t>
      </w:r>
      <w:r w:rsidR="00282E35" w:rsidRPr="00684851">
        <w:t xml:space="preserve"> that children and young people are more likely to be victims</w:t>
      </w:r>
      <w:r w:rsidR="00282E35">
        <w:t xml:space="preserve"> of</w:t>
      </w:r>
      <w:r w:rsidR="00282E35" w:rsidRPr="00684851">
        <w:t xml:space="preserve"> crime</w:t>
      </w:r>
      <w:r w:rsidR="00282E35">
        <w:t>,</w:t>
      </w:r>
      <w:r w:rsidR="00282E35" w:rsidRPr="00684851">
        <w:t xml:space="preserve"> however they are often less likely to report it t</w:t>
      </w:r>
      <w:r w:rsidR="00282E35">
        <w:t xml:space="preserve">o the police when they are. </w:t>
      </w:r>
    </w:p>
    <w:p w:rsidR="00282E35" w:rsidRDefault="00282E35" w:rsidP="00282E35">
      <w:pPr>
        <w:jc w:val="both"/>
        <w:rPr>
          <w:rFonts w:ascii="Calibri" w:hAnsi="Calibri"/>
        </w:rPr>
      </w:pPr>
      <w:r>
        <w:rPr>
          <w:rFonts w:ascii="Calibri" w:hAnsi="Calibri"/>
        </w:rPr>
        <w:t>Following the publication of ‘The Voice of the Child Strategy Action Plan 2015-17’</w:t>
      </w:r>
      <w:r w:rsidR="00DF36B4">
        <w:rPr>
          <w:rFonts w:ascii="Calibri" w:hAnsi="Calibri"/>
        </w:rPr>
        <w:t>,</w:t>
      </w:r>
      <w:r>
        <w:rPr>
          <w:rFonts w:ascii="Calibri" w:hAnsi="Calibri"/>
        </w:rPr>
        <w:t xml:space="preserve"> work is currently underway to identify ways in which the council can</w:t>
      </w:r>
      <w:r w:rsidRPr="000D622B">
        <w:rPr>
          <w:rFonts w:ascii="Calibri" w:hAnsi="Calibri"/>
        </w:rPr>
        <w:t xml:space="preserve"> enhance </w:t>
      </w:r>
      <w:r>
        <w:rPr>
          <w:rFonts w:ascii="Calibri" w:hAnsi="Calibri"/>
        </w:rPr>
        <w:t xml:space="preserve">its </w:t>
      </w:r>
      <w:r w:rsidRPr="000D622B">
        <w:rPr>
          <w:rFonts w:ascii="Calibri" w:hAnsi="Calibri"/>
        </w:rPr>
        <w:t>understan</w:t>
      </w:r>
      <w:r>
        <w:rPr>
          <w:rFonts w:ascii="Calibri" w:hAnsi="Calibri"/>
        </w:rPr>
        <w:t xml:space="preserve">ding and avenues for engagement with children and young people. This section of the JSNA will be updated in the future to represent this work. </w:t>
      </w:r>
    </w:p>
    <w:p w:rsidR="00671875" w:rsidRDefault="00671875" w:rsidP="00282E35">
      <w:pPr>
        <w:pStyle w:val="Heading1"/>
        <w:keepNext w:val="0"/>
        <w:keepLines w:val="0"/>
        <w:contextualSpacing/>
        <w:rPr>
          <w:b w:val="0"/>
          <w:bCs w:val="0"/>
        </w:rPr>
      </w:pPr>
      <w:r>
        <w:br w:type="page"/>
      </w:r>
    </w:p>
    <w:p w:rsidR="008921BF" w:rsidRPr="00BC3795" w:rsidRDefault="00667093" w:rsidP="008921BF">
      <w:pPr>
        <w:pStyle w:val="Heading1"/>
        <w:numPr>
          <w:ilvl w:val="0"/>
          <w:numId w:val="125"/>
        </w:numPr>
      </w:pPr>
      <w:bookmarkStart w:id="889" w:name="_Toc431225215"/>
      <w:r w:rsidRPr="00BC3795">
        <w:lastRenderedPageBreak/>
        <w:t>Adult Social Care</w:t>
      </w:r>
      <w:bookmarkStart w:id="890" w:name="_Toc426723403"/>
      <w:bookmarkEnd w:id="889"/>
      <w:r w:rsidR="008921BF" w:rsidRPr="008921BF">
        <w:t xml:space="preserve"> </w:t>
      </w:r>
    </w:p>
    <w:bookmarkStart w:id="891" w:name="_Toc424123600"/>
    <w:bookmarkStart w:id="892" w:name="_Toc424123760"/>
    <w:bookmarkStart w:id="893" w:name="_Toc424123912"/>
    <w:bookmarkStart w:id="894" w:name="_Toc424124059"/>
    <w:bookmarkStart w:id="895" w:name="_Toc424124206"/>
    <w:bookmarkStart w:id="896" w:name="_Toc424124352"/>
    <w:bookmarkStart w:id="897" w:name="_Toc424133521"/>
    <w:bookmarkStart w:id="898" w:name="_Toc424217387"/>
    <w:bookmarkStart w:id="899" w:name="_Toc424217546"/>
    <w:bookmarkStart w:id="900" w:name="_Toc424217710"/>
    <w:bookmarkStart w:id="901" w:name="_Toc424218051"/>
    <w:bookmarkStart w:id="902" w:name="_Toc424289076"/>
    <w:bookmarkStart w:id="903" w:name="_Toc424290364"/>
    <w:bookmarkStart w:id="904" w:name="_Toc424290523"/>
    <w:bookmarkStart w:id="905" w:name="_Toc424290872"/>
    <w:bookmarkStart w:id="906" w:name="_Toc424291035"/>
    <w:bookmarkStart w:id="907" w:name="_Toc424291682"/>
    <w:bookmarkStart w:id="908" w:name="_Toc424291843"/>
    <w:bookmarkStart w:id="909" w:name="_Toc424292005"/>
    <w:bookmarkStart w:id="910" w:name="_Toc425235681"/>
    <w:bookmarkStart w:id="911" w:name="_Toc425246716"/>
    <w:bookmarkStart w:id="912" w:name="_Toc425255244"/>
    <w:bookmarkStart w:id="913" w:name="_Toc426377356"/>
    <w:bookmarkStart w:id="914" w:name="_Toc426385012"/>
    <w:bookmarkStart w:id="915" w:name="_Toc426632874"/>
    <w:bookmarkStart w:id="916" w:name="_Toc426633656"/>
    <w:bookmarkStart w:id="917" w:name="_Toc426723389"/>
    <w:bookmarkStart w:id="918" w:name="_Toc427324243"/>
    <w:bookmarkStart w:id="919" w:name="_Toc427327461"/>
    <w:bookmarkStart w:id="920" w:name="_Toc427676677"/>
    <w:bookmarkStart w:id="921" w:name="_Toc427738632"/>
    <w:bookmarkStart w:id="922" w:name="_Toc427763278"/>
    <w:bookmarkStart w:id="923" w:name="_Toc427830471"/>
    <w:bookmarkStart w:id="924" w:name="_Toc428344210"/>
    <w:bookmarkStart w:id="925" w:name="_Toc430871238"/>
    <w:bookmarkStart w:id="926" w:name="_Toc431198939"/>
    <w:bookmarkStart w:id="927" w:name="_Toc431225216"/>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p w:rsidR="008921BF" w:rsidRPr="008921BF" w:rsidRDefault="008921BF" w:rsidP="008921BF">
      <w:pPr>
        <w:pStyle w:val="Heading1"/>
        <w:numPr>
          <w:ilvl w:val="0"/>
          <w:numId w:val="134"/>
        </w:numPr>
        <w:rPr>
          <w:vanish/>
        </w:rPr>
      </w:pPr>
      <w:r>
        <w:rPr>
          <w:noProof/>
          <w:lang w:eastAsia="en-GB"/>
        </w:rPr>
        <mc:AlternateContent>
          <mc:Choice Requires="wps">
            <w:drawing>
              <wp:anchor distT="0" distB="0" distL="114300" distR="114300" simplePos="0" relativeHeight="251858944" behindDoc="1" locked="0" layoutInCell="1" allowOverlap="1" wp14:anchorId="681F49BB" wp14:editId="135C6EF7">
                <wp:simplePos x="0" y="0"/>
                <wp:positionH relativeFrom="column">
                  <wp:posOffset>-148856</wp:posOffset>
                </wp:positionH>
                <wp:positionV relativeFrom="paragraph">
                  <wp:posOffset>68314</wp:posOffset>
                </wp:positionV>
                <wp:extent cx="6038850" cy="2752902"/>
                <wp:effectExtent l="0" t="0" r="0" b="9525"/>
                <wp:wrapNone/>
                <wp:docPr id="49166" name="Rectangle 49166"/>
                <wp:cNvGraphicFramePr/>
                <a:graphic xmlns:a="http://schemas.openxmlformats.org/drawingml/2006/main">
                  <a:graphicData uri="http://schemas.microsoft.com/office/word/2010/wordprocessingShape">
                    <wps:wsp>
                      <wps:cNvSpPr/>
                      <wps:spPr>
                        <a:xfrm>
                          <a:off x="0" y="0"/>
                          <a:ext cx="6038850" cy="2752902"/>
                        </a:xfrm>
                        <a:prstGeom prst="rect">
                          <a:avLst/>
                        </a:prstGeom>
                        <a:solidFill>
                          <a:srgbClr val="4F81BD">
                            <a:lumMod val="20000"/>
                            <a:lumOff val="80000"/>
                            <a:alpha val="7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9166" o:spid="_x0000_s1026" style="position:absolute;margin-left:-11.7pt;margin-top:5.4pt;width:475.5pt;height:216.75pt;z-index:-25145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" fillcolor="#dce6f2" stroked="f" strokeweight="2pt">
                <v:fill opacity="46003f"/>
              </v:rect>
            </w:pict>
          </mc:Fallback>
        </mc:AlternateContent>
      </w:r>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p>
    <w:p w:rsidR="008921BF" w:rsidRDefault="008921BF" w:rsidP="008921BF">
      <w:pPr>
        <w:pStyle w:val="Heading2"/>
      </w:pPr>
      <w:bookmarkStart w:id="928" w:name="_Toc426723390"/>
      <w:bookmarkStart w:id="929" w:name="_Toc431225217"/>
      <w:r>
        <w:t>Key Facts</w:t>
      </w:r>
      <w:bookmarkEnd w:id="928"/>
      <w:bookmarkEnd w:id="929"/>
    </w:p>
    <w:p w:rsidR="008921BF" w:rsidRDefault="008921BF" w:rsidP="008921BF">
      <w:pPr>
        <w:pStyle w:val="ListParagraph"/>
        <w:numPr>
          <w:ilvl w:val="0"/>
          <w:numId w:val="53"/>
        </w:numPr>
        <w:jc w:val="both"/>
      </w:pPr>
      <w:r>
        <w:t xml:space="preserve">The most recent population projections indicate that the adult population (18+) of Barnet will be 280,904, 76.5% of the total Borough population, by the end of 2015.  </w:t>
      </w:r>
    </w:p>
    <w:p w:rsidR="008921BF" w:rsidRDefault="008921BF" w:rsidP="008921BF">
      <w:pPr>
        <w:pStyle w:val="ListParagraph"/>
        <w:numPr>
          <w:ilvl w:val="0"/>
          <w:numId w:val="53"/>
        </w:numPr>
        <w:jc w:val="both"/>
      </w:pPr>
      <w:r>
        <w:t xml:space="preserve">This population is projected to grow by 14.5% between 2015 and 2030, to 321,677. </w:t>
      </w:r>
    </w:p>
    <w:p w:rsidR="008921BF" w:rsidRDefault="008921BF" w:rsidP="008921BF">
      <w:pPr>
        <w:pStyle w:val="ListParagraph"/>
        <w:numPr>
          <w:ilvl w:val="0"/>
          <w:numId w:val="53"/>
        </w:numPr>
        <w:spacing w:after="0"/>
        <w:jc w:val="both"/>
      </w:pPr>
      <w:r>
        <w:t xml:space="preserve">By age group, 4,744 (63.8%) of service users are aged 65+.   </w:t>
      </w:r>
    </w:p>
    <w:p w:rsidR="008921BF" w:rsidRDefault="008921BF" w:rsidP="008921BF">
      <w:pPr>
        <w:pStyle w:val="ListParagraph"/>
        <w:numPr>
          <w:ilvl w:val="0"/>
          <w:numId w:val="53"/>
        </w:numPr>
        <w:spacing w:after="0"/>
        <w:jc w:val="both"/>
      </w:pPr>
      <w:r>
        <w:t xml:space="preserve">Despite continued growth in the adult population, the number of people in receipt of residential care and nursing care decreased from 1,441 in 2011/12 to 1,367 in 2013/14 (-5.1%), reflecting on-going work to help people remain in their own homes for longer. </w:t>
      </w:r>
    </w:p>
    <w:p w:rsidR="008921BF" w:rsidRDefault="008921BF" w:rsidP="008921BF">
      <w:pPr>
        <w:pStyle w:val="ListParagraph"/>
        <w:numPr>
          <w:ilvl w:val="0"/>
          <w:numId w:val="53"/>
        </w:numPr>
        <w:spacing w:after="0"/>
        <w:jc w:val="both"/>
      </w:pPr>
      <w:r>
        <w:t xml:space="preserve">In relation to the total population, Brunswick Park and Underhill have the highest rates of carers (10.5% of the population), and Colindale has the lowest rate (6.90% of the population). </w:t>
      </w:r>
    </w:p>
    <w:p w:rsidR="008921BF" w:rsidRDefault="008921BF" w:rsidP="008921BF">
      <w:pPr>
        <w:pStyle w:val="ListParagraph"/>
        <w:numPr>
          <w:ilvl w:val="0"/>
          <w:numId w:val="53"/>
        </w:numPr>
        <w:tabs>
          <w:tab w:val="left" w:pos="709"/>
        </w:tabs>
        <w:spacing w:after="0"/>
        <w:jc w:val="both"/>
      </w:pPr>
      <w:r w:rsidRPr="00AA0990">
        <w:t>According to national projections, the most common health condition</w:t>
      </w:r>
      <w:r>
        <w:t>s</w:t>
      </w:r>
      <w:r w:rsidRPr="00AA0990">
        <w:t>/disabilit</w:t>
      </w:r>
      <w:r>
        <w:t>ies</w:t>
      </w:r>
      <w:r w:rsidRPr="00AA0990">
        <w:t xml:space="preserve"> within Barnet </w:t>
      </w:r>
      <w:r>
        <w:t xml:space="preserve">are mental health disorders and hearing impairments in those aged 65 and over.  </w:t>
      </w:r>
    </w:p>
    <w:p w:rsidR="008921BF" w:rsidRDefault="008921BF" w:rsidP="008921BF">
      <w:pPr>
        <w:pStyle w:val="Heading2"/>
      </w:pPr>
      <w:bookmarkStart w:id="930" w:name="_Toc426723391"/>
      <w:bookmarkStart w:id="931" w:name="_Toc431225218"/>
      <w:r>
        <w:t>Strategic Needs</w:t>
      </w:r>
      <w:bookmarkEnd w:id="930"/>
      <w:bookmarkEnd w:id="931"/>
    </w:p>
    <w:p w:rsidR="008921BF" w:rsidRDefault="008921BF" w:rsidP="008921BF">
      <w:pPr>
        <w:pStyle w:val="ListParagraph"/>
        <w:numPr>
          <w:ilvl w:val="0"/>
          <w:numId w:val="54"/>
        </w:numPr>
        <w:spacing w:after="0" w:line="240" w:lineRule="auto"/>
        <w:jc w:val="both"/>
      </w:pPr>
      <w:r w:rsidRPr="008422FC">
        <w:rPr>
          <w:b/>
        </w:rPr>
        <w:t>Mental disorde</w:t>
      </w:r>
      <w:r w:rsidRPr="00142795">
        <w:rPr>
          <w:b/>
        </w:rPr>
        <w:t>r</w:t>
      </w:r>
      <w:r w:rsidR="00142795" w:rsidRPr="00142795">
        <w:rPr>
          <w:b/>
        </w:rPr>
        <w:t>s</w:t>
      </w:r>
      <w:r w:rsidR="00142795">
        <w:t xml:space="preserve"> are</w:t>
      </w:r>
      <w:r w:rsidRPr="008422FC">
        <w:t xml:space="preserve"> responsible for the </w:t>
      </w:r>
      <w:r w:rsidRPr="008422FC">
        <w:rPr>
          <w:b/>
        </w:rPr>
        <w:t>largest burden of disease in England</w:t>
      </w:r>
      <w:r w:rsidRPr="008422FC">
        <w:t xml:space="preserve"> </w:t>
      </w:r>
      <w:r>
        <w:t>at</w:t>
      </w:r>
      <w:r w:rsidRPr="008422FC">
        <w:t xml:space="preserve"> 23% of the total burden</w:t>
      </w:r>
      <w:r>
        <w:t xml:space="preserve">. </w:t>
      </w:r>
      <w:r w:rsidRPr="008422FC">
        <w:t xml:space="preserve">Within Barnet, </w:t>
      </w:r>
      <w:r w:rsidRPr="005A6341">
        <w:t xml:space="preserve">the </w:t>
      </w:r>
      <w:r w:rsidRPr="008422FC">
        <w:rPr>
          <w:b/>
        </w:rPr>
        <w:t>most significant element of the CCG’s mental health expenditure is in secondary mental health</w:t>
      </w:r>
      <w:r w:rsidRPr="005A6341">
        <w:t xml:space="preserve"> (i.e. hospital/residential settings). </w:t>
      </w:r>
    </w:p>
    <w:p w:rsidR="008921BF" w:rsidRDefault="008921BF" w:rsidP="008921BF">
      <w:pPr>
        <w:pStyle w:val="ListParagraph"/>
        <w:numPr>
          <w:ilvl w:val="0"/>
          <w:numId w:val="54"/>
        </w:numPr>
        <w:spacing w:after="0" w:line="240" w:lineRule="auto"/>
        <w:contextualSpacing w:val="0"/>
        <w:jc w:val="both"/>
      </w:pPr>
      <w:r w:rsidRPr="005A6341">
        <w:t xml:space="preserve">As more young people with complex needs survive into adulthood, there is a national and local drive to help them to </w:t>
      </w:r>
      <w:r w:rsidRPr="005A6341">
        <w:rPr>
          <w:b/>
        </w:rPr>
        <w:t>live as independently</w:t>
      </w:r>
      <w:r>
        <w:t xml:space="preserve"> </w:t>
      </w:r>
      <w:r w:rsidRPr="002A136B">
        <w:rPr>
          <w:b/>
        </w:rPr>
        <w:t>as possible</w:t>
      </w:r>
      <w:r w:rsidRPr="005A6341">
        <w:t xml:space="preserve"> </w:t>
      </w:r>
      <w:r w:rsidRPr="005A6341">
        <w:rPr>
          <w:b/>
        </w:rPr>
        <w:t>within the community</w:t>
      </w:r>
      <w:r w:rsidRPr="005A6341">
        <w:t xml:space="preserve">. This places significant pressure on ensuring </w:t>
      </w:r>
      <w:r w:rsidRPr="005A6341">
        <w:rPr>
          <w:b/>
        </w:rPr>
        <w:t xml:space="preserve">appropriate housing and support </w:t>
      </w:r>
      <w:r>
        <w:rPr>
          <w:b/>
        </w:rPr>
        <w:t>services</w:t>
      </w:r>
      <w:r w:rsidRPr="005A6341">
        <w:t xml:space="preserve"> are available to </w:t>
      </w:r>
      <w:r w:rsidRPr="005A6341">
        <w:rPr>
          <w:b/>
        </w:rPr>
        <w:t>meet their requirements</w:t>
      </w:r>
      <w:r w:rsidRPr="005A6341">
        <w:t xml:space="preserve">. </w:t>
      </w:r>
    </w:p>
    <w:p w:rsidR="009313DF" w:rsidRPr="005A6341" w:rsidRDefault="009313DF" w:rsidP="009313DF">
      <w:pPr>
        <w:pStyle w:val="ListParagraph"/>
        <w:numPr>
          <w:ilvl w:val="0"/>
          <w:numId w:val="54"/>
        </w:numPr>
        <w:spacing w:after="0"/>
        <w:jc w:val="both"/>
        <w:rPr>
          <w:b/>
        </w:rPr>
      </w:pPr>
      <w:r w:rsidRPr="005A6341">
        <w:t xml:space="preserve">The </w:t>
      </w:r>
      <w:r w:rsidRPr="005A6341">
        <w:rPr>
          <w:b/>
        </w:rPr>
        <w:t xml:space="preserve">highest proportion of referrals </w:t>
      </w:r>
      <w:r w:rsidRPr="007301C5">
        <w:t>into Adult Social Care</w:t>
      </w:r>
      <w:r w:rsidRPr="005A6341">
        <w:rPr>
          <w:b/>
        </w:rPr>
        <w:t xml:space="preserve"> </w:t>
      </w:r>
      <w:r>
        <w:rPr>
          <w:b/>
        </w:rPr>
        <w:t>are</w:t>
      </w:r>
      <w:r w:rsidRPr="005A6341">
        <w:rPr>
          <w:b/>
        </w:rPr>
        <w:t xml:space="preserve"> from secondary health </w:t>
      </w:r>
      <w:r>
        <w:rPr>
          <w:b/>
        </w:rPr>
        <w:t>care teams</w:t>
      </w:r>
      <w:r w:rsidRPr="005A6341">
        <w:t xml:space="preserve">. </w:t>
      </w:r>
    </w:p>
    <w:p w:rsidR="008921BF" w:rsidRPr="005A6341" w:rsidRDefault="008921BF" w:rsidP="008921BF">
      <w:pPr>
        <w:pStyle w:val="ListParagraph"/>
        <w:numPr>
          <w:ilvl w:val="0"/>
          <w:numId w:val="54"/>
        </w:numPr>
        <w:jc w:val="both"/>
      </w:pPr>
      <w:r w:rsidRPr="005A6341">
        <w:t xml:space="preserve">There is a significant shift in the way in which support is delivered with more </w:t>
      </w:r>
      <w:r w:rsidRPr="005A6341">
        <w:rPr>
          <w:b/>
        </w:rPr>
        <w:t>people choosing to remain at home</w:t>
      </w:r>
      <w:r w:rsidRPr="005A6341">
        <w:t xml:space="preserve"> for a longer period of time</w:t>
      </w:r>
      <w:r>
        <w:t xml:space="preserve">. This </w:t>
      </w:r>
      <w:r w:rsidRPr="005A6341">
        <w:t xml:space="preserve">requires </w:t>
      </w:r>
      <w:r w:rsidRPr="007301C5">
        <w:rPr>
          <w:b/>
        </w:rPr>
        <w:t>effective,</w:t>
      </w:r>
      <w:r>
        <w:t xml:space="preserve"> </w:t>
      </w:r>
      <w:r w:rsidRPr="005A6341">
        <w:rPr>
          <w:b/>
        </w:rPr>
        <w:t>targeted</w:t>
      </w:r>
      <w:r>
        <w:rPr>
          <w:b/>
        </w:rPr>
        <w:t>,</w:t>
      </w:r>
      <w:r w:rsidRPr="005A6341">
        <w:rPr>
          <w:b/>
        </w:rPr>
        <w:t xml:space="preserve"> local</w:t>
      </w:r>
      <w:r>
        <w:rPr>
          <w:b/>
        </w:rPr>
        <w:t>ly</w:t>
      </w:r>
      <w:r w:rsidRPr="005A6341">
        <w:rPr>
          <w:b/>
        </w:rPr>
        <w:t xml:space="preserve"> based provision. </w:t>
      </w:r>
    </w:p>
    <w:p w:rsidR="008921BF" w:rsidRPr="005A6341" w:rsidRDefault="008921BF" w:rsidP="008921BF">
      <w:pPr>
        <w:pStyle w:val="ListParagraph"/>
        <w:numPr>
          <w:ilvl w:val="0"/>
          <w:numId w:val="54"/>
        </w:numPr>
        <w:spacing w:after="0" w:line="240" w:lineRule="auto"/>
        <w:contextualSpacing w:val="0"/>
        <w:jc w:val="both"/>
      </w:pPr>
      <w:r w:rsidRPr="005A6341">
        <w:t xml:space="preserve">Feelings of social isolation and loneliness can be detrimental to a person’s health and wellbeing. In Barnet, social isolation is especially prominent in </w:t>
      </w:r>
      <w:r w:rsidRPr="005A6341">
        <w:rPr>
          <w:b/>
        </w:rPr>
        <w:t>elderly women who live alone</w:t>
      </w:r>
      <w:r w:rsidRPr="005A6341">
        <w:t xml:space="preserve">, especially in </w:t>
      </w:r>
      <w:r w:rsidRPr="005A6341">
        <w:rPr>
          <w:b/>
        </w:rPr>
        <w:t>areas of higher affluence and lower population density</w:t>
      </w:r>
      <w:r>
        <w:rPr>
          <w:b/>
        </w:rPr>
        <w:t>.</w:t>
      </w:r>
    </w:p>
    <w:p w:rsidR="008921BF" w:rsidRDefault="008921BF" w:rsidP="008921BF">
      <w:pPr>
        <w:pStyle w:val="ListParagraph"/>
        <w:numPr>
          <w:ilvl w:val="0"/>
          <w:numId w:val="54"/>
        </w:numPr>
        <w:jc w:val="both"/>
      </w:pPr>
      <w:r w:rsidRPr="005A6341">
        <w:rPr>
          <w:b/>
        </w:rPr>
        <w:t>The Care Act</w:t>
      </w:r>
      <w:r w:rsidRPr="005A6341">
        <w:t xml:space="preserve"> represents the most significant reform of care and support in more than 60 years. It is expected to </w:t>
      </w:r>
      <w:r>
        <w:t xml:space="preserve">drive </w:t>
      </w:r>
      <w:r w:rsidRPr="005A6341">
        <w:rPr>
          <w:b/>
        </w:rPr>
        <w:t>increased demand for adult social care support over and</w:t>
      </w:r>
      <w:r w:rsidRPr="005A6341">
        <w:t xml:space="preserve"> </w:t>
      </w:r>
      <w:r w:rsidRPr="005A6341">
        <w:rPr>
          <w:b/>
        </w:rPr>
        <w:t>above the increased levels of demand from demographic pressures</w:t>
      </w:r>
      <w:r w:rsidRPr="005A6341">
        <w:t>.</w:t>
      </w:r>
    </w:p>
    <w:p w:rsidR="008921BF" w:rsidRPr="00C52D55" w:rsidRDefault="008921BF" w:rsidP="008921BF">
      <w:pPr>
        <w:pStyle w:val="ListParagraph"/>
        <w:numPr>
          <w:ilvl w:val="0"/>
          <w:numId w:val="54"/>
        </w:numPr>
        <w:jc w:val="both"/>
      </w:pPr>
      <w:r>
        <w:rPr>
          <w:b/>
        </w:rPr>
        <w:t>According to national benchmarking information, d</w:t>
      </w:r>
      <w:r w:rsidRPr="00C52D55">
        <w:rPr>
          <w:b/>
        </w:rPr>
        <w:t xml:space="preserve">emand for enablement services </w:t>
      </w:r>
      <w:r w:rsidRPr="00C52D55">
        <w:t>should be around</w:t>
      </w:r>
      <w:r w:rsidRPr="00C52D55">
        <w:rPr>
          <w:b/>
        </w:rPr>
        <w:t xml:space="preserve"> 5% of the 65 and over population</w:t>
      </w:r>
      <w:r w:rsidRPr="00C52D55">
        <w:t xml:space="preserve">. In </w:t>
      </w:r>
      <w:r w:rsidRPr="00C52D55">
        <w:rPr>
          <w:b/>
        </w:rPr>
        <w:t>2013/14</w:t>
      </w:r>
      <w:r w:rsidRPr="00C52D55">
        <w:t xml:space="preserve"> the service was used by </w:t>
      </w:r>
      <w:r w:rsidRPr="00C52D55">
        <w:rPr>
          <w:b/>
        </w:rPr>
        <w:t>1,660 people</w:t>
      </w:r>
      <w:r>
        <w:rPr>
          <w:b/>
        </w:rPr>
        <w:t xml:space="preserve"> in Barnet</w:t>
      </w:r>
      <w:r w:rsidRPr="00C52D55">
        <w:rPr>
          <w:b/>
        </w:rPr>
        <w:t>, 3.3% of the 65 and over population</w:t>
      </w:r>
      <w:r>
        <w:t>. This</w:t>
      </w:r>
      <w:r w:rsidRPr="00C52D55">
        <w:t xml:space="preserve"> could indicate a </w:t>
      </w:r>
      <w:r>
        <w:rPr>
          <w:b/>
        </w:rPr>
        <w:t>lack of take up</w:t>
      </w:r>
      <w:r w:rsidRPr="00C52D55">
        <w:rPr>
          <w:b/>
        </w:rPr>
        <w:t xml:space="preserve"> of around 800 people.</w:t>
      </w:r>
    </w:p>
    <w:p w:rsidR="008921BF" w:rsidRPr="0030162F" w:rsidRDefault="008921BF" w:rsidP="008921BF">
      <w:pPr>
        <w:pStyle w:val="ListParagraph"/>
        <w:numPr>
          <w:ilvl w:val="0"/>
          <w:numId w:val="54"/>
        </w:numPr>
        <w:jc w:val="both"/>
      </w:pPr>
      <w:r>
        <w:t xml:space="preserve">In 2011 </w:t>
      </w:r>
      <w:r w:rsidRPr="0030162F">
        <w:t xml:space="preserve">there were 32,256 residents who classified themselves as a </w:t>
      </w:r>
      <w:proofErr w:type="spellStart"/>
      <w:r w:rsidRPr="0030162F">
        <w:t>carer</w:t>
      </w:r>
      <w:proofErr w:type="spellEnd"/>
      <w:r w:rsidRPr="0030162F">
        <w:t xml:space="preserve"> in B</w:t>
      </w:r>
      <w:r>
        <w:t>arnet</w:t>
      </w:r>
      <w:r w:rsidRPr="0030162F">
        <w:t xml:space="preserve">. </w:t>
      </w:r>
      <w:r>
        <w:t xml:space="preserve">The 25-49 year old age group had the largest number of carers (12,746). </w:t>
      </w:r>
    </w:p>
    <w:p w:rsidR="008921BF" w:rsidRPr="006C1C01" w:rsidRDefault="008921BF" w:rsidP="008921BF">
      <w:pPr>
        <w:pStyle w:val="ListParagraph"/>
        <w:numPr>
          <w:ilvl w:val="0"/>
          <w:numId w:val="54"/>
        </w:numPr>
        <w:spacing w:after="0"/>
        <w:jc w:val="both"/>
      </w:pPr>
      <w:r w:rsidRPr="00142795">
        <w:rPr>
          <w:b/>
        </w:rPr>
        <w:t>C</w:t>
      </w:r>
      <w:r w:rsidRPr="00BE00D8">
        <w:rPr>
          <w:b/>
        </w:rPr>
        <w:t>arers</w:t>
      </w:r>
      <w:r>
        <w:t xml:space="preserve"> </w:t>
      </w:r>
      <w:r w:rsidRPr="00BE00D8">
        <w:rPr>
          <w:b/>
        </w:rPr>
        <w:t>have the potential</w:t>
      </w:r>
      <w:r w:rsidRPr="006C1C01">
        <w:t xml:space="preserve"> </w:t>
      </w:r>
      <w:r>
        <w:t>to make</w:t>
      </w:r>
      <w:r w:rsidRPr="006C1C01">
        <w:t xml:space="preserve"> </w:t>
      </w:r>
      <w:r w:rsidRPr="00BE00D8">
        <w:rPr>
          <w:b/>
        </w:rPr>
        <w:t>significant savings to health and social care services</w:t>
      </w:r>
      <w:r w:rsidRPr="006C1C01">
        <w:t xml:space="preserve"> each year. However, on average carers</w:t>
      </w:r>
      <w:r w:rsidRPr="006C1C01">
        <w:rPr>
          <w:b/>
        </w:rPr>
        <w:t xml:space="preserve"> are more likely to report having poor health than non-carers</w:t>
      </w:r>
      <w:r w:rsidRPr="006C1C01">
        <w:t>, especially amongst carer</w:t>
      </w:r>
      <w:r>
        <w:t>s who deliver in excess of 50 h</w:t>
      </w:r>
      <w:r w:rsidRPr="006C1C01">
        <w:t xml:space="preserve">ours of care per week. </w:t>
      </w:r>
    </w:p>
    <w:p w:rsidR="008921BF" w:rsidRDefault="008921BF" w:rsidP="008921BF">
      <w:pPr>
        <w:pStyle w:val="ListParagraph"/>
        <w:numPr>
          <w:ilvl w:val="0"/>
          <w:numId w:val="54"/>
        </w:numPr>
        <w:jc w:val="both"/>
      </w:pPr>
      <w:r w:rsidRPr="00564A6F">
        <w:rPr>
          <w:b/>
        </w:rPr>
        <w:lastRenderedPageBreak/>
        <w:t xml:space="preserve">Demand for carers is projected to </w:t>
      </w:r>
      <w:r>
        <w:rPr>
          <w:b/>
        </w:rPr>
        <w:t>grow</w:t>
      </w:r>
      <w:r w:rsidRPr="00564A6F">
        <w:t xml:space="preserve"> with the increase in life expectancy, the increase in people living with a disability needing care and with the changes to community based </w:t>
      </w:r>
      <w:r w:rsidRPr="008422FC">
        <w:t xml:space="preserve">support services.  </w:t>
      </w:r>
    </w:p>
    <w:p w:rsidR="008921BF" w:rsidRPr="00D70C1E" w:rsidRDefault="008921BF" w:rsidP="008921BF">
      <w:pPr>
        <w:pStyle w:val="ListParagraph"/>
        <w:numPr>
          <w:ilvl w:val="0"/>
          <w:numId w:val="54"/>
        </w:numPr>
        <w:jc w:val="both"/>
      </w:pPr>
      <w:r w:rsidRPr="00EF4B54">
        <w:rPr>
          <w:b/>
        </w:rPr>
        <w:t>Barnet</w:t>
      </w:r>
      <w:r w:rsidRPr="008422FC">
        <w:t xml:space="preserve"> has a </w:t>
      </w:r>
      <w:r w:rsidRPr="00EF4B54">
        <w:rPr>
          <w:b/>
        </w:rPr>
        <w:t>higher population of people with dementia than</w:t>
      </w:r>
      <w:r w:rsidRPr="008422FC">
        <w:t xml:space="preserve"> </w:t>
      </w:r>
      <w:r w:rsidRPr="00EF4B54">
        <w:rPr>
          <w:b/>
        </w:rPr>
        <w:t>many London Boroughs</w:t>
      </w:r>
      <w:r w:rsidRPr="008422FC">
        <w:t xml:space="preserve"> and the </w:t>
      </w:r>
      <w:r w:rsidRPr="00EF4B54">
        <w:rPr>
          <w:b/>
        </w:rPr>
        <w:t>highest number of care home places</w:t>
      </w:r>
      <w:r w:rsidRPr="008422FC">
        <w:t xml:space="preserve"> registered </w:t>
      </w:r>
      <w:r w:rsidRPr="00EF4B54">
        <w:rPr>
          <w:b/>
        </w:rPr>
        <w:t>for dementia per 100 population</w:t>
      </w:r>
      <w:r w:rsidRPr="008422FC">
        <w:t xml:space="preserve"> aged 65 and over in London. </w:t>
      </w:r>
      <w:r w:rsidRPr="00EF4B54">
        <w:rPr>
          <w:b/>
        </w:rPr>
        <w:t>By 2021</w:t>
      </w:r>
      <w:r w:rsidRPr="008422FC">
        <w:t xml:space="preserve"> </w:t>
      </w:r>
      <w:r w:rsidRPr="00EF4B54">
        <w:rPr>
          <w:b/>
        </w:rPr>
        <w:t>the number of people with dementia</w:t>
      </w:r>
      <w:r w:rsidRPr="008422FC">
        <w:t xml:space="preserve"> in Barnet is expected to </w:t>
      </w:r>
      <w:r w:rsidRPr="00EF4B54">
        <w:rPr>
          <w:b/>
        </w:rPr>
        <w:t>increase by 24%</w:t>
      </w:r>
      <w:r w:rsidRPr="008422FC">
        <w:t xml:space="preserve"> compared with a London-wide figure of 19%.</w:t>
      </w:r>
    </w:p>
    <w:p w:rsidR="008921BF" w:rsidRDefault="008921BF" w:rsidP="008921BF">
      <w:pPr>
        <w:pStyle w:val="Heading2"/>
      </w:pPr>
      <w:bookmarkStart w:id="932" w:name="_Toc426723392"/>
      <w:bookmarkStart w:id="933" w:name="_Toc431225219"/>
      <w:r>
        <w:t>Service User Profile</w:t>
      </w:r>
      <w:bookmarkEnd w:id="932"/>
      <w:bookmarkEnd w:id="933"/>
    </w:p>
    <w:p w:rsidR="008921BF" w:rsidRPr="00194730" w:rsidRDefault="008921BF" w:rsidP="008921BF">
      <w:pPr>
        <w:jc w:val="both"/>
      </w:pPr>
      <w:r>
        <w:t>In 2013/14 there was an increase in the number of Adults contacting Barnet for support.  Many of these people were provided with advice and inform</w:t>
      </w:r>
      <w:r w:rsidR="00702B67">
        <w:t>ation by Social Care Direct, the Council’s</w:t>
      </w:r>
      <w:r>
        <w:t xml:space="preserve"> Front Door service.  Some residents were sign posted to services such as Barnet’s Carers Centre and the Barnet Centre for Independent Living, wh</w:t>
      </w:r>
      <w:r w:rsidR="00702B67">
        <w:t>ilst others were referred to</w:t>
      </w:r>
      <w:r>
        <w:t xml:space="preserve"> social care teams for full assessment.  </w:t>
      </w:r>
    </w:p>
    <w:p w:rsidR="008921BF" w:rsidRPr="003900B4" w:rsidRDefault="008921BF" w:rsidP="008921BF">
      <w:pPr>
        <w:pStyle w:val="Caption"/>
      </w:pPr>
      <w:r w:rsidRPr="003900B4">
        <w:t>Figure</w:t>
      </w:r>
      <w:r>
        <w:t xml:space="preserve"> </w:t>
      </w:r>
      <w:fldSimple w:instr=" STYLEREF 1 \s ">
        <w:r w:rsidR="001663C2">
          <w:rPr>
            <w:noProof/>
          </w:rPr>
          <w:t>9</w:t>
        </w:r>
      </w:fldSimple>
      <w:r w:rsidR="00943DC2">
        <w:noBreakHyphen/>
      </w:r>
      <w:fldSimple w:instr=" SEQ Figure \* ARABIC \s 1 ">
        <w:r w:rsidR="001663C2">
          <w:rPr>
            <w:noProof/>
          </w:rPr>
          <w:t>1</w:t>
        </w:r>
      </w:fldSimple>
      <w:r w:rsidRPr="009B1608">
        <w:rPr>
          <w:b w:val="0"/>
          <w:i/>
        </w:rPr>
        <w:t xml:space="preserve">: </w:t>
      </w:r>
      <w:r w:rsidRPr="003900B4">
        <w:t>Number of people contacting Adult Social Care during the year</w:t>
      </w:r>
    </w:p>
    <w:p w:rsidR="008921BF" w:rsidRDefault="008921BF" w:rsidP="008921BF">
      <w:pPr>
        <w:spacing w:after="0" w:line="240" w:lineRule="auto"/>
        <w:jc w:val="center"/>
        <w:rPr>
          <w:b/>
        </w:rPr>
      </w:pPr>
      <w:r>
        <w:rPr>
          <w:noProof/>
          <w:lang w:eastAsia="en-GB"/>
        </w:rPr>
        <w:drawing>
          <wp:inline distT="0" distB="0" distL="0" distR="0" wp14:anchorId="5C19C003" wp14:editId="62E81B77">
            <wp:extent cx="3657600" cy="1552354"/>
            <wp:effectExtent l="0" t="0" r="19050" b="10160"/>
            <wp:docPr id="318" name="Chart 3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7"/>
              </a:graphicData>
            </a:graphic>
          </wp:inline>
        </w:drawing>
      </w:r>
    </w:p>
    <w:p w:rsidR="008921BF" w:rsidRDefault="008A1A30" w:rsidP="008921BF">
      <w:pPr>
        <w:spacing w:after="0" w:line="240" w:lineRule="auto"/>
        <w:rPr>
          <w:b/>
        </w:rPr>
      </w:pPr>
      <w:r>
        <w:t>Source:  SWIFT – Adult Social Care Database</w:t>
      </w:r>
    </w:p>
    <w:p w:rsidR="008A1A30" w:rsidRPr="009B1608" w:rsidRDefault="008A1A30" w:rsidP="008921BF">
      <w:pPr>
        <w:spacing w:after="0" w:line="240" w:lineRule="auto"/>
        <w:rPr>
          <w:b/>
        </w:rPr>
      </w:pPr>
    </w:p>
    <w:p w:rsidR="008921BF" w:rsidRDefault="008921BF" w:rsidP="008921BF">
      <w:pPr>
        <w:pStyle w:val="Caption"/>
      </w:pPr>
      <w:r>
        <w:t xml:space="preserve">Figure </w:t>
      </w:r>
      <w:fldSimple w:instr=" STYLEREF 1 \s ">
        <w:r w:rsidR="001663C2">
          <w:rPr>
            <w:noProof/>
          </w:rPr>
          <w:t>9</w:t>
        </w:r>
      </w:fldSimple>
      <w:r w:rsidR="00943DC2">
        <w:noBreakHyphen/>
      </w:r>
      <w:fldSimple w:instr=" SEQ Figure \* ARABIC \s 1 ">
        <w:r w:rsidR="001663C2">
          <w:rPr>
            <w:noProof/>
          </w:rPr>
          <w:t>2</w:t>
        </w:r>
      </w:fldSimple>
      <w:r w:rsidRPr="009B1608">
        <w:t xml:space="preserve">: </w:t>
      </w:r>
      <w:r w:rsidRPr="003900B4">
        <w:t>Number</w:t>
      </w:r>
      <w:r w:rsidRPr="009B1608">
        <w:t xml:space="preserve"> of people </w:t>
      </w:r>
      <w:r>
        <w:t>receiving Adult Social Care services</w:t>
      </w:r>
      <w:r w:rsidRPr="009B1608">
        <w:t xml:space="preserve"> during the year</w:t>
      </w:r>
    </w:p>
    <w:p w:rsidR="008921BF" w:rsidRPr="009B1608" w:rsidRDefault="008921BF" w:rsidP="008A1A30">
      <w:pPr>
        <w:spacing w:after="0" w:line="240" w:lineRule="auto"/>
        <w:jc w:val="center"/>
        <w:rPr>
          <w:rFonts w:ascii="Calibri" w:hAnsi="Calibri" w:cs="Calibri"/>
          <w:b/>
          <w:i/>
        </w:rPr>
      </w:pPr>
      <w:r>
        <w:rPr>
          <w:noProof/>
          <w:lang w:eastAsia="en-GB"/>
        </w:rPr>
        <w:drawing>
          <wp:inline distT="0" distB="0" distL="0" distR="0" wp14:anchorId="7D727F0A" wp14:editId="2C80A888">
            <wp:extent cx="4904509" cy="1638795"/>
            <wp:effectExtent l="0" t="0" r="10795" b="19050"/>
            <wp:docPr id="319" name="Chart 3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inline>
        </w:drawing>
      </w:r>
    </w:p>
    <w:p w:rsidR="008A1A30" w:rsidRDefault="008A1A30" w:rsidP="008A1A30">
      <w:pPr>
        <w:spacing w:after="0" w:line="240" w:lineRule="auto"/>
      </w:pPr>
      <w:r>
        <w:t>Source:  SWIFT – Adult Social Care Database</w:t>
      </w:r>
    </w:p>
    <w:p w:rsidR="008A1A30" w:rsidRDefault="008A1A30" w:rsidP="008A1A30">
      <w:pPr>
        <w:spacing w:after="0" w:line="240" w:lineRule="auto"/>
      </w:pPr>
    </w:p>
    <w:p w:rsidR="008921BF" w:rsidRDefault="008921BF" w:rsidP="008921BF">
      <w:pPr>
        <w:jc w:val="both"/>
      </w:pPr>
      <w:r>
        <w:t xml:space="preserve">Figure 9-3 shows the proportion of referrals to Adult Social Care by referral source for 2013/14. </w:t>
      </w:r>
      <w:r w:rsidRPr="005B5699">
        <w:t xml:space="preserve">The </w:t>
      </w:r>
      <w:r>
        <w:t xml:space="preserve">largest proportion of referrals to Adult Social Care, were made by secondary health </w:t>
      </w:r>
      <w:r w:rsidRPr="005B5699">
        <w:t>care teams</w:t>
      </w:r>
      <w:r>
        <w:t xml:space="preserve"> (37%) </w:t>
      </w:r>
      <w:r w:rsidRPr="005B5699">
        <w:t>e.g. hospitals</w:t>
      </w:r>
      <w:r>
        <w:t xml:space="preserve">. Whereas, primary health care accounted for less than half of this amount (18%), and family, friends, neighbours and self-referral only accounted for a total of 24% of referrals. </w:t>
      </w:r>
    </w:p>
    <w:p w:rsidR="008921BF" w:rsidRDefault="009313DF" w:rsidP="008921BF">
      <w:pPr>
        <w:jc w:val="both"/>
      </w:pPr>
      <w:r>
        <w:t>E</w:t>
      </w:r>
      <w:r w:rsidR="008921BF">
        <w:t xml:space="preserve">ffective prevention and early intervention </w:t>
      </w:r>
      <w:r>
        <w:t xml:space="preserve">could help to </w:t>
      </w:r>
      <w:r w:rsidR="008921BF">
        <w:t xml:space="preserve">reduce the level of referrals being received from secondary health care and increase those coming from primary health care, self-referrals and friends and family. Not only are hospital admissions often more costly than other forms of care, but </w:t>
      </w:r>
      <w:r w:rsidR="008921BF">
        <w:lastRenderedPageBreak/>
        <w:t xml:space="preserve">effective prevention and early intervention could have significant impacts on an individual’s health and wellbeing. </w:t>
      </w:r>
    </w:p>
    <w:p w:rsidR="008921BF" w:rsidRDefault="008921BF" w:rsidP="008921BF">
      <w:pPr>
        <w:pStyle w:val="Caption"/>
        <w:keepNext/>
        <w:rPr>
          <w:rFonts w:ascii="Calibri" w:hAnsi="Calibri" w:cs="Calibri"/>
          <w:b w:val="0"/>
          <w:i/>
        </w:rPr>
      </w:pPr>
      <w:r>
        <w:t xml:space="preserve">Figure </w:t>
      </w:r>
      <w:fldSimple w:instr=" STYLEREF 1 \s ">
        <w:r w:rsidR="001663C2">
          <w:rPr>
            <w:noProof/>
          </w:rPr>
          <w:t>9</w:t>
        </w:r>
      </w:fldSimple>
      <w:r w:rsidR="00943DC2">
        <w:noBreakHyphen/>
      </w:r>
      <w:fldSimple w:instr=" SEQ Figure \* ARABIC \s 1 ">
        <w:r w:rsidR="001663C2">
          <w:rPr>
            <w:noProof/>
          </w:rPr>
          <w:t>3</w:t>
        </w:r>
      </w:fldSimple>
      <w:r>
        <w:t>:</w:t>
      </w:r>
      <w:r w:rsidRPr="009B1608">
        <w:rPr>
          <w:rFonts w:ascii="Calibri" w:hAnsi="Calibri" w:cs="Calibri"/>
          <w:b w:val="0"/>
          <w:i/>
        </w:rPr>
        <w:t xml:space="preserve"> </w:t>
      </w:r>
      <w:r w:rsidRPr="003900B4">
        <w:t>Origin of referrals to Adult Social Care in 2013/14</w:t>
      </w:r>
    </w:p>
    <w:p w:rsidR="008921BF" w:rsidRDefault="008921BF" w:rsidP="008921BF">
      <w:pPr>
        <w:spacing w:after="0"/>
        <w:jc w:val="center"/>
        <w:rPr>
          <w:rFonts w:ascii="Calibri" w:hAnsi="Calibri" w:cs="Calibri"/>
          <w:b/>
          <w:i/>
        </w:rPr>
      </w:pPr>
      <w:r>
        <w:rPr>
          <w:noProof/>
          <w:lang w:eastAsia="en-GB"/>
        </w:rPr>
        <w:drawing>
          <wp:inline distT="0" distB="0" distL="0" distR="0" wp14:anchorId="79463FE7" wp14:editId="170E7C54">
            <wp:extent cx="5124450" cy="2238375"/>
            <wp:effectExtent l="0" t="0" r="19050" b="9525"/>
            <wp:docPr id="65" name="Chart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inline>
        </w:drawing>
      </w:r>
    </w:p>
    <w:p w:rsidR="008A1A30" w:rsidRDefault="008A1A30" w:rsidP="008A1A30">
      <w:pPr>
        <w:spacing w:after="0" w:line="240" w:lineRule="auto"/>
      </w:pPr>
      <w:bookmarkStart w:id="934" w:name="_Toc426723393"/>
      <w:r>
        <w:t>Source:  SWIFT – Adult Social Care Database</w:t>
      </w:r>
    </w:p>
    <w:p w:rsidR="008921BF" w:rsidRDefault="008921BF" w:rsidP="008921BF">
      <w:pPr>
        <w:pStyle w:val="Heading2"/>
      </w:pPr>
      <w:bookmarkStart w:id="935" w:name="_Toc431225220"/>
      <w:r w:rsidRPr="003B385B">
        <w:t>The Care Act</w:t>
      </w:r>
      <w:r>
        <w:t xml:space="preserve"> 2014</w:t>
      </w:r>
      <w:bookmarkEnd w:id="934"/>
      <w:bookmarkEnd w:id="935"/>
    </w:p>
    <w:p w:rsidR="008921BF" w:rsidRPr="00F8726D" w:rsidRDefault="008921BF" w:rsidP="008921BF">
      <w:pPr>
        <w:jc w:val="both"/>
      </w:pPr>
      <w:r w:rsidRPr="00F8726D">
        <w:t xml:space="preserve">The </w:t>
      </w:r>
      <w:hyperlink r:id="rId200" w:history="1">
        <w:r w:rsidRPr="00F8726D">
          <w:rPr>
            <w:rStyle w:val="Hyperlink"/>
          </w:rPr>
          <w:t>Care Act</w:t>
        </w:r>
      </w:hyperlink>
      <w:r w:rsidRPr="00F8726D">
        <w:t xml:space="preserve"> represents the most significant reform of care and support in more than 60 years. It aligns with a central Government commitment to make joined-up health and care the norm by 2018. For an overview of the changes, please refer to the</w:t>
      </w:r>
      <w:r>
        <w:t xml:space="preserve"> </w:t>
      </w:r>
      <w:hyperlink r:id="rId201" w:history="1">
        <w:r w:rsidRPr="00F8726D">
          <w:rPr>
            <w:rStyle w:val="Hyperlink"/>
          </w:rPr>
          <w:t>factsheets</w:t>
        </w:r>
      </w:hyperlink>
      <w:r w:rsidRPr="00F8726D">
        <w:t>.</w:t>
      </w:r>
    </w:p>
    <w:p w:rsidR="008921BF" w:rsidRPr="00BA39ED" w:rsidRDefault="008921BF" w:rsidP="008921BF">
      <w:pPr>
        <w:jc w:val="both"/>
      </w:pPr>
      <w:r w:rsidRPr="00F8726D">
        <w:rPr>
          <w:rFonts w:ascii="Calibri" w:hAnsi="Calibri" w:cs="Calibri"/>
        </w:rPr>
        <w:t xml:space="preserve">The Care Act promotes wellbeing and aims to prevent or delay people needing social care services. It is built around people’s needs and what they want to achieve in their lives. </w:t>
      </w:r>
    </w:p>
    <w:p w:rsidR="008921BF" w:rsidRDefault="008921BF" w:rsidP="008921BF">
      <w:pPr>
        <w:jc w:val="both"/>
        <w:rPr>
          <w:rFonts w:ascii="Calibri" w:hAnsi="Calibri" w:cs="Calibri"/>
        </w:rPr>
      </w:pPr>
      <w:r w:rsidRPr="00BA39ED">
        <w:t>It brings</w:t>
      </w:r>
      <w:r w:rsidRPr="00F8726D">
        <w:rPr>
          <w:rFonts w:ascii="Calibri" w:hAnsi="Calibri" w:cs="Calibri"/>
        </w:rPr>
        <w:t xml:space="preserve"> new rights for carers that put them on the same legal footing as the people they care </w:t>
      </w:r>
      <w:r>
        <w:rPr>
          <w:rFonts w:ascii="Calibri" w:hAnsi="Calibri" w:cs="Calibri"/>
        </w:rPr>
        <w:t xml:space="preserve">for </w:t>
      </w:r>
      <w:r w:rsidRPr="00F8726D">
        <w:rPr>
          <w:rFonts w:ascii="Calibri" w:hAnsi="Calibri" w:cs="Calibri"/>
        </w:rPr>
        <w:t xml:space="preserve">and entitles them to ask for their needs to be assessed. </w:t>
      </w:r>
    </w:p>
    <w:p w:rsidR="008921BF" w:rsidRDefault="008921BF" w:rsidP="008921BF">
      <w:pPr>
        <w:pStyle w:val="Heading2"/>
      </w:pPr>
      <w:bookmarkStart w:id="936" w:name="_Toc426723394"/>
      <w:bookmarkStart w:id="937" w:name="_Toc431225221"/>
      <w:r w:rsidRPr="00476DA7">
        <w:t>Residential &amp; Nursing Care</w:t>
      </w:r>
      <w:bookmarkEnd w:id="936"/>
      <w:bookmarkEnd w:id="937"/>
    </w:p>
    <w:p w:rsidR="008921BF" w:rsidRDefault="008921BF" w:rsidP="008921BF">
      <w:pPr>
        <w:spacing w:after="0"/>
        <w:jc w:val="both"/>
      </w:pPr>
      <w:r w:rsidRPr="009E3A56">
        <w:t>In Barnet, care homes are a key area of provision</w:t>
      </w:r>
      <w:r w:rsidRPr="00AA13CD">
        <w:rPr>
          <w:b/>
        </w:rPr>
        <w:t xml:space="preserve"> </w:t>
      </w:r>
      <w:r w:rsidRPr="009E3A56">
        <w:t>in supporting frail and elderly people who are unable to live in their homes.</w:t>
      </w:r>
    </w:p>
    <w:p w:rsidR="008921BF" w:rsidRDefault="008921BF" w:rsidP="008921BF">
      <w:pPr>
        <w:spacing w:after="0"/>
        <w:jc w:val="both"/>
      </w:pPr>
    </w:p>
    <w:p w:rsidR="00AA058C" w:rsidRDefault="008921BF" w:rsidP="00D7687B">
      <w:pPr>
        <w:spacing w:after="0"/>
        <w:jc w:val="both"/>
      </w:pPr>
      <w:r w:rsidRPr="00B40B06">
        <w:t>There are 80 residential care homes and 23 nursing homes registered with the C</w:t>
      </w:r>
      <w:r>
        <w:t xml:space="preserve">are </w:t>
      </w:r>
      <w:r w:rsidRPr="00B40B06">
        <w:t>Q</w:t>
      </w:r>
      <w:r>
        <w:t xml:space="preserve">uality Commission (CQC) </w:t>
      </w:r>
      <w:r w:rsidRPr="00B40B06">
        <w:t>in Barnet, which range from small to large.</w:t>
      </w:r>
      <w:r>
        <w:t xml:space="preserve"> </w:t>
      </w:r>
    </w:p>
    <w:p w:rsidR="00D7687B" w:rsidRDefault="00D7687B" w:rsidP="00D7687B">
      <w:pPr>
        <w:spacing w:after="0"/>
        <w:jc w:val="both"/>
        <w:rPr>
          <w:rFonts w:ascii="Calibri" w:hAnsi="Calibri" w:cs="Calibri"/>
          <w:b/>
          <w:i/>
        </w:rPr>
      </w:pPr>
    </w:p>
    <w:p w:rsidR="008921BF" w:rsidRDefault="008921BF" w:rsidP="008921BF">
      <w:pPr>
        <w:spacing w:after="0"/>
        <w:jc w:val="both"/>
      </w:pPr>
      <w:r w:rsidRPr="000E1F9E">
        <w:t>In 2013/14, 75% of residential placements were</w:t>
      </w:r>
      <w:r>
        <w:t xml:space="preserve"> provided to older adults (65+) and </w:t>
      </w:r>
      <w:r w:rsidRPr="000E1F9E">
        <w:t xml:space="preserve">61% of </w:t>
      </w:r>
      <w:r>
        <w:t xml:space="preserve">these </w:t>
      </w:r>
      <w:r w:rsidRPr="000E1F9E">
        <w:t>residential placements were provided to women.</w:t>
      </w:r>
      <w:r>
        <w:t xml:space="preserve"> The high proportion of women compared to men is most likely due to the fact that women account for 56.5% of the 65 and over population within Barnet, compared to men who account for 43.5% of the population</w:t>
      </w:r>
      <w:r>
        <w:rPr>
          <w:rStyle w:val="FootnoteReference"/>
        </w:rPr>
        <w:footnoteReference w:id="143"/>
      </w:r>
      <w:r>
        <w:t>.</w:t>
      </w:r>
    </w:p>
    <w:p w:rsidR="008921BF" w:rsidRDefault="008921BF" w:rsidP="008921BF">
      <w:pPr>
        <w:spacing w:after="0"/>
        <w:jc w:val="both"/>
      </w:pPr>
    </w:p>
    <w:p w:rsidR="008921BF" w:rsidRDefault="008921BF" w:rsidP="008921BF">
      <w:pPr>
        <w:spacing w:after="0"/>
        <w:jc w:val="both"/>
      </w:pPr>
      <w:r>
        <w:t xml:space="preserve">Of the residential placements in 2013/14, </w:t>
      </w:r>
      <w:r w:rsidRPr="000E1F9E">
        <w:t>14%</w:t>
      </w:r>
      <w:r>
        <w:t xml:space="preserve"> of residents had a learning disability</w:t>
      </w:r>
      <w:r w:rsidRPr="000E1F9E">
        <w:t>, 6% had a mental health problem and 5% had a physical/sensory impairment.</w:t>
      </w:r>
    </w:p>
    <w:p w:rsidR="008921BF" w:rsidRDefault="008921BF" w:rsidP="008921BF">
      <w:pPr>
        <w:spacing w:after="0"/>
        <w:jc w:val="both"/>
      </w:pPr>
    </w:p>
    <w:p w:rsidR="008921BF" w:rsidRDefault="008921BF" w:rsidP="008921BF">
      <w:pPr>
        <w:spacing w:after="0"/>
        <w:jc w:val="both"/>
      </w:pPr>
      <w:r>
        <w:lastRenderedPageBreak/>
        <w:t xml:space="preserve">During the period 2011-2014 the number of people in receipt of residential care and nursing care has decreased, despite continued growth in the population, especially within the 65 and over age group. This reflects on-going work to help people to remain at home longer. </w:t>
      </w:r>
    </w:p>
    <w:p w:rsidR="008921BF" w:rsidRDefault="008921BF" w:rsidP="008921BF">
      <w:pPr>
        <w:spacing w:after="0"/>
      </w:pPr>
    </w:p>
    <w:p w:rsidR="008921BF" w:rsidRDefault="008921BF" w:rsidP="008921BF">
      <w:pPr>
        <w:pStyle w:val="Caption"/>
        <w:keepNext/>
        <w:rPr>
          <w:rFonts w:ascii="Calibri" w:hAnsi="Calibri" w:cs="Calibri"/>
          <w:b w:val="0"/>
          <w:i/>
        </w:rPr>
      </w:pPr>
      <w:r>
        <w:t xml:space="preserve">Table </w:t>
      </w:r>
      <w:fldSimple w:instr=" STYLEREF 1 \s ">
        <w:r w:rsidR="001663C2">
          <w:rPr>
            <w:noProof/>
          </w:rPr>
          <w:t>9</w:t>
        </w:r>
      </w:fldSimple>
      <w:r>
        <w:noBreakHyphen/>
      </w:r>
      <w:fldSimple w:instr=" SEQ Table \* ARABIC \s 1 ">
        <w:r w:rsidR="001663C2">
          <w:rPr>
            <w:noProof/>
          </w:rPr>
          <w:t>1</w:t>
        </w:r>
      </w:fldSimple>
      <w:r w:rsidRPr="00041E32">
        <w:t>: The number of people in Residential and Nursing Care, 2011-2014</w:t>
      </w:r>
      <w:r w:rsidRPr="00601EB6">
        <w:rPr>
          <w:rFonts w:ascii="Calibri" w:hAnsi="Calibri" w:cs="Calibri"/>
          <w:b w:val="0"/>
          <w:i/>
        </w:rPr>
        <w:t xml:space="preserve"> </w:t>
      </w:r>
    </w:p>
    <w:tbl>
      <w:tblPr>
        <w:tblW w:w="4603" w:type="dxa"/>
        <w:jc w:val="center"/>
        <w:tblInd w:w="-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0"/>
        <w:gridCol w:w="1648"/>
        <w:gridCol w:w="1134"/>
        <w:gridCol w:w="851"/>
      </w:tblGrid>
      <w:tr w:rsidR="008921BF" w:rsidRPr="00E3346A" w:rsidTr="00031B92">
        <w:trPr>
          <w:trHeight w:val="300"/>
          <w:jc w:val="center"/>
        </w:trPr>
        <w:tc>
          <w:tcPr>
            <w:tcW w:w="970" w:type="dxa"/>
            <w:shd w:val="clear" w:color="auto" w:fill="BFBFBF" w:themeFill="background1" w:themeFillShade="BF"/>
            <w:noWrap/>
            <w:vAlign w:val="center"/>
            <w:hideMark/>
          </w:tcPr>
          <w:p w:rsidR="008921BF" w:rsidRPr="00E3346A" w:rsidRDefault="008921BF" w:rsidP="00031B92">
            <w:pPr>
              <w:spacing w:after="0" w:line="240" w:lineRule="auto"/>
              <w:jc w:val="center"/>
              <w:rPr>
                <w:rFonts w:eastAsia="Times New Roman" w:cs="Times New Roman"/>
                <w:b/>
                <w:color w:val="000000"/>
                <w:lang w:eastAsia="en-GB"/>
              </w:rPr>
            </w:pPr>
            <w:r w:rsidRPr="00E3346A">
              <w:rPr>
                <w:rFonts w:eastAsia="Times New Roman" w:cs="Times New Roman"/>
                <w:b/>
                <w:color w:val="000000"/>
                <w:lang w:eastAsia="en-GB"/>
              </w:rPr>
              <w:t>Year</w:t>
            </w:r>
          </w:p>
        </w:tc>
        <w:tc>
          <w:tcPr>
            <w:tcW w:w="1648" w:type="dxa"/>
            <w:shd w:val="clear" w:color="auto" w:fill="BFBFBF" w:themeFill="background1" w:themeFillShade="BF"/>
          </w:tcPr>
          <w:p w:rsidR="008921BF" w:rsidRDefault="008921BF" w:rsidP="00031B92">
            <w:pPr>
              <w:spacing w:after="0" w:line="240" w:lineRule="auto"/>
              <w:jc w:val="center"/>
              <w:rPr>
                <w:rFonts w:eastAsia="Times New Roman" w:cs="Times New Roman"/>
                <w:b/>
                <w:bCs/>
                <w:color w:val="000000"/>
                <w:lang w:eastAsia="en-GB"/>
              </w:rPr>
            </w:pPr>
            <w:r>
              <w:rPr>
                <w:rFonts w:eastAsia="Times New Roman" w:cs="Times New Roman"/>
                <w:b/>
                <w:bCs/>
                <w:color w:val="000000"/>
                <w:lang w:eastAsia="en-GB"/>
              </w:rPr>
              <w:t>Residential Care</w:t>
            </w:r>
          </w:p>
        </w:tc>
        <w:tc>
          <w:tcPr>
            <w:tcW w:w="1134" w:type="dxa"/>
            <w:shd w:val="clear" w:color="auto" w:fill="BFBFBF" w:themeFill="background1" w:themeFillShade="BF"/>
          </w:tcPr>
          <w:p w:rsidR="008921BF" w:rsidRDefault="008921BF" w:rsidP="00031B92">
            <w:pPr>
              <w:spacing w:after="0" w:line="240" w:lineRule="auto"/>
              <w:jc w:val="center"/>
              <w:rPr>
                <w:rFonts w:eastAsia="Times New Roman" w:cs="Times New Roman"/>
                <w:b/>
                <w:bCs/>
                <w:color w:val="000000"/>
                <w:lang w:eastAsia="en-GB"/>
              </w:rPr>
            </w:pPr>
            <w:r>
              <w:rPr>
                <w:rFonts w:eastAsia="Times New Roman" w:cs="Times New Roman"/>
                <w:b/>
                <w:bCs/>
                <w:color w:val="000000"/>
                <w:lang w:eastAsia="en-GB"/>
              </w:rPr>
              <w:t>Nursing Care</w:t>
            </w:r>
          </w:p>
        </w:tc>
        <w:tc>
          <w:tcPr>
            <w:tcW w:w="851" w:type="dxa"/>
            <w:shd w:val="clear" w:color="auto" w:fill="BFBFBF" w:themeFill="background1" w:themeFillShade="BF"/>
            <w:noWrap/>
            <w:vAlign w:val="center"/>
            <w:hideMark/>
          </w:tcPr>
          <w:p w:rsidR="008921BF" w:rsidRPr="00E3346A" w:rsidRDefault="008921BF" w:rsidP="00031B92">
            <w:pPr>
              <w:spacing w:after="0" w:line="240" w:lineRule="auto"/>
              <w:jc w:val="center"/>
              <w:rPr>
                <w:rFonts w:eastAsia="Times New Roman" w:cs="Times New Roman"/>
                <w:b/>
                <w:bCs/>
                <w:color w:val="000000"/>
                <w:lang w:eastAsia="en-GB"/>
              </w:rPr>
            </w:pPr>
            <w:r>
              <w:rPr>
                <w:rFonts w:eastAsia="Times New Roman" w:cs="Times New Roman"/>
                <w:b/>
                <w:bCs/>
                <w:color w:val="000000"/>
                <w:lang w:eastAsia="en-GB"/>
              </w:rPr>
              <w:t>Total</w:t>
            </w:r>
          </w:p>
        </w:tc>
      </w:tr>
      <w:tr w:rsidR="008921BF" w:rsidRPr="00E3346A" w:rsidTr="00031B92">
        <w:trPr>
          <w:trHeight w:val="300"/>
          <w:jc w:val="center"/>
        </w:trPr>
        <w:tc>
          <w:tcPr>
            <w:tcW w:w="970" w:type="dxa"/>
            <w:shd w:val="clear" w:color="auto" w:fill="auto"/>
            <w:noWrap/>
            <w:vAlign w:val="center"/>
            <w:hideMark/>
          </w:tcPr>
          <w:p w:rsidR="008921BF" w:rsidRPr="00E3346A" w:rsidRDefault="008921BF" w:rsidP="00031B92">
            <w:pPr>
              <w:spacing w:after="0" w:line="240" w:lineRule="auto"/>
              <w:jc w:val="center"/>
              <w:rPr>
                <w:rFonts w:eastAsia="Times New Roman" w:cs="Times New Roman"/>
                <w:color w:val="000000"/>
                <w:lang w:eastAsia="en-GB"/>
              </w:rPr>
            </w:pPr>
            <w:r>
              <w:rPr>
                <w:rFonts w:eastAsia="Times New Roman" w:cs="Times New Roman"/>
                <w:color w:val="000000"/>
                <w:lang w:eastAsia="en-GB"/>
              </w:rPr>
              <w:t>2011-12</w:t>
            </w:r>
          </w:p>
        </w:tc>
        <w:tc>
          <w:tcPr>
            <w:tcW w:w="1648" w:type="dxa"/>
          </w:tcPr>
          <w:p w:rsidR="008921BF" w:rsidRDefault="008921BF" w:rsidP="00031B92">
            <w:pPr>
              <w:spacing w:after="0" w:line="240" w:lineRule="auto"/>
              <w:jc w:val="center"/>
              <w:rPr>
                <w:rFonts w:eastAsia="Times New Roman" w:cs="Times New Roman"/>
                <w:color w:val="000000"/>
                <w:lang w:eastAsia="en-GB"/>
              </w:rPr>
            </w:pPr>
            <w:r>
              <w:rPr>
                <w:rFonts w:eastAsia="Times New Roman" w:cs="Times New Roman"/>
                <w:color w:val="000000"/>
                <w:lang w:eastAsia="en-GB"/>
              </w:rPr>
              <w:t>1,078</w:t>
            </w:r>
          </w:p>
        </w:tc>
        <w:tc>
          <w:tcPr>
            <w:tcW w:w="1134" w:type="dxa"/>
          </w:tcPr>
          <w:p w:rsidR="008921BF" w:rsidRDefault="008921BF" w:rsidP="00031B92">
            <w:pPr>
              <w:spacing w:after="0" w:line="240" w:lineRule="auto"/>
              <w:jc w:val="center"/>
              <w:rPr>
                <w:rFonts w:eastAsia="Times New Roman" w:cs="Times New Roman"/>
                <w:color w:val="000000"/>
                <w:lang w:eastAsia="en-GB"/>
              </w:rPr>
            </w:pPr>
            <w:r>
              <w:rPr>
                <w:rFonts w:eastAsia="Times New Roman" w:cs="Times New Roman"/>
                <w:color w:val="000000"/>
                <w:lang w:eastAsia="en-GB"/>
              </w:rPr>
              <w:t>363</w:t>
            </w:r>
          </w:p>
        </w:tc>
        <w:tc>
          <w:tcPr>
            <w:tcW w:w="851" w:type="dxa"/>
            <w:shd w:val="clear" w:color="auto" w:fill="auto"/>
            <w:noWrap/>
            <w:vAlign w:val="center"/>
            <w:hideMark/>
          </w:tcPr>
          <w:p w:rsidR="008921BF" w:rsidRPr="00E3346A" w:rsidRDefault="008921BF" w:rsidP="00031B92">
            <w:pPr>
              <w:spacing w:after="0" w:line="240" w:lineRule="auto"/>
              <w:jc w:val="center"/>
              <w:rPr>
                <w:rFonts w:eastAsia="Times New Roman" w:cs="Times New Roman"/>
                <w:color w:val="000000"/>
                <w:lang w:eastAsia="en-GB"/>
              </w:rPr>
            </w:pPr>
            <w:r>
              <w:rPr>
                <w:rFonts w:eastAsia="Times New Roman" w:cs="Times New Roman"/>
                <w:color w:val="000000"/>
                <w:lang w:eastAsia="en-GB"/>
              </w:rPr>
              <w:t>1,441</w:t>
            </w:r>
          </w:p>
        </w:tc>
      </w:tr>
      <w:tr w:rsidR="008921BF" w:rsidRPr="00E3346A" w:rsidTr="00031B92">
        <w:trPr>
          <w:trHeight w:val="300"/>
          <w:jc w:val="center"/>
        </w:trPr>
        <w:tc>
          <w:tcPr>
            <w:tcW w:w="970" w:type="dxa"/>
            <w:shd w:val="clear" w:color="auto" w:fill="auto"/>
            <w:noWrap/>
            <w:vAlign w:val="center"/>
            <w:hideMark/>
          </w:tcPr>
          <w:p w:rsidR="008921BF" w:rsidRPr="00E3346A" w:rsidRDefault="008921BF" w:rsidP="00031B92">
            <w:pPr>
              <w:spacing w:after="0" w:line="240" w:lineRule="auto"/>
              <w:jc w:val="center"/>
              <w:rPr>
                <w:rFonts w:eastAsia="Times New Roman" w:cs="Times New Roman"/>
                <w:color w:val="000000"/>
                <w:lang w:eastAsia="en-GB"/>
              </w:rPr>
            </w:pPr>
            <w:r>
              <w:rPr>
                <w:rFonts w:eastAsia="Times New Roman" w:cs="Times New Roman"/>
                <w:color w:val="000000"/>
                <w:lang w:eastAsia="en-GB"/>
              </w:rPr>
              <w:t>2012-13</w:t>
            </w:r>
          </w:p>
        </w:tc>
        <w:tc>
          <w:tcPr>
            <w:tcW w:w="1648" w:type="dxa"/>
          </w:tcPr>
          <w:p w:rsidR="008921BF" w:rsidRDefault="008921BF" w:rsidP="00031B92">
            <w:pPr>
              <w:spacing w:after="0" w:line="240" w:lineRule="auto"/>
              <w:jc w:val="center"/>
              <w:rPr>
                <w:rFonts w:eastAsia="Times New Roman" w:cs="Times New Roman"/>
                <w:color w:val="000000"/>
                <w:lang w:eastAsia="en-GB"/>
              </w:rPr>
            </w:pPr>
            <w:r>
              <w:rPr>
                <w:rFonts w:eastAsia="Times New Roman" w:cs="Times New Roman"/>
                <w:color w:val="000000"/>
                <w:lang w:eastAsia="en-GB"/>
              </w:rPr>
              <w:t>1,076</w:t>
            </w:r>
          </w:p>
        </w:tc>
        <w:tc>
          <w:tcPr>
            <w:tcW w:w="1134" w:type="dxa"/>
          </w:tcPr>
          <w:p w:rsidR="008921BF" w:rsidRDefault="008921BF" w:rsidP="00031B92">
            <w:pPr>
              <w:spacing w:after="0" w:line="240" w:lineRule="auto"/>
              <w:jc w:val="center"/>
              <w:rPr>
                <w:rFonts w:eastAsia="Times New Roman" w:cs="Times New Roman"/>
                <w:color w:val="000000"/>
                <w:lang w:eastAsia="en-GB"/>
              </w:rPr>
            </w:pPr>
            <w:r>
              <w:rPr>
                <w:rFonts w:eastAsia="Times New Roman" w:cs="Times New Roman"/>
                <w:color w:val="000000"/>
                <w:lang w:eastAsia="en-GB"/>
              </w:rPr>
              <w:t>387</w:t>
            </w:r>
          </w:p>
        </w:tc>
        <w:tc>
          <w:tcPr>
            <w:tcW w:w="851" w:type="dxa"/>
            <w:shd w:val="clear" w:color="auto" w:fill="auto"/>
            <w:noWrap/>
            <w:vAlign w:val="center"/>
            <w:hideMark/>
          </w:tcPr>
          <w:p w:rsidR="008921BF" w:rsidRPr="00E3346A" w:rsidRDefault="008921BF" w:rsidP="00031B92">
            <w:pPr>
              <w:spacing w:after="0" w:line="240" w:lineRule="auto"/>
              <w:jc w:val="center"/>
              <w:rPr>
                <w:rFonts w:eastAsia="Times New Roman" w:cs="Times New Roman"/>
                <w:color w:val="000000"/>
                <w:lang w:eastAsia="en-GB"/>
              </w:rPr>
            </w:pPr>
            <w:r>
              <w:rPr>
                <w:rFonts w:eastAsia="Times New Roman" w:cs="Times New Roman"/>
                <w:color w:val="000000"/>
                <w:lang w:eastAsia="en-GB"/>
              </w:rPr>
              <w:t>1,463</w:t>
            </w:r>
          </w:p>
        </w:tc>
      </w:tr>
      <w:tr w:rsidR="008921BF" w:rsidRPr="00E3346A" w:rsidTr="00031B92">
        <w:trPr>
          <w:trHeight w:val="300"/>
          <w:jc w:val="center"/>
        </w:trPr>
        <w:tc>
          <w:tcPr>
            <w:tcW w:w="970" w:type="dxa"/>
            <w:shd w:val="clear" w:color="auto" w:fill="auto"/>
            <w:noWrap/>
            <w:vAlign w:val="center"/>
            <w:hideMark/>
          </w:tcPr>
          <w:p w:rsidR="008921BF" w:rsidRPr="00E3346A" w:rsidRDefault="008921BF" w:rsidP="00031B92">
            <w:pPr>
              <w:spacing w:after="0" w:line="240" w:lineRule="auto"/>
              <w:jc w:val="center"/>
              <w:rPr>
                <w:rFonts w:eastAsia="Times New Roman" w:cs="Times New Roman"/>
                <w:color w:val="000000"/>
                <w:lang w:eastAsia="en-GB"/>
              </w:rPr>
            </w:pPr>
            <w:r>
              <w:rPr>
                <w:rFonts w:eastAsia="Times New Roman" w:cs="Times New Roman"/>
                <w:color w:val="000000"/>
                <w:lang w:eastAsia="en-GB"/>
              </w:rPr>
              <w:t>2013-14</w:t>
            </w:r>
          </w:p>
        </w:tc>
        <w:tc>
          <w:tcPr>
            <w:tcW w:w="1648" w:type="dxa"/>
          </w:tcPr>
          <w:p w:rsidR="008921BF" w:rsidRDefault="008921BF" w:rsidP="00031B92">
            <w:pPr>
              <w:spacing w:after="0" w:line="240" w:lineRule="auto"/>
              <w:jc w:val="center"/>
              <w:rPr>
                <w:rFonts w:eastAsia="Times New Roman" w:cs="Times New Roman"/>
                <w:color w:val="000000"/>
                <w:lang w:eastAsia="en-GB"/>
              </w:rPr>
            </w:pPr>
            <w:r>
              <w:rPr>
                <w:rFonts w:eastAsia="Times New Roman" w:cs="Times New Roman"/>
                <w:color w:val="000000"/>
                <w:lang w:eastAsia="en-GB"/>
              </w:rPr>
              <w:t>1,009</w:t>
            </w:r>
          </w:p>
        </w:tc>
        <w:tc>
          <w:tcPr>
            <w:tcW w:w="1134" w:type="dxa"/>
          </w:tcPr>
          <w:p w:rsidR="008921BF" w:rsidRDefault="008921BF" w:rsidP="00031B92">
            <w:pPr>
              <w:spacing w:after="0" w:line="240" w:lineRule="auto"/>
              <w:jc w:val="center"/>
              <w:rPr>
                <w:rFonts w:eastAsia="Times New Roman" w:cs="Times New Roman"/>
                <w:color w:val="000000"/>
                <w:lang w:eastAsia="en-GB"/>
              </w:rPr>
            </w:pPr>
            <w:r>
              <w:rPr>
                <w:rFonts w:eastAsia="Times New Roman" w:cs="Times New Roman"/>
                <w:color w:val="000000"/>
                <w:lang w:eastAsia="en-GB"/>
              </w:rPr>
              <w:t>358</w:t>
            </w:r>
          </w:p>
        </w:tc>
        <w:tc>
          <w:tcPr>
            <w:tcW w:w="851" w:type="dxa"/>
            <w:shd w:val="clear" w:color="auto" w:fill="auto"/>
            <w:noWrap/>
            <w:vAlign w:val="center"/>
            <w:hideMark/>
          </w:tcPr>
          <w:p w:rsidR="008921BF" w:rsidRPr="00E3346A" w:rsidRDefault="008921BF" w:rsidP="00031B92">
            <w:pPr>
              <w:spacing w:after="0" w:line="240" w:lineRule="auto"/>
              <w:jc w:val="center"/>
              <w:rPr>
                <w:rFonts w:eastAsia="Times New Roman" w:cs="Times New Roman"/>
                <w:color w:val="000000"/>
                <w:lang w:eastAsia="en-GB"/>
              </w:rPr>
            </w:pPr>
            <w:r>
              <w:rPr>
                <w:rFonts w:eastAsia="Times New Roman" w:cs="Times New Roman"/>
                <w:color w:val="000000"/>
                <w:lang w:eastAsia="en-GB"/>
              </w:rPr>
              <w:t>1,367</w:t>
            </w:r>
          </w:p>
        </w:tc>
      </w:tr>
    </w:tbl>
    <w:p w:rsidR="000D6FBF" w:rsidRDefault="000D6FBF" w:rsidP="000D6FBF">
      <w:pPr>
        <w:spacing w:after="0" w:line="240" w:lineRule="auto"/>
      </w:pPr>
      <w:r>
        <w:t>Source:  SWIFT – Adult Social Care Database</w:t>
      </w:r>
    </w:p>
    <w:p w:rsidR="008921BF" w:rsidRDefault="008921BF" w:rsidP="008921BF">
      <w:pPr>
        <w:spacing w:after="0"/>
      </w:pPr>
    </w:p>
    <w:p w:rsidR="008921BF" w:rsidRDefault="008921BF" w:rsidP="008921BF">
      <w:pPr>
        <w:spacing w:after="0"/>
        <w:jc w:val="both"/>
      </w:pPr>
      <w:r>
        <w:t xml:space="preserve">Despite the reduction in the number of people in receipt of residential care and nursing care, in 2013/14 Barnet had a higher permanent admissions rate to care homes, per 100,000 people, than similar local authorities and the overall London average. </w:t>
      </w:r>
    </w:p>
    <w:p w:rsidR="008921BF" w:rsidRDefault="008921BF" w:rsidP="008921BF">
      <w:pPr>
        <w:spacing w:after="0" w:line="240" w:lineRule="auto"/>
        <w:jc w:val="both"/>
        <w:rPr>
          <w:rFonts w:ascii="Calibri" w:hAnsi="Calibri" w:cs="Calibri"/>
          <w:b/>
          <w:i/>
        </w:rPr>
      </w:pPr>
    </w:p>
    <w:p w:rsidR="008921BF" w:rsidRPr="00041E32" w:rsidRDefault="008921BF" w:rsidP="008921BF">
      <w:pPr>
        <w:pStyle w:val="Caption"/>
        <w:keepNext/>
      </w:pPr>
      <w:r>
        <w:t xml:space="preserve">Table </w:t>
      </w:r>
      <w:fldSimple w:instr=" STYLEREF 1 \s ">
        <w:r w:rsidR="001663C2">
          <w:rPr>
            <w:noProof/>
          </w:rPr>
          <w:t>9</w:t>
        </w:r>
      </w:fldSimple>
      <w:r>
        <w:noBreakHyphen/>
      </w:r>
      <w:fldSimple w:instr=" SEQ Table \* ARABIC \s 1 ">
        <w:r w:rsidR="001663C2">
          <w:rPr>
            <w:noProof/>
          </w:rPr>
          <w:t>2</w:t>
        </w:r>
      </w:fldSimple>
      <w:r>
        <w:t xml:space="preserve">: </w:t>
      </w:r>
      <w:r w:rsidRPr="00041E32">
        <w:t>Permanent Admissions to Care Homes per 100,000 people, 2013-14 (Barnet, Regional, and National)</w:t>
      </w:r>
    </w:p>
    <w:tbl>
      <w:tblPr>
        <w:tblW w:w="4943" w:type="dxa"/>
        <w:jc w:val="center"/>
        <w:tblInd w:w="-21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0"/>
        <w:gridCol w:w="968"/>
        <w:gridCol w:w="905"/>
      </w:tblGrid>
      <w:tr w:rsidR="008921BF" w:rsidRPr="00E3346A" w:rsidTr="00031B92">
        <w:trPr>
          <w:trHeight w:val="300"/>
          <w:jc w:val="center"/>
        </w:trPr>
        <w:tc>
          <w:tcPr>
            <w:tcW w:w="3070" w:type="dxa"/>
            <w:shd w:val="clear" w:color="auto" w:fill="BFBFBF" w:themeFill="background1" w:themeFillShade="BF"/>
            <w:noWrap/>
            <w:vAlign w:val="center"/>
            <w:hideMark/>
          </w:tcPr>
          <w:p w:rsidR="008921BF" w:rsidRPr="00E3346A" w:rsidRDefault="008921BF" w:rsidP="00031B92">
            <w:pPr>
              <w:spacing w:after="0" w:line="240" w:lineRule="auto"/>
              <w:jc w:val="center"/>
              <w:rPr>
                <w:rFonts w:eastAsia="Times New Roman" w:cs="Times New Roman"/>
                <w:b/>
                <w:color w:val="000000"/>
                <w:lang w:eastAsia="en-GB"/>
              </w:rPr>
            </w:pPr>
            <w:r>
              <w:rPr>
                <w:rFonts w:eastAsia="Times New Roman" w:cs="Times New Roman"/>
                <w:b/>
                <w:color w:val="000000"/>
                <w:lang w:eastAsia="en-GB"/>
              </w:rPr>
              <w:t>Area</w:t>
            </w:r>
          </w:p>
        </w:tc>
        <w:tc>
          <w:tcPr>
            <w:tcW w:w="968" w:type="dxa"/>
            <w:shd w:val="clear" w:color="auto" w:fill="BFBFBF" w:themeFill="background1" w:themeFillShade="BF"/>
            <w:noWrap/>
            <w:vAlign w:val="center"/>
            <w:hideMark/>
          </w:tcPr>
          <w:p w:rsidR="008921BF" w:rsidRPr="00E3346A" w:rsidRDefault="008921BF" w:rsidP="00031B92">
            <w:pPr>
              <w:spacing w:after="0" w:line="240" w:lineRule="auto"/>
              <w:jc w:val="center"/>
              <w:rPr>
                <w:rFonts w:eastAsia="Times New Roman" w:cs="Times New Roman"/>
                <w:b/>
                <w:bCs/>
                <w:color w:val="000000"/>
                <w:lang w:eastAsia="en-GB"/>
              </w:rPr>
            </w:pPr>
            <w:r>
              <w:rPr>
                <w:rFonts w:eastAsia="Times New Roman" w:cs="Times New Roman"/>
                <w:b/>
                <w:bCs/>
                <w:color w:val="000000"/>
                <w:lang w:eastAsia="en-GB"/>
              </w:rPr>
              <w:t>18-64</w:t>
            </w:r>
          </w:p>
        </w:tc>
        <w:tc>
          <w:tcPr>
            <w:tcW w:w="905" w:type="dxa"/>
            <w:shd w:val="clear" w:color="auto" w:fill="BFBFBF" w:themeFill="background1" w:themeFillShade="BF"/>
          </w:tcPr>
          <w:p w:rsidR="008921BF" w:rsidRDefault="008921BF" w:rsidP="00031B92">
            <w:pPr>
              <w:spacing w:after="0" w:line="240" w:lineRule="auto"/>
              <w:jc w:val="center"/>
              <w:rPr>
                <w:rFonts w:eastAsia="Times New Roman" w:cs="Times New Roman"/>
                <w:b/>
                <w:bCs/>
                <w:color w:val="000000"/>
                <w:lang w:eastAsia="en-GB"/>
              </w:rPr>
            </w:pPr>
            <w:r>
              <w:rPr>
                <w:rFonts w:eastAsia="Times New Roman" w:cs="Times New Roman"/>
                <w:b/>
                <w:bCs/>
                <w:color w:val="000000"/>
                <w:lang w:eastAsia="en-GB"/>
              </w:rPr>
              <w:t>65+</w:t>
            </w:r>
          </w:p>
        </w:tc>
      </w:tr>
      <w:tr w:rsidR="008921BF" w:rsidRPr="00E3346A" w:rsidTr="00031B92">
        <w:trPr>
          <w:trHeight w:val="300"/>
          <w:jc w:val="center"/>
        </w:trPr>
        <w:tc>
          <w:tcPr>
            <w:tcW w:w="3070" w:type="dxa"/>
            <w:shd w:val="clear" w:color="auto" w:fill="auto"/>
            <w:noWrap/>
            <w:vAlign w:val="center"/>
            <w:hideMark/>
          </w:tcPr>
          <w:p w:rsidR="008921BF" w:rsidRPr="00E3346A" w:rsidRDefault="008921BF" w:rsidP="00031B92">
            <w:pPr>
              <w:spacing w:after="0" w:line="240" w:lineRule="auto"/>
              <w:jc w:val="center"/>
              <w:rPr>
                <w:rFonts w:eastAsia="Times New Roman" w:cs="Times New Roman"/>
                <w:color w:val="000000"/>
                <w:lang w:eastAsia="en-GB"/>
              </w:rPr>
            </w:pPr>
            <w:r>
              <w:rPr>
                <w:rFonts w:eastAsia="Times New Roman" w:cs="Times New Roman"/>
                <w:color w:val="000000"/>
                <w:lang w:eastAsia="en-GB"/>
              </w:rPr>
              <w:t>Barnet</w:t>
            </w:r>
          </w:p>
        </w:tc>
        <w:tc>
          <w:tcPr>
            <w:tcW w:w="968" w:type="dxa"/>
            <w:shd w:val="clear" w:color="auto" w:fill="auto"/>
            <w:noWrap/>
            <w:vAlign w:val="bottom"/>
          </w:tcPr>
          <w:p w:rsidR="008921BF" w:rsidRPr="00AA18E4" w:rsidRDefault="008921BF" w:rsidP="00031B92">
            <w:pPr>
              <w:spacing w:after="0" w:line="240" w:lineRule="auto"/>
              <w:jc w:val="center"/>
              <w:rPr>
                <w:rFonts w:ascii="Calibri" w:eastAsia="Times New Roman" w:hAnsi="Calibri" w:cs="Times New Roman"/>
                <w:color w:val="000000"/>
                <w:lang w:eastAsia="en-GB"/>
              </w:rPr>
            </w:pPr>
            <w:r w:rsidRPr="00AA18E4">
              <w:rPr>
                <w:rFonts w:ascii="Calibri" w:eastAsia="Times New Roman" w:hAnsi="Calibri" w:cs="Times New Roman"/>
                <w:color w:val="000000"/>
                <w:lang w:eastAsia="en-GB"/>
              </w:rPr>
              <w:t>13.4</w:t>
            </w:r>
          </w:p>
        </w:tc>
        <w:tc>
          <w:tcPr>
            <w:tcW w:w="905" w:type="dxa"/>
            <w:vAlign w:val="bottom"/>
          </w:tcPr>
          <w:p w:rsidR="008921BF" w:rsidRPr="00AA18E4" w:rsidRDefault="008921BF" w:rsidP="00031B92">
            <w:pPr>
              <w:spacing w:after="0" w:line="240" w:lineRule="auto"/>
              <w:jc w:val="center"/>
              <w:rPr>
                <w:rFonts w:ascii="Calibri" w:eastAsia="Times New Roman" w:hAnsi="Calibri" w:cs="Times New Roman"/>
                <w:color w:val="000000"/>
                <w:lang w:eastAsia="en-GB"/>
              </w:rPr>
            </w:pPr>
            <w:r w:rsidRPr="00AA18E4">
              <w:rPr>
                <w:rFonts w:ascii="Calibri" w:eastAsia="Times New Roman" w:hAnsi="Calibri" w:cs="Times New Roman"/>
                <w:color w:val="000000"/>
                <w:lang w:eastAsia="en-GB"/>
              </w:rPr>
              <w:t>475.1</w:t>
            </w:r>
          </w:p>
        </w:tc>
      </w:tr>
      <w:tr w:rsidR="008921BF" w:rsidRPr="00E3346A" w:rsidTr="00031B92">
        <w:trPr>
          <w:trHeight w:val="300"/>
          <w:jc w:val="center"/>
        </w:trPr>
        <w:tc>
          <w:tcPr>
            <w:tcW w:w="3070" w:type="dxa"/>
            <w:shd w:val="clear" w:color="auto" w:fill="auto"/>
            <w:noWrap/>
            <w:vAlign w:val="center"/>
            <w:hideMark/>
          </w:tcPr>
          <w:p w:rsidR="008921BF" w:rsidRPr="00E3346A" w:rsidRDefault="008921BF" w:rsidP="00031B92">
            <w:pPr>
              <w:spacing w:after="0" w:line="240" w:lineRule="auto"/>
              <w:jc w:val="center"/>
              <w:rPr>
                <w:rFonts w:eastAsia="Times New Roman" w:cs="Times New Roman"/>
                <w:color w:val="000000"/>
                <w:lang w:eastAsia="en-GB"/>
              </w:rPr>
            </w:pPr>
            <w:r>
              <w:rPr>
                <w:rFonts w:eastAsia="Times New Roman" w:cs="Times New Roman"/>
                <w:color w:val="000000"/>
                <w:lang w:eastAsia="en-GB"/>
              </w:rPr>
              <w:t>Similar Local Authorities</w:t>
            </w:r>
          </w:p>
        </w:tc>
        <w:tc>
          <w:tcPr>
            <w:tcW w:w="968" w:type="dxa"/>
            <w:shd w:val="clear" w:color="auto" w:fill="auto"/>
            <w:noWrap/>
            <w:vAlign w:val="bottom"/>
          </w:tcPr>
          <w:p w:rsidR="008921BF" w:rsidRPr="00AA18E4" w:rsidRDefault="008921BF" w:rsidP="00031B92">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9.6</w:t>
            </w:r>
          </w:p>
        </w:tc>
        <w:tc>
          <w:tcPr>
            <w:tcW w:w="905" w:type="dxa"/>
            <w:vAlign w:val="bottom"/>
          </w:tcPr>
          <w:p w:rsidR="008921BF" w:rsidRPr="00AA18E4" w:rsidRDefault="008921BF" w:rsidP="00031B92">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411.8</w:t>
            </w:r>
          </w:p>
        </w:tc>
      </w:tr>
      <w:tr w:rsidR="008921BF" w:rsidRPr="00E3346A" w:rsidTr="00031B92">
        <w:trPr>
          <w:trHeight w:val="300"/>
          <w:jc w:val="center"/>
        </w:trPr>
        <w:tc>
          <w:tcPr>
            <w:tcW w:w="3070" w:type="dxa"/>
            <w:shd w:val="clear" w:color="auto" w:fill="auto"/>
            <w:noWrap/>
            <w:vAlign w:val="center"/>
            <w:hideMark/>
          </w:tcPr>
          <w:p w:rsidR="008921BF" w:rsidRPr="00E3346A" w:rsidRDefault="008921BF" w:rsidP="00031B92">
            <w:pPr>
              <w:spacing w:after="0" w:line="240" w:lineRule="auto"/>
              <w:jc w:val="center"/>
              <w:rPr>
                <w:rFonts w:eastAsia="Times New Roman" w:cs="Times New Roman"/>
                <w:color w:val="000000"/>
                <w:lang w:eastAsia="en-GB"/>
              </w:rPr>
            </w:pPr>
            <w:r>
              <w:rPr>
                <w:rFonts w:eastAsia="Times New Roman" w:cs="Times New Roman"/>
                <w:color w:val="000000"/>
                <w:lang w:eastAsia="en-GB"/>
              </w:rPr>
              <w:t>London</w:t>
            </w:r>
          </w:p>
        </w:tc>
        <w:tc>
          <w:tcPr>
            <w:tcW w:w="968" w:type="dxa"/>
            <w:shd w:val="clear" w:color="auto" w:fill="auto"/>
            <w:noWrap/>
            <w:vAlign w:val="bottom"/>
          </w:tcPr>
          <w:p w:rsidR="008921BF" w:rsidRPr="00AA18E4" w:rsidRDefault="008921BF" w:rsidP="00031B92">
            <w:pPr>
              <w:spacing w:after="0" w:line="240" w:lineRule="auto"/>
              <w:jc w:val="center"/>
              <w:rPr>
                <w:rFonts w:ascii="Calibri" w:eastAsia="Times New Roman" w:hAnsi="Calibri" w:cs="Times New Roman"/>
                <w:color w:val="000000"/>
                <w:lang w:eastAsia="en-GB"/>
              </w:rPr>
            </w:pPr>
            <w:r w:rsidRPr="00AA18E4">
              <w:rPr>
                <w:rFonts w:ascii="Calibri" w:eastAsia="Times New Roman" w:hAnsi="Calibri" w:cs="Times New Roman"/>
                <w:color w:val="000000"/>
                <w:lang w:eastAsia="en-GB"/>
              </w:rPr>
              <w:t>10.2</w:t>
            </w:r>
          </w:p>
        </w:tc>
        <w:tc>
          <w:tcPr>
            <w:tcW w:w="905" w:type="dxa"/>
            <w:vAlign w:val="bottom"/>
          </w:tcPr>
          <w:p w:rsidR="008921BF" w:rsidRPr="00AA18E4" w:rsidRDefault="008921BF" w:rsidP="00031B92">
            <w:pPr>
              <w:spacing w:after="0" w:line="240" w:lineRule="auto"/>
              <w:jc w:val="center"/>
              <w:rPr>
                <w:rFonts w:ascii="Calibri" w:eastAsia="Times New Roman" w:hAnsi="Calibri" w:cs="Times New Roman"/>
                <w:color w:val="000000"/>
                <w:lang w:eastAsia="en-GB"/>
              </w:rPr>
            </w:pPr>
            <w:r w:rsidRPr="00AA18E4">
              <w:rPr>
                <w:rFonts w:ascii="Calibri" w:eastAsia="Times New Roman" w:hAnsi="Calibri" w:cs="Times New Roman"/>
                <w:color w:val="000000"/>
                <w:lang w:eastAsia="en-GB"/>
              </w:rPr>
              <w:t>454</w:t>
            </w:r>
          </w:p>
        </w:tc>
      </w:tr>
      <w:tr w:rsidR="008921BF" w:rsidRPr="00E3346A" w:rsidTr="00031B92">
        <w:trPr>
          <w:trHeight w:val="300"/>
          <w:jc w:val="center"/>
        </w:trPr>
        <w:tc>
          <w:tcPr>
            <w:tcW w:w="3070" w:type="dxa"/>
            <w:shd w:val="clear" w:color="auto" w:fill="auto"/>
            <w:noWrap/>
            <w:vAlign w:val="center"/>
          </w:tcPr>
          <w:p w:rsidR="008921BF" w:rsidRDefault="008921BF" w:rsidP="00031B92">
            <w:pPr>
              <w:spacing w:after="0" w:line="240" w:lineRule="auto"/>
              <w:jc w:val="center"/>
              <w:rPr>
                <w:rFonts w:eastAsia="Times New Roman" w:cs="Times New Roman"/>
                <w:color w:val="000000"/>
                <w:lang w:eastAsia="en-GB"/>
              </w:rPr>
            </w:pPr>
            <w:r>
              <w:rPr>
                <w:rFonts w:eastAsia="Times New Roman" w:cs="Times New Roman"/>
                <w:color w:val="000000"/>
                <w:lang w:eastAsia="en-GB"/>
              </w:rPr>
              <w:t>England</w:t>
            </w:r>
          </w:p>
        </w:tc>
        <w:tc>
          <w:tcPr>
            <w:tcW w:w="968" w:type="dxa"/>
            <w:shd w:val="clear" w:color="auto" w:fill="auto"/>
            <w:noWrap/>
            <w:vAlign w:val="bottom"/>
          </w:tcPr>
          <w:p w:rsidR="008921BF" w:rsidRPr="00AA18E4" w:rsidRDefault="008921BF" w:rsidP="00031B92">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14.4</w:t>
            </w:r>
          </w:p>
        </w:tc>
        <w:tc>
          <w:tcPr>
            <w:tcW w:w="905" w:type="dxa"/>
            <w:vAlign w:val="bottom"/>
          </w:tcPr>
          <w:p w:rsidR="008921BF" w:rsidRPr="00AA18E4" w:rsidRDefault="008921BF" w:rsidP="00031B92">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650.6</w:t>
            </w:r>
          </w:p>
        </w:tc>
      </w:tr>
    </w:tbl>
    <w:p w:rsidR="008921BF" w:rsidRDefault="008921BF" w:rsidP="008921BF">
      <w:pPr>
        <w:spacing w:after="0"/>
      </w:pPr>
      <w:r>
        <w:t>Source: Adult Social Care Outcomes Framework</w:t>
      </w:r>
    </w:p>
    <w:p w:rsidR="008921BF" w:rsidRDefault="008921BF" w:rsidP="008921BF">
      <w:pPr>
        <w:spacing w:after="0"/>
      </w:pPr>
    </w:p>
    <w:p w:rsidR="008921BF" w:rsidRPr="002742B6" w:rsidRDefault="008921BF" w:rsidP="008921BF">
      <w:pPr>
        <w:jc w:val="both"/>
      </w:pPr>
      <w:r>
        <w:t xml:space="preserve">Residential care and nursing care are high cost services. In 2013/14 </w:t>
      </w:r>
      <w:r w:rsidRPr="002742B6">
        <w:t>14% of all service-u</w:t>
      </w:r>
      <w:r>
        <w:t xml:space="preserve">sers funded by the council accessed </w:t>
      </w:r>
      <w:r w:rsidRPr="002742B6">
        <w:t>residential care</w:t>
      </w:r>
      <w:r>
        <w:t xml:space="preserve"> and</w:t>
      </w:r>
      <w:r w:rsidRPr="002742B6">
        <w:t xml:space="preserve"> 5% </w:t>
      </w:r>
      <w:r>
        <w:t xml:space="preserve">accessed nursing care. </w:t>
      </w:r>
      <w:r w:rsidRPr="002742B6">
        <w:t>The gross expenditure for 2013/14 was £38,364</w:t>
      </w:r>
      <w:r>
        <w:t>,000</w:t>
      </w:r>
      <w:r w:rsidRPr="002742B6">
        <w:t xml:space="preserve"> for residential care placements and £7,652</w:t>
      </w:r>
      <w:r>
        <w:t>,000</w:t>
      </w:r>
      <w:r w:rsidRPr="002742B6">
        <w:t xml:space="preserve"> for nursing care placement</w:t>
      </w:r>
      <w:r>
        <w:t xml:space="preserve">s which </w:t>
      </w:r>
      <w:r w:rsidRPr="002742B6">
        <w:t>represents approximately 40% of the total Barnet adult social services spend.</w:t>
      </w:r>
    </w:p>
    <w:p w:rsidR="008921BF" w:rsidRDefault="008921BF" w:rsidP="008921BF">
      <w:pPr>
        <w:pStyle w:val="Caption"/>
        <w:rPr>
          <w:color w:val="FF0000"/>
          <w:sz w:val="24"/>
          <w:szCs w:val="24"/>
        </w:rPr>
      </w:pPr>
      <w:r>
        <w:t xml:space="preserve">Table </w:t>
      </w:r>
      <w:fldSimple w:instr=" STYLEREF 1 \s ">
        <w:r w:rsidR="001663C2">
          <w:rPr>
            <w:noProof/>
          </w:rPr>
          <w:t>9</w:t>
        </w:r>
      </w:fldSimple>
      <w:r>
        <w:noBreakHyphen/>
      </w:r>
      <w:fldSimple w:instr=" SEQ Table \* ARABIC \s 1 ">
        <w:r w:rsidR="001663C2">
          <w:rPr>
            <w:noProof/>
          </w:rPr>
          <w:t>3</w:t>
        </w:r>
      </w:fldSimple>
      <w:r w:rsidRPr="00041E32">
        <w:t>: Expenditure on Residential &amp; Nursing Care, 2011-2014</w:t>
      </w:r>
    </w:p>
    <w:tbl>
      <w:tblPr>
        <w:tblW w:w="7705" w:type="dxa"/>
        <w:jc w:val="center"/>
        <w:tblInd w:w="-7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6"/>
        <w:gridCol w:w="2018"/>
        <w:gridCol w:w="2323"/>
        <w:gridCol w:w="2078"/>
      </w:tblGrid>
      <w:tr w:rsidR="008921BF" w:rsidRPr="00E3346A" w:rsidTr="00031B92">
        <w:trPr>
          <w:trHeight w:val="300"/>
          <w:jc w:val="center"/>
        </w:trPr>
        <w:tc>
          <w:tcPr>
            <w:tcW w:w="1286" w:type="dxa"/>
            <w:vMerge w:val="restart"/>
            <w:shd w:val="clear" w:color="auto" w:fill="BFBFBF" w:themeFill="background1" w:themeFillShade="BF"/>
            <w:vAlign w:val="center"/>
          </w:tcPr>
          <w:p w:rsidR="008921BF" w:rsidRDefault="008921BF" w:rsidP="00031B92">
            <w:pPr>
              <w:spacing w:after="0" w:line="240" w:lineRule="auto"/>
              <w:jc w:val="center"/>
              <w:rPr>
                <w:rFonts w:eastAsia="Times New Roman" w:cs="Times New Roman"/>
                <w:b/>
                <w:color w:val="000000"/>
                <w:lang w:eastAsia="en-GB"/>
              </w:rPr>
            </w:pPr>
            <w:r>
              <w:rPr>
                <w:rFonts w:eastAsia="Times New Roman" w:cs="Times New Roman"/>
                <w:b/>
                <w:color w:val="000000"/>
                <w:lang w:eastAsia="en-GB"/>
              </w:rPr>
              <w:t>Year</w:t>
            </w:r>
          </w:p>
        </w:tc>
        <w:tc>
          <w:tcPr>
            <w:tcW w:w="6419" w:type="dxa"/>
            <w:gridSpan w:val="3"/>
            <w:shd w:val="clear" w:color="auto" w:fill="BFBFBF" w:themeFill="background1" w:themeFillShade="BF"/>
            <w:noWrap/>
            <w:vAlign w:val="center"/>
          </w:tcPr>
          <w:p w:rsidR="008921BF" w:rsidRDefault="008921BF" w:rsidP="00031B92">
            <w:pPr>
              <w:spacing w:after="0" w:line="240" w:lineRule="auto"/>
              <w:jc w:val="center"/>
              <w:rPr>
                <w:rFonts w:eastAsia="Times New Roman" w:cs="Times New Roman"/>
                <w:b/>
                <w:bCs/>
                <w:color w:val="000000"/>
                <w:lang w:eastAsia="en-GB"/>
              </w:rPr>
            </w:pPr>
            <w:r>
              <w:rPr>
                <w:rFonts w:eastAsia="Times New Roman" w:cs="Times New Roman"/>
                <w:b/>
                <w:bCs/>
                <w:color w:val="000000"/>
                <w:lang w:eastAsia="en-GB"/>
              </w:rPr>
              <w:t>Gross Expenditure (£000’s)</w:t>
            </w:r>
          </w:p>
        </w:tc>
      </w:tr>
      <w:tr w:rsidR="008921BF" w:rsidRPr="00E3346A" w:rsidTr="00031B92">
        <w:trPr>
          <w:trHeight w:val="300"/>
          <w:jc w:val="center"/>
        </w:trPr>
        <w:tc>
          <w:tcPr>
            <w:tcW w:w="1286" w:type="dxa"/>
            <w:vMerge/>
            <w:shd w:val="clear" w:color="auto" w:fill="BFBFBF" w:themeFill="background1" w:themeFillShade="BF"/>
          </w:tcPr>
          <w:p w:rsidR="008921BF" w:rsidRDefault="008921BF" w:rsidP="00031B92">
            <w:pPr>
              <w:spacing w:after="0" w:line="240" w:lineRule="auto"/>
              <w:jc w:val="center"/>
              <w:rPr>
                <w:rFonts w:eastAsia="Times New Roman" w:cs="Times New Roman"/>
                <w:b/>
                <w:color w:val="000000"/>
                <w:lang w:eastAsia="en-GB"/>
              </w:rPr>
            </w:pPr>
          </w:p>
        </w:tc>
        <w:tc>
          <w:tcPr>
            <w:tcW w:w="2018" w:type="dxa"/>
            <w:shd w:val="clear" w:color="auto" w:fill="BFBFBF" w:themeFill="background1" w:themeFillShade="BF"/>
            <w:noWrap/>
            <w:vAlign w:val="center"/>
          </w:tcPr>
          <w:p w:rsidR="008921BF" w:rsidRDefault="008921BF" w:rsidP="00031B92">
            <w:pPr>
              <w:spacing w:after="0" w:line="240" w:lineRule="auto"/>
              <w:jc w:val="center"/>
              <w:rPr>
                <w:rFonts w:eastAsia="Times New Roman" w:cs="Times New Roman"/>
                <w:b/>
                <w:color w:val="000000"/>
                <w:lang w:eastAsia="en-GB"/>
              </w:rPr>
            </w:pPr>
            <w:r>
              <w:rPr>
                <w:rFonts w:eastAsia="Times New Roman" w:cs="Times New Roman"/>
                <w:b/>
                <w:color w:val="000000"/>
                <w:lang w:eastAsia="en-GB"/>
              </w:rPr>
              <w:t>Residential Care Placements</w:t>
            </w:r>
          </w:p>
        </w:tc>
        <w:tc>
          <w:tcPr>
            <w:tcW w:w="2323" w:type="dxa"/>
            <w:shd w:val="clear" w:color="auto" w:fill="BFBFBF" w:themeFill="background1" w:themeFillShade="BF"/>
            <w:noWrap/>
            <w:vAlign w:val="center"/>
          </w:tcPr>
          <w:p w:rsidR="008921BF" w:rsidRDefault="008921BF" w:rsidP="00031B92">
            <w:pPr>
              <w:spacing w:after="0" w:line="240" w:lineRule="auto"/>
              <w:jc w:val="center"/>
              <w:rPr>
                <w:rFonts w:eastAsia="Times New Roman" w:cs="Times New Roman"/>
                <w:b/>
                <w:bCs/>
                <w:color w:val="000000"/>
                <w:lang w:eastAsia="en-GB"/>
              </w:rPr>
            </w:pPr>
            <w:r>
              <w:rPr>
                <w:rFonts w:eastAsia="Times New Roman" w:cs="Times New Roman"/>
                <w:b/>
                <w:bCs/>
                <w:color w:val="000000"/>
                <w:lang w:eastAsia="en-GB"/>
              </w:rPr>
              <w:t>Nursing Care Placements</w:t>
            </w:r>
          </w:p>
        </w:tc>
        <w:tc>
          <w:tcPr>
            <w:tcW w:w="2078" w:type="dxa"/>
            <w:shd w:val="clear" w:color="auto" w:fill="BFBFBF" w:themeFill="background1" w:themeFillShade="BF"/>
          </w:tcPr>
          <w:p w:rsidR="008921BF" w:rsidRDefault="008921BF" w:rsidP="00031B92">
            <w:pPr>
              <w:spacing w:after="0" w:line="240" w:lineRule="auto"/>
              <w:jc w:val="center"/>
              <w:rPr>
                <w:rFonts w:eastAsia="Times New Roman" w:cs="Times New Roman"/>
                <w:b/>
                <w:bCs/>
                <w:color w:val="000000"/>
                <w:lang w:eastAsia="en-GB"/>
              </w:rPr>
            </w:pPr>
            <w:r>
              <w:rPr>
                <w:rFonts w:eastAsia="Times New Roman" w:cs="Times New Roman"/>
                <w:b/>
                <w:bCs/>
                <w:color w:val="000000"/>
                <w:lang w:eastAsia="en-GB"/>
              </w:rPr>
              <w:t>Total Adult Social Services</w:t>
            </w:r>
          </w:p>
        </w:tc>
      </w:tr>
      <w:tr w:rsidR="008921BF" w:rsidRPr="00E3346A" w:rsidTr="00031B92">
        <w:trPr>
          <w:trHeight w:val="293"/>
          <w:jc w:val="center"/>
        </w:trPr>
        <w:tc>
          <w:tcPr>
            <w:tcW w:w="1286" w:type="dxa"/>
            <w:vAlign w:val="center"/>
          </w:tcPr>
          <w:p w:rsidR="008921BF" w:rsidRDefault="008921BF" w:rsidP="00031B92">
            <w:pPr>
              <w:spacing w:after="0" w:line="240" w:lineRule="auto"/>
              <w:jc w:val="center"/>
              <w:rPr>
                <w:rFonts w:eastAsia="Times New Roman" w:cs="Times New Roman"/>
                <w:color w:val="000000"/>
                <w:lang w:eastAsia="en-GB"/>
              </w:rPr>
            </w:pPr>
            <w:r>
              <w:rPr>
                <w:rFonts w:eastAsia="Times New Roman" w:cs="Times New Roman"/>
                <w:color w:val="000000"/>
                <w:lang w:eastAsia="en-GB"/>
              </w:rPr>
              <w:t>2011/12</w:t>
            </w:r>
          </w:p>
        </w:tc>
        <w:tc>
          <w:tcPr>
            <w:tcW w:w="2018" w:type="dxa"/>
            <w:shd w:val="clear" w:color="auto" w:fill="auto"/>
            <w:noWrap/>
            <w:vAlign w:val="bottom"/>
          </w:tcPr>
          <w:p w:rsidR="008921BF" w:rsidRPr="001E2C73" w:rsidRDefault="008921BF" w:rsidP="00031B92">
            <w:pPr>
              <w:spacing w:after="0" w:line="240" w:lineRule="auto"/>
              <w:jc w:val="center"/>
              <w:rPr>
                <w:rFonts w:ascii="Calibri" w:eastAsia="Times New Roman" w:hAnsi="Calibri" w:cs="Times New Roman"/>
                <w:color w:val="000000"/>
                <w:lang w:eastAsia="en-GB"/>
              </w:rPr>
            </w:pPr>
            <w:r w:rsidRPr="001E2C73">
              <w:rPr>
                <w:rFonts w:ascii="Calibri" w:eastAsia="Times New Roman" w:hAnsi="Calibri" w:cs="Times New Roman"/>
                <w:color w:val="000000"/>
                <w:lang w:eastAsia="en-GB"/>
              </w:rPr>
              <w:t>£7,680</w:t>
            </w:r>
          </w:p>
        </w:tc>
        <w:tc>
          <w:tcPr>
            <w:tcW w:w="2323" w:type="dxa"/>
            <w:shd w:val="clear" w:color="auto" w:fill="auto"/>
            <w:noWrap/>
            <w:vAlign w:val="bottom"/>
          </w:tcPr>
          <w:p w:rsidR="008921BF" w:rsidRPr="001E2C73" w:rsidRDefault="008921BF" w:rsidP="00031B92">
            <w:pPr>
              <w:spacing w:after="0" w:line="240" w:lineRule="auto"/>
              <w:jc w:val="center"/>
              <w:rPr>
                <w:rFonts w:ascii="Calibri" w:eastAsia="Times New Roman" w:hAnsi="Calibri" w:cs="Times New Roman"/>
                <w:color w:val="000000"/>
                <w:lang w:eastAsia="en-GB"/>
              </w:rPr>
            </w:pPr>
            <w:r w:rsidRPr="001E2C73">
              <w:rPr>
                <w:rFonts w:ascii="Calibri" w:eastAsia="Times New Roman" w:hAnsi="Calibri" w:cs="Times New Roman"/>
                <w:color w:val="000000"/>
                <w:lang w:eastAsia="en-GB"/>
              </w:rPr>
              <w:t>£42,170</w:t>
            </w:r>
          </w:p>
        </w:tc>
        <w:tc>
          <w:tcPr>
            <w:tcW w:w="2078" w:type="dxa"/>
            <w:vAlign w:val="bottom"/>
          </w:tcPr>
          <w:p w:rsidR="008921BF" w:rsidRPr="001E2C73" w:rsidRDefault="008921BF" w:rsidP="00031B92">
            <w:pPr>
              <w:spacing w:after="0" w:line="240" w:lineRule="auto"/>
              <w:jc w:val="center"/>
              <w:rPr>
                <w:rFonts w:ascii="Calibri" w:eastAsia="Times New Roman" w:hAnsi="Calibri" w:cs="Times New Roman"/>
                <w:color w:val="000000"/>
                <w:lang w:eastAsia="en-GB"/>
              </w:rPr>
            </w:pPr>
            <w:r w:rsidRPr="001E2C73">
              <w:rPr>
                <w:rFonts w:ascii="Calibri" w:eastAsia="Times New Roman" w:hAnsi="Calibri" w:cs="Times New Roman"/>
                <w:color w:val="000000"/>
                <w:lang w:eastAsia="en-GB"/>
              </w:rPr>
              <w:t>£115,940</w:t>
            </w:r>
          </w:p>
        </w:tc>
      </w:tr>
      <w:tr w:rsidR="008921BF" w:rsidRPr="00E3346A" w:rsidTr="00031B92">
        <w:trPr>
          <w:trHeight w:val="239"/>
          <w:jc w:val="center"/>
        </w:trPr>
        <w:tc>
          <w:tcPr>
            <w:tcW w:w="1286" w:type="dxa"/>
            <w:vAlign w:val="center"/>
          </w:tcPr>
          <w:p w:rsidR="008921BF" w:rsidRDefault="008921BF" w:rsidP="00031B92">
            <w:pPr>
              <w:spacing w:after="0" w:line="240" w:lineRule="auto"/>
              <w:jc w:val="center"/>
              <w:rPr>
                <w:rFonts w:eastAsia="Times New Roman" w:cs="Times New Roman"/>
                <w:color w:val="000000"/>
                <w:lang w:eastAsia="en-GB"/>
              </w:rPr>
            </w:pPr>
            <w:r>
              <w:rPr>
                <w:rFonts w:eastAsia="Times New Roman" w:cs="Times New Roman"/>
                <w:color w:val="000000"/>
                <w:lang w:eastAsia="en-GB"/>
              </w:rPr>
              <w:t>2012/13</w:t>
            </w:r>
          </w:p>
        </w:tc>
        <w:tc>
          <w:tcPr>
            <w:tcW w:w="2018" w:type="dxa"/>
            <w:shd w:val="clear" w:color="auto" w:fill="auto"/>
            <w:noWrap/>
            <w:vAlign w:val="bottom"/>
          </w:tcPr>
          <w:p w:rsidR="008921BF" w:rsidRPr="001E2C73" w:rsidRDefault="008921BF" w:rsidP="00031B92">
            <w:pPr>
              <w:spacing w:after="0" w:line="240" w:lineRule="auto"/>
              <w:jc w:val="center"/>
              <w:rPr>
                <w:rFonts w:ascii="Calibri" w:eastAsia="Times New Roman" w:hAnsi="Calibri" w:cs="Times New Roman"/>
                <w:color w:val="000000"/>
                <w:lang w:eastAsia="en-GB"/>
              </w:rPr>
            </w:pPr>
            <w:r w:rsidRPr="001E2C73">
              <w:rPr>
                <w:rFonts w:ascii="Calibri" w:eastAsia="Times New Roman" w:hAnsi="Calibri" w:cs="Times New Roman"/>
                <w:color w:val="000000"/>
                <w:lang w:eastAsia="en-GB"/>
              </w:rPr>
              <w:t>£8,188</w:t>
            </w:r>
          </w:p>
        </w:tc>
        <w:tc>
          <w:tcPr>
            <w:tcW w:w="2323" w:type="dxa"/>
            <w:shd w:val="clear" w:color="auto" w:fill="auto"/>
            <w:noWrap/>
            <w:vAlign w:val="bottom"/>
          </w:tcPr>
          <w:p w:rsidR="008921BF" w:rsidRPr="001E2C73" w:rsidRDefault="008921BF" w:rsidP="00031B92">
            <w:pPr>
              <w:spacing w:after="0" w:line="240" w:lineRule="auto"/>
              <w:jc w:val="center"/>
              <w:rPr>
                <w:rFonts w:ascii="Calibri" w:eastAsia="Times New Roman" w:hAnsi="Calibri" w:cs="Times New Roman"/>
                <w:color w:val="000000"/>
                <w:lang w:eastAsia="en-GB"/>
              </w:rPr>
            </w:pPr>
            <w:r w:rsidRPr="001E2C73">
              <w:rPr>
                <w:rFonts w:ascii="Calibri" w:eastAsia="Times New Roman" w:hAnsi="Calibri" w:cs="Times New Roman"/>
                <w:color w:val="000000"/>
                <w:lang w:eastAsia="en-GB"/>
              </w:rPr>
              <w:t>£38,767</w:t>
            </w:r>
          </w:p>
        </w:tc>
        <w:tc>
          <w:tcPr>
            <w:tcW w:w="2078" w:type="dxa"/>
            <w:vAlign w:val="bottom"/>
          </w:tcPr>
          <w:p w:rsidR="008921BF" w:rsidRPr="001E2C73" w:rsidRDefault="008921BF" w:rsidP="00031B92">
            <w:pPr>
              <w:spacing w:after="0" w:line="240" w:lineRule="auto"/>
              <w:jc w:val="center"/>
              <w:rPr>
                <w:rFonts w:ascii="Calibri" w:eastAsia="Times New Roman" w:hAnsi="Calibri" w:cs="Times New Roman"/>
                <w:color w:val="000000"/>
                <w:lang w:eastAsia="en-GB"/>
              </w:rPr>
            </w:pPr>
            <w:r w:rsidRPr="001E2C73">
              <w:rPr>
                <w:rFonts w:ascii="Calibri" w:eastAsia="Times New Roman" w:hAnsi="Calibri" w:cs="Times New Roman"/>
                <w:color w:val="000000"/>
                <w:lang w:eastAsia="en-GB"/>
              </w:rPr>
              <w:t>£113,888</w:t>
            </w:r>
          </w:p>
        </w:tc>
      </w:tr>
      <w:tr w:rsidR="008921BF" w:rsidRPr="00E3346A" w:rsidTr="00031B92">
        <w:trPr>
          <w:trHeight w:val="77"/>
          <w:jc w:val="center"/>
        </w:trPr>
        <w:tc>
          <w:tcPr>
            <w:tcW w:w="1286" w:type="dxa"/>
            <w:vAlign w:val="center"/>
          </w:tcPr>
          <w:p w:rsidR="008921BF" w:rsidRDefault="008921BF" w:rsidP="00031B92">
            <w:pPr>
              <w:spacing w:after="0" w:line="240" w:lineRule="auto"/>
              <w:jc w:val="center"/>
              <w:rPr>
                <w:rFonts w:eastAsia="Times New Roman" w:cs="Times New Roman"/>
                <w:color w:val="000000"/>
                <w:lang w:eastAsia="en-GB"/>
              </w:rPr>
            </w:pPr>
            <w:r>
              <w:rPr>
                <w:rFonts w:eastAsia="Times New Roman" w:cs="Times New Roman"/>
                <w:color w:val="000000"/>
                <w:lang w:eastAsia="en-GB"/>
              </w:rPr>
              <w:t>2013/14</w:t>
            </w:r>
          </w:p>
        </w:tc>
        <w:tc>
          <w:tcPr>
            <w:tcW w:w="2018" w:type="dxa"/>
            <w:shd w:val="clear" w:color="auto" w:fill="auto"/>
            <w:noWrap/>
            <w:vAlign w:val="bottom"/>
          </w:tcPr>
          <w:p w:rsidR="008921BF" w:rsidRPr="001E2C73" w:rsidRDefault="008921BF" w:rsidP="00031B92">
            <w:pPr>
              <w:spacing w:after="0" w:line="240" w:lineRule="auto"/>
              <w:jc w:val="center"/>
              <w:rPr>
                <w:rFonts w:ascii="Calibri" w:eastAsia="Times New Roman" w:hAnsi="Calibri" w:cs="Times New Roman"/>
                <w:color w:val="000000"/>
                <w:lang w:eastAsia="en-GB"/>
              </w:rPr>
            </w:pPr>
            <w:r w:rsidRPr="001E2C73">
              <w:rPr>
                <w:rFonts w:ascii="Calibri" w:eastAsia="Times New Roman" w:hAnsi="Calibri" w:cs="Times New Roman"/>
                <w:color w:val="000000"/>
                <w:lang w:eastAsia="en-GB"/>
              </w:rPr>
              <w:t>£7,652</w:t>
            </w:r>
          </w:p>
        </w:tc>
        <w:tc>
          <w:tcPr>
            <w:tcW w:w="2323" w:type="dxa"/>
            <w:shd w:val="clear" w:color="auto" w:fill="auto"/>
            <w:noWrap/>
            <w:vAlign w:val="bottom"/>
          </w:tcPr>
          <w:p w:rsidR="008921BF" w:rsidRPr="001E2C73" w:rsidRDefault="008921BF" w:rsidP="00031B92">
            <w:pPr>
              <w:spacing w:after="0" w:line="240" w:lineRule="auto"/>
              <w:jc w:val="center"/>
              <w:rPr>
                <w:rFonts w:ascii="Calibri" w:eastAsia="Times New Roman" w:hAnsi="Calibri" w:cs="Times New Roman"/>
                <w:color w:val="000000"/>
                <w:lang w:eastAsia="en-GB"/>
              </w:rPr>
            </w:pPr>
            <w:r w:rsidRPr="001E2C73">
              <w:rPr>
                <w:rFonts w:ascii="Calibri" w:eastAsia="Times New Roman" w:hAnsi="Calibri" w:cs="Times New Roman"/>
                <w:color w:val="000000"/>
                <w:lang w:eastAsia="en-GB"/>
              </w:rPr>
              <w:t>£38,364</w:t>
            </w:r>
          </w:p>
        </w:tc>
        <w:tc>
          <w:tcPr>
            <w:tcW w:w="2078" w:type="dxa"/>
            <w:vAlign w:val="bottom"/>
          </w:tcPr>
          <w:p w:rsidR="008921BF" w:rsidRPr="001E2C73" w:rsidRDefault="008921BF" w:rsidP="00031B92">
            <w:pPr>
              <w:spacing w:after="0" w:line="240" w:lineRule="auto"/>
              <w:jc w:val="center"/>
              <w:rPr>
                <w:rFonts w:ascii="Calibri" w:eastAsia="Times New Roman" w:hAnsi="Calibri" w:cs="Times New Roman"/>
                <w:color w:val="000000"/>
                <w:lang w:eastAsia="en-GB"/>
              </w:rPr>
            </w:pPr>
            <w:r w:rsidRPr="001E2C73">
              <w:rPr>
                <w:rFonts w:ascii="Calibri" w:eastAsia="Times New Roman" w:hAnsi="Calibri" w:cs="Times New Roman"/>
                <w:color w:val="000000"/>
                <w:lang w:eastAsia="en-GB"/>
              </w:rPr>
              <w:t>£114,340</w:t>
            </w:r>
          </w:p>
        </w:tc>
      </w:tr>
    </w:tbl>
    <w:p w:rsidR="008921BF" w:rsidRDefault="008921BF" w:rsidP="008921BF">
      <w:pPr>
        <w:spacing w:after="0" w:line="240" w:lineRule="auto"/>
        <w:rPr>
          <w:color w:val="FF0000"/>
          <w:sz w:val="24"/>
          <w:szCs w:val="24"/>
        </w:rPr>
      </w:pPr>
    </w:p>
    <w:p w:rsidR="008921BF" w:rsidRPr="00E955F4" w:rsidRDefault="008921BF" w:rsidP="008921BF">
      <w:pPr>
        <w:jc w:val="both"/>
      </w:pPr>
      <w:r w:rsidRPr="00E955F4">
        <w:t xml:space="preserve">Demographic pressures mean that there are an increasing number of elderly people in Barnet, and an increasing number of people with complex health or social care needs. Residential and nursing homes are a key area of provision for this cohort, especially for people with certain disabilities or conditions. </w:t>
      </w:r>
    </w:p>
    <w:p w:rsidR="008921BF" w:rsidRDefault="008921BF" w:rsidP="008921BF">
      <w:pPr>
        <w:pStyle w:val="Heading2"/>
      </w:pPr>
      <w:bookmarkStart w:id="938" w:name="_Toc426723395"/>
      <w:bookmarkStart w:id="939" w:name="_Toc431225222"/>
      <w:r w:rsidRPr="00F26A5B">
        <w:t>Enablement</w:t>
      </w:r>
      <w:bookmarkEnd w:id="938"/>
      <w:bookmarkEnd w:id="939"/>
      <w:r w:rsidRPr="00F26A5B">
        <w:t xml:space="preserve"> </w:t>
      </w:r>
    </w:p>
    <w:p w:rsidR="008921BF" w:rsidRPr="00AA13E2" w:rsidRDefault="008921BF" w:rsidP="008921BF">
      <w:pPr>
        <w:spacing w:after="0" w:line="240" w:lineRule="auto"/>
        <w:jc w:val="both"/>
        <w:rPr>
          <w:lang w:val="en"/>
        </w:rPr>
      </w:pPr>
      <w:r w:rsidRPr="00AA13E2">
        <w:rPr>
          <w:lang w:val="en"/>
        </w:rPr>
        <w:t>Enablement refers to short-te</w:t>
      </w:r>
      <w:r>
        <w:rPr>
          <w:lang w:val="en"/>
        </w:rPr>
        <w:t xml:space="preserve">rm intensive support which is given to a </w:t>
      </w:r>
      <w:r w:rsidRPr="00AA13E2">
        <w:rPr>
          <w:lang w:val="en"/>
        </w:rPr>
        <w:t>person</w:t>
      </w:r>
      <w:r>
        <w:rPr>
          <w:lang w:val="en"/>
        </w:rPr>
        <w:t xml:space="preserve"> to help them</w:t>
      </w:r>
      <w:r w:rsidRPr="00AA13E2">
        <w:rPr>
          <w:lang w:val="en"/>
        </w:rPr>
        <w:t xml:space="preserve"> regain</w:t>
      </w:r>
      <w:r w:rsidR="00142795">
        <w:rPr>
          <w:lang w:val="en"/>
        </w:rPr>
        <w:t xml:space="preserve"> their independence. It</w:t>
      </w:r>
      <w:r w:rsidRPr="00AA13E2">
        <w:rPr>
          <w:lang w:val="en"/>
        </w:rPr>
        <w:t xml:space="preserve"> lasts up to six weeks and usually takes place in the person’s home. During the </w:t>
      </w:r>
      <w:r w:rsidRPr="00AA13E2">
        <w:rPr>
          <w:lang w:val="en"/>
        </w:rPr>
        <w:lastRenderedPageBreak/>
        <w:t>enablement period, the person is assessed to identify if they are likely to require any further services.</w:t>
      </w:r>
    </w:p>
    <w:p w:rsidR="008921BF" w:rsidRPr="00AA13E2" w:rsidRDefault="008921BF" w:rsidP="008921BF">
      <w:pPr>
        <w:spacing w:after="0" w:line="240" w:lineRule="auto"/>
        <w:jc w:val="both"/>
        <w:rPr>
          <w:lang w:val="en"/>
        </w:rPr>
      </w:pPr>
    </w:p>
    <w:p w:rsidR="008921BF" w:rsidRDefault="008921BF" w:rsidP="008921BF">
      <w:pPr>
        <w:spacing w:after="0" w:line="240" w:lineRule="auto"/>
        <w:jc w:val="both"/>
        <w:rPr>
          <w:lang w:val="en"/>
        </w:rPr>
      </w:pPr>
      <w:r>
        <w:rPr>
          <w:lang w:val="en"/>
        </w:rPr>
        <w:t xml:space="preserve">Table 9-4 below displays the re-admission rates for both social care services and health referrals up to three months after the end of their enablement package. </w:t>
      </w:r>
    </w:p>
    <w:p w:rsidR="008921BF" w:rsidRDefault="008921BF" w:rsidP="008921BF">
      <w:pPr>
        <w:pStyle w:val="ListParagraph"/>
        <w:numPr>
          <w:ilvl w:val="0"/>
          <w:numId w:val="47"/>
        </w:numPr>
        <w:spacing w:after="0" w:line="240" w:lineRule="auto"/>
        <w:jc w:val="both"/>
        <w:rPr>
          <w:lang w:val="en"/>
        </w:rPr>
      </w:pPr>
      <w:r>
        <w:rPr>
          <w:lang w:val="en"/>
        </w:rPr>
        <w:t xml:space="preserve">Over 60% of people who have had an enablement package have not been re-admitted to either social care or healthcare within three months of the end of the package. </w:t>
      </w:r>
    </w:p>
    <w:p w:rsidR="008921BF" w:rsidRDefault="008921BF" w:rsidP="008921BF">
      <w:pPr>
        <w:pStyle w:val="ListParagraph"/>
        <w:numPr>
          <w:ilvl w:val="0"/>
          <w:numId w:val="47"/>
        </w:numPr>
        <w:spacing w:after="0" w:line="240" w:lineRule="auto"/>
        <w:jc w:val="both"/>
        <w:rPr>
          <w:lang w:val="en"/>
        </w:rPr>
      </w:pPr>
      <w:r w:rsidRPr="00987597">
        <w:rPr>
          <w:lang w:val="en"/>
        </w:rPr>
        <w:t>25% of service users who are not in residential or nursing care have gone thr</w:t>
      </w:r>
      <w:r>
        <w:rPr>
          <w:lang w:val="en"/>
        </w:rPr>
        <w:t xml:space="preserve">ough the enablement </w:t>
      </w:r>
      <w:proofErr w:type="spellStart"/>
      <w:r>
        <w:rPr>
          <w:lang w:val="en"/>
        </w:rPr>
        <w:t>programme</w:t>
      </w:r>
      <w:proofErr w:type="spellEnd"/>
      <w:r>
        <w:rPr>
          <w:lang w:val="en"/>
        </w:rPr>
        <w:t xml:space="preserve">. </w:t>
      </w:r>
    </w:p>
    <w:p w:rsidR="008921BF" w:rsidRDefault="008921BF" w:rsidP="008921BF">
      <w:pPr>
        <w:pStyle w:val="ListParagraph"/>
        <w:spacing w:after="0" w:line="240" w:lineRule="auto"/>
        <w:rPr>
          <w:lang w:val="en"/>
        </w:rPr>
      </w:pPr>
    </w:p>
    <w:p w:rsidR="008921BF" w:rsidRPr="00791227" w:rsidRDefault="008921BF" w:rsidP="008921BF">
      <w:pPr>
        <w:pStyle w:val="Caption"/>
        <w:keepNext/>
        <w:rPr>
          <w:rFonts w:ascii="Calibri" w:hAnsi="Calibri" w:cs="Calibri"/>
          <w:b w:val="0"/>
          <w:i/>
        </w:rPr>
      </w:pPr>
      <w:r>
        <w:t xml:space="preserve">Table </w:t>
      </w:r>
      <w:fldSimple w:instr=" STYLEREF 1 \s ">
        <w:r w:rsidR="001663C2">
          <w:rPr>
            <w:noProof/>
          </w:rPr>
          <w:t>9</w:t>
        </w:r>
      </w:fldSimple>
      <w:r>
        <w:noBreakHyphen/>
      </w:r>
      <w:fldSimple w:instr=" SEQ Table \* ARABIC \s 1 ">
        <w:r w:rsidR="001663C2">
          <w:rPr>
            <w:noProof/>
          </w:rPr>
          <w:t>4</w:t>
        </w:r>
      </w:fldSimple>
      <w:r>
        <w:t xml:space="preserve">: </w:t>
      </w:r>
      <w:r w:rsidRPr="00041E32">
        <w:t>Success rate e.g. re-admissions, good outcomes including people at home 91 days after intervention and 30 days re-admissions</w:t>
      </w:r>
    </w:p>
    <w:p w:rsidR="008921BF" w:rsidRDefault="008921BF" w:rsidP="008921BF">
      <w:pPr>
        <w:spacing w:after="0" w:line="240" w:lineRule="auto"/>
        <w:jc w:val="center"/>
      </w:pPr>
      <w:r w:rsidRPr="00F8065B">
        <w:rPr>
          <w:noProof/>
          <w:lang w:eastAsia="en-GB"/>
        </w:rPr>
        <w:drawing>
          <wp:inline distT="0" distB="0" distL="0" distR="0" wp14:anchorId="10789162" wp14:editId="7C6E1DC9">
            <wp:extent cx="5433237" cy="2017148"/>
            <wp:effectExtent l="19050" t="19050" r="15240" b="2159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5503076" cy="2043076"/>
                    </a:xfrm>
                    <a:prstGeom prst="rect">
                      <a:avLst/>
                    </a:prstGeom>
                    <a:ln>
                      <a:solidFill>
                        <a:schemeClr val="tx1"/>
                      </a:solidFill>
                    </a:ln>
                  </pic:spPr>
                </pic:pic>
              </a:graphicData>
            </a:graphic>
          </wp:inline>
        </w:drawing>
      </w:r>
    </w:p>
    <w:p w:rsidR="008921BF" w:rsidRDefault="008921BF" w:rsidP="008921BF">
      <w:pPr>
        <w:spacing w:after="0" w:line="240" w:lineRule="auto"/>
        <w:ind w:firstLine="709"/>
        <w:jc w:val="center"/>
      </w:pPr>
    </w:p>
    <w:p w:rsidR="008921BF" w:rsidRDefault="008921BF" w:rsidP="008921BF">
      <w:pPr>
        <w:spacing w:after="0"/>
        <w:jc w:val="both"/>
      </w:pPr>
      <w:r>
        <w:t xml:space="preserve">Although </w:t>
      </w:r>
      <w:r w:rsidRPr="009C6AE4">
        <w:t>enablement ap</w:t>
      </w:r>
      <w:r>
        <w:t>pears to be helping to reduce the level of re-admissions into the healthcare service, the number of new contacts going through the enablemen</w:t>
      </w:r>
      <w:r w:rsidR="00142795">
        <w:t>t programme has experienced a</w:t>
      </w:r>
      <w:r>
        <w:t xml:space="preserve"> slight declined</w:t>
      </w:r>
      <w:r w:rsidRPr="009C6AE4">
        <w:t xml:space="preserve"> </w:t>
      </w:r>
      <w:r>
        <w:t xml:space="preserve">from 2011 to </w:t>
      </w:r>
      <w:r w:rsidRPr="009C6AE4">
        <w:t xml:space="preserve">2014. </w:t>
      </w:r>
    </w:p>
    <w:p w:rsidR="008921BF" w:rsidRDefault="008921BF" w:rsidP="008921BF">
      <w:pPr>
        <w:spacing w:after="0" w:line="240" w:lineRule="auto"/>
        <w:rPr>
          <w:lang w:val="en"/>
        </w:rPr>
      </w:pPr>
    </w:p>
    <w:p w:rsidR="008921BF" w:rsidRDefault="008921BF" w:rsidP="008921BF">
      <w:pPr>
        <w:pStyle w:val="Caption"/>
        <w:keepNext/>
        <w:jc w:val="left"/>
        <w:rPr>
          <w:lang w:val="en"/>
        </w:rPr>
      </w:pPr>
      <w:r>
        <w:t xml:space="preserve">Table </w:t>
      </w:r>
      <w:fldSimple w:instr=" STYLEREF 1 \s ">
        <w:r w:rsidR="001663C2">
          <w:rPr>
            <w:noProof/>
          </w:rPr>
          <w:t>9</w:t>
        </w:r>
      </w:fldSimple>
      <w:r>
        <w:noBreakHyphen/>
      </w:r>
      <w:fldSimple w:instr=" SEQ Table \* ARABIC \s 1 ">
        <w:r w:rsidR="001663C2">
          <w:rPr>
            <w:noProof/>
          </w:rPr>
          <w:t>5</w:t>
        </w:r>
      </w:fldSimple>
      <w:r w:rsidRPr="00041E32">
        <w:t>: Numbers given an assessment and subsequently given an enablement package</w:t>
      </w:r>
    </w:p>
    <w:tbl>
      <w:tblPr>
        <w:tblStyle w:val="TableGrid"/>
        <w:tblW w:w="8543" w:type="dxa"/>
        <w:jc w:val="center"/>
        <w:tblInd w:w="-190" w:type="dxa"/>
        <w:tblLook w:val="04A0" w:firstRow="1" w:lastRow="0" w:firstColumn="1" w:lastColumn="0" w:noHBand="0" w:noVBand="1"/>
      </w:tblPr>
      <w:tblGrid>
        <w:gridCol w:w="1472"/>
        <w:gridCol w:w="2539"/>
        <w:gridCol w:w="1272"/>
        <w:gridCol w:w="1383"/>
        <w:gridCol w:w="1877"/>
      </w:tblGrid>
      <w:tr w:rsidR="008921BF" w:rsidRPr="00311580" w:rsidTr="00031B92">
        <w:trPr>
          <w:trHeight w:val="570"/>
          <w:jc w:val="center"/>
        </w:trPr>
        <w:tc>
          <w:tcPr>
            <w:tcW w:w="1472" w:type="dxa"/>
            <w:shd w:val="clear" w:color="auto" w:fill="BFBFBF" w:themeFill="background1" w:themeFillShade="BF"/>
            <w:vAlign w:val="center"/>
          </w:tcPr>
          <w:p w:rsidR="008921BF" w:rsidRPr="00723C7D" w:rsidRDefault="008921BF" w:rsidP="00031B92">
            <w:pPr>
              <w:jc w:val="center"/>
              <w:rPr>
                <w:rFonts w:ascii="Calibri" w:eastAsia="Times New Roman" w:hAnsi="Calibri" w:cs="Times New Roman"/>
                <w:b/>
                <w:bCs/>
                <w:lang w:eastAsia="en-GB"/>
              </w:rPr>
            </w:pPr>
            <w:r w:rsidRPr="00723C7D">
              <w:rPr>
                <w:rFonts w:ascii="Calibri" w:eastAsia="Times New Roman" w:hAnsi="Calibri" w:cs="Times New Roman"/>
                <w:b/>
                <w:bCs/>
                <w:lang w:eastAsia="en-GB"/>
              </w:rPr>
              <w:t>Enablement</w:t>
            </w:r>
          </w:p>
        </w:tc>
        <w:tc>
          <w:tcPr>
            <w:tcW w:w="2539" w:type="dxa"/>
            <w:shd w:val="clear" w:color="auto" w:fill="BFBFBF" w:themeFill="background1" w:themeFillShade="BF"/>
            <w:vAlign w:val="center"/>
          </w:tcPr>
          <w:p w:rsidR="008921BF" w:rsidRPr="00723C7D" w:rsidRDefault="008921BF" w:rsidP="00031B92">
            <w:pPr>
              <w:jc w:val="center"/>
              <w:rPr>
                <w:rFonts w:ascii="Calibri" w:eastAsia="Times New Roman" w:hAnsi="Calibri" w:cs="Times New Roman"/>
                <w:b/>
                <w:bCs/>
                <w:lang w:eastAsia="en-GB"/>
              </w:rPr>
            </w:pPr>
            <w:r w:rsidRPr="00723C7D">
              <w:rPr>
                <w:rFonts w:ascii="Calibri" w:eastAsia="Times New Roman" w:hAnsi="Calibri" w:cs="Times New Roman"/>
                <w:b/>
                <w:color w:val="000000"/>
                <w:lang w:eastAsia="en-GB"/>
              </w:rPr>
              <w:t>New Contacts Going Through Enablement (</w:t>
            </w:r>
            <w:proofErr w:type="spellStart"/>
            <w:r w:rsidRPr="00723C7D">
              <w:rPr>
                <w:rFonts w:ascii="Calibri" w:eastAsia="Times New Roman" w:hAnsi="Calibri" w:cs="Times New Roman"/>
                <w:b/>
                <w:color w:val="000000"/>
                <w:lang w:eastAsia="en-GB"/>
              </w:rPr>
              <w:t>inc.</w:t>
            </w:r>
            <w:proofErr w:type="spellEnd"/>
            <w:r w:rsidRPr="00723C7D">
              <w:rPr>
                <w:rFonts w:ascii="Calibri" w:eastAsia="Times New Roman" w:hAnsi="Calibri" w:cs="Times New Roman"/>
                <w:b/>
                <w:color w:val="000000"/>
                <w:lang w:eastAsia="en-GB"/>
              </w:rPr>
              <w:t xml:space="preserve"> Health Referrals)</w:t>
            </w:r>
          </w:p>
        </w:tc>
        <w:tc>
          <w:tcPr>
            <w:tcW w:w="1272" w:type="dxa"/>
            <w:shd w:val="clear" w:color="auto" w:fill="BFBFBF" w:themeFill="background1" w:themeFillShade="BF"/>
            <w:vAlign w:val="center"/>
          </w:tcPr>
          <w:p w:rsidR="008921BF" w:rsidRPr="00723C7D" w:rsidRDefault="008921BF" w:rsidP="00031B92">
            <w:pPr>
              <w:jc w:val="center"/>
              <w:rPr>
                <w:rFonts w:ascii="Calibri" w:eastAsia="Times New Roman" w:hAnsi="Calibri" w:cs="Times New Roman"/>
                <w:b/>
                <w:bCs/>
                <w:lang w:eastAsia="en-GB"/>
              </w:rPr>
            </w:pPr>
            <w:r w:rsidRPr="00723C7D">
              <w:rPr>
                <w:rFonts w:ascii="Calibri" w:eastAsia="Times New Roman" w:hAnsi="Calibri" w:cs="Times New Roman"/>
                <w:b/>
                <w:color w:val="000000"/>
                <w:lang w:eastAsia="en-GB"/>
              </w:rPr>
              <w:t>% of New Contacts</w:t>
            </w:r>
          </w:p>
        </w:tc>
        <w:tc>
          <w:tcPr>
            <w:tcW w:w="1383" w:type="dxa"/>
            <w:shd w:val="clear" w:color="auto" w:fill="BFBFBF" w:themeFill="background1" w:themeFillShade="BF"/>
            <w:vAlign w:val="center"/>
          </w:tcPr>
          <w:p w:rsidR="008921BF" w:rsidRPr="00723C7D" w:rsidRDefault="008921BF" w:rsidP="00031B92">
            <w:pPr>
              <w:jc w:val="center"/>
              <w:rPr>
                <w:rFonts w:ascii="Calibri" w:eastAsia="Times New Roman" w:hAnsi="Calibri" w:cs="Times New Roman"/>
                <w:b/>
                <w:bCs/>
                <w:lang w:eastAsia="en-GB"/>
              </w:rPr>
            </w:pPr>
            <w:r w:rsidRPr="00723C7D">
              <w:rPr>
                <w:rFonts w:ascii="Calibri" w:eastAsia="Times New Roman" w:hAnsi="Calibri" w:cs="Times New Roman"/>
                <w:b/>
                <w:color w:val="000000"/>
                <w:lang w:eastAsia="en-GB"/>
              </w:rPr>
              <w:t>% of Assessments</w:t>
            </w:r>
          </w:p>
        </w:tc>
        <w:tc>
          <w:tcPr>
            <w:tcW w:w="1877" w:type="dxa"/>
            <w:shd w:val="clear" w:color="auto" w:fill="BFBFBF" w:themeFill="background1" w:themeFillShade="BF"/>
            <w:vAlign w:val="center"/>
          </w:tcPr>
          <w:p w:rsidR="008921BF" w:rsidRPr="00723C7D" w:rsidRDefault="008921BF" w:rsidP="00031B92">
            <w:pPr>
              <w:jc w:val="center"/>
              <w:rPr>
                <w:rFonts w:ascii="Calibri" w:eastAsia="Times New Roman" w:hAnsi="Calibri" w:cs="Times New Roman"/>
                <w:b/>
                <w:bCs/>
                <w:lang w:eastAsia="en-GB"/>
              </w:rPr>
            </w:pPr>
            <w:r w:rsidRPr="00723C7D">
              <w:rPr>
                <w:rFonts w:ascii="Calibri" w:eastAsia="Times New Roman" w:hAnsi="Calibri" w:cs="Times New Roman"/>
                <w:b/>
                <w:color w:val="000000"/>
                <w:lang w:eastAsia="en-GB"/>
              </w:rPr>
              <w:t>% of New Service Provisions</w:t>
            </w:r>
          </w:p>
        </w:tc>
      </w:tr>
      <w:tr w:rsidR="008921BF" w:rsidRPr="00311580" w:rsidTr="00031B92">
        <w:trPr>
          <w:trHeight w:val="315"/>
          <w:jc w:val="center"/>
        </w:trPr>
        <w:tc>
          <w:tcPr>
            <w:tcW w:w="1472" w:type="dxa"/>
            <w:noWrap/>
            <w:vAlign w:val="center"/>
            <w:hideMark/>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2011/12</w:t>
            </w:r>
          </w:p>
        </w:tc>
        <w:tc>
          <w:tcPr>
            <w:tcW w:w="2539"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1,498</w:t>
            </w:r>
          </w:p>
        </w:tc>
        <w:tc>
          <w:tcPr>
            <w:tcW w:w="1272"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15.4%</w:t>
            </w:r>
          </w:p>
        </w:tc>
        <w:tc>
          <w:tcPr>
            <w:tcW w:w="1383" w:type="dxa"/>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60.7%</w:t>
            </w:r>
          </w:p>
        </w:tc>
        <w:tc>
          <w:tcPr>
            <w:tcW w:w="1877" w:type="dxa"/>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73.8%</w:t>
            </w:r>
          </w:p>
        </w:tc>
      </w:tr>
      <w:tr w:rsidR="008921BF" w:rsidRPr="00311580" w:rsidTr="00031B92">
        <w:trPr>
          <w:trHeight w:val="300"/>
          <w:jc w:val="center"/>
        </w:trPr>
        <w:tc>
          <w:tcPr>
            <w:tcW w:w="1472"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2012/13</w:t>
            </w:r>
          </w:p>
        </w:tc>
        <w:tc>
          <w:tcPr>
            <w:tcW w:w="2539"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1,458</w:t>
            </w:r>
          </w:p>
        </w:tc>
        <w:tc>
          <w:tcPr>
            <w:tcW w:w="1272"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16.8%</w:t>
            </w:r>
          </w:p>
        </w:tc>
        <w:tc>
          <w:tcPr>
            <w:tcW w:w="1383" w:type="dxa"/>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58.4%</w:t>
            </w:r>
          </w:p>
        </w:tc>
        <w:tc>
          <w:tcPr>
            <w:tcW w:w="1877" w:type="dxa"/>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74.4%</w:t>
            </w:r>
          </w:p>
        </w:tc>
      </w:tr>
      <w:tr w:rsidR="008921BF" w:rsidRPr="00311580" w:rsidTr="00031B92">
        <w:trPr>
          <w:trHeight w:val="300"/>
          <w:jc w:val="center"/>
        </w:trPr>
        <w:tc>
          <w:tcPr>
            <w:tcW w:w="1472"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2013/14</w:t>
            </w:r>
          </w:p>
        </w:tc>
        <w:tc>
          <w:tcPr>
            <w:tcW w:w="2539"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1,100</w:t>
            </w:r>
          </w:p>
        </w:tc>
        <w:tc>
          <w:tcPr>
            <w:tcW w:w="1272"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12.0%</w:t>
            </w:r>
          </w:p>
        </w:tc>
        <w:tc>
          <w:tcPr>
            <w:tcW w:w="1383" w:type="dxa"/>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41.4%</w:t>
            </w:r>
          </w:p>
        </w:tc>
        <w:tc>
          <w:tcPr>
            <w:tcW w:w="1877" w:type="dxa"/>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54.1%</w:t>
            </w:r>
          </w:p>
        </w:tc>
      </w:tr>
    </w:tbl>
    <w:p w:rsidR="008921BF" w:rsidRDefault="008921BF" w:rsidP="008921BF">
      <w:pPr>
        <w:spacing w:after="0" w:line="240" w:lineRule="auto"/>
      </w:pPr>
      <w:r>
        <w:t>Source:  SWIFT – Adult Social Care Database</w:t>
      </w:r>
    </w:p>
    <w:p w:rsidR="008921BF" w:rsidRDefault="008921BF" w:rsidP="008921BF">
      <w:pPr>
        <w:spacing w:after="0" w:line="240" w:lineRule="auto"/>
        <w:rPr>
          <w:lang w:val="en"/>
        </w:rPr>
      </w:pPr>
    </w:p>
    <w:p w:rsidR="008921BF" w:rsidRDefault="008921BF" w:rsidP="008921BF">
      <w:pPr>
        <w:jc w:val="both"/>
      </w:pPr>
      <w:r>
        <w:t xml:space="preserve">A formula developed by the Care Services Efficiency Delivery (CSED) programme indicates that demand for enablement services should be around 5% of the 65 and over population. In 2013/14 the service was used by 1,660 people, 3.3% of the 65 and over population. Based on these projections this could indicate a lack of take up </w:t>
      </w:r>
      <w:r w:rsidR="00DD3A76">
        <w:t>of around</w:t>
      </w:r>
      <w:r>
        <w:t xml:space="preserve"> 800 people.</w:t>
      </w:r>
    </w:p>
    <w:p w:rsidR="008921BF" w:rsidRDefault="008921BF" w:rsidP="008921BF">
      <w:pPr>
        <w:jc w:val="both"/>
      </w:pPr>
      <w:r>
        <w:t>If the estimates from the CSED are applied to the latest population projections, due</w:t>
      </w:r>
      <w:r w:rsidR="00142795">
        <w:t xml:space="preserve"> to</w:t>
      </w:r>
      <w:r>
        <w:t xml:space="preserve"> the projected growth in the older population, demand for enablement services could increase by over 33% from 2015-2030. </w:t>
      </w:r>
    </w:p>
    <w:p w:rsidR="00AA058C" w:rsidRDefault="00AA058C" w:rsidP="008921BF">
      <w:pPr>
        <w:pStyle w:val="Caption"/>
      </w:pPr>
    </w:p>
    <w:p w:rsidR="00AA058C" w:rsidRDefault="00AA058C" w:rsidP="008921BF">
      <w:pPr>
        <w:pStyle w:val="Caption"/>
      </w:pPr>
    </w:p>
    <w:p w:rsidR="008921BF" w:rsidRPr="00041E32" w:rsidRDefault="008921BF" w:rsidP="008921BF">
      <w:pPr>
        <w:pStyle w:val="Caption"/>
      </w:pPr>
      <w:r>
        <w:lastRenderedPageBreak/>
        <w:t xml:space="preserve">Table </w:t>
      </w:r>
      <w:fldSimple w:instr=" STYLEREF 1 \s ">
        <w:r w:rsidR="001663C2">
          <w:rPr>
            <w:noProof/>
          </w:rPr>
          <w:t>9</w:t>
        </w:r>
      </w:fldSimple>
      <w:r>
        <w:noBreakHyphen/>
      </w:r>
      <w:fldSimple w:instr=" SEQ Table \* ARABIC \s 1 ">
        <w:r w:rsidR="001663C2">
          <w:rPr>
            <w:noProof/>
          </w:rPr>
          <w:t>6</w:t>
        </w:r>
      </w:fldSimple>
      <w:r>
        <w:t xml:space="preserve">: </w:t>
      </w:r>
      <w:r w:rsidRPr="00041E32">
        <w:t>Projected demand for enablement services, 2015-2030</w:t>
      </w:r>
    </w:p>
    <w:tbl>
      <w:tblPr>
        <w:tblW w:w="4705" w:type="dxa"/>
        <w:jc w:val="center"/>
        <w:tblInd w:w="-257" w:type="dxa"/>
        <w:tblLook w:val="04A0" w:firstRow="1" w:lastRow="0" w:firstColumn="1" w:lastColumn="0" w:noHBand="0" w:noVBand="1"/>
      </w:tblPr>
      <w:tblGrid>
        <w:gridCol w:w="992"/>
        <w:gridCol w:w="1783"/>
        <w:gridCol w:w="1930"/>
      </w:tblGrid>
      <w:tr w:rsidR="008921BF" w:rsidRPr="00A00E1F" w:rsidTr="00031B92">
        <w:trPr>
          <w:trHeight w:val="333"/>
          <w:jc w:val="center"/>
        </w:trPr>
        <w:tc>
          <w:tcPr>
            <w:tcW w:w="9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8921BF" w:rsidRPr="00A00E1F" w:rsidRDefault="008921BF" w:rsidP="00031B92">
            <w:pPr>
              <w:spacing w:after="0" w:line="240" w:lineRule="auto"/>
              <w:jc w:val="center"/>
              <w:rPr>
                <w:rFonts w:ascii="Calibri" w:eastAsia="Times New Roman" w:hAnsi="Calibri" w:cs="Times New Roman"/>
                <w:b/>
                <w:bCs/>
                <w:color w:val="000000"/>
                <w:lang w:eastAsia="en-GB"/>
              </w:rPr>
            </w:pPr>
            <w:r w:rsidRPr="00A00E1F">
              <w:rPr>
                <w:rFonts w:ascii="Calibri" w:eastAsia="Times New Roman" w:hAnsi="Calibri" w:cs="Times New Roman"/>
                <w:b/>
                <w:bCs/>
                <w:color w:val="000000"/>
                <w:lang w:eastAsia="en-GB"/>
              </w:rPr>
              <w:t>Year</w:t>
            </w:r>
          </w:p>
        </w:tc>
        <w:tc>
          <w:tcPr>
            <w:tcW w:w="1783"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8921BF" w:rsidRPr="00A00E1F" w:rsidRDefault="008921BF" w:rsidP="00031B92">
            <w:pPr>
              <w:spacing w:after="0" w:line="240" w:lineRule="auto"/>
              <w:jc w:val="center"/>
              <w:rPr>
                <w:rFonts w:ascii="Calibri" w:eastAsia="Times New Roman" w:hAnsi="Calibri" w:cs="Times New Roman"/>
                <w:b/>
                <w:bCs/>
                <w:color w:val="000000"/>
                <w:lang w:eastAsia="en-GB"/>
              </w:rPr>
            </w:pPr>
            <w:r w:rsidRPr="00A00E1F">
              <w:rPr>
                <w:rFonts w:ascii="Calibri" w:eastAsia="Times New Roman" w:hAnsi="Calibri" w:cs="Times New Roman"/>
                <w:b/>
                <w:bCs/>
                <w:color w:val="000000"/>
                <w:lang w:eastAsia="en-GB"/>
              </w:rPr>
              <w:t>65+ Population</w:t>
            </w:r>
          </w:p>
        </w:tc>
        <w:tc>
          <w:tcPr>
            <w:tcW w:w="193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8921BF" w:rsidRPr="00A00E1F" w:rsidRDefault="008921BF" w:rsidP="00031B92">
            <w:pPr>
              <w:spacing w:after="0" w:line="240" w:lineRule="auto"/>
              <w:jc w:val="center"/>
              <w:rPr>
                <w:rFonts w:ascii="Calibri" w:eastAsia="Times New Roman" w:hAnsi="Calibri" w:cs="Times New Roman"/>
                <w:b/>
                <w:bCs/>
                <w:color w:val="000000"/>
                <w:lang w:eastAsia="en-GB"/>
              </w:rPr>
            </w:pPr>
            <w:r w:rsidRPr="00A00E1F">
              <w:rPr>
                <w:rFonts w:ascii="Calibri" w:eastAsia="Times New Roman" w:hAnsi="Calibri" w:cs="Times New Roman"/>
                <w:b/>
                <w:bCs/>
                <w:color w:val="000000"/>
                <w:lang w:eastAsia="en-GB"/>
              </w:rPr>
              <w:t>5% of Population</w:t>
            </w:r>
          </w:p>
        </w:tc>
      </w:tr>
      <w:tr w:rsidR="008921BF" w:rsidRPr="00A00E1F" w:rsidTr="00031B92">
        <w:trPr>
          <w:trHeight w:val="315"/>
          <w:jc w:val="center"/>
        </w:trPr>
        <w:tc>
          <w:tcPr>
            <w:tcW w:w="992" w:type="dxa"/>
            <w:tcBorders>
              <w:top w:val="nil"/>
              <w:left w:val="single" w:sz="4" w:space="0" w:color="auto"/>
              <w:bottom w:val="single" w:sz="4" w:space="0" w:color="auto"/>
              <w:right w:val="single" w:sz="4" w:space="0" w:color="auto"/>
            </w:tcBorders>
            <w:shd w:val="clear" w:color="D8E4BC" w:fill="FFFFFF"/>
            <w:noWrap/>
            <w:vAlign w:val="bottom"/>
            <w:hideMark/>
          </w:tcPr>
          <w:p w:rsidR="008921BF" w:rsidRPr="00A00E1F" w:rsidRDefault="008921BF" w:rsidP="00031B92">
            <w:pPr>
              <w:spacing w:after="0" w:line="240" w:lineRule="auto"/>
              <w:jc w:val="center"/>
              <w:rPr>
                <w:rFonts w:ascii="Calibri" w:eastAsia="Times New Roman" w:hAnsi="Calibri" w:cs="Times New Roman"/>
                <w:color w:val="000000"/>
                <w:sz w:val="20"/>
                <w:szCs w:val="20"/>
                <w:lang w:eastAsia="en-GB"/>
              </w:rPr>
            </w:pPr>
            <w:r w:rsidRPr="00A00E1F">
              <w:rPr>
                <w:rFonts w:ascii="Calibri" w:eastAsia="Times New Roman" w:hAnsi="Calibri" w:cs="Times New Roman"/>
                <w:color w:val="000000"/>
                <w:sz w:val="20"/>
                <w:szCs w:val="20"/>
                <w:lang w:eastAsia="en-GB"/>
              </w:rPr>
              <w:t>2015</w:t>
            </w:r>
          </w:p>
        </w:tc>
        <w:tc>
          <w:tcPr>
            <w:tcW w:w="1783" w:type="dxa"/>
            <w:tcBorders>
              <w:top w:val="nil"/>
              <w:left w:val="nil"/>
              <w:bottom w:val="single" w:sz="4" w:space="0" w:color="auto"/>
              <w:right w:val="single" w:sz="4" w:space="0" w:color="auto"/>
            </w:tcBorders>
            <w:shd w:val="clear" w:color="D8E4BC" w:fill="FFFFFF"/>
            <w:noWrap/>
            <w:vAlign w:val="bottom"/>
            <w:hideMark/>
          </w:tcPr>
          <w:p w:rsidR="008921BF" w:rsidRPr="00A00E1F" w:rsidRDefault="008921BF" w:rsidP="00031B92">
            <w:pPr>
              <w:spacing w:after="0" w:line="240" w:lineRule="auto"/>
              <w:jc w:val="center"/>
              <w:rPr>
                <w:rFonts w:ascii="Calibri" w:eastAsia="Times New Roman" w:hAnsi="Calibri" w:cs="Times New Roman"/>
                <w:color w:val="000000"/>
                <w:sz w:val="20"/>
                <w:szCs w:val="20"/>
                <w:lang w:eastAsia="en-GB"/>
              </w:rPr>
            </w:pPr>
            <w:r w:rsidRPr="00A00E1F">
              <w:rPr>
                <w:rFonts w:ascii="Calibri" w:eastAsia="Times New Roman" w:hAnsi="Calibri" w:cs="Times New Roman"/>
                <w:color w:val="000000"/>
                <w:sz w:val="20"/>
                <w:szCs w:val="20"/>
                <w:lang w:eastAsia="en-GB"/>
              </w:rPr>
              <w:t>47,705</w:t>
            </w:r>
          </w:p>
        </w:tc>
        <w:tc>
          <w:tcPr>
            <w:tcW w:w="1930" w:type="dxa"/>
            <w:tcBorders>
              <w:top w:val="nil"/>
              <w:left w:val="nil"/>
              <w:bottom w:val="single" w:sz="4" w:space="0" w:color="auto"/>
              <w:right w:val="single" w:sz="4" w:space="0" w:color="auto"/>
            </w:tcBorders>
            <w:shd w:val="clear" w:color="000000" w:fill="FFFFFF"/>
            <w:noWrap/>
            <w:vAlign w:val="bottom"/>
            <w:hideMark/>
          </w:tcPr>
          <w:p w:rsidR="008921BF" w:rsidRPr="00A00E1F" w:rsidRDefault="008921BF" w:rsidP="00031B92">
            <w:pPr>
              <w:spacing w:after="0" w:line="240" w:lineRule="auto"/>
              <w:jc w:val="center"/>
              <w:rPr>
                <w:rFonts w:ascii="Calibri" w:eastAsia="Times New Roman" w:hAnsi="Calibri" w:cs="Times New Roman"/>
                <w:color w:val="000000"/>
                <w:lang w:eastAsia="en-GB"/>
              </w:rPr>
            </w:pPr>
            <w:r w:rsidRPr="00A00E1F">
              <w:rPr>
                <w:rFonts w:ascii="Calibri" w:eastAsia="Times New Roman" w:hAnsi="Calibri" w:cs="Times New Roman"/>
                <w:color w:val="000000"/>
                <w:lang w:eastAsia="en-GB"/>
              </w:rPr>
              <w:t>2</w:t>
            </w:r>
            <w:r>
              <w:rPr>
                <w:rFonts w:ascii="Calibri" w:eastAsia="Times New Roman" w:hAnsi="Calibri" w:cs="Times New Roman"/>
                <w:color w:val="000000"/>
                <w:lang w:eastAsia="en-GB"/>
              </w:rPr>
              <w:t>,</w:t>
            </w:r>
            <w:r w:rsidRPr="00A00E1F">
              <w:rPr>
                <w:rFonts w:ascii="Calibri" w:eastAsia="Times New Roman" w:hAnsi="Calibri" w:cs="Times New Roman"/>
                <w:color w:val="000000"/>
                <w:lang w:eastAsia="en-GB"/>
              </w:rPr>
              <w:t>385</w:t>
            </w:r>
          </w:p>
        </w:tc>
      </w:tr>
      <w:tr w:rsidR="008921BF" w:rsidRPr="00A00E1F" w:rsidTr="00031B92">
        <w:trPr>
          <w:trHeight w:val="300"/>
          <w:jc w:val="center"/>
        </w:trPr>
        <w:tc>
          <w:tcPr>
            <w:tcW w:w="992" w:type="dxa"/>
            <w:tcBorders>
              <w:top w:val="nil"/>
              <w:left w:val="single" w:sz="4" w:space="0" w:color="auto"/>
              <w:bottom w:val="single" w:sz="4" w:space="0" w:color="auto"/>
              <w:right w:val="single" w:sz="4" w:space="0" w:color="auto"/>
            </w:tcBorders>
            <w:shd w:val="clear" w:color="EBF1DE" w:fill="FFFFFF"/>
            <w:noWrap/>
            <w:vAlign w:val="bottom"/>
            <w:hideMark/>
          </w:tcPr>
          <w:p w:rsidR="008921BF" w:rsidRPr="00A00E1F" w:rsidRDefault="008921BF" w:rsidP="00031B92">
            <w:pPr>
              <w:spacing w:after="0" w:line="240" w:lineRule="auto"/>
              <w:jc w:val="center"/>
              <w:rPr>
                <w:rFonts w:ascii="Calibri" w:eastAsia="Times New Roman" w:hAnsi="Calibri" w:cs="Times New Roman"/>
                <w:color w:val="000000"/>
                <w:sz w:val="20"/>
                <w:szCs w:val="20"/>
                <w:lang w:eastAsia="en-GB"/>
              </w:rPr>
            </w:pPr>
            <w:r w:rsidRPr="00A00E1F">
              <w:rPr>
                <w:rFonts w:ascii="Calibri" w:eastAsia="Times New Roman" w:hAnsi="Calibri" w:cs="Times New Roman"/>
                <w:color w:val="000000"/>
                <w:sz w:val="20"/>
                <w:szCs w:val="20"/>
                <w:lang w:eastAsia="en-GB"/>
              </w:rPr>
              <w:t>2016</w:t>
            </w:r>
          </w:p>
        </w:tc>
        <w:tc>
          <w:tcPr>
            <w:tcW w:w="1783" w:type="dxa"/>
            <w:tcBorders>
              <w:top w:val="nil"/>
              <w:left w:val="nil"/>
              <w:bottom w:val="single" w:sz="4" w:space="0" w:color="auto"/>
              <w:right w:val="single" w:sz="4" w:space="0" w:color="auto"/>
            </w:tcBorders>
            <w:shd w:val="clear" w:color="EBF1DE" w:fill="FFFFFF"/>
            <w:noWrap/>
            <w:vAlign w:val="bottom"/>
            <w:hideMark/>
          </w:tcPr>
          <w:p w:rsidR="008921BF" w:rsidRPr="00A00E1F" w:rsidRDefault="008921BF" w:rsidP="00031B92">
            <w:pPr>
              <w:spacing w:after="0" w:line="240" w:lineRule="auto"/>
              <w:jc w:val="center"/>
              <w:rPr>
                <w:rFonts w:ascii="Calibri" w:eastAsia="Times New Roman" w:hAnsi="Calibri" w:cs="Times New Roman"/>
                <w:color w:val="000000"/>
                <w:sz w:val="20"/>
                <w:szCs w:val="20"/>
                <w:lang w:eastAsia="en-GB"/>
              </w:rPr>
            </w:pPr>
            <w:r w:rsidRPr="00A00E1F">
              <w:rPr>
                <w:rFonts w:ascii="Calibri" w:eastAsia="Times New Roman" w:hAnsi="Calibri" w:cs="Times New Roman"/>
                <w:color w:val="000000"/>
                <w:sz w:val="20"/>
                <w:szCs w:val="20"/>
                <w:lang w:eastAsia="en-GB"/>
              </w:rPr>
              <w:t>49,237</w:t>
            </w:r>
          </w:p>
        </w:tc>
        <w:tc>
          <w:tcPr>
            <w:tcW w:w="1930" w:type="dxa"/>
            <w:tcBorders>
              <w:top w:val="nil"/>
              <w:left w:val="nil"/>
              <w:bottom w:val="single" w:sz="4" w:space="0" w:color="auto"/>
              <w:right w:val="single" w:sz="4" w:space="0" w:color="auto"/>
            </w:tcBorders>
            <w:shd w:val="clear" w:color="000000" w:fill="FFFFFF"/>
            <w:noWrap/>
            <w:vAlign w:val="bottom"/>
            <w:hideMark/>
          </w:tcPr>
          <w:p w:rsidR="008921BF" w:rsidRPr="00A00E1F" w:rsidRDefault="008921BF" w:rsidP="00031B92">
            <w:pPr>
              <w:spacing w:after="0" w:line="240" w:lineRule="auto"/>
              <w:jc w:val="center"/>
              <w:rPr>
                <w:rFonts w:ascii="Calibri" w:eastAsia="Times New Roman" w:hAnsi="Calibri" w:cs="Times New Roman"/>
                <w:color w:val="000000"/>
                <w:lang w:eastAsia="en-GB"/>
              </w:rPr>
            </w:pPr>
            <w:r w:rsidRPr="00A00E1F">
              <w:rPr>
                <w:rFonts w:ascii="Calibri" w:eastAsia="Times New Roman" w:hAnsi="Calibri" w:cs="Times New Roman"/>
                <w:color w:val="000000"/>
                <w:lang w:eastAsia="en-GB"/>
              </w:rPr>
              <w:t>2</w:t>
            </w:r>
            <w:r>
              <w:rPr>
                <w:rFonts w:ascii="Calibri" w:eastAsia="Times New Roman" w:hAnsi="Calibri" w:cs="Times New Roman"/>
                <w:color w:val="000000"/>
                <w:lang w:eastAsia="en-GB"/>
              </w:rPr>
              <w:t>,</w:t>
            </w:r>
            <w:r w:rsidRPr="00A00E1F">
              <w:rPr>
                <w:rFonts w:ascii="Calibri" w:eastAsia="Times New Roman" w:hAnsi="Calibri" w:cs="Times New Roman"/>
                <w:color w:val="000000"/>
                <w:lang w:eastAsia="en-GB"/>
              </w:rPr>
              <w:t>462</w:t>
            </w:r>
          </w:p>
        </w:tc>
      </w:tr>
      <w:tr w:rsidR="008921BF" w:rsidRPr="00A00E1F" w:rsidTr="00031B92">
        <w:trPr>
          <w:trHeight w:val="300"/>
          <w:jc w:val="center"/>
        </w:trPr>
        <w:tc>
          <w:tcPr>
            <w:tcW w:w="992" w:type="dxa"/>
            <w:tcBorders>
              <w:top w:val="nil"/>
              <w:left w:val="single" w:sz="4" w:space="0" w:color="auto"/>
              <w:bottom w:val="single" w:sz="4" w:space="0" w:color="auto"/>
              <w:right w:val="single" w:sz="4" w:space="0" w:color="auto"/>
            </w:tcBorders>
            <w:shd w:val="clear" w:color="D8E4BC" w:fill="FFFFFF"/>
            <w:noWrap/>
            <w:vAlign w:val="bottom"/>
            <w:hideMark/>
          </w:tcPr>
          <w:p w:rsidR="008921BF" w:rsidRPr="00A00E1F" w:rsidRDefault="008921BF" w:rsidP="00031B92">
            <w:pPr>
              <w:spacing w:after="0" w:line="240" w:lineRule="auto"/>
              <w:jc w:val="center"/>
              <w:rPr>
                <w:rFonts w:ascii="Calibri" w:eastAsia="Times New Roman" w:hAnsi="Calibri" w:cs="Times New Roman"/>
                <w:color w:val="000000"/>
                <w:sz w:val="20"/>
                <w:szCs w:val="20"/>
                <w:lang w:eastAsia="en-GB"/>
              </w:rPr>
            </w:pPr>
            <w:r w:rsidRPr="00A00E1F">
              <w:rPr>
                <w:rFonts w:ascii="Calibri" w:eastAsia="Times New Roman" w:hAnsi="Calibri" w:cs="Times New Roman"/>
                <w:color w:val="000000"/>
                <w:sz w:val="20"/>
                <w:szCs w:val="20"/>
                <w:lang w:eastAsia="en-GB"/>
              </w:rPr>
              <w:t>2017</w:t>
            </w:r>
          </w:p>
        </w:tc>
        <w:tc>
          <w:tcPr>
            <w:tcW w:w="1783" w:type="dxa"/>
            <w:tcBorders>
              <w:top w:val="nil"/>
              <w:left w:val="nil"/>
              <w:bottom w:val="single" w:sz="4" w:space="0" w:color="auto"/>
              <w:right w:val="single" w:sz="4" w:space="0" w:color="auto"/>
            </w:tcBorders>
            <w:shd w:val="clear" w:color="D8E4BC" w:fill="FFFFFF"/>
            <w:noWrap/>
            <w:vAlign w:val="bottom"/>
            <w:hideMark/>
          </w:tcPr>
          <w:p w:rsidR="008921BF" w:rsidRPr="00A00E1F" w:rsidRDefault="008921BF" w:rsidP="00031B92">
            <w:pPr>
              <w:spacing w:after="0" w:line="240" w:lineRule="auto"/>
              <w:jc w:val="center"/>
              <w:rPr>
                <w:rFonts w:ascii="Calibri" w:eastAsia="Times New Roman" w:hAnsi="Calibri" w:cs="Times New Roman"/>
                <w:color w:val="000000"/>
                <w:sz w:val="20"/>
                <w:szCs w:val="20"/>
                <w:lang w:eastAsia="en-GB"/>
              </w:rPr>
            </w:pPr>
            <w:r w:rsidRPr="00A00E1F">
              <w:rPr>
                <w:rFonts w:ascii="Calibri" w:eastAsia="Times New Roman" w:hAnsi="Calibri" w:cs="Times New Roman"/>
                <w:color w:val="000000"/>
                <w:sz w:val="20"/>
                <w:szCs w:val="20"/>
                <w:lang w:eastAsia="en-GB"/>
              </w:rPr>
              <w:t>49,811</w:t>
            </w:r>
          </w:p>
        </w:tc>
        <w:tc>
          <w:tcPr>
            <w:tcW w:w="1930" w:type="dxa"/>
            <w:tcBorders>
              <w:top w:val="nil"/>
              <w:left w:val="nil"/>
              <w:bottom w:val="single" w:sz="4" w:space="0" w:color="auto"/>
              <w:right w:val="single" w:sz="4" w:space="0" w:color="auto"/>
            </w:tcBorders>
            <w:shd w:val="clear" w:color="000000" w:fill="FFFFFF"/>
            <w:noWrap/>
            <w:vAlign w:val="bottom"/>
            <w:hideMark/>
          </w:tcPr>
          <w:p w:rsidR="008921BF" w:rsidRPr="00A00E1F" w:rsidRDefault="008921BF" w:rsidP="00031B92">
            <w:pPr>
              <w:spacing w:after="0" w:line="240" w:lineRule="auto"/>
              <w:jc w:val="center"/>
              <w:rPr>
                <w:rFonts w:ascii="Calibri" w:eastAsia="Times New Roman" w:hAnsi="Calibri" w:cs="Times New Roman"/>
                <w:color w:val="000000"/>
                <w:lang w:eastAsia="en-GB"/>
              </w:rPr>
            </w:pPr>
            <w:r w:rsidRPr="00A00E1F">
              <w:rPr>
                <w:rFonts w:ascii="Calibri" w:eastAsia="Times New Roman" w:hAnsi="Calibri" w:cs="Times New Roman"/>
                <w:color w:val="000000"/>
                <w:lang w:eastAsia="en-GB"/>
              </w:rPr>
              <w:t>2</w:t>
            </w:r>
            <w:r>
              <w:rPr>
                <w:rFonts w:ascii="Calibri" w:eastAsia="Times New Roman" w:hAnsi="Calibri" w:cs="Times New Roman"/>
                <w:color w:val="000000"/>
                <w:lang w:eastAsia="en-GB"/>
              </w:rPr>
              <w:t>,</w:t>
            </w:r>
            <w:r w:rsidRPr="00A00E1F">
              <w:rPr>
                <w:rFonts w:ascii="Calibri" w:eastAsia="Times New Roman" w:hAnsi="Calibri" w:cs="Times New Roman"/>
                <w:color w:val="000000"/>
                <w:lang w:eastAsia="en-GB"/>
              </w:rPr>
              <w:t>491</w:t>
            </w:r>
          </w:p>
        </w:tc>
      </w:tr>
      <w:tr w:rsidR="008921BF" w:rsidRPr="00A00E1F" w:rsidTr="00031B92">
        <w:trPr>
          <w:trHeight w:val="300"/>
          <w:jc w:val="center"/>
        </w:trPr>
        <w:tc>
          <w:tcPr>
            <w:tcW w:w="992" w:type="dxa"/>
            <w:tcBorders>
              <w:top w:val="nil"/>
              <w:left w:val="single" w:sz="4" w:space="0" w:color="auto"/>
              <w:bottom w:val="single" w:sz="4" w:space="0" w:color="auto"/>
              <w:right w:val="single" w:sz="4" w:space="0" w:color="auto"/>
            </w:tcBorders>
            <w:shd w:val="clear" w:color="EBF1DE" w:fill="FFFFFF"/>
            <w:noWrap/>
            <w:vAlign w:val="bottom"/>
            <w:hideMark/>
          </w:tcPr>
          <w:p w:rsidR="008921BF" w:rsidRPr="00A00E1F" w:rsidRDefault="008921BF" w:rsidP="00031B92">
            <w:pPr>
              <w:spacing w:after="0" w:line="240" w:lineRule="auto"/>
              <w:jc w:val="center"/>
              <w:rPr>
                <w:rFonts w:ascii="Calibri" w:eastAsia="Times New Roman" w:hAnsi="Calibri" w:cs="Times New Roman"/>
                <w:color w:val="000000"/>
                <w:sz w:val="20"/>
                <w:szCs w:val="20"/>
                <w:lang w:eastAsia="en-GB"/>
              </w:rPr>
            </w:pPr>
            <w:r w:rsidRPr="00A00E1F">
              <w:rPr>
                <w:rFonts w:ascii="Calibri" w:eastAsia="Times New Roman" w:hAnsi="Calibri" w:cs="Times New Roman"/>
                <w:color w:val="000000"/>
                <w:sz w:val="20"/>
                <w:szCs w:val="20"/>
                <w:lang w:eastAsia="en-GB"/>
              </w:rPr>
              <w:t>2018</w:t>
            </w:r>
          </w:p>
        </w:tc>
        <w:tc>
          <w:tcPr>
            <w:tcW w:w="1783" w:type="dxa"/>
            <w:tcBorders>
              <w:top w:val="nil"/>
              <w:left w:val="nil"/>
              <w:bottom w:val="single" w:sz="4" w:space="0" w:color="auto"/>
              <w:right w:val="single" w:sz="4" w:space="0" w:color="auto"/>
            </w:tcBorders>
            <w:shd w:val="clear" w:color="EBF1DE" w:fill="FFFFFF"/>
            <w:noWrap/>
            <w:vAlign w:val="bottom"/>
            <w:hideMark/>
          </w:tcPr>
          <w:p w:rsidR="008921BF" w:rsidRPr="00A00E1F" w:rsidRDefault="008921BF" w:rsidP="00031B92">
            <w:pPr>
              <w:spacing w:after="0" w:line="240" w:lineRule="auto"/>
              <w:jc w:val="center"/>
              <w:rPr>
                <w:rFonts w:ascii="Calibri" w:eastAsia="Times New Roman" w:hAnsi="Calibri" w:cs="Times New Roman"/>
                <w:color w:val="000000"/>
                <w:sz w:val="20"/>
                <w:szCs w:val="20"/>
                <w:lang w:eastAsia="en-GB"/>
              </w:rPr>
            </w:pPr>
            <w:r w:rsidRPr="00A00E1F">
              <w:rPr>
                <w:rFonts w:ascii="Calibri" w:eastAsia="Times New Roman" w:hAnsi="Calibri" w:cs="Times New Roman"/>
                <w:color w:val="000000"/>
                <w:sz w:val="20"/>
                <w:szCs w:val="20"/>
                <w:lang w:eastAsia="en-GB"/>
              </w:rPr>
              <w:t>50,691</w:t>
            </w:r>
          </w:p>
        </w:tc>
        <w:tc>
          <w:tcPr>
            <w:tcW w:w="1930" w:type="dxa"/>
            <w:tcBorders>
              <w:top w:val="nil"/>
              <w:left w:val="nil"/>
              <w:bottom w:val="single" w:sz="4" w:space="0" w:color="auto"/>
              <w:right w:val="single" w:sz="4" w:space="0" w:color="auto"/>
            </w:tcBorders>
            <w:shd w:val="clear" w:color="000000" w:fill="FFFFFF"/>
            <w:noWrap/>
            <w:vAlign w:val="bottom"/>
            <w:hideMark/>
          </w:tcPr>
          <w:p w:rsidR="008921BF" w:rsidRPr="00A00E1F" w:rsidRDefault="008921BF" w:rsidP="00031B92">
            <w:pPr>
              <w:spacing w:after="0" w:line="240" w:lineRule="auto"/>
              <w:jc w:val="center"/>
              <w:rPr>
                <w:rFonts w:ascii="Calibri" w:eastAsia="Times New Roman" w:hAnsi="Calibri" w:cs="Times New Roman"/>
                <w:color w:val="000000"/>
                <w:lang w:eastAsia="en-GB"/>
              </w:rPr>
            </w:pPr>
            <w:r w:rsidRPr="00A00E1F">
              <w:rPr>
                <w:rFonts w:ascii="Calibri" w:eastAsia="Times New Roman" w:hAnsi="Calibri" w:cs="Times New Roman"/>
                <w:color w:val="000000"/>
                <w:lang w:eastAsia="en-GB"/>
              </w:rPr>
              <w:t>2</w:t>
            </w:r>
            <w:r>
              <w:rPr>
                <w:rFonts w:ascii="Calibri" w:eastAsia="Times New Roman" w:hAnsi="Calibri" w:cs="Times New Roman"/>
                <w:color w:val="000000"/>
                <w:lang w:eastAsia="en-GB"/>
              </w:rPr>
              <w:t>,</w:t>
            </w:r>
            <w:r w:rsidRPr="00A00E1F">
              <w:rPr>
                <w:rFonts w:ascii="Calibri" w:eastAsia="Times New Roman" w:hAnsi="Calibri" w:cs="Times New Roman"/>
                <w:color w:val="000000"/>
                <w:lang w:eastAsia="en-GB"/>
              </w:rPr>
              <w:t>535</w:t>
            </w:r>
          </w:p>
        </w:tc>
      </w:tr>
      <w:tr w:rsidR="008921BF" w:rsidRPr="00A00E1F" w:rsidTr="00031B92">
        <w:trPr>
          <w:trHeight w:val="300"/>
          <w:jc w:val="center"/>
        </w:trPr>
        <w:tc>
          <w:tcPr>
            <w:tcW w:w="992" w:type="dxa"/>
            <w:tcBorders>
              <w:top w:val="nil"/>
              <w:left w:val="single" w:sz="4" w:space="0" w:color="auto"/>
              <w:bottom w:val="single" w:sz="4" w:space="0" w:color="auto"/>
              <w:right w:val="single" w:sz="4" w:space="0" w:color="auto"/>
            </w:tcBorders>
            <w:shd w:val="clear" w:color="D8E4BC" w:fill="FFFFFF"/>
            <w:noWrap/>
            <w:vAlign w:val="bottom"/>
            <w:hideMark/>
          </w:tcPr>
          <w:p w:rsidR="008921BF" w:rsidRPr="00A00E1F" w:rsidRDefault="008921BF" w:rsidP="00031B92">
            <w:pPr>
              <w:spacing w:after="0" w:line="240" w:lineRule="auto"/>
              <w:jc w:val="center"/>
              <w:rPr>
                <w:rFonts w:ascii="Calibri" w:eastAsia="Times New Roman" w:hAnsi="Calibri" w:cs="Times New Roman"/>
                <w:color w:val="000000"/>
                <w:sz w:val="20"/>
                <w:szCs w:val="20"/>
                <w:lang w:eastAsia="en-GB"/>
              </w:rPr>
            </w:pPr>
            <w:r w:rsidRPr="00A00E1F">
              <w:rPr>
                <w:rFonts w:ascii="Calibri" w:eastAsia="Times New Roman" w:hAnsi="Calibri" w:cs="Times New Roman"/>
                <w:color w:val="000000"/>
                <w:sz w:val="20"/>
                <w:szCs w:val="20"/>
                <w:lang w:eastAsia="en-GB"/>
              </w:rPr>
              <w:t>2019</w:t>
            </w:r>
          </w:p>
        </w:tc>
        <w:tc>
          <w:tcPr>
            <w:tcW w:w="1783" w:type="dxa"/>
            <w:tcBorders>
              <w:top w:val="nil"/>
              <w:left w:val="nil"/>
              <w:bottom w:val="single" w:sz="4" w:space="0" w:color="auto"/>
              <w:right w:val="single" w:sz="4" w:space="0" w:color="auto"/>
            </w:tcBorders>
            <w:shd w:val="clear" w:color="D8E4BC" w:fill="FFFFFF"/>
            <w:noWrap/>
            <w:vAlign w:val="bottom"/>
            <w:hideMark/>
          </w:tcPr>
          <w:p w:rsidR="008921BF" w:rsidRPr="00A00E1F" w:rsidRDefault="008921BF" w:rsidP="00031B92">
            <w:pPr>
              <w:spacing w:after="0" w:line="240" w:lineRule="auto"/>
              <w:jc w:val="center"/>
              <w:rPr>
                <w:rFonts w:ascii="Calibri" w:eastAsia="Times New Roman" w:hAnsi="Calibri" w:cs="Times New Roman"/>
                <w:color w:val="000000"/>
                <w:sz w:val="20"/>
                <w:szCs w:val="20"/>
                <w:lang w:eastAsia="en-GB"/>
              </w:rPr>
            </w:pPr>
            <w:r w:rsidRPr="00A00E1F">
              <w:rPr>
                <w:rFonts w:ascii="Calibri" w:eastAsia="Times New Roman" w:hAnsi="Calibri" w:cs="Times New Roman"/>
                <w:color w:val="000000"/>
                <w:sz w:val="20"/>
                <w:szCs w:val="20"/>
                <w:lang w:eastAsia="en-GB"/>
              </w:rPr>
              <w:t>51,576</w:t>
            </w:r>
          </w:p>
        </w:tc>
        <w:tc>
          <w:tcPr>
            <w:tcW w:w="1930" w:type="dxa"/>
            <w:tcBorders>
              <w:top w:val="nil"/>
              <w:left w:val="nil"/>
              <w:bottom w:val="single" w:sz="4" w:space="0" w:color="auto"/>
              <w:right w:val="single" w:sz="4" w:space="0" w:color="auto"/>
            </w:tcBorders>
            <w:shd w:val="clear" w:color="000000" w:fill="FFFFFF"/>
            <w:noWrap/>
            <w:vAlign w:val="bottom"/>
            <w:hideMark/>
          </w:tcPr>
          <w:p w:rsidR="008921BF" w:rsidRPr="00A00E1F" w:rsidRDefault="008921BF" w:rsidP="00031B92">
            <w:pPr>
              <w:spacing w:after="0" w:line="240" w:lineRule="auto"/>
              <w:jc w:val="center"/>
              <w:rPr>
                <w:rFonts w:ascii="Calibri" w:eastAsia="Times New Roman" w:hAnsi="Calibri" w:cs="Times New Roman"/>
                <w:color w:val="000000"/>
                <w:lang w:eastAsia="en-GB"/>
              </w:rPr>
            </w:pPr>
            <w:r w:rsidRPr="00A00E1F">
              <w:rPr>
                <w:rFonts w:ascii="Calibri" w:eastAsia="Times New Roman" w:hAnsi="Calibri" w:cs="Times New Roman"/>
                <w:color w:val="000000"/>
                <w:lang w:eastAsia="en-GB"/>
              </w:rPr>
              <w:t>2</w:t>
            </w:r>
            <w:r>
              <w:rPr>
                <w:rFonts w:ascii="Calibri" w:eastAsia="Times New Roman" w:hAnsi="Calibri" w:cs="Times New Roman"/>
                <w:color w:val="000000"/>
                <w:lang w:eastAsia="en-GB"/>
              </w:rPr>
              <w:t>,</w:t>
            </w:r>
            <w:r w:rsidRPr="00A00E1F">
              <w:rPr>
                <w:rFonts w:ascii="Calibri" w:eastAsia="Times New Roman" w:hAnsi="Calibri" w:cs="Times New Roman"/>
                <w:color w:val="000000"/>
                <w:lang w:eastAsia="en-GB"/>
              </w:rPr>
              <w:t>579</w:t>
            </w:r>
          </w:p>
        </w:tc>
      </w:tr>
      <w:tr w:rsidR="008921BF" w:rsidRPr="00A00E1F" w:rsidTr="00031B92">
        <w:trPr>
          <w:trHeight w:val="300"/>
          <w:jc w:val="center"/>
        </w:trPr>
        <w:tc>
          <w:tcPr>
            <w:tcW w:w="992" w:type="dxa"/>
            <w:tcBorders>
              <w:top w:val="nil"/>
              <w:left w:val="single" w:sz="4" w:space="0" w:color="auto"/>
              <w:bottom w:val="single" w:sz="4" w:space="0" w:color="auto"/>
              <w:right w:val="single" w:sz="4" w:space="0" w:color="auto"/>
            </w:tcBorders>
            <w:shd w:val="clear" w:color="EBF1DE" w:fill="FFFFFF"/>
            <w:noWrap/>
            <w:vAlign w:val="bottom"/>
            <w:hideMark/>
          </w:tcPr>
          <w:p w:rsidR="008921BF" w:rsidRPr="00A00E1F" w:rsidRDefault="008921BF" w:rsidP="00031B92">
            <w:pPr>
              <w:spacing w:after="0" w:line="240" w:lineRule="auto"/>
              <w:jc w:val="center"/>
              <w:rPr>
                <w:rFonts w:ascii="Calibri" w:eastAsia="Times New Roman" w:hAnsi="Calibri" w:cs="Times New Roman"/>
                <w:color w:val="000000"/>
                <w:sz w:val="20"/>
                <w:szCs w:val="20"/>
                <w:lang w:eastAsia="en-GB"/>
              </w:rPr>
            </w:pPr>
            <w:r w:rsidRPr="00A00E1F">
              <w:rPr>
                <w:rFonts w:ascii="Calibri" w:eastAsia="Times New Roman" w:hAnsi="Calibri" w:cs="Times New Roman"/>
                <w:color w:val="000000"/>
                <w:sz w:val="20"/>
                <w:szCs w:val="20"/>
                <w:lang w:eastAsia="en-GB"/>
              </w:rPr>
              <w:t>2020</w:t>
            </w:r>
          </w:p>
        </w:tc>
        <w:tc>
          <w:tcPr>
            <w:tcW w:w="1783" w:type="dxa"/>
            <w:tcBorders>
              <w:top w:val="nil"/>
              <w:left w:val="nil"/>
              <w:bottom w:val="single" w:sz="4" w:space="0" w:color="auto"/>
              <w:right w:val="single" w:sz="4" w:space="0" w:color="auto"/>
            </w:tcBorders>
            <w:shd w:val="clear" w:color="EBF1DE" w:fill="FFFFFF"/>
            <w:noWrap/>
            <w:vAlign w:val="bottom"/>
            <w:hideMark/>
          </w:tcPr>
          <w:p w:rsidR="008921BF" w:rsidRPr="00A00E1F" w:rsidRDefault="008921BF" w:rsidP="00031B92">
            <w:pPr>
              <w:spacing w:after="0" w:line="240" w:lineRule="auto"/>
              <w:jc w:val="center"/>
              <w:rPr>
                <w:rFonts w:ascii="Calibri" w:eastAsia="Times New Roman" w:hAnsi="Calibri" w:cs="Times New Roman"/>
                <w:color w:val="000000"/>
                <w:sz w:val="20"/>
                <w:szCs w:val="20"/>
                <w:lang w:eastAsia="en-GB"/>
              </w:rPr>
            </w:pPr>
            <w:r w:rsidRPr="00A00E1F">
              <w:rPr>
                <w:rFonts w:ascii="Calibri" w:eastAsia="Times New Roman" w:hAnsi="Calibri" w:cs="Times New Roman"/>
                <w:color w:val="000000"/>
                <w:sz w:val="20"/>
                <w:szCs w:val="20"/>
                <w:lang w:eastAsia="en-GB"/>
              </w:rPr>
              <w:t>52,352</w:t>
            </w:r>
          </w:p>
        </w:tc>
        <w:tc>
          <w:tcPr>
            <w:tcW w:w="1930" w:type="dxa"/>
            <w:tcBorders>
              <w:top w:val="nil"/>
              <w:left w:val="nil"/>
              <w:bottom w:val="single" w:sz="4" w:space="0" w:color="auto"/>
              <w:right w:val="single" w:sz="4" w:space="0" w:color="auto"/>
            </w:tcBorders>
            <w:shd w:val="clear" w:color="000000" w:fill="FFFFFF"/>
            <w:noWrap/>
            <w:vAlign w:val="bottom"/>
            <w:hideMark/>
          </w:tcPr>
          <w:p w:rsidR="008921BF" w:rsidRPr="00A00E1F" w:rsidRDefault="008921BF" w:rsidP="00031B92">
            <w:pPr>
              <w:spacing w:after="0" w:line="240" w:lineRule="auto"/>
              <w:jc w:val="center"/>
              <w:rPr>
                <w:rFonts w:ascii="Calibri" w:eastAsia="Times New Roman" w:hAnsi="Calibri" w:cs="Times New Roman"/>
                <w:color w:val="000000"/>
                <w:lang w:eastAsia="en-GB"/>
              </w:rPr>
            </w:pPr>
            <w:r w:rsidRPr="00A00E1F">
              <w:rPr>
                <w:rFonts w:ascii="Calibri" w:eastAsia="Times New Roman" w:hAnsi="Calibri" w:cs="Times New Roman"/>
                <w:color w:val="000000"/>
                <w:lang w:eastAsia="en-GB"/>
              </w:rPr>
              <w:t>2</w:t>
            </w:r>
            <w:r>
              <w:rPr>
                <w:rFonts w:ascii="Calibri" w:eastAsia="Times New Roman" w:hAnsi="Calibri" w:cs="Times New Roman"/>
                <w:color w:val="000000"/>
                <w:lang w:eastAsia="en-GB"/>
              </w:rPr>
              <w:t>,</w:t>
            </w:r>
            <w:r w:rsidRPr="00A00E1F">
              <w:rPr>
                <w:rFonts w:ascii="Calibri" w:eastAsia="Times New Roman" w:hAnsi="Calibri" w:cs="Times New Roman"/>
                <w:color w:val="000000"/>
                <w:lang w:eastAsia="en-GB"/>
              </w:rPr>
              <w:t>618</w:t>
            </w:r>
          </w:p>
        </w:tc>
      </w:tr>
      <w:tr w:rsidR="008921BF" w:rsidRPr="00A00E1F" w:rsidTr="00031B92">
        <w:trPr>
          <w:trHeight w:val="300"/>
          <w:jc w:val="center"/>
        </w:trPr>
        <w:tc>
          <w:tcPr>
            <w:tcW w:w="992" w:type="dxa"/>
            <w:tcBorders>
              <w:top w:val="nil"/>
              <w:left w:val="single" w:sz="4" w:space="0" w:color="auto"/>
              <w:bottom w:val="single" w:sz="4" w:space="0" w:color="auto"/>
              <w:right w:val="single" w:sz="4" w:space="0" w:color="auto"/>
            </w:tcBorders>
            <w:shd w:val="clear" w:color="D8E4BC" w:fill="FFFFFF"/>
            <w:noWrap/>
            <w:vAlign w:val="bottom"/>
            <w:hideMark/>
          </w:tcPr>
          <w:p w:rsidR="008921BF" w:rsidRPr="00A00E1F" w:rsidRDefault="008921BF" w:rsidP="00031B92">
            <w:pPr>
              <w:spacing w:after="0" w:line="240" w:lineRule="auto"/>
              <w:jc w:val="center"/>
              <w:rPr>
                <w:rFonts w:ascii="Calibri" w:eastAsia="Times New Roman" w:hAnsi="Calibri" w:cs="Times New Roman"/>
                <w:color w:val="000000"/>
                <w:sz w:val="20"/>
                <w:szCs w:val="20"/>
                <w:lang w:eastAsia="en-GB"/>
              </w:rPr>
            </w:pPr>
            <w:r w:rsidRPr="00A00E1F">
              <w:rPr>
                <w:rFonts w:ascii="Calibri" w:eastAsia="Times New Roman" w:hAnsi="Calibri" w:cs="Times New Roman"/>
                <w:color w:val="000000"/>
                <w:sz w:val="20"/>
                <w:szCs w:val="20"/>
                <w:lang w:eastAsia="en-GB"/>
              </w:rPr>
              <w:t>2021</w:t>
            </w:r>
          </w:p>
        </w:tc>
        <w:tc>
          <w:tcPr>
            <w:tcW w:w="1783" w:type="dxa"/>
            <w:tcBorders>
              <w:top w:val="nil"/>
              <w:left w:val="nil"/>
              <w:bottom w:val="single" w:sz="4" w:space="0" w:color="auto"/>
              <w:right w:val="single" w:sz="4" w:space="0" w:color="auto"/>
            </w:tcBorders>
            <w:shd w:val="clear" w:color="D8E4BC" w:fill="FFFFFF"/>
            <w:noWrap/>
            <w:vAlign w:val="bottom"/>
            <w:hideMark/>
          </w:tcPr>
          <w:p w:rsidR="008921BF" w:rsidRPr="00A00E1F" w:rsidRDefault="008921BF" w:rsidP="00031B92">
            <w:pPr>
              <w:spacing w:after="0" w:line="240" w:lineRule="auto"/>
              <w:jc w:val="center"/>
              <w:rPr>
                <w:rFonts w:ascii="Calibri" w:eastAsia="Times New Roman" w:hAnsi="Calibri" w:cs="Times New Roman"/>
                <w:color w:val="000000"/>
                <w:sz w:val="20"/>
                <w:szCs w:val="20"/>
                <w:lang w:eastAsia="en-GB"/>
              </w:rPr>
            </w:pPr>
            <w:r w:rsidRPr="00A00E1F">
              <w:rPr>
                <w:rFonts w:ascii="Calibri" w:eastAsia="Times New Roman" w:hAnsi="Calibri" w:cs="Times New Roman"/>
                <w:color w:val="000000"/>
                <w:sz w:val="20"/>
                <w:szCs w:val="20"/>
                <w:lang w:eastAsia="en-GB"/>
              </w:rPr>
              <w:t>53,173</w:t>
            </w:r>
          </w:p>
        </w:tc>
        <w:tc>
          <w:tcPr>
            <w:tcW w:w="1930" w:type="dxa"/>
            <w:tcBorders>
              <w:top w:val="nil"/>
              <w:left w:val="nil"/>
              <w:bottom w:val="single" w:sz="4" w:space="0" w:color="auto"/>
              <w:right w:val="single" w:sz="4" w:space="0" w:color="auto"/>
            </w:tcBorders>
            <w:shd w:val="clear" w:color="000000" w:fill="FFFFFF"/>
            <w:noWrap/>
            <w:vAlign w:val="bottom"/>
            <w:hideMark/>
          </w:tcPr>
          <w:p w:rsidR="008921BF" w:rsidRPr="00A00E1F" w:rsidRDefault="008921BF" w:rsidP="00031B92">
            <w:pPr>
              <w:spacing w:after="0" w:line="240" w:lineRule="auto"/>
              <w:jc w:val="center"/>
              <w:rPr>
                <w:rFonts w:ascii="Calibri" w:eastAsia="Times New Roman" w:hAnsi="Calibri" w:cs="Times New Roman"/>
                <w:color w:val="000000"/>
                <w:lang w:eastAsia="en-GB"/>
              </w:rPr>
            </w:pPr>
            <w:r w:rsidRPr="00A00E1F">
              <w:rPr>
                <w:rFonts w:ascii="Calibri" w:eastAsia="Times New Roman" w:hAnsi="Calibri" w:cs="Times New Roman"/>
                <w:color w:val="000000"/>
                <w:lang w:eastAsia="en-GB"/>
              </w:rPr>
              <w:t>2</w:t>
            </w:r>
            <w:r>
              <w:rPr>
                <w:rFonts w:ascii="Calibri" w:eastAsia="Times New Roman" w:hAnsi="Calibri" w:cs="Times New Roman"/>
                <w:color w:val="000000"/>
                <w:lang w:eastAsia="en-GB"/>
              </w:rPr>
              <w:t>,</w:t>
            </w:r>
            <w:r w:rsidRPr="00A00E1F">
              <w:rPr>
                <w:rFonts w:ascii="Calibri" w:eastAsia="Times New Roman" w:hAnsi="Calibri" w:cs="Times New Roman"/>
                <w:color w:val="000000"/>
                <w:lang w:eastAsia="en-GB"/>
              </w:rPr>
              <w:t>659</w:t>
            </w:r>
          </w:p>
        </w:tc>
      </w:tr>
      <w:tr w:rsidR="008921BF" w:rsidRPr="00A00E1F" w:rsidTr="00031B92">
        <w:trPr>
          <w:trHeight w:val="300"/>
          <w:jc w:val="center"/>
        </w:trPr>
        <w:tc>
          <w:tcPr>
            <w:tcW w:w="992" w:type="dxa"/>
            <w:tcBorders>
              <w:top w:val="nil"/>
              <w:left w:val="single" w:sz="4" w:space="0" w:color="auto"/>
              <w:bottom w:val="single" w:sz="4" w:space="0" w:color="auto"/>
              <w:right w:val="single" w:sz="4" w:space="0" w:color="auto"/>
            </w:tcBorders>
            <w:shd w:val="clear" w:color="EBF1DE" w:fill="FFFFFF"/>
            <w:noWrap/>
            <w:vAlign w:val="bottom"/>
            <w:hideMark/>
          </w:tcPr>
          <w:p w:rsidR="008921BF" w:rsidRPr="00A00E1F" w:rsidRDefault="008921BF" w:rsidP="00031B92">
            <w:pPr>
              <w:spacing w:after="0" w:line="240" w:lineRule="auto"/>
              <w:jc w:val="center"/>
              <w:rPr>
                <w:rFonts w:ascii="Calibri" w:eastAsia="Times New Roman" w:hAnsi="Calibri" w:cs="Times New Roman"/>
                <w:color w:val="000000"/>
                <w:sz w:val="20"/>
                <w:szCs w:val="20"/>
                <w:lang w:eastAsia="en-GB"/>
              </w:rPr>
            </w:pPr>
            <w:r w:rsidRPr="00A00E1F">
              <w:rPr>
                <w:rFonts w:ascii="Calibri" w:eastAsia="Times New Roman" w:hAnsi="Calibri" w:cs="Times New Roman"/>
                <w:color w:val="000000"/>
                <w:sz w:val="20"/>
                <w:szCs w:val="20"/>
                <w:lang w:eastAsia="en-GB"/>
              </w:rPr>
              <w:t>2022</w:t>
            </w:r>
          </w:p>
        </w:tc>
        <w:tc>
          <w:tcPr>
            <w:tcW w:w="1783" w:type="dxa"/>
            <w:tcBorders>
              <w:top w:val="nil"/>
              <w:left w:val="nil"/>
              <w:bottom w:val="single" w:sz="4" w:space="0" w:color="auto"/>
              <w:right w:val="single" w:sz="4" w:space="0" w:color="auto"/>
            </w:tcBorders>
            <w:shd w:val="clear" w:color="EBF1DE" w:fill="FFFFFF"/>
            <w:noWrap/>
            <w:vAlign w:val="bottom"/>
            <w:hideMark/>
          </w:tcPr>
          <w:p w:rsidR="008921BF" w:rsidRPr="00A00E1F" w:rsidRDefault="008921BF" w:rsidP="00031B92">
            <w:pPr>
              <w:spacing w:after="0" w:line="240" w:lineRule="auto"/>
              <w:jc w:val="center"/>
              <w:rPr>
                <w:rFonts w:ascii="Calibri" w:eastAsia="Times New Roman" w:hAnsi="Calibri" w:cs="Times New Roman"/>
                <w:color w:val="000000"/>
                <w:sz w:val="20"/>
                <w:szCs w:val="20"/>
                <w:lang w:eastAsia="en-GB"/>
              </w:rPr>
            </w:pPr>
            <w:r w:rsidRPr="00A00E1F">
              <w:rPr>
                <w:rFonts w:ascii="Calibri" w:eastAsia="Times New Roman" w:hAnsi="Calibri" w:cs="Times New Roman"/>
                <w:color w:val="000000"/>
                <w:sz w:val="20"/>
                <w:szCs w:val="20"/>
                <w:lang w:eastAsia="en-GB"/>
              </w:rPr>
              <w:t>54,017</w:t>
            </w:r>
          </w:p>
        </w:tc>
        <w:tc>
          <w:tcPr>
            <w:tcW w:w="1930" w:type="dxa"/>
            <w:tcBorders>
              <w:top w:val="nil"/>
              <w:left w:val="nil"/>
              <w:bottom w:val="single" w:sz="4" w:space="0" w:color="auto"/>
              <w:right w:val="single" w:sz="4" w:space="0" w:color="auto"/>
            </w:tcBorders>
            <w:shd w:val="clear" w:color="000000" w:fill="FFFFFF"/>
            <w:noWrap/>
            <w:vAlign w:val="bottom"/>
            <w:hideMark/>
          </w:tcPr>
          <w:p w:rsidR="008921BF" w:rsidRPr="00A00E1F" w:rsidRDefault="008921BF" w:rsidP="00031B92">
            <w:pPr>
              <w:spacing w:after="0" w:line="240" w:lineRule="auto"/>
              <w:jc w:val="center"/>
              <w:rPr>
                <w:rFonts w:ascii="Calibri" w:eastAsia="Times New Roman" w:hAnsi="Calibri" w:cs="Times New Roman"/>
                <w:color w:val="000000"/>
                <w:lang w:eastAsia="en-GB"/>
              </w:rPr>
            </w:pPr>
            <w:r w:rsidRPr="00A00E1F">
              <w:rPr>
                <w:rFonts w:ascii="Calibri" w:eastAsia="Times New Roman" w:hAnsi="Calibri" w:cs="Times New Roman"/>
                <w:color w:val="000000"/>
                <w:lang w:eastAsia="en-GB"/>
              </w:rPr>
              <w:t>2</w:t>
            </w:r>
            <w:r>
              <w:rPr>
                <w:rFonts w:ascii="Calibri" w:eastAsia="Times New Roman" w:hAnsi="Calibri" w:cs="Times New Roman"/>
                <w:color w:val="000000"/>
                <w:lang w:eastAsia="en-GB"/>
              </w:rPr>
              <w:t>,</w:t>
            </w:r>
            <w:r w:rsidRPr="00A00E1F">
              <w:rPr>
                <w:rFonts w:ascii="Calibri" w:eastAsia="Times New Roman" w:hAnsi="Calibri" w:cs="Times New Roman"/>
                <w:color w:val="000000"/>
                <w:lang w:eastAsia="en-GB"/>
              </w:rPr>
              <w:t>701</w:t>
            </w:r>
          </w:p>
        </w:tc>
      </w:tr>
      <w:tr w:rsidR="008921BF" w:rsidRPr="00A00E1F" w:rsidTr="00031B92">
        <w:trPr>
          <w:trHeight w:val="300"/>
          <w:jc w:val="center"/>
        </w:trPr>
        <w:tc>
          <w:tcPr>
            <w:tcW w:w="992" w:type="dxa"/>
            <w:tcBorders>
              <w:top w:val="nil"/>
              <w:left w:val="single" w:sz="4" w:space="0" w:color="auto"/>
              <w:bottom w:val="single" w:sz="4" w:space="0" w:color="auto"/>
              <w:right w:val="single" w:sz="4" w:space="0" w:color="auto"/>
            </w:tcBorders>
            <w:shd w:val="clear" w:color="D8E4BC" w:fill="FFFFFF"/>
            <w:noWrap/>
            <w:vAlign w:val="bottom"/>
            <w:hideMark/>
          </w:tcPr>
          <w:p w:rsidR="008921BF" w:rsidRPr="00A00E1F" w:rsidRDefault="008921BF" w:rsidP="00031B92">
            <w:pPr>
              <w:spacing w:after="0" w:line="240" w:lineRule="auto"/>
              <w:jc w:val="center"/>
              <w:rPr>
                <w:rFonts w:ascii="Calibri" w:eastAsia="Times New Roman" w:hAnsi="Calibri" w:cs="Times New Roman"/>
                <w:color w:val="000000"/>
                <w:sz w:val="20"/>
                <w:szCs w:val="20"/>
                <w:lang w:eastAsia="en-GB"/>
              </w:rPr>
            </w:pPr>
            <w:r w:rsidRPr="00A00E1F">
              <w:rPr>
                <w:rFonts w:ascii="Calibri" w:eastAsia="Times New Roman" w:hAnsi="Calibri" w:cs="Times New Roman"/>
                <w:color w:val="000000"/>
                <w:sz w:val="20"/>
                <w:szCs w:val="20"/>
                <w:lang w:eastAsia="en-GB"/>
              </w:rPr>
              <w:t>2023</w:t>
            </w:r>
          </w:p>
        </w:tc>
        <w:tc>
          <w:tcPr>
            <w:tcW w:w="1783" w:type="dxa"/>
            <w:tcBorders>
              <w:top w:val="nil"/>
              <w:left w:val="nil"/>
              <w:bottom w:val="single" w:sz="4" w:space="0" w:color="auto"/>
              <w:right w:val="single" w:sz="4" w:space="0" w:color="auto"/>
            </w:tcBorders>
            <w:shd w:val="clear" w:color="D8E4BC" w:fill="FFFFFF"/>
            <w:noWrap/>
            <w:vAlign w:val="bottom"/>
            <w:hideMark/>
          </w:tcPr>
          <w:p w:rsidR="008921BF" w:rsidRPr="00A00E1F" w:rsidRDefault="008921BF" w:rsidP="00031B92">
            <w:pPr>
              <w:spacing w:after="0" w:line="240" w:lineRule="auto"/>
              <w:jc w:val="center"/>
              <w:rPr>
                <w:rFonts w:ascii="Calibri" w:eastAsia="Times New Roman" w:hAnsi="Calibri" w:cs="Times New Roman"/>
                <w:color w:val="000000"/>
                <w:sz w:val="20"/>
                <w:szCs w:val="20"/>
                <w:lang w:eastAsia="en-GB"/>
              </w:rPr>
            </w:pPr>
            <w:r w:rsidRPr="00A00E1F">
              <w:rPr>
                <w:rFonts w:ascii="Calibri" w:eastAsia="Times New Roman" w:hAnsi="Calibri" w:cs="Times New Roman"/>
                <w:color w:val="000000"/>
                <w:sz w:val="20"/>
                <w:szCs w:val="20"/>
                <w:lang w:eastAsia="en-GB"/>
              </w:rPr>
              <w:t>54,939</w:t>
            </w:r>
          </w:p>
        </w:tc>
        <w:tc>
          <w:tcPr>
            <w:tcW w:w="1930" w:type="dxa"/>
            <w:tcBorders>
              <w:top w:val="nil"/>
              <w:left w:val="nil"/>
              <w:bottom w:val="single" w:sz="4" w:space="0" w:color="auto"/>
              <w:right w:val="single" w:sz="4" w:space="0" w:color="auto"/>
            </w:tcBorders>
            <w:shd w:val="clear" w:color="000000" w:fill="FFFFFF"/>
            <w:noWrap/>
            <w:vAlign w:val="bottom"/>
            <w:hideMark/>
          </w:tcPr>
          <w:p w:rsidR="008921BF" w:rsidRPr="00A00E1F" w:rsidRDefault="008921BF" w:rsidP="00031B92">
            <w:pPr>
              <w:spacing w:after="0" w:line="240" w:lineRule="auto"/>
              <w:jc w:val="center"/>
              <w:rPr>
                <w:rFonts w:ascii="Calibri" w:eastAsia="Times New Roman" w:hAnsi="Calibri" w:cs="Times New Roman"/>
                <w:color w:val="000000"/>
                <w:lang w:eastAsia="en-GB"/>
              </w:rPr>
            </w:pPr>
            <w:r w:rsidRPr="00A00E1F">
              <w:rPr>
                <w:rFonts w:ascii="Calibri" w:eastAsia="Times New Roman" w:hAnsi="Calibri" w:cs="Times New Roman"/>
                <w:color w:val="000000"/>
                <w:lang w:eastAsia="en-GB"/>
              </w:rPr>
              <w:t>2</w:t>
            </w:r>
            <w:r>
              <w:rPr>
                <w:rFonts w:ascii="Calibri" w:eastAsia="Times New Roman" w:hAnsi="Calibri" w:cs="Times New Roman"/>
                <w:color w:val="000000"/>
                <w:lang w:eastAsia="en-GB"/>
              </w:rPr>
              <w:t>,</w:t>
            </w:r>
            <w:r w:rsidRPr="00A00E1F">
              <w:rPr>
                <w:rFonts w:ascii="Calibri" w:eastAsia="Times New Roman" w:hAnsi="Calibri" w:cs="Times New Roman"/>
                <w:color w:val="000000"/>
                <w:lang w:eastAsia="en-GB"/>
              </w:rPr>
              <w:t>747</w:t>
            </w:r>
          </w:p>
        </w:tc>
      </w:tr>
      <w:tr w:rsidR="008921BF" w:rsidRPr="00A00E1F" w:rsidTr="00031B92">
        <w:trPr>
          <w:trHeight w:val="300"/>
          <w:jc w:val="center"/>
        </w:trPr>
        <w:tc>
          <w:tcPr>
            <w:tcW w:w="992" w:type="dxa"/>
            <w:tcBorders>
              <w:top w:val="nil"/>
              <w:left w:val="single" w:sz="4" w:space="0" w:color="auto"/>
              <w:bottom w:val="single" w:sz="4" w:space="0" w:color="auto"/>
              <w:right w:val="single" w:sz="4" w:space="0" w:color="auto"/>
            </w:tcBorders>
            <w:shd w:val="clear" w:color="EBF1DE" w:fill="FFFFFF"/>
            <w:noWrap/>
            <w:vAlign w:val="bottom"/>
            <w:hideMark/>
          </w:tcPr>
          <w:p w:rsidR="008921BF" w:rsidRPr="00A00E1F" w:rsidRDefault="008921BF" w:rsidP="00031B92">
            <w:pPr>
              <w:spacing w:after="0" w:line="240" w:lineRule="auto"/>
              <w:jc w:val="center"/>
              <w:rPr>
                <w:rFonts w:ascii="Calibri" w:eastAsia="Times New Roman" w:hAnsi="Calibri" w:cs="Times New Roman"/>
                <w:color w:val="000000"/>
                <w:sz w:val="20"/>
                <w:szCs w:val="20"/>
                <w:lang w:eastAsia="en-GB"/>
              </w:rPr>
            </w:pPr>
            <w:r w:rsidRPr="00A00E1F">
              <w:rPr>
                <w:rFonts w:ascii="Calibri" w:eastAsia="Times New Roman" w:hAnsi="Calibri" w:cs="Times New Roman"/>
                <w:color w:val="000000"/>
                <w:sz w:val="20"/>
                <w:szCs w:val="20"/>
                <w:lang w:eastAsia="en-GB"/>
              </w:rPr>
              <w:t>2024</w:t>
            </w:r>
          </w:p>
        </w:tc>
        <w:tc>
          <w:tcPr>
            <w:tcW w:w="1783" w:type="dxa"/>
            <w:tcBorders>
              <w:top w:val="nil"/>
              <w:left w:val="nil"/>
              <w:bottom w:val="single" w:sz="4" w:space="0" w:color="auto"/>
              <w:right w:val="single" w:sz="4" w:space="0" w:color="auto"/>
            </w:tcBorders>
            <w:shd w:val="clear" w:color="EBF1DE" w:fill="FFFFFF"/>
            <w:noWrap/>
            <w:vAlign w:val="bottom"/>
            <w:hideMark/>
          </w:tcPr>
          <w:p w:rsidR="008921BF" w:rsidRPr="00A00E1F" w:rsidRDefault="008921BF" w:rsidP="00031B92">
            <w:pPr>
              <w:spacing w:after="0" w:line="240" w:lineRule="auto"/>
              <w:jc w:val="center"/>
              <w:rPr>
                <w:rFonts w:ascii="Calibri" w:eastAsia="Times New Roman" w:hAnsi="Calibri" w:cs="Times New Roman"/>
                <w:color w:val="000000"/>
                <w:sz w:val="20"/>
                <w:szCs w:val="20"/>
                <w:lang w:eastAsia="en-GB"/>
              </w:rPr>
            </w:pPr>
            <w:r w:rsidRPr="00A00E1F">
              <w:rPr>
                <w:rFonts w:ascii="Calibri" w:eastAsia="Times New Roman" w:hAnsi="Calibri" w:cs="Times New Roman"/>
                <w:color w:val="000000"/>
                <w:sz w:val="20"/>
                <w:szCs w:val="20"/>
                <w:lang w:eastAsia="en-GB"/>
              </w:rPr>
              <w:t>55,918</w:t>
            </w:r>
          </w:p>
        </w:tc>
        <w:tc>
          <w:tcPr>
            <w:tcW w:w="1930" w:type="dxa"/>
            <w:tcBorders>
              <w:top w:val="nil"/>
              <w:left w:val="nil"/>
              <w:bottom w:val="single" w:sz="4" w:space="0" w:color="auto"/>
              <w:right w:val="single" w:sz="4" w:space="0" w:color="auto"/>
            </w:tcBorders>
            <w:shd w:val="clear" w:color="000000" w:fill="FFFFFF"/>
            <w:noWrap/>
            <w:vAlign w:val="bottom"/>
            <w:hideMark/>
          </w:tcPr>
          <w:p w:rsidR="008921BF" w:rsidRPr="00A00E1F" w:rsidRDefault="008921BF" w:rsidP="00031B92">
            <w:pPr>
              <w:spacing w:after="0" w:line="240" w:lineRule="auto"/>
              <w:jc w:val="center"/>
              <w:rPr>
                <w:rFonts w:ascii="Calibri" w:eastAsia="Times New Roman" w:hAnsi="Calibri" w:cs="Times New Roman"/>
                <w:color w:val="000000"/>
                <w:lang w:eastAsia="en-GB"/>
              </w:rPr>
            </w:pPr>
            <w:r w:rsidRPr="00A00E1F">
              <w:rPr>
                <w:rFonts w:ascii="Calibri" w:eastAsia="Times New Roman" w:hAnsi="Calibri" w:cs="Times New Roman"/>
                <w:color w:val="000000"/>
                <w:lang w:eastAsia="en-GB"/>
              </w:rPr>
              <w:t>2</w:t>
            </w:r>
            <w:r>
              <w:rPr>
                <w:rFonts w:ascii="Calibri" w:eastAsia="Times New Roman" w:hAnsi="Calibri" w:cs="Times New Roman"/>
                <w:color w:val="000000"/>
                <w:lang w:eastAsia="en-GB"/>
              </w:rPr>
              <w:t>,</w:t>
            </w:r>
            <w:r w:rsidRPr="00A00E1F">
              <w:rPr>
                <w:rFonts w:ascii="Calibri" w:eastAsia="Times New Roman" w:hAnsi="Calibri" w:cs="Times New Roman"/>
                <w:color w:val="000000"/>
                <w:lang w:eastAsia="en-GB"/>
              </w:rPr>
              <w:t>796</w:t>
            </w:r>
          </w:p>
        </w:tc>
      </w:tr>
      <w:tr w:rsidR="008921BF" w:rsidRPr="00A00E1F" w:rsidTr="00031B92">
        <w:trPr>
          <w:trHeight w:val="300"/>
          <w:jc w:val="center"/>
        </w:trPr>
        <w:tc>
          <w:tcPr>
            <w:tcW w:w="992" w:type="dxa"/>
            <w:tcBorders>
              <w:top w:val="nil"/>
              <w:left w:val="single" w:sz="4" w:space="0" w:color="auto"/>
              <w:bottom w:val="single" w:sz="4" w:space="0" w:color="auto"/>
              <w:right w:val="single" w:sz="4" w:space="0" w:color="auto"/>
            </w:tcBorders>
            <w:shd w:val="clear" w:color="D8E4BC" w:fill="FFFFFF"/>
            <w:noWrap/>
            <w:vAlign w:val="bottom"/>
            <w:hideMark/>
          </w:tcPr>
          <w:p w:rsidR="008921BF" w:rsidRPr="00A00E1F" w:rsidRDefault="008921BF" w:rsidP="00031B92">
            <w:pPr>
              <w:spacing w:after="0" w:line="240" w:lineRule="auto"/>
              <w:jc w:val="center"/>
              <w:rPr>
                <w:rFonts w:ascii="Calibri" w:eastAsia="Times New Roman" w:hAnsi="Calibri" w:cs="Times New Roman"/>
                <w:color w:val="000000"/>
                <w:sz w:val="20"/>
                <w:szCs w:val="20"/>
                <w:lang w:eastAsia="en-GB"/>
              </w:rPr>
            </w:pPr>
            <w:r w:rsidRPr="00A00E1F">
              <w:rPr>
                <w:rFonts w:ascii="Calibri" w:eastAsia="Times New Roman" w:hAnsi="Calibri" w:cs="Times New Roman"/>
                <w:color w:val="000000"/>
                <w:sz w:val="20"/>
                <w:szCs w:val="20"/>
                <w:lang w:eastAsia="en-GB"/>
              </w:rPr>
              <w:t>2025</w:t>
            </w:r>
          </w:p>
        </w:tc>
        <w:tc>
          <w:tcPr>
            <w:tcW w:w="1783" w:type="dxa"/>
            <w:tcBorders>
              <w:top w:val="nil"/>
              <w:left w:val="nil"/>
              <w:bottom w:val="single" w:sz="4" w:space="0" w:color="auto"/>
              <w:right w:val="single" w:sz="4" w:space="0" w:color="auto"/>
            </w:tcBorders>
            <w:shd w:val="clear" w:color="D8E4BC" w:fill="FFFFFF"/>
            <w:noWrap/>
            <w:vAlign w:val="bottom"/>
            <w:hideMark/>
          </w:tcPr>
          <w:p w:rsidR="008921BF" w:rsidRPr="00A00E1F" w:rsidRDefault="008921BF" w:rsidP="00031B92">
            <w:pPr>
              <w:spacing w:after="0" w:line="240" w:lineRule="auto"/>
              <w:jc w:val="center"/>
              <w:rPr>
                <w:rFonts w:ascii="Calibri" w:eastAsia="Times New Roman" w:hAnsi="Calibri" w:cs="Times New Roman"/>
                <w:color w:val="000000"/>
                <w:sz w:val="20"/>
                <w:szCs w:val="20"/>
                <w:lang w:eastAsia="en-GB"/>
              </w:rPr>
            </w:pPr>
            <w:r w:rsidRPr="00A00E1F">
              <w:rPr>
                <w:rFonts w:ascii="Calibri" w:eastAsia="Times New Roman" w:hAnsi="Calibri" w:cs="Times New Roman"/>
                <w:color w:val="000000"/>
                <w:sz w:val="20"/>
                <w:szCs w:val="20"/>
                <w:lang w:eastAsia="en-GB"/>
              </w:rPr>
              <w:t>57,098</w:t>
            </w:r>
          </w:p>
        </w:tc>
        <w:tc>
          <w:tcPr>
            <w:tcW w:w="1930" w:type="dxa"/>
            <w:tcBorders>
              <w:top w:val="nil"/>
              <w:left w:val="nil"/>
              <w:bottom w:val="single" w:sz="4" w:space="0" w:color="auto"/>
              <w:right w:val="single" w:sz="4" w:space="0" w:color="auto"/>
            </w:tcBorders>
            <w:shd w:val="clear" w:color="000000" w:fill="FFFFFF"/>
            <w:noWrap/>
            <w:vAlign w:val="bottom"/>
            <w:hideMark/>
          </w:tcPr>
          <w:p w:rsidR="008921BF" w:rsidRPr="00A00E1F" w:rsidRDefault="008921BF" w:rsidP="00031B92">
            <w:pPr>
              <w:spacing w:after="0" w:line="240" w:lineRule="auto"/>
              <w:jc w:val="center"/>
              <w:rPr>
                <w:rFonts w:ascii="Calibri" w:eastAsia="Times New Roman" w:hAnsi="Calibri" w:cs="Times New Roman"/>
                <w:color w:val="000000"/>
                <w:lang w:eastAsia="en-GB"/>
              </w:rPr>
            </w:pPr>
            <w:r w:rsidRPr="00A00E1F">
              <w:rPr>
                <w:rFonts w:ascii="Calibri" w:eastAsia="Times New Roman" w:hAnsi="Calibri" w:cs="Times New Roman"/>
                <w:color w:val="000000"/>
                <w:lang w:eastAsia="en-GB"/>
              </w:rPr>
              <w:t>2</w:t>
            </w:r>
            <w:r>
              <w:rPr>
                <w:rFonts w:ascii="Calibri" w:eastAsia="Times New Roman" w:hAnsi="Calibri" w:cs="Times New Roman"/>
                <w:color w:val="000000"/>
                <w:lang w:eastAsia="en-GB"/>
              </w:rPr>
              <w:t>,</w:t>
            </w:r>
            <w:r w:rsidRPr="00A00E1F">
              <w:rPr>
                <w:rFonts w:ascii="Calibri" w:eastAsia="Times New Roman" w:hAnsi="Calibri" w:cs="Times New Roman"/>
                <w:color w:val="000000"/>
                <w:lang w:eastAsia="en-GB"/>
              </w:rPr>
              <w:t>855</w:t>
            </w:r>
          </w:p>
        </w:tc>
      </w:tr>
      <w:tr w:rsidR="008921BF" w:rsidRPr="00A00E1F" w:rsidTr="00031B92">
        <w:trPr>
          <w:trHeight w:val="300"/>
          <w:jc w:val="center"/>
        </w:trPr>
        <w:tc>
          <w:tcPr>
            <w:tcW w:w="992" w:type="dxa"/>
            <w:tcBorders>
              <w:top w:val="nil"/>
              <w:left w:val="single" w:sz="4" w:space="0" w:color="auto"/>
              <w:bottom w:val="single" w:sz="4" w:space="0" w:color="auto"/>
              <w:right w:val="single" w:sz="4" w:space="0" w:color="auto"/>
            </w:tcBorders>
            <w:shd w:val="clear" w:color="EBF1DE" w:fill="FFFFFF"/>
            <w:noWrap/>
            <w:vAlign w:val="bottom"/>
            <w:hideMark/>
          </w:tcPr>
          <w:p w:rsidR="008921BF" w:rsidRPr="00A00E1F" w:rsidRDefault="008921BF" w:rsidP="00031B92">
            <w:pPr>
              <w:spacing w:after="0" w:line="240" w:lineRule="auto"/>
              <w:jc w:val="center"/>
              <w:rPr>
                <w:rFonts w:ascii="Calibri" w:eastAsia="Times New Roman" w:hAnsi="Calibri" w:cs="Times New Roman"/>
                <w:color w:val="000000"/>
                <w:sz w:val="20"/>
                <w:szCs w:val="20"/>
                <w:lang w:eastAsia="en-GB"/>
              </w:rPr>
            </w:pPr>
            <w:r w:rsidRPr="00A00E1F">
              <w:rPr>
                <w:rFonts w:ascii="Calibri" w:eastAsia="Times New Roman" w:hAnsi="Calibri" w:cs="Times New Roman"/>
                <w:color w:val="000000"/>
                <w:sz w:val="20"/>
                <w:szCs w:val="20"/>
                <w:lang w:eastAsia="en-GB"/>
              </w:rPr>
              <w:t>2026</w:t>
            </w:r>
          </w:p>
        </w:tc>
        <w:tc>
          <w:tcPr>
            <w:tcW w:w="1783" w:type="dxa"/>
            <w:tcBorders>
              <w:top w:val="nil"/>
              <w:left w:val="nil"/>
              <w:bottom w:val="single" w:sz="4" w:space="0" w:color="auto"/>
              <w:right w:val="single" w:sz="4" w:space="0" w:color="auto"/>
            </w:tcBorders>
            <w:shd w:val="clear" w:color="EBF1DE" w:fill="FFFFFF"/>
            <w:noWrap/>
            <w:vAlign w:val="bottom"/>
            <w:hideMark/>
          </w:tcPr>
          <w:p w:rsidR="008921BF" w:rsidRPr="00A00E1F" w:rsidRDefault="008921BF" w:rsidP="00031B92">
            <w:pPr>
              <w:spacing w:after="0" w:line="240" w:lineRule="auto"/>
              <w:jc w:val="center"/>
              <w:rPr>
                <w:rFonts w:ascii="Calibri" w:eastAsia="Times New Roman" w:hAnsi="Calibri" w:cs="Times New Roman"/>
                <w:color w:val="000000"/>
                <w:sz w:val="20"/>
                <w:szCs w:val="20"/>
                <w:lang w:eastAsia="en-GB"/>
              </w:rPr>
            </w:pPr>
            <w:r w:rsidRPr="00A00E1F">
              <w:rPr>
                <w:rFonts w:ascii="Calibri" w:eastAsia="Times New Roman" w:hAnsi="Calibri" w:cs="Times New Roman"/>
                <w:color w:val="000000"/>
                <w:sz w:val="20"/>
                <w:szCs w:val="20"/>
                <w:lang w:eastAsia="en-GB"/>
              </w:rPr>
              <w:t>58,182</w:t>
            </w:r>
          </w:p>
        </w:tc>
        <w:tc>
          <w:tcPr>
            <w:tcW w:w="1930" w:type="dxa"/>
            <w:tcBorders>
              <w:top w:val="nil"/>
              <w:left w:val="nil"/>
              <w:bottom w:val="single" w:sz="4" w:space="0" w:color="auto"/>
              <w:right w:val="single" w:sz="4" w:space="0" w:color="auto"/>
            </w:tcBorders>
            <w:shd w:val="clear" w:color="000000" w:fill="FFFFFF"/>
            <w:noWrap/>
            <w:vAlign w:val="bottom"/>
            <w:hideMark/>
          </w:tcPr>
          <w:p w:rsidR="008921BF" w:rsidRPr="00A00E1F" w:rsidRDefault="008921BF" w:rsidP="00031B92">
            <w:pPr>
              <w:spacing w:after="0" w:line="240" w:lineRule="auto"/>
              <w:jc w:val="center"/>
              <w:rPr>
                <w:rFonts w:ascii="Calibri" w:eastAsia="Times New Roman" w:hAnsi="Calibri" w:cs="Times New Roman"/>
                <w:color w:val="000000"/>
                <w:lang w:eastAsia="en-GB"/>
              </w:rPr>
            </w:pPr>
            <w:r w:rsidRPr="00A00E1F">
              <w:rPr>
                <w:rFonts w:ascii="Calibri" w:eastAsia="Times New Roman" w:hAnsi="Calibri" w:cs="Times New Roman"/>
                <w:color w:val="000000"/>
                <w:lang w:eastAsia="en-GB"/>
              </w:rPr>
              <w:t>2</w:t>
            </w:r>
            <w:r>
              <w:rPr>
                <w:rFonts w:ascii="Calibri" w:eastAsia="Times New Roman" w:hAnsi="Calibri" w:cs="Times New Roman"/>
                <w:color w:val="000000"/>
                <w:lang w:eastAsia="en-GB"/>
              </w:rPr>
              <w:t>,</w:t>
            </w:r>
            <w:r w:rsidRPr="00A00E1F">
              <w:rPr>
                <w:rFonts w:ascii="Calibri" w:eastAsia="Times New Roman" w:hAnsi="Calibri" w:cs="Times New Roman"/>
                <w:color w:val="000000"/>
                <w:lang w:eastAsia="en-GB"/>
              </w:rPr>
              <w:t>909</w:t>
            </w:r>
          </w:p>
        </w:tc>
      </w:tr>
      <w:tr w:rsidR="008921BF" w:rsidRPr="00A00E1F" w:rsidTr="00031B92">
        <w:trPr>
          <w:trHeight w:val="300"/>
          <w:jc w:val="center"/>
        </w:trPr>
        <w:tc>
          <w:tcPr>
            <w:tcW w:w="992" w:type="dxa"/>
            <w:tcBorders>
              <w:top w:val="nil"/>
              <w:left w:val="single" w:sz="4" w:space="0" w:color="auto"/>
              <w:bottom w:val="single" w:sz="4" w:space="0" w:color="auto"/>
              <w:right w:val="single" w:sz="4" w:space="0" w:color="auto"/>
            </w:tcBorders>
            <w:shd w:val="clear" w:color="D8E4BC" w:fill="FFFFFF"/>
            <w:noWrap/>
            <w:vAlign w:val="bottom"/>
            <w:hideMark/>
          </w:tcPr>
          <w:p w:rsidR="008921BF" w:rsidRPr="00A00E1F" w:rsidRDefault="008921BF" w:rsidP="00031B92">
            <w:pPr>
              <w:spacing w:after="0" w:line="240" w:lineRule="auto"/>
              <w:jc w:val="center"/>
              <w:rPr>
                <w:rFonts w:ascii="Calibri" w:eastAsia="Times New Roman" w:hAnsi="Calibri" w:cs="Times New Roman"/>
                <w:color w:val="000000"/>
                <w:sz w:val="20"/>
                <w:szCs w:val="20"/>
                <w:lang w:eastAsia="en-GB"/>
              </w:rPr>
            </w:pPr>
            <w:r w:rsidRPr="00A00E1F">
              <w:rPr>
                <w:rFonts w:ascii="Calibri" w:eastAsia="Times New Roman" w:hAnsi="Calibri" w:cs="Times New Roman"/>
                <w:color w:val="000000"/>
                <w:sz w:val="20"/>
                <w:szCs w:val="20"/>
                <w:lang w:eastAsia="en-GB"/>
              </w:rPr>
              <w:t>2027</w:t>
            </w:r>
          </w:p>
        </w:tc>
        <w:tc>
          <w:tcPr>
            <w:tcW w:w="1783" w:type="dxa"/>
            <w:tcBorders>
              <w:top w:val="nil"/>
              <w:left w:val="nil"/>
              <w:bottom w:val="single" w:sz="4" w:space="0" w:color="auto"/>
              <w:right w:val="single" w:sz="4" w:space="0" w:color="auto"/>
            </w:tcBorders>
            <w:shd w:val="clear" w:color="D8E4BC" w:fill="FFFFFF"/>
            <w:noWrap/>
            <w:vAlign w:val="bottom"/>
            <w:hideMark/>
          </w:tcPr>
          <w:p w:rsidR="008921BF" w:rsidRPr="00A00E1F" w:rsidRDefault="008921BF" w:rsidP="00031B92">
            <w:pPr>
              <w:spacing w:after="0" w:line="240" w:lineRule="auto"/>
              <w:jc w:val="center"/>
              <w:rPr>
                <w:rFonts w:ascii="Calibri" w:eastAsia="Times New Roman" w:hAnsi="Calibri" w:cs="Times New Roman"/>
                <w:color w:val="000000"/>
                <w:sz w:val="20"/>
                <w:szCs w:val="20"/>
                <w:lang w:eastAsia="en-GB"/>
              </w:rPr>
            </w:pPr>
            <w:r w:rsidRPr="00A00E1F">
              <w:rPr>
                <w:rFonts w:ascii="Calibri" w:eastAsia="Times New Roman" w:hAnsi="Calibri" w:cs="Times New Roman"/>
                <w:color w:val="000000"/>
                <w:sz w:val="20"/>
                <w:szCs w:val="20"/>
                <w:lang w:eastAsia="en-GB"/>
              </w:rPr>
              <w:t>59,531</w:t>
            </w:r>
          </w:p>
        </w:tc>
        <w:tc>
          <w:tcPr>
            <w:tcW w:w="1930" w:type="dxa"/>
            <w:tcBorders>
              <w:top w:val="nil"/>
              <w:left w:val="nil"/>
              <w:bottom w:val="single" w:sz="4" w:space="0" w:color="auto"/>
              <w:right w:val="single" w:sz="4" w:space="0" w:color="auto"/>
            </w:tcBorders>
            <w:shd w:val="clear" w:color="000000" w:fill="FFFFFF"/>
            <w:noWrap/>
            <w:vAlign w:val="bottom"/>
            <w:hideMark/>
          </w:tcPr>
          <w:p w:rsidR="008921BF" w:rsidRPr="00A00E1F" w:rsidRDefault="008921BF" w:rsidP="00031B92">
            <w:pPr>
              <w:spacing w:after="0" w:line="240" w:lineRule="auto"/>
              <w:jc w:val="center"/>
              <w:rPr>
                <w:rFonts w:ascii="Calibri" w:eastAsia="Times New Roman" w:hAnsi="Calibri" w:cs="Times New Roman"/>
                <w:color w:val="000000"/>
                <w:lang w:eastAsia="en-GB"/>
              </w:rPr>
            </w:pPr>
            <w:r w:rsidRPr="00A00E1F">
              <w:rPr>
                <w:rFonts w:ascii="Calibri" w:eastAsia="Times New Roman" w:hAnsi="Calibri" w:cs="Times New Roman"/>
                <w:color w:val="000000"/>
                <w:lang w:eastAsia="en-GB"/>
              </w:rPr>
              <w:t>2</w:t>
            </w:r>
            <w:r>
              <w:rPr>
                <w:rFonts w:ascii="Calibri" w:eastAsia="Times New Roman" w:hAnsi="Calibri" w:cs="Times New Roman"/>
                <w:color w:val="000000"/>
                <w:lang w:eastAsia="en-GB"/>
              </w:rPr>
              <w:t>,</w:t>
            </w:r>
            <w:r w:rsidRPr="00A00E1F">
              <w:rPr>
                <w:rFonts w:ascii="Calibri" w:eastAsia="Times New Roman" w:hAnsi="Calibri" w:cs="Times New Roman"/>
                <w:color w:val="000000"/>
                <w:lang w:eastAsia="en-GB"/>
              </w:rPr>
              <w:t>977</w:t>
            </w:r>
          </w:p>
        </w:tc>
      </w:tr>
      <w:tr w:rsidR="008921BF" w:rsidRPr="00A00E1F" w:rsidTr="00031B92">
        <w:trPr>
          <w:trHeight w:val="300"/>
          <w:jc w:val="center"/>
        </w:trPr>
        <w:tc>
          <w:tcPr>
            <w:tcW w:w="992" w:type="dxa"/>
            <w:tcBorders>
              <w:top w:val="nil"/>
              <w:left w:val="single" w:sz="4" w:space="0" w:color="auto"/>
              <w:bottom w:val="single" w:sz="4" w:space="0" w:color="auto"/>
              <w:right w:val="single" w:sz="4" w:space="0" w:color="auto"/>
            </w:tcBorders>
            <w:shd w:val="clear" w:color="EBF1DE" w:fill="FFFFFF"/>
            <w:noWrap/>
            <w:vAlign w:val="bottom"/>
            <w:hideMark/>
          </w:tcPr>
          <w:p w:rsidR="008921BF" w:rsidRPr="00A00E1F" w:rsidRDefault="008921BF" w:rsidP="00031B92">
            <w:pPr>
              <w:spacing w:after="0" w:line="240" w:lineRule="auto"/>
              <w:jc w:val="center"/>
              <w:rPr>
                <w:rFonts w:ascii="Calibri" w:eastAsia="Times New Roman" w:hAnsi="Calibri" w:cs="Times New Roman"/>
                <w:color w:val="000000"/>
                <w:sz w:val="20"/>
                <w:szCs w:val="20"/>
                <w:lang w:eastAsia="en-GB"/>
              </w:rPr>
            </w:pPr>
            <w:r w:rsidRPr="00A00E1F">
              <w:rPr>
                <w:rFonts w:ascii="Calibri" w:eastAsia="Times New Roman" w:hAnsi="Calibri" w:cs="Times New Roman"/>
                <w:color w:val="000000"/>
                <w:sz w:val="20"/>
                <w:szCs w:val="20"/>
                <w:lang w:eastAsia="en-GB"/>
              </w:rPr>
              <w:t>2028</w:t>
            </w:r>
          </w:p>
        </w:tc>
        <w:tc>
          <w:tcPr>
            <w:tcW w:w="1783" w:type="dxa"/>
            <w:tcBorders>
              <w:top w:val="nil"/>
              <w:left w:val="nil"/>
              <w:bottom w:val="single" w:sz="4" w:space="0" w:color="auto"/>
              <w:right w:val="single" w:sz="4" w:space="0" w:color="auto"/>
            </w:tcBorders>
            <w:shd w:val="clear" w:color="EBF1DE" w:fill="FFFFFF"/>
            <w:noWrap/>
            <w:vAlign w:val="bottom"/>
            <w:hideMark/>
          </w:tcPr>
          <w:p w:rsidR="008921BF" w:rsidRPr="00A00E1F" w:rsidRDefault="008921BF" w:rsidP="00031B92">
            <w:pPr>
              <w:spacing w:after="0" w:line="240" w:lineRule="auto"/>
              <w:jc w:val="center"/>
              <w:rPr>
                <w:rFonts w:ascii="Calibri" w:eastAsia="Times New Roman" w:hAnsi="Calibri" w:cs="Times New Roman"/>
                <w:color w:val="000000"/>
                <w:sz w:val="20"/>
                <w:szCs w:val="20"/>
                <w:lang w:eastAsia="en-GB"/>
              </w:rPr>
            </w:pPr>
            <w:r w:rsidRPr="00A00E1F">
              <w:rPr>
                <w:rFonts w:ascii="Calibri" w:eastAsia="Times New Roman" w:hAnsi="Calibri" w:cs="Times New Roman"/>
                <w:color w:val="000000"/>
                <w:sz w:val="20"/>
                <w:szCs w:val="20"/>
                <w:lang w:eastAsia="en-GB"/>
              </w:rPr>
              <w:t>60,821</w:t>
            </w:r>
          </w:p>
        </w:tc>
        <w:tc>
          <w:tcPr>
            <w:tcW w:w="1930" w:type="dxa"/>
            <w:tcBorders>
              <w:top w:val="nil"/>
              <w:left w:val="nil"/>
              <w:bottom w:val="single" w:sz="4" w:space="0" w:color="auto"/>
              <w:right w:val="single" w:sz="4" w:space="0" w:color="auto"/>
            </w:tcBorders>
            <w:shd w:val="clear" w:color="000000" w:fill="FFFFFF"/>
            <w:noWrap/>
            <w:vAlign w:val="bottom"/>
            <w:hideMark/>
          </w:tcPr>
          <w:p w:rsidR="008921BF" w:rsidRPr="00A00E1F" w:rsidRDefault="008921BF" w:rsidP="00031B92">
            <w:pPr>
              <w:spacing w:after="0" w:line="240" w:lineRule="auto"/>
              <w:jc w:val="center"/>
              <w:rPr>
                <w:rFonts w:ascii="Calibri" w:eastAsia="Times New Roman" w:hAnsi="Calibri" w:cs="Times New Roman"/>
                <w:color w:val="000000"/>
                <w:lang w:eastAsia="en-GB"/>
              </w:rPr>
            </w:pPr>
            <w:r w:rsidRPr="00A00E1F">
              <w:rPr>
                <w:rFonts w:ascii="Calibri" w:eastAsia="Times New Roman" w:hAnsi="Calibri" w:cs="Times New Roman"/>
                <w:color w:val="000000"/>
                <w:lang w:eastAsia="en-GB"/>
              </w:rPr>
              <w:t>3</w:t>
            </w:r>
            <w:r>
              <w:rPr>
                <w:rFonts w:ascii="Calibri" w:eastAsia="Times New Roman" w:hAnsi="Calibri" w:cs="Times New Roman"/>
                <w:color w:val="000000"/>
                <w:lang w:eastAsia="en-GB"/>
              </w:rPr>
              <w:t>,</w:t>
            </w:r>
            <w:r w:rsidRPr="00A00E1F">
              <w:rPr>
                <w:rFonts w:ascii="Calibri" w:eastAsia="Times New Roman" w:hAnsi="Calibri" w:cs="Times New Roman"/>
                <w:color w:val="000000"/>
                <w:lang w:eastAsia="en-GB"/>
              </w:rPr>
              <w:t>041</w:t>
            </w:r>
          </w:p>
        </w:tc>
      </w:tr>
      <w:tr w:rsidR="008921BF" w:rsidRPr="00A00E1F" w:rsidTr="00031B92">
        <w:trPr>
          <w:trHeight w:val="300"/>
          <w:jc w:val="center"/>
        </w:trPr>
        <w:tc>
          <w:tcPr>
            <w:tcW w:w="992" w:type="dxa"/>
            <w:tcBorders>
              <w:top w:val="nil"/>
              <w:left w:val="single" w:sz="4" w:space="0" w:color="auto"/>
              <w:bottom w:val="single" w:sz="4" w:space="0" w:color="auto"/>
              <w:right w:val="single" w:sz="4" w:space="0" w:color="auto"/>
            </w:tcBorders>
            <w:shd w:val="clear" w:color="D8E4BC" w:fill="FFFFFF"/>
            <w:noWrap/>
            <w:vAlign w:val="bottom"/>
            <w:hideMark/>
          </w:tcPr>
          <w:p w:rsidR="008921BF" w:rsidRPr="00A00E1F" w:rsidRDefault="008921BF" w:rsidP="00031B92">
            <w:pPr>
              <w:spacing w:after="0" w:line="240" w:lineRule="auto"/>
              <w:jc w:val="center"/>
              <w:rPr>
                <w:rFonts w:ascii="Calibri" w:eastAsia="Times New Roman" w:hAnsi="Calibri" w:cs="Times New Roman"/>
                <w:color w:val="000000"/>
                <w:sz w:val="20"/>
                <w:szCs w:val="20"/>
                <w:lang w:eastAsia="en-GB"/>
              </w:rPr>
            </w:pPr>
            <w:r w:rsidRPr="00A00E1F">
              <w:rPr>
                <w:rFonts w:ascii="Calibri" w:eastAsia="Times New Roman" w:hAnsi="Calibri" w:cs="Times New Roman"/>
                <w:color w:val="000000"/>
                <w:sz w:val="20"/>
                <w:szCs w:val="20"/>
                <w:lang w:eastAsia="en-GB"/>
              </w:rPr>
              <w:t>2029</w:t>
            </w:r>
          </w:p>
        </w:tc>
        <w:tc>
          <w:tcPr>
            <w:tcW w:w="1783" w:type="dxa"/>
            <w:tcBorders>
              <w:top w:val="nil"/>
              <w:left w:val="nil"/>
              <w:bottom w:val="single" w:sz="4" w:space="0" w:color="auto"/>
              <w:right w:val="single" w:sz="4" w:space="0" w:color="auto"/>
            </w:tcBorders>
            <w:shd w:val="clear" w:color="D8E4BC" w:fill="FFFFFF"/>
            <w:noWrap/>
            <w:vAlign w:val="bottom"/>
            <w:hideMark/>
          </w:tcPr>
          <w:p w:rsidR="008921BF" w:rsidRPr="00A00E1F" w:rsidRDefault="008921BF" w:rsidP="00031B92">
            <w:pPr>
              <w:spacing w:after="0" w:line="240" w:lineRule="auto"/>
              <w:jc w:val="center"/>
              <w:rPr>
                <w:rFonts w:ascii="Calibri" w:eastAsia="Times New Roman" w:hAnsi="Calibri" w:cs="Times New Roman"/>
                <w:color w:val="000000"/>
                <w:sz w:val="20"/>
                <w:szCs w:val="20"/>
                <w:lang w:eastAsia="en-GB"/>
              </w:rPr>
            </w:pPr>
            <w:r w:rsidRPr="00A00E1F">
              <w:rPr>
                <w:rFonts w:ascii="Calibri" w:eastAsia="Times New Roman" w:hAnsi="Calibri" w:cs="Times New Roman"/>
                <w:color w:val="000000"/>
                <w:sz w:val="20"/>
                <w:szCs w:val="20"/>
                <w:lang w:eastAsia="en-GB"/>
              </w:rPr>
              <w:t>62,205</w:t>
            </w:r>
          </w:p>
        </w:tc>
        <w:tc>
          <w:tcPr>
            <w:tcW w:w="1930" w:type="dxa"/>
            <w:tcBorders>
              <w:top w:val="nil"/>
              <w:left w:val="nil"/>
              <w:bottom w:val="single" w:sz="4" w:space="0" w:color="auto"/>
              <w:right w:val="single" w:sz="4" w:space="0" w:color="auto"/>
            </w:tcBorders>
            <w:shd w:val="clear" w:color="000000" w:fill="FFFFFF"/>
            <w:noWrap/>
            <w:vAlign w:val="bottom"/>
            <w:hideMark/>
          </w:tcPr>
          <w:p w:rsidR="008921BF" w:rsidRPr="00A00E1F" w:rsidRDefault="008921BF" w:rsidP="00031B92">
            <w:pPr>
              <w:spacing w:after="0" w:line="240" w:lineRule="auto"/>
              <w:jc w:val="center"/>
              <w:rPr>
                <w:rFonts w:ascii="Calibri" w:eastAsia="Times New Roman" w:hAnsi="Calibri" w:cs="Times New Roman"/>
                <w:color w:val="000000"/>
                <w:lang w:eastAsia="en-GB"/>
              </w:rPr>
            </w:pPr>
            <w:r w:rsidRPr="00A00E1F">
              <w:rPr>
                <w:rFonts w:ascii="Calibri" w:eastAsia="Times New Roman" w:hAnsi="Calibri" w:cs="Times New Roman"/>
                <w:color w:val="000000"/>
                <w:lang w:eastAsia="en-GB"/>
              </w:rPr>
              <w:t>3</w:t>
            </w:r>
            <w:r>
              <w:rPr>
                <w:rFonts w:ascii="Calibri" w:eastAsia="Times New Roman" w:hAnsi="Calibri" w:cs="Times New Roman"/>
                <w:color w:val="000000"/>
                <w:lang w:eastAsia="en-GB"/>
              </w:rPr>
              <w:t>,</w:t>
            </w:r>
            <w:r w:rsidRPr="00A00E1F">
              <w:rPr>
                <w:rFonts w:ascii="Calibri" w:eastAsia="Times New Roman" w:hAnsi="Calibri" w:cs="Times New Roman"/>
                <w:color w:val="000000"/>
                <w:lang w:eastAsia="en-GB"/>
              </w:rPr>
              <w:t>110</w:t>
            </w:r>
          </w:p>
        </w:tc>
      </w:tr>
      <w:tr w:rsidR="008921BF" w:rsidRPr="00A00E1F" w:rsidTr="00031B92">
        <w:trPr>
          <w:trHeight w:val="300"/>
          <w:jc w:val="center"/>
        </w:trPr>
        <w:tc>
          <w:tcPr>
            <w:tcW w:w="992" w:type="dxa"/>
            <w:tcBorders>
              <w:top w:val="nil"/>
              <w:left w:val="single" w:sz="4" w:space="0" w:color="auto"/>
              <w:bottom w:val="single" w:sz="4" w:space="0" w:color="auto"/>
              <w:right w:val="single" w:sz="4" w:space="0" w:color="auto"/>
            </w:tcBorders>
            <w:shd w:val="clear" w:color="EBF1DE" w:fill="FFFFFF"/>
            <w:noWrap/>
            <w:vAlign w:val="bottom"/>
            <w:hideMark/>
          </w:tcPr>
          <w:p w:rsidR="008921BF" w:rsidRPr="00A00E1F" w:rsidRDefault="008921BF" w:rsidP="00031B92">
            <w:pPr>
              <w:spacing w:after="0" w:line="240" w:lineRule="auto"/>
              <w:jc w:val="center"/>
              <w:rPr>
                <w:rFonts w:ascii="Calibri" w:eastAsia="Times New Roman" w:hAnsi="Calibri" w:cs="Times New Roman"/>
                <w:color w:val="000000"/>
                <w:sz w:val="20"/>
                <w:szCs w:val="20"/>
                <w:lang w:eastAsia="en-GB"/>
              </w:rPr>
            </w:pPr>
            <w:r w:rsidRPr="00A00E1F">
              <w:rPr>
                <w:rFonts w:ascii="Calibri" w:eastAsia="Times New Roman" w:hAnsi="Calibri" w:cs="Times New Roman"/>
                <w:color w:val="000000"/>
                <w:sz w:val="20"/>
                <w:szCs w:val="20"/>
                <w:lang w:eastAsia="en-GB"/>
              </w:rPr>
              <w:t>2030</w:t>
            </w:r>
          </w:p>
        </w:tc>
        <w:tc>
          <w:tcPr>
            <w:tcW w:w="1783" w:type="dxa"/>
            <w:tcBorders>
              <w:top w:val="nil"/>
              <w:left w:val="nil"/>
              <w:bottom w:val="single" w:sz="4" w:space="0" w:color="auto"/>
              <w:right w:val="single" w:sz="4" w:space="0" w:color="auto"/>
            </w:tcBorders>
            <w:shd w:val="clear" w:color="EBF1DE" w:fill="FFFFFF"/>
            <w:noWrap/>
            <w:vAlign w:val="bottom"/>
            <w:hideMark/>
          </w:tcPr>
          <w:p w:rsidR="008921BF" w:rsidRPr="00A00E1F" w:rsidRDefault="008921BF" w:rsidP="00031B92">
            <w:pPr>
              <w:spacing w:after="0" w:line="240" w:lineRule="auto"/>
              <w:jc w:val="center"/>
              <w:rPr>
                <w:rFonts w:ascii="Calibri" w:eastAsia="Times New Roman" w:hAnsi="Calibri" w:cs="Times New Roman"/>
                <w:color w:val="000000"/>
                <w:sz w:val="20"/>
                <w:szCs w:val="20"/>
                <w:lang w:eastAsia="en-GB"/>
              </w:rPr>
            </w:pPr>
            <w:r w:rsidRPr="00A00E1F">
              <w:rPr>
                <w:rFonts w:ascii="Calibri" w:eastAsia="Times New Roman" w:hAnsi="Calibri" w:cs="Times New Roman"/>
                <w:color w:val="000000"/>
                <w:sz w:val="20"/>
                <w:szCs w:val="20"/>
                <w:lang w:eastAsia="en-GB"/>
              </w:rPr>
              <w:t>63,575</w:t>
            </w:r>
          </w:p>
        </w:tc>
        <w:tc>
          <w:tcPr>
            <w:tcW w:w="1930" w:type="dxa"/>
            <w:tcBorders>
              <w:top w:val="nil"/>
              <w:left w:val="nil"/>
              <w:bottom w:val="single" w:sz="4" w:space="0" w:color="auto"/>
              <w:right w:val="single" w:sz="4" w:space="0" w:color="auto"/>
            </w:tcBorders>
            <w:shd w:val="clear" w:color="000000" w:fill="FFFFFF"/>
            <w:noWrap/>
            <w:vAlign w:val="bottom"/>
            <w:hideMark/>
          </w:tcPr>
          <w:p w:rsidR="008921BF" w:rsidRPr="00A00E1F" w:rsidRDefault="008921BF" w:rsidP="00031B92">
            <w:pPr>
              <w:spacing w:after="0" w:line="240" w:lineRule="auto"/>
              <w:jc w:val="center"/>
              <w:rPr>
                <w:rFonts w:ascii="Calibri" w:eastAsia="Times New Roman" w:hAnsi="Calibri" w:cs="Times New Roman"/>
                <w:color w:val="000000"/>
                <w:lang w:eastAsia="en-GB"/>
              </w:rPr>
            </w:pPr>
            <w:r w:rsidRPr="00A00E1F">
              <w:rPr>
                <w:rFonts w:ascii="Calibri" w:eastAsia="Times New Roman" w:hAnsi="Calibri" w:cs="Times New Roman"/>
                <w:color w:val="000000"/>
                <w:lang w:eastAsia="en-GB"/>
              </w:rPr>
              <w:t>3</w:t>
            </w:r>
            <w:r>
              <w:rPr>
                <w:rFonts w:ascii="Calibri" w:eastAsia="Times New Roman" w:hAnsi="Calibri" w:cs="Times New Roman"/>
                <w:color w:val="000000"/>
                <w:lang w:eastAsia="en-GB"/>
              </w:rPr>
              <w:t>,</w:t>
            </w:r>
            <w:r w:rsidRPr="00A00E1F">
              <w:rPr>
                <w:rFonts w:ascii="Calibri" w:eastAsia="Times New Roman" w:hAnsi="Calibri" w:cs="Times New Roman"/>
                <w:color w:val="000000"/>
                <w:lang w:eastAsia="en-GB"/>
              </w:rPr>
              <w:t>179</w:t>
            </w:r>
          </w:p>
        </w:tc>
      </w:tr>
    </w:tbl>
    <w:p w:rsidR="00EA7693" w:rsidRDefault="00EA7693" w:rsidP="00EA7693">
      <w:pPr>
        <w:spacing w:after="0" w:line="240" w:lineRule="auto"/>
        <w:jc w:val="both"/>
      </w:pPr>
      <w:r>
        <w:t>Source: GLA 2013 Population Projections (Borough Preferred Option)</w:t>
      </w:r>
      <w:r w:rsidR="00682DF5">
        <w:t xml:space="preserve"> and CSED</w:t>
      </w:r>
    </w:p>
    <w:p w:rsidR="00EA7693" w:rsidRDefault="00EA7693" w:rsidP="00EA7693">
      <w:pPr>
        <w:spacing w:after="0" w:line="240" w:lineRule="auto"/>
        <w:jc w:val="both"/>
      </w:pPr>
    </w:p>
    <w:p w:rsidR="008921BF" w:rsidRDefault="008921BF" w:rsidP="008921BF">
      <w:pPr>
        <w:jc w:val="both"/>
      </w:pPr>
      <w:r>
        <w:t xml:space="preserve">In addition to this, the changes that are being brought in by the Care Act 2014 are projected to increase demand for these services above demographic pressures alone.  </w:t>
      </w:r>
    </w:p>
    <w:p w:rsidR="008921BF" w:rsidRDefault="008921BF" w:rsidP="008921BF">
      <w:pPr>
        <w:spacing w:after="0" w:line="240" w:lineRule="auto"/>
        <w:jc w:val="both"/>
      </w:pPr>
      <w:r w:rsidRPr="006C04FE">
        <w:rPr>
          <w:lang w:val="en"/>
        </w:rPr>
        <w:t>With the high costs attributed to residen</w:t>
      </w:r>
      <w:r>
        <w:rPr>
          <w:lang w:val="en"/>
        </w:rPr>
        <w:t>tial and nursing care, enablement provides a way to alleviate some of these costs.</w:t>
      </w:r>
      <w:r w:rsidRPr="006C04FE">
        <w:rPr>
          <w:lang w:val="en"/>
        </w:rPr>
        <w:t xml:space="preserve"> </w:t>
      </w:r>
      <w:r>
        <w:t xml:space="preserve">Therefore there is significant need over the coming years to ensure that Barnet has suitable capacity in place to meet the possible demand pressures impacting on the enablement service.  </w:t>
      </w:r>
    </w:p>
    <w:p w:rsidR="008921BF" w:rsidRDefault="008921BF" w:rsidP="008921BF">
      <w:pPr>
        <w:spacing w:after="0" w:line="240" w:lineRule="auto"/>
        <w:jc w:val="both"/>
      </w:pPr>
    </w:p>
    <w:p w:rsidR="008921BF" w:rsidRDefault="008921BF" w:rsidP="008921BF">
      <w:pPr>
        <w:jc w:val="both"/>
      </w:pPr>
      <w:r>
        <w:t>Furthermore, with the recent reduction in the number of new contacts goings through enablement</w:t>
      </w:r>
      <w:r w:rsidR="00142795">
        <w:t>,</w:t>
      </w:r>
      <w:r>
        <w:t xml:space="preserve"> there is a need for greater understanding of the drivers behind this. </w:t>
      </w:r>
    </w:p>
    <w:p w:rsidR="008921BF" w:rsidRPr="00547C32" w:rsidRDefault="008921BF" w:rsidP="008921BF">
      <w:pPr>
        <w:pStyle w:val="Heading2"/>
      </w:pPr>
      <w:bookmarkStart w:id="940" w:name="_Toc426723396"/>
      <w:bookmarkStart w:id="941" w:name="_Toc431225223"/>
      <w:r w:rsidRPr="00547C32">
        <w:t>Self-Directed Support and Direct Payments</w:t>
      </w:r>
      <w:bookmarkEnd w:id="940"/>
      <w:bookmarkEnd w:id="941"/>
    </w:p>
    <w:p w:rsidR="008921BF" w:rsidRDefault="008921BF" w:rsidP="008921BF">
      <w:pPr>
        <w:spacing w:after="0" w:line="240" w:lineRule="auto"/>
        <w:jc w:val="both"/>
        <w:rPr>
          <w:lang w:val="en"/>
        </w:rPr>
      </w:pPr>
      <w:r>
        <w:rPr>
          <w:lang w:val="en"/>
        </w:rPr>
        <w:t>Personal b</w:t>
      </w:r>
      <w:r w:rsidRPr="00E24541">
        <w:rPr>
          <w:lang w:val="en"/>
        </w:rPr>
        <w:t xml:space="preserve">udgets are an allocation of funding given to service users after an assessment, which should be sufficient to meet their assessed needs. </w:t>
      </w:r>
      <w:r>
        <w:rPr>
          <w:lang w:val="en"/>
        </w:rPr>
        <w:t xml:space="preserve"> </w:t>
      </w:r>
      <w:r w:rsidRPr="00E24541">
        <w:rPr>
          <w:lang w:val="en"/>
        </w:rPr>
        <w:t xml:space="preserve">They can be taken as a </w:t>
      </w:r>
      <w:r>
        <w:rPr>
          <w:lang w:val="en"/>
        </w:rPr>
        <w:t>d</w:t>
      </w:r>
      <w:r w:rsidRPr="00E24541">
        <w:rPr>
          <w:lang w:val="en"/>
        </w:rPr>
        <w:t xml:space="preserve">irect </w:t>
      </w:r>
      <w:r>
        <w:rPr>
          <w:lang w:val="en"/>
        </w:rPr>
        <w:t>p</w:t>
      </w:r>
      <w:r w:rsidRPr="00E24541">
        <w:rPr>
          <w:lang w:val="en"/>
        </w:rPr>
        <w:t>ayment or the service user/</w:t>
      </w:r>
      <w:proofErr w:type="spellStart"/>
      <w:r w:rsidRPr="00E24541">
        <w:rPr>
          <w:lang w:val="en"/>
        </w:rPr>
        <w:t>carer</w:t>
      </w:r>
      <w:proofErr w:type="spellEnd"/>
      <w:r w:rsidRPr="00E24541">
        <w:rPr>
          <w:lang w:val="en"/>
        </w:rPr>
        <w:t xml:space="preserve"> can give the council some or all responsibility to commission services on their behalf. </w:t>
      </w:r>
    </w:p>
    <w:p w:rsidR="008921BF" w:rsidRPr="00E24541" w:rsidRDefault="008921BF" w:rsidP="008921BF">
      <w:pPr>
        <w:spacing w:after="0" w:line="240" w:lineRule="auto"/>
        <w:jc w:val="both"/>
        <w:rPr>
          <w:lang w:val="en"/>
        </w:rPr>
      </w:pPr>
    </w:p>
    <w:p w:rsidR="008921BF" w:rsidRPr="00E24541" w:rsidRDefault="008921BF" w:rsidP="008921BF">
      <w:pPr>
        <w:spacing w:after="0" w:line="240" w:lineRule="auto"/>
        <w:jc w:val="both"/>
        <w:rPr>
          <w:lang w:val="en"/>
        </w:rPr>
      </w:pPr>
      <w:r>
        <w:rPr>
          <w:lang w:val="en"/>
        </w:rPr>
        <w:t>Table 9-7</w:t>
      </w:r>
      <w:r w:rsidRPr="00E24541">
        <w:rPr>
          <w:lang w:val="en"/>
        </w:rPr>
        <w:t xml:space="preserve"> shows how many council-funded service-users have taken up a personal budget </w:t>
      </w:r>
      <w:r>
        <w:rPr>
          <w:lang w:val="en"/>
        </w:rPr>
        <w:t xml:space="preserve">by client category. In </w:t>
      </w:r>
      <w:r w:rsidR="00270AEE">
        <w:rPr>
          <w:lang w:val="en"/>
        </w:rPr>
        <w:t>2013/</w:t>
      </w:r>
      <w:r>
        <w:rPr>
          <w:lang w:val="en"/>
        </w:rPr>
        <w:t>14</w:t>
      </w:r>
      <w:r w:rsidR="00142795">
        <w:rPr>
          <w:lang w:val="en"/>
        </w:rPr>
        <w:t>,</w:t>
      </w:r>
      <w:r>
        <w:rPr>
          <w:lang w:val="en"/>
        </w:rPr>
        <w:t xml:space="preserve"> </w:t>
      </w:r>
      <w:r w:rsidRPr="00E24541">
        <w:rPr>
          <w:lang w:val="en"/>
        </w:rPr>
        <w:t>55</w:t>
      </w:r>
      <w:r>
        <w:rPr>
          <w:lang w:val="en"/>
        </w:rPr>
        <w:t>.3</w:t>
      </w:r>
      <w:r w:rsidRPr="00E24541">
        <w:rPr>
          <w:lang w:val="en"/>
        </w:rPr>
        <w:t>% o</w:t>
      </w:r>
      <w:r>
        <w:rPr>
          <w:lang w:val="en"/>
        </w:rPr>
        <w:t xml:space="preserve">f all adult social care service </w:t>
      </w:r>
      <w:r w:rsidRPr="00E24541">
        <w:rPr>
          <w:lang w:val="en"/>
        </w:rPr>
        <w:t xml:space="preserve">users </w:t>
      </w:r>
      <w:r>
        <w:rPr>
          <w:lang w:val="en"/>
        </w:rPr>
        <w:t xml:space="preserve">received a personal budget, an increase of 3.9% from 2011. This indicates </w:t>
      </w:r>
      <w:r w:rsidRPr="00E24541">
        <w:rPr>
          <w:lang w:val="en"/>
        </w:rPr>
        <w:t xml:space="preserve">that an increasing number of people are commissioning their </w:t>
      </w:r>
      <w:r>
        <w:rPr>
          <w:lang w:val="en"/>
        </w:rPr>
        <w:t xml:space="preserve">own </w:t>
      </w:r>
      <w:r w:rsidRPr="00E24541">
        <w:rPr>
          <w:lang w:val="en"/>
        </w:rPr>
        <w:t>care</w:t>
      </w:r>
      <w:r>
        <w:rPr>
          <w:lang w:val="en"/>
        </w:rPr>
        <w:t>;</w:t>
      </w:r>
      <w:r w:rsidR="00EA5799">
        <w:rPr>
          <w:lang w:val="en"/>
        </w:rPr>
        <w:t xml:space="preserve"> this </w:t>
      </w:r>
      <w:r>
        <w:rPr>
          <w:lang w:val="en"/>
        </w:rPr>
        <w:t>trend</w:t>
      </w:r>
      <w:r w:rsidR="00EA5799">
        <w:rPr>
          <w:lang w:val="en"/>
        </w:rPr>
        <w:t xml:space="preserve"> is expected to </w:t>
      </w:r>
      <w:r>
        <w:rPr>
          <w:lang w:val="en"/>
        </w:rPr>
        <w:t>continue in the future.</w:t>
      </w:r>
    </w:p>
    <w:p w:rsidR="008921BF" w:rsidRDefault="008921BF" w:rsidP="008921BF">
      <w:pPr>
        <w:spacing w:after="0" w:line="240" w:lineRule="auto"/>
        <w:jc w:val="both"/>
        <w:rPr>
          <w:rFonts w:ascii="Calibri" w:hAnsi="Calibri" w:cs="Calibri"/>
          <w:b/>
          <w:i/>
        </w:rPr>
      </w:pPr>
    </w:p>
    <w:p w:rsidR="00AA058C" w:rsidRDefault="00AA058C" w:rsidP="008921BF">
      <w:pPr>
        <w:spacing w:after="0" w:line="240" w:lineRule="auto"/>
        <w:jc w:val="both"/>
        <w:rPr>
          <w:rFonts w:ascii="Calibri" w:hAnsi="Calibri" w:cs="Calibri"/>
          <w:b/>
          <w:i/>
        </w:rPr>
      </w:pPr>
    </w:p>
    <w:p w:rsidR="00AA058C" w:rsidRDefault="00AA058C" w:rsidP="008921BF">
      <w:pPr>
        <w:spacing w:after="0" w:line="240" w:lineRule="auto"/>
        <w:jc w:val="both"/>
        <w:rPr>
          <w:rFonts w:ascii="Calibri" w:hAnsi="Calibri" w:cs="Calibri"/>
          <w:b/>
          <w:i/>
        </w:rPr>
      </w:pPr>
    </w:p>
    <w:p w:rsidR="00AA058C" w:rsidRDefault="00AA058C" w:rsidP="008921BF">
      <w:pPr>
        <w:spacing w:after="0" w:line="240" w:lineRule="auto"/>
        <w:jc w:val="both"/>
        <w:rPr>
          <w:rFonts w:ascii="Calibri" w:hAnsi="Calibri" w:cs="Calibri"/>
          <w:b/>
          <w:i/>
        </w:rPr>
      </w:pPr>
    </w:p>
    <w:p w:rsidR="00AA058C" w:rsidRDefault="00AA058C" w:rsidP="008921BF">
      <w:pPr>
        <w:spacing w:after="0" w:line="240" w:lineRule="auto"/>
        <w:jc w:val="both"/>
        <w:rPr>
          <w:rFonts w:ascii="Calibri" w:hAnsi="Calibri" w:cs="Calibri"/>
          <w:b/>
          <w:i/>
        </w:rPr>
      </w:pPr>
    </w:p>
    <w:p w:rsidR="00AA058C" w:rsidRDefault="00AA058C" w:rsidP="008921BF">
      <w:pPr>
        <w:spacing w:after="0" w:line="240" w:lineRule="auto"/>
        <w:jc w:val="both"/>
        <w:rPr>
          <w:rFonts w:ascii="Calibri" w:hAnsi="Calibri" w:cs="Calibri"/>
          <w:b/>
          <w:i/>
        </w:rPr>
      </w:pPr>
    </w:p>
    <w:p w:rsidR="00AA058C" w:rsidRDefault="00AA058C" w:rsidP="008921BF">
      <w:pPr>
        <w:spacing w:after="0" w:line="240" w:lineRule="auto"/>
        <w:jc w:val="both"/>
        <w:rPr>
          <w:rFonts w:ascii="Calibri" w:hAnsi="Calibri" w:cs="Calibri"/>
          <w:b/>
          <w:i/>
        </w:rPr>
      </w:pPr>
    </w:p>
    <w:p w:rsidR="008921BF" w:rsidRDefault="008921BF" w:rsidP="008921BF">
      <w:pPr>
        <w:pStyle w:val="Caption"/>
        <w:rPr>
          <w:rFonts w:ascii="Calibri" w:hAnsi="Calibri" w:cs="Calibri"/>
          <w:b w:val="0"/>
          <w:i/>
        </w:rPr>
      </w:pPr>
      <w:r>
        <w:lastRenderedPageBreak/>
        <w:t xml:space="preserve">Table </w:t>
      </w:r>
      <w:fldSimple w:instr=" STYLEREF 1 \s ">
        <w:r w:rsidR="001663C2">
          <w:rPr>
            <w:noProof/>
          </w:rPr>
          <w:t>9</w:t>
        </w:r>
      </w:fldSimple>
      <w:r>
        <w:noBreakHyphen/>
      </w:r>
      <w:fldSimple w:instr=" SEQ Table \* ARABIC \s 1 ">
        <w:r w:rsidR="001663C2">
          <w:rPr>
            <w:noProof/>
          </w:rPr>
          <w:t>7</w:t>
        </w:r>
      </w:fldSimple>
      <w:r w:rsidRPr="00041E32">
        <w:t>: Number of service-users receiving Self-Directed Support Packages</w:t>
      </w:r>
    </w:p>
    <w:tbl>
      <w:tblPr>
        <w:tblW w:w="9498" w:type="dxa"/>
        <w:tblInd w:w="-176" w:type="dxa"/>
        <w:tblLayout w:type="fixed"/>
        <w:tblLook w:val="04A0" w:firstRow="1" w:lastRow="0" w:firstColumn="1" w:lastColumn="0" w:noHBand="0" w:noVBand="1"/>
      </w:tblPr>
      <w:tblGrid>
        <w:gridCol w:w="1985"/>
        <w:gridCol w:w="851"/>
        <w:gridCol w:w="1559"/>
        <w:gridCol w:w="851"/>
        <w:gridCol w:w="1559"/>
        <w:gridCol w:w="1134"/>
        <w:gridCol w:w="1559"/>
      </w:tblGrid>
      <w:tr w:rsidR="008921BF" w:rsidRPr="00CA49B7" w:rsidTr="00031B92">
        <w:trPr>
          <w:trHeight w:val="300"/>
        </w:trPr>
        <w:tc>
          <w:tcPr>
            <w:tcW w:w="1985" w:type="dxa"/>
            <w:vMerge w:val="restart"/>
            <w:tcBorders>
              <w:top w:val="single" w:sz="4" w:space="0" w:color="auto"/>
              <w:left w:val="single" w:sz="4" w:space="0" w:color="auto"/>
              <w:right w:val="single" w:sz="4" w:space="0" w:color="auto"/>
            </w:tcBorders>
            <w:shd w:val="clear" w:color="000000" w:fill="BFBFBF"/>
            <w:vAlign w:val="center"/>
            <w:hideMark/>
          </w:tcPr>
          <w:p w:rsidR="008921BF" w:rsidRPr="00CA49B7" w:rsidRDefault="008921BF" w:rsidP="00031B92">
            <w:pPr>
              <w:spacing w:after="0" w:line="240" w:lineRule="auto"/>
              <w:jc w:val="center"/>
              <w:rPr>
                <w:rFonts w:ascii="Calibri" w:eastAsia="Times New Roman" w:hAnsi="Calibri" w:cs="Times New Roman"/>
                <w:b/>
                <w:bCs/>
                <w:color w:val="000000"/>
                <w:lang w:eastAsia="en-GB"/>
              </w:rPr>
            </w:pPr>
            <w:r w:rsidRPr="00CA49B7">
              <w:rPr>
                <w:rFonts w:ascii="Calibri" w:eastAsia="Times New Roman" w:hAnsi="Calibri" w:cs="Times New Roman"/>
                <w:b/>
                <w:bCs/>
                <w:color w:val="000000"/>
                <w:lang w:eastAsia="en-GB"/>
              </w:rPr>
              <w:t>Client Category </w:t>
            </w:r>
          </w:p>
        </w:tc>
        <w:tc>
          <w:tcPr>
            <w:tcW w:w="2410" w:type="dxa"/>
            <w:gridSpan w:val="2"/>
            <w:tcBorders>
              <w:top w:val="single" w:sz="4" w:space="0" w:color="auto"/>
              <w:left w:val="nil"/>
              <w:bottom w:val="single" w:sz="4" w:space="0" w:color="auto"/>
              <w:right w:val="single" w:sz="4" w:space="0" w:color="auto"/>
            </w:tcBorders>
            <w:shd w:val="clear" w:color="000000" w:fill="BFBFBF"/>
            <w:vAlign w:val="center"/>
            <w:hideMark/>
          </w:tcPr>
          <w:p w:rsidR="008921BF" w:rsidRPr="00CA49B7" w:rsidRDefault="008921BF" w:rsidP="00031B92">
            <w:pPr>
              <w:spacing w:after="0" w:line="240" w:lineRule="auto"/>
              <w:jc w:val="center"/>
              <w:rPr>
                <w:rFonts w:ascii="Calibri" w:eastAsia="Times New Roman" w:hAnsi="Calibri" w:cs="Times New Roman"/>
                <w:b/>
                <w:bCs/>
                <w:color w:val="000000"/>
                <w:lang w:eastAsia="en-GB"/>
              </w:rPr>
            </w:pPr>
            <w:r w:rsidRPr="00CA49B7">
              <w:rPr>
                <w:rFonts w:ascii="Calibri" w:eastAsia="Times New Roman" w:hAnsi="Calibri" w:cs="Times New Roman"/>
                <w:b/>
                <w:bCs/>
                <w:color w:val="000000"/>
                <w:lang w:eastAsia="en-GB"/>
              </w:rPr>
              <w:t>2011/12</w:t>
            </w:r>
          </w:p>
        </w:tc>
        <w:tc>
          <w:tcPr>
            <w:tcW w:w="2410" w:type="dxa"/>
            <w:gridSpan w:val="2"/>
            <w:tcBorders>
              <w:top w:val="single" w:sz="4" w:space="0" w:color="auto"/>
              <w:left w:val="nil"/>
              <w:bottom w:val="single" w:sz="4" w:space="0" w:color="auto"/>
              <w:right w:val="single" w:sz="4" w:space="0" w:color="auto"/>
            </w:tcBorders>
            <w:shd w:val="clear" w:color="000000" w:fill="BFBFBF"/>
            <w:vAlign w:val="center"/>
            <w:hideMark/>
          </w:tcPr>
          <w:p w:rsidR="008921BF" w:rsidRPr="00CA49B7" w:rsidRDefault="008921BF" w:rsidP="00031B92">
            <w:pPr>
              <w:spacing w:after="0" w:line="240" w:lineRule="auto"/>
              <w:jc w:val="center"/>
              <w:rPr>
                <w:rFonts w:ascii="Calibri" w:eastAsia="Times New Roman" w:hAnsi="Calibri" w:cs="Times New Roman"/>
                <w:b/>
                <w:bCs/>
                <w:color w:val="000000"/>
                <w:lang w:eastAsia="en-GB"/>
              </w:rPr>
            </w:pPr>
            <w:r w:rsidRPr="00CA49B7">
              <w:rPr>
                <w:rFonts w:ascii="Calibri" w:eastAsia="Times New Roman" w:hAnsi="Calibri" w:cs="Times New Roman"/>
                <w:b/>
                <w:bCs/>
                <w:color w:val="000000"/>
                <w:lang w:eastAsia="en-GB"/>
              </w:rPr>
              <w:t>2012/13</w:t>
            </w:r>
          </w:p>
        </w:tc>
        <w:tc>
          <w:tcPr>
            <w:tcW w:w="2693" w:type="dxa"/>
            <w:gridSpan w:val="2"/>
            <w:tcBorders>
              <w:top w:val="single" w:sz="4" w:space="0" w:color="auto"/>
              <w:left w:val="nil"/>
              <w:bottom w:val="single" w:sz="4" w:space="0" w:color="auto"/>
              <w:right w:val="single" w:sz="4" w:space="0" w:color="auto"/>
            </w:tcBorders>
            <w:shd w:val="clear" w:color="000000" w:fill="BFBFBF"/>
            <w:vAlign w:val="center"/>
            <w:hideMark/>
          </w:tcPr>
          <w:p w:rsidR="008921BF" w:rsidRPr="00CA49B7" w:rsidRDefault="008921BF" w:rsidP="00031B92">
            <w:pPr>
              <w:spacing w:after="0" w:line="240" w:lineRule="auto"/>
              <w:jc w:val="center"/>
              <w:rPr>
                <w:rFonts w:ascii="Calibri" w:eastAsia="Times New Roman" w:hAnsi="Calibri" w:cs="Times New Roman"/>
                <w:b/>
                <w:bCs/>
                <w:color w:val="000000"/>
                <w:lang w:eastAsia="en-GB"/>
              </w:rPr>
            </w:pPr>
            <w:r w:rsidRPr="00CA49B7">
              <w:rPr>
                <w:rFonts w:ascii="Calibri" w:eastAsia="Times New Roman" w:hAnsi="Calibri" w:cs="Times New Roman"/>
                <w:b/>
                <w:bCs/>
                <w:color w:val="000000"/>
                <w:lang w:eastAsia="en-GB"/>
              </w:rPr>
              <w:t>2013/14</w:t>
            </w:r>
          </w:p>
        </w:tc>
      </w:tr>
      <w:tr w:rsidR="008921BF" w:rsidRPr="00CA49B7" w:rsidTr="00031B92">
        <w:trPr>
          <w:trHeight w:val="686"/>
        </w:trPr>
        <w:tc>
          <w:tcPr>
            <w:tcW w:w="1985" w:type="dxa"/>
            <w:vMerge/>
            <w:tcBorders>
              <w:left w:val="single" w:sz="4" w:space="0" w:color="auto"/>
              <w:bottom w:val="single" w:sz="4" w:space="0" w:color="auto"/>
              <w:right w:val="single" w:sz="4" w:space="0" w:color="auto"/>
            </w:tcBorders>
            <w:shd w:val="clear" w:color="000000" w:fill="BFBFBF"/>
            <w:vAlign w:val="center"/>
            <w:hideMark/>
          </w:tcPr>
          <w:p w:rsidR="008921BF" w:rsidRPr="00CA49B7" w:rsidRDefault="008921BF" w:rsidP="00031B92">
            <w:pPr>
              <w:spacing w:after="0" w:line="240" w:lineRule="auto"/>
              <w:jc w:val="center"/>
              <w:rPr>
                <w:rFonts w:ascii="Calibri" w:eastAsia="Times New Roman" w:hAnsi="Calibri" w:cs="Times New Roman"/>
                <w:b/>
                <w:bCs/>
                <w:color w:val="000000"/>
                <w:lang w:eastAsia="en-GB"/>
              </w:rPr>
            </w:pPr>
          </w:p>
        </w:tc>
        <w:tc>
          <w:tcPr>
            <w:tcW w:w="851" w:type="dxa"/>
            <w:tcBorders>
              <w:top w:val="nil"/>
              <w:left w:val="nil"/>
              <w:bottom w:val="single" w:sz="4" w:space="0" w:color="auto"/>
              <w:right w:val="single" w:sz="4" w:space="0" w:color="auto"/>
            </w:tcBorders>
            <w:shd w:val="clear" w:color="000000" w:fill="BFBFBF"/>
            <w:vAlign w:val="center"/>
            <w:hideMark/>
          </w:tcPr>
          <w:p w:rsidR="008921BF" w:rsidRPr="00CA49B7" w:rsidRDefault="008921BF" w:rsidP="00031B92">
            <w:pPr>
              <w:spacing w:after="0" w:line="240" w:lineRule="auto"/>
              <w:jc w:val="center"/>
              <w:rPr>
                <w:rFonts w:ascii="Calibri" w:eastAsia="Times New Roman" w:hAnsi="Calibri" w:cs="Times New Roman"/>
                <w:b/>
                <w:bCs/>
                <w:color w:val="000000"/>
                <w:lang w:eastAsia="en-GB"/>
              </w:rPr>
            </w:pPr>
            <w:r w:rsidRPr="00CA49B7">
              <w:rPr>
                <w:rFonts w:ascii="Calibri" w:eastAsia="Times New Roman" w:hAnsi="Calibri" w:cs="Times New Roman"/>
                <w:b/>
                <w:bCs/>
                <w:color w:val="000000"/>
                <w:lang w:eastAsia="en-GB"/>
              </w:rPr>
              <w:t>No.</w:t>
            </w:r>
          </w:p>
        </w:tc>
        <w:tc>
          <w:tcPr>
            <w:tcW w:w="1559" w:type="dxa"/>
            <w:tcBorders>
              <w:top w:val="nil"/>
              <w:left w:val="nil"/>
              <w:bottom w:val="single" w:sz="4" w:space="0" w:color="auto"/>
              <w:right w:val="single" w:sz="4" w:space="0" w:color="auto"/>
            </w:tcBorders>
            <w:shd w:val="clear" w:color="000000" w:fill="BFBFBF"/>
            <w:vAlign w:val="center"/>
            <w:hideMark/>
          </w:tcPr>
          <w:p w:rsidR="008921BF" w:rsidRPr="00CA49B7" w:rsidRDefault="008921BF" w:rsidP="00031B92">
            <w:pPr>
              <w:spacing w:after="0" w:line="240" w:lineRule="auto"/>
              <w:jc w:val="center"/>
              <w:rPr>
                <w:rFonts w:ascii="Calibri" w:eastAsia="Times New Roman" w:hAnsi="Calibri" w:cs="Times New Roman"/>
                <w:b/>
                <w:bCs/>
                <w:color w:val="000000"/>
                <w:lang w:eastAsia="en-GB"/>
              </w:rPr>
            </w:pPr>
            <w:r w:rsidRPr="00CA49B7">
              <w:rPr>
                <w:rFonts w:ascii="Calibri" w:eastAsia="Times New Roman" w:hAnsi="Calibri" w:cs="Times New Roman"/>
                <w:b/>
                <w:bCs/>
                <w:color w:val="000000"/>
                <w:lang w:eastAsia="en-GB"/>
              </w:rPr>
              <w:t>% of Total Service Users</w:t>
            </w:r>
          </w:p>
        </w:tc>
        <w:tc>
          <w:tcPr>
            <w:tcW w:w="851" w:type="dxa"/>
            <w:tcBorders>
              <w:top w:val="nil"/>
              <w:left w:val="nil"/>
              <w:bottom w:val="single" w:sz="4" w:space="0" w:color="auto"/>
              <w:right w:val="single" w:sz="4" w:space="0" w:color="auto"/>
            </w:tcBorders>
            <w:shd w:val="clear" w:color="000000" w:fill="BFBFBF"/>
            <w:vAlign w:val="center"/>
            <w:hideMark/>
          </w:tcPr>
          <w:p w:rsidR="008921BF" w:rsidRPr="00CA49B7" w:rsidRDefault="008921BF" w:rsidP="00031B92">
            <w:pPr>
              <w:spacing w:after="0" w:line="240" w:lineRule="auto"/>
              <w:jc w:val="center"/>
              <w:rPr>
                <w:rFonts w:ascii="Calibri" w:eastAsia="Times New Roman" w:hAnsi="Calibri" w:cs="Times New Roman"/>
                <w:b/>
                <w:bCs/>
                <w:color w:val="000000"/>
                <w:lang w:eastAsia="en-GB"/>
              </w:rPr>
            </w:pPr>
            <w:r w:rsidRPr="00CA49B7">
              <w:rPr>
                <w:rFonts w:ascii="Calibri" w:eastAsia="Times New Roman" w:hAnsi="Calibri" w:cs="Times New Roman"/>
                <w:b/>
                <w:bCs/>
                <w:color w:val="000000"/>
                <w:lang w:eastAsia="en-GB"/>
              </w:rPr>
              <w:t>No.</w:t>
            </w:r>
          </w:p>
        </w:tc>
        <w:tc>
          <w:tcPr>
            <w:tcW w:w="1559" w:type="dxa"/>
            <w:tcBorders>
              <w:top w:val="nil"/>
              <w:left w:val="nil"/>
              <w:bottom w:val="single" w:sz="4" w:space="0" w:color="auto"/>
              <w:right w:val="single" w:sz="4" w:space="0" w:color="auto"/>
            </w:tcBorders>
            <w:shd w:val="clear" w:color="000000" w:fill="BFBFBF"/>
            <w:vAlign w:val="center"/>
            <w:hideMark/>
          </w:tcPr>
          <w:p w:rsidR="008921BF" w:rsidRPr="00CA49B7" w:rsidRDefault="008921BF" w:rsidP="00031B92">
            <w:pPr>
              <w:spacing w:after="0" w:line="240" w:lineRule="auto"/>
              <w:jc w:val="center"/>
              <w:rPr>
                <w:rFonts w:ascii="Calibri" w:eastAsia="Times New Roman" w:hAnsi="Calibri" w:cs="Times New Roman"/>
                <w:b/>
                <w:bCs/>
                <w:color w:val="000000"/>
                <w:lang w:eastAsia="en-GB"/>
              </w:rPr>
            </w:pPr>
            <w:r w:rsidRPr="00CA49B7">
              <w:rPr>
                <w:rFonts w:ascii="Calibri" w:eastAsia="Times New Roman" w:hAnsi="Calibri" w:cs="Times New Roman"/>
                <w:b/>
                <w:bCs/>
                <w:color w:val="000000"/>
                <w:lang w:eastAsia="en-GB"/>
              </w:rPr>
              <w:t>% of Total Service Users</w:t>
            </w:r>
          </w:p>
        </w:tc>
        <w:tc>
          <w:tcPr>
            <w:tcW w:w="1134" w:type="dxa"/>
            <w:tcBorders>
              <w:top w:val="nil"/>
              <w:left w:val="nil"/>
              <w:bottom w:val="single" w:sz="4" w:space="0" w:color="auto"/>
              <w:right w:val="single" w:sz="4" w:space="0" w:color="auto"/>
            </w:tcBorders>
            <w:shd w:val="clear" w:color="000000" w:fill="BFBFBF"/>
            <w:vAlign w:val="center"/>
            <w:hideMark/>
          </w:tcPr>
          <w:p w:rsidR="008921BF" w:rsidRPr="00CA49B7" w:rsidRDefault="008921BF" w:rsidP="00031B92">
            <w:pPr>
              <w:spacing w:after="0" w:line="240" w:lineRule="auto"/>
              <w:jc w:val="center"/>
              <w:rPr>
                <w:rFonts w:ascii="Calibri" w:eastAsia="Times New Roman" w:hAnsi="Calibri" w:cs="Times New Roman"/>
                <w:b/>
                <w:bCs/>
                <w:color w:val="000000"/>
                <w:lang w:eastAsia="en-GB"/>
              </w:rPr>
            </w:pPr>
            <w:r w:rsidRPr="00CA49B7">
              <w:rPr>
                <w:rFonts w:ascii="Calibri" w:eastAsia="Times New Roman" w:hAnsi="Calibri" w:cs="Times New Roman"/>
                <w:b/>
                <w:bCs/>
                <w:color w:val="000000"/>
                <w:lang w:eastAsia="en-GB"/>
              </w:rPr>
              <w:t>No.</w:t>
            </w:r>
          </w:p>
        </w:tc>
        <w:tc>
          <w:tcPr>
            <w:tcW w:w="1559" w:type="dxa"/>
            <w:tcBorders>
              <w:top w:val="nil"/>
              <w:left w:val="nil"/>
              <w:bottom w:val="single" w:sz="4" w:space="0" w:color="auto"/>
              <w:right w:val="single" w:sz="4" w:space="0" w:color="auto"/>
            </w:tcBorders>
            <w:shd w:val="clear" w:color="000000" w:fill="BFBFBF"/>
            <w:vAlign w:val="center"/>
            <w:hideMark/>
          </w:tcPr>
          <w:p w:rsidR="008921BF" w:rsidRPr="00CA49B7" w:rsidRDefault="008921BF" w:rsidP="00031B92">
            <w:pPr>
              <w:spacing w:after="0" w:line="240" w:lineRule="auto"/>
              <w:jc w:val="center"/>
              <w:rPr>
                <w:rFonts w:ascii="Calibri" w:eastAsia="Times New Roman" w:hAnsi="Calibri" w:cs="Times New Roman"/>
                <w:b/>
                <w:bCs/>
                <w:color w:val="000000"/>
                <w:lang w:eastAsia="en-GB"/>
              </w:rPr>
            </w:pPr>
            <w:r w:rsidRPr="00CA49B7">
              <w:rPr>
                <w:rFonts w:ascii="Calibri" w:eastAsia="Times New Roman" w:hAnsi="Calibri" w:cs="Times New Roman"/>
                <w:b/>
                <w:bCs/>
                <w:color w:val="000000"/>
                <w:lang w:eastAsia="en-GB"/>
              </w:rPr>
              <w:t>% of Total Service Users</w:t>
            </w:r>
          </w:p>
        </w:tc>
      </w:tr>
      <w:tr w:rsidR="008921BF" w:rsidRPr="00CA49B7" w:rsidTr="00031B92">
        <w:trPr>
          <w:trHeight w:val="300"/>
        </w:trPr>
        <w:tc>
          <w:tcPr>
            <w:tcW w:w="1985" w:type="dxa"/>
            <w:tcBorders>
              <w:top w:val="nil"/>
              <w:left w:val="single" w:sz="4" w:space="0" w:color="auto"/>
              <w:bottom w:val="single" w:sz="4" w:space="0" w:color="auto"/>
              <w:right w:val="single" w:sz="4" w:space="0" w:color="auto"/>
            </w:tcBorders>
            <w:shd w:val="clear" w:color="auto" w:fill="auto"/>
            <w:noWrap/>
            <w:vAlign w:val="center"/>
            <w:hideMark/>
          </w:tcPr>
          <w:p w:rsidR="008921BF" w:rsidRPr="00CA49B7" w:rsidRDefault="008921BF" w:rsidP="00031B92">
            <w:pPr>
              <w:spacing w:after="0" w:line="240" w:lineRule="auto"/>
              <w:jc w:val="center"/>
              <w:rPr>
                <w:rFonts w:ascii="Calibri" w:eastAsia="Times New Roman" w:hAnsi="Calibri" w:cs="Times New Roman"/>
                <w:color w:val="000000"/>
                <w:lang w:eastAsia="en-GB"/>
              </w:rPr>
            </w:pPr>
            <w:r w:rsidRPr="00CA49B7">
              <w:rPr>
                <w:rFonts w:ascii="Calibri" w:eastAsia="Times New Roman" w:hAnsi="Calibri" w:cs="Times New Roman"/>
                <w:color w:val="000000"/>
                <w:lang w:eastAsia="en-GB"/>
              </w:rPr>
              <w:t>Physical / Sensory Impairment (18-64)</w:t>
            </w:r>
          </w:p>
        </w:tc>
        <w:tc>
          <w:tcPr>
            <w:tcW w:w="851" w:type="dxa"/>
            <w:tcBorders>
              <w:top w:val="nil"/>
              <w:left w:val="nil"/>
              <w:bottom w:val="single" w:sz="4" w:space="0" w:color="auto"/>
              <w:right w:val="single" w:sz="4" w:space="0" w:color="auto"/>
            </w:tcBorders>
            <w:shd w:val="clear" w:color="auto" w:fill="auto"/>
            <w:noWrap/>
            <w:vAlign w:val="center"/>
            <w:hideMark/>
          </w:tcPr>
          <w:p w:rsidR="008921BF" w:rsidRPr="00CA49B7" w:rsidRDefault="008921BF" w:rsidP="00031B92">
            <w:pPr>
              <w:spacing w:after="0" w:line="240" w:lineRule="auto"/>
              <w:jc w:val="center"/>
              <w:rPr>
                <w:rFonts w:ascii="Calibri" w:eastAsia="Times New Roman" w:hAnsi="Calibri" w:cs="Times New Roman"/>
                <w:color w:val="000000"/>
                <w:lang w:eastAsia="en-GB"/>
              </w:rPr>
            </w:pPr>
            <w:r w:rsidRPr="00CA49B7">
              <w:rPr>
                <w:rFonts w:ascii="Calibri" w:eastAsia="Times New Roman" w:hAnsi="Calibri" w:cs="Times New Roman"/>
                <w:color w:val="000000"/>
                <w:lang w:eastAsia="en-GB"/>
              </w:rPr>
              <w:t>498</w:t>
            </w:r>
          </w:p>
        </w:tc>
        <w:tc>
          <w:tcPr>
            <w:tcW w:w="1559" w:type="dxa"/>
            <w:tcBorders>
              <w:top w:val="nil"/>
              <w:left w:val="nil"/>
              <w:bottom w:val="single" w:sz="4" w:space="0" w:color="auto"/>
              <w:right w:val="single" w:sz="4" w:space="0" w:color="auto"/>
            </w:tcBorders>
            <w:shd w:val="clear" w:color="auto" w:fill="auto"/>
            <w:noWrap/>
            <w:vAlign w:val="center"/>
            <w:hideMark/>
          </w:tcPr>
          <w:p w:rsidR="008921BF" w:rsidRPr="00CA49B7" w:rsidRDefault="008921BF" w:rsidP="00031B92">
            <w:pPr>
              <w:spacing w:after="0" w:line="240" w:lineRule="auto"/>
              <w:jc w:val="center"/>
              <w:rPr>
                <w:rFonts w:ascii="Calibri" w:eastAsia="Times New Roman" w:hAnsi="Calibri" w:cs="Times New Roman"/>
                <w:color w:val="000000"/>
                <w:lang w:eastAsia="en-GB"/>
              </w:rPr>
            </w:pPr>
            <w:r w:rsidRPr="00CA49B7">
              <w:rPr>
                <w:rFonts w:ascii="Calibri" w:eastAsia="Times New Roman" w:hAnsi="Calibri" w:cs="Times New Roman"/>
                <w:color w:val="000000"/>
                <w:lang w:eastAsia="en-GB"/>
              </w:rPr>
              <w:t>61.0%</w:t>
            </w:r>
          </w:p>
        </w:tc>
        <w:tc>
          <w:tcPr>
            <w:tcW w:w="851" w:type="dxa"/>
            <w:tcBorders>
              <w:top w:val="nil"/>
              <w:left w:val="nil"/>
              <w:bottom w:val="single" w:sz="4" w:space="0" w:color="auto"/>
              <w:right w:val="single" w:sz="4" w:space="0" w:color="auto"/>
            </w:tcBorders>
            <w:shd w:val="clear" w:color="auto" w:fill="auto"/>
            <w:vAlign w:val="center"/>
            <w:hideMark/>
          </w:tcPr>
          <w:p w:rsidR="008921BF" w:rsidRPr="00CA49B7" w:rsidRDefault="008921BF" w:rsidP="00031B92">
            <w:pPr>
              <w:spacing w:after="0" w:line="240" w:lineRule="auto"/>
              <w:jc w:val="center"/>
              <w:rPr>
                <w:rFonts w:ascii="Calibri" w:eastAsia="Times New Roman" w:hAnsi="Calibri" w:cs="Times New Roman"/>
                <w:color w:val="000000"/>
                <w:lang w:eastAsia="en-GB"/>
              </w:rPr>
            </w:pPr>
            <w:r w:rsidRPr="00CA49B7">
              <w:rPr>
                <w:rFonts w:ascii="Calibri" w:eastAsia="Times New Roman" w:hAnsi="Calibri" w:cs="Times New Roman"/>
                <w:color w:val="000000"/>
                <w:lang w:eastAsia="en-GB"/>
              </w:rPr>
              <w:t>497</w:t>
            </w:r>
          </w:p>
        </w:tc>
        <w:tc>
          <w:tcPr>
            <w:tcW w:w="1559" w:type="dxa"/>
            <w:tcBorders>
              <w:top w:val="nil"/>
              <w:left w:val="nil"/>
              <w:bottom w:val="single" w:sz="4" w:space="0" w:color="auto"/>
              <w:right w:val="single" w:sz="4" w:space="0" w:color="auto"/>
            </w:tcBorders>
            <w:shd w:val="clear" w:color="auto" w:fill="auto"/>
            <w:noWrap/>
            <w:vAlign w:val="center"/>
            <w:hideMark/>
          </w:tcPr>
          <w:p w:rsidR="008921BF" w:rsidRPr="00CA49B7" w:rsidRDefault="008921BF" w:rsidP="00031B92">
            <w:pPr>
              <w:spacing w:after="0" w:line="240" w:lineRule="auto"/>
              <w:jc w:val="center"/>
              <w:rPr>
                <w:rFonts w:ascii="Calibri" w:eastAsia="Times New Roman" w:hAnsi="Calibri" w:cs="Times New Roman"/>
                <w:color w:val="000000"/>
                <w:lang w:eastAsia="en-GB"/>
              </w:rPr>
            </w:pPr>
            <w:r w:rsidRPr="00CA49B7">
              <w:rPr>
                <w:rFonts w:ascii="Calibri" w:eastAsia="Times New Roman" w:hAnsi="Calibri" w:cs="Times New Roman"/>
                <w:color w:val="000000"/>
                <w:lang w:eastAsia="en-GB"/>
              </w:rPr>
              <w:t>62.6%</w:t>
            </w:r>
          </w:p>
        </w:tc>
        <w:tc>
          <w:tcPr>
            <w:tcW w:w="1134" w:type="dxa"/>
            <w:tcBorders>
              <w:top w:val="nil"/>
              <w:left w:val="nil"/>
              <w:bottom w:val="single" w:sz="4" w:space="0" w:color="auto"/>
              <w:right w:val="single" w:sz="4" w:space="0" w:color="auto"/>
            </w:tcBorders>
            <w:shd w:val="clear" w:color="auto" w:fill="auto"/>
            <w:vAlign w:val="center"/>
            <w:hideMark/>
          </w:tcPr>
          <w:p w:rsidR="008921BF" w:rsidRPr="00CA49B7" w:rsidRDefault="008921BF" w:rsidP="00031B92">
            <w:pPr>
              <w:spacing w:after="0" w:line="240" w:lineRule="auto"/>
              <w:jc w:val="center"/>
              <w:rPr>
                <w:rFonts w:ascii="Calibri" w:eastAsia="Times New Roman" w:hAnsi="Calibri" w:cs="Times New Roman"/>
                <w:color w:val="000000"/>
                <w:lang w:eastAsia="en-GB"/>
              </w:rPr>
            </w:pPr>
            <w:r w:rsidRPr="00CA49B7">
              <w:rPr>
                <w:rFonts w:ascii="Calibri" w:eastAsia="Times New Roman" w:hAnsi="Calibri" w:cs="Times New Roman"/>
                <w:color w:val="000000"/>
                <w:lang w:eastAsia="en-GB"/>
              </w:rPr>
              <w:t>500</w:t>
            </w:r>
          </w:p>
        </w:tc>
        <w:tc>
          <w:tcPr>
            <w:tcW w:w="1559" w:type="dxa"/>
            <w:tcBorders>
              <w:top w:val="nil"/>
              <w:left w:val="nil"/>
              <w:bottom w:val="single" w:sz="4" w:space="0" w:color="auto"/>
              <w:right w:val="single" w:sz="4" w:space="0" w:color="auto"/>
            </w:tcBorders>
            <w:shd w:val="clear" w:color="auto" w:fill="auto"/>
            <w:noWrap/>
            <w:vAlign w:val="center"/>
            <w:hideMark/>
          </w:tcPr>
          <w:p w:rsidR="008921BF" w:rsidRPr="00CA49B7" w:rsidRDefault="008921BF" w:rsidP="00031B92">
            <w:pPr>
              <w:spacing w:after="0" w:line="240" w:lineRule="auto"/>
              <w:jc w:val="center"/>
              <w:rPr>
                <w:rFonts w:ascii="Calibri" w:eastAsia="Times New Roman" w:hAnsi="Calibri" w:cs="Times New Roman"/>
                <w:color w:val="000000"/>
                <w:lang w:eastAsia="en-GB"/>
              </w:rPr>
            </w:pPr>
            <w:r w:rsidRPr="00CA49B7">
              <w:rPr>
                <w:rFonts w:ascii="Calibri" w:eastAsia="Times New Roman" w:hAnsi="Calibri" w:cs="Times New Roman"/>
                <w:color w:val="000000"/>
                <w:lang w:eastAsia="en-GB"/>
              </w:rPr>
              <w:t>65.8%</w:t>
            </w:r>
          </w:p>
        </w:tc>
      </w:tr>
      <w:tr w:rsidR="008921BF" w:rsidRPr="00CA49B7" w:rsidTr="00031B92">
        <w:trPr>
          <w:trHeight w:val="300"/>
        </w:trPr>
        <w:tc>
          <w:tcPr>
            <w:tcW w:w="1985" w:type="dxa"/>
            <w:tcBorders>
              <w:top w:val="nil"/>
              <w:left w:val="single" w:sz="4" w:space="0" w:color="auto"/>
              <w:bottom w:val="single" w:sz="4" w:space="0" w:color="auto"/>
              <w:right w:val="single" w:sz="4" w:space="0" w:color="auto"/>
            </w:tcBorders>
            <w:shd w:val="clear" w:color="auto" w:fill="auto"/>
            <w:noWrap/>
            <w:vAlign w:val="center"/>
            <w:hideMark/>
          </w:tcPr>
          <w:p w:rsidR="008921BF" w:rsidRPr="00CA49B7" w:rsidRDefault="008921BF" w:rsidP="00031B92">
            <w:pPr>
              <w:spacing w:after="0" w:line="240" w:lineRule="auto"/>
              <w:jc w:val="center"/>
              <w:rPr>
                <w:rFonts w:ascii="Calibri" w:eastAsia="Times New Roman" w:hAnsi="Calibri" w:cs="Times New Roman"/>
                <w:color w:val="000000"/>
                <w:lang w:eastAsia="en-GB"/>
              </w:rPr>
            </w:pPr>
            <w:r w:rsidRPr="00CA49B7">
              <w:rPr>
                <w:rFonts w:ascii="Calibri" w:eastAsia="Times New Roman" w:hAnsi="Calibri" w:cs="Times New Roman"/>
                <w:color w:val="000000"/>
                <w:lang w:eastAsia="en-GB"/>
              </w:rPr>
              <w:t>Learning Disability (18-64)</w:t>
            </w:r>
          </w:p>
        </w:tc>
        <w:tc>
          <w:tcPr>
            <w:tcW w:w="851" w:type="dxa"/>
            <w:tcBorders>
              <w:top w:val="nil"/>
              <w:left w:val="nil"/>
              <w:bottom w:val="single" w:sz="4" w:space="0" w:color="auto"/>
              <w:right w:val="single" w:sz="4" w:space="0" w:color="auto"/>
            </w:tcBorders>
            <w:shd w:val="clear" w:color="auto" w:fill="auto"/>
            <w:noWrap/>
            <w:vAlign w:val="center"/>
            <w:hideMark/>
          </w:tcPr>
          <w:p w:rsidR="008921BF" w:rsidRPr="00CA49B7" w:rsidRDefault="008921BF" w:rsidP="00031B92">
            <w:pPr>
              <w:spacing w:after="0" w:line="240" w:lineRule="auto"/>
              <w:jc w:val="center"/>
              <w:rPr>
                <w:rFonts w:ascii="Calibri" w:eastAsia="Times New Roman" w:hAnsi="Calibri" w:cs="Times New Roman"/>
                <w:color w:val="000000"/>
                <w:lang w:eastAsia="en-GB"/>
              </w:rPr>
            </w:pPr>
            <w:r w:rsidRPr="00CA49B7">
              <w:rPr>
                <w:rFonts w:ascii="Calibri" w:eastAsia="Times New Roman" w:hAnsi="Calibri" w:cs="Times New Roman"/>
                <w:color w:val="000000"/>
                <w:lang w:eastAsia="en-GB"/>
              </w:rPr>
              <w:t>467</w:t>
            </w:r>
          </w:p>
        </w:tc>
        <w:tc>
          <w:tcPr>
            <w:tcW w:w="1559" w:type="dxa"/>
            <w:tcBorders>
              <w:top w:val="nil"/>
              <w:left w:val="nil"/>
              <w:bottom w:val="single" w:sz="4" w:space="0" w:color="auto"/>
              <w:right w:val="single" w:sz="4" w:space="0" w:color="auto"/>
            </w:tcBorders>
            <w:shd w:val="clear" w:color="auto" w:fill="auto"/>
            <w:noWrap/>
            <w:vAlign w:val="center"/>
            <w:hideMark/>
          </w:tcPr>
          <w:p w:rsidR="008921BF" w:rsidRPr="00CA49B7" w:rsidRDefault="008921BF" w:rsidP="00031B92">
            <w:pPr>
              <w:spacing w:after="0" w:line="240" w:lineRule="auto"/>
              <w:jc w:val="center"/>
              <w:rPr>
                <w:rFonts w:ascii="Calibri" w:eastAsia="Times New Roman" w:hAnsi="Calibri" w:cs="Times New Roman"/>
                <w:color w:val="000000"/>
                <w:lang w:eastAsia="en-GB"/>
              </w:rPr>
            </w:pPr>
            <w:r w:rsidRPr="00CA49B7">
              <w:rPr>
                <w:rFonts w:ascii="Calibri" w:eastAsia="Times New Roman" w:hAnsi="Calibri" w:cs="Times New Roman"/>
                <w:color w:val="000000"/>
                <w:lang w:eastAsia="en-GB"/>
              </w:rPr>
              <w:t>61.6%</w:t>
            </w:r>
          </w:p>
        </w:tc>
        <w:tc>
          <w:tcPr>
            <w:tcW w:w="851" w:type="dxa"/>
            <w:tcBorders>
              <w:top w:val="nil"/>
              <w:left w:val="nil"/>
              <w:bottom w:val="single" w:sz="4" w:space="0" w:color="auto"/>
              <w:right w:val="single" w:sz="4" w:space="0" w:color="auto"/>
            </w:tcBorders>
            <w:shd w:val="clear" w:color="auto" w:fill="auto"/>
            <w:vAlign w:val="center"/>
            <w:hideMark/>
          </w:tcPr>
          <w:p w:rsidR="008921BF" w:rsidRPr="00CA49B7" w:rsidRDefault="008921BF" w:rsidP="00031B92">
            <w:pPr>
              <w:spacing w:after="0" w:line="240" w:lineRule="auto"/>
              <w:jc w:val="center"/>
              <w:rPr>
                <w:rFonts w:ascii="Calibri" w:eastAsia="Times New Roman" w:hAnsi="Calibri" w:cs="Times New Roman"/>
                <w:color w:val="000000"/>
                <w:lang w:eastAsia="en-GB"/>
              </w:rPr>
            </w:pPr>
            <w:r w:rsidRPr="00CA49B7">
              <w:rPr>
                <w:rFonts w:ascii="Calibri" w:eastAsia="Times New Roman" w:hAnsi="Calibri" w:cs="Times New Roman"/>
                <w:color w:val="000000"/>
                <w:lang w:eastAsia="en-GB"/>
              </w:rPr>
              <w:t>509</w:t>
            </w:r>
          </w:p>
        </w:tc>
        <w:tc>
          <w:tcPr>
            <w:tcW w:w="1559" w:type="dxa"/>
            <w:tcBorders>
              <w:top w:val="nil"/>
              <w:left w:val="nil"/>
              <w:bottom w:val="single" w:sz="4" w:space="0" w:color="auto"/>
              <w:right w:val="single" w:sz="4" w:space="0" w:color="auto"/>
            </w:tcBorders>
            <w:shd w:val="clear" w:color="auto" w:fill="auto"/>
            <w:noWrap/>
            <w:vAlign w:val="center"/>
            <w:hideMark/>
          </w:tcPr>
          <w:p w:rsidR="008921BF" w:rsidRPr="00CA49B7" w:rsidRDefault="008921BF" w:rsidP="00031B92">
            <w:pPr>
              <w:spacing w:after="0" w:line="240" w:lineRule="auto"/>
              <w:jc w:val="center"/>
              <w:rPr>
                <w:rFonts w:ascii="Calibri" w:eastAsia="Times New Roman" w:hAnsi="Calibri" w:cs="Times New Roman"/>
                <w:color w:val="000000"/>
                <w:lang w:eastAsia="en-GB"/>
              </w:rPr>
            </w:pPr>
            <w:r w:rsidRPr="00CA49B7">
              <w:rPr>
                <w:rFonts w:ascii="Calibri" w:eastAsia="Times New Roman" w:hAnsi="Calibri" w:cs="Times New Roman"/>
                <w:color w:val="000000"/>
                <w:lang w:eastAsia="en-GB"/>
              </w:rPr>
              <w:t>67.7%</w:t>
            </w:r>
          </w:p>
        </w:tc>
        <w:tc>
          <w:tcPr>
            <w:tcW w:w="1134" w:type="dxa"/>
            <w:tcBorders>
              <w:top w:val="nil"/>
              <w:left w:val="nil"/>
              <w:bottom w:val="single" w:sz="4" w:space="0" w:color="auto"/>
              <w:right w:val="single" w:sz="4" w:space="0" w:color="auto"/>
            </w:tcBorders>
            <w:shd w:val="clear" w:color="auto" w:fill="auto"/>
            <w:vAlign w:val="center"/>
            <w:hideMark/>
          </w:tcPr>
          <w:p w:rsidR="008921BF" w:rsidRPr="00CA49B7" w:rsidRDefault="008921BF" w:rsidP="00031B92">
            <w:pPr>
              <w:spacing w:after="0" w:line="240" w:lineRule="auto"/>
              <w:jc w:val="center"/>
              <w:rPr>
                <w:rFonts w:ascii="Calibri" w:eastAsia="Times New Roman" w:hAnsi="Calibri" w:cs="Times New Roman"/>
                <w:color w:val="000000"/>
                <w:lang w:eastAsia="en-GB"/>
              </w:rPr>
            </w:pPr>
            <w:r w:rsidRPr="00CA49B7">
              <w:rPr>
                <w:rFonts w:ascii="Calibri" w:eastAsia="Times New Roman" w:hAnsi="Calibri" w:cs="Times New Roman"/>
                <w:color w:val="000000"/>
                <w:lang w:eastAsia="en-GB"/>
              </w:rPr>
              <w:t>552</w:t>
            </w:r>
          </w:p>
        </w:tc>
        <w:tc>
          <w:tcPr>
            <w:tcW w:w="1559" w:type="dxa"/>
            <w:tcBorders>
              <w:top w:val="nil"/>
              <w:left w:val="nil"/>
              <w:bottom w:val="single" w:sz="4" w:space="0" w:color="auto"/>
              <w:right w:val="single" w:sz="4" w:space="0" w:color="auto"/>
            </w:tcBorders>
            <w:shd w:val="clear" w:color="auto" w:fill="auto"/>
            <w:noWrap/>
            <w:vAlign w:val="center"/>
            <w:hideMark/>
          </w:tcPr>
          <w:p w:rsidR="008921BF" w:rsidRPr="00CA49B7" w:rsidRDefault="008921BF" w:rsidP="00031B92">
            <w:pPr>
              <w:spacing w:after="0" w:line="240" w:lineRule="auto"/>
              <w:jc w:val="center"/>
              <w:rPr>
                <w:rFonts w:ascii="Calibri" w:eastAsia="Times New Roman" w:hAnsi="Calibri" w:cs="Times New Roman"/>
                <w:color w:val="000000"/>
                <w:lang w:eastAsia="en-GB"/>
              </w:rPr>
            </w:pPr>
            <w:r w:rsidRPr="00CA49B7">
              <w:rPr>
                <w:rFonts w:ascii="Calibri" w:eastAsia="Times New Roman" w:hAnsi="Calibri" w:cs="Times New Roman"/>
                <w:color w:val="000000"/>
                <w:lang w:eastAsia="en-GB"/>
              </w:rPr>
              <w:t>72.2%</w:t>
            </w:r>
          </w:p>
        </w:tc>
      </w:tr>
      <w:tr w:rsidR="008921BF" w:rsidRPr="00CA49B7" w:rsidTr="00031B92">
        <w:trPr>
          <w:trHeight w:val="300"/>
        </w:trPr>
        <w:tc>
          <w:tcPr>
            <w:tcW w:w="1985" w:type="dxa"/>
            <w:tcBorders>
              <w:top w:val="nil"/>
              <w:left w:val="single" w:sz="4" w:space="0" w:color="auto"/>
              <w:bottom w:val="single" w:sz="4" w:space="0" w:color="auto"/>
              <w:right w:val="single" w:sz="4" w:space="0" w:color="auto"/>
            </w:tcBorders>
            <w:shd w:val="clear" w:color="auto" w:fill="auto"/>
            <w:noWrap/>
            <w:vAlign w:val="center"/>
            <w:hideMark/>
          </w:tcPr>
          <w:p w:rsidR="008921BF" w:rsidRPr="00CA49B7" w:rsidRDefault="008921BF" w:rsidP="00031B92">
            <w:pPr>
              <w:spacing w:after="0" w:line="240" w:lineRule="auto"/>
              <w:jc w:val="center"/>
              <w:rPr>
                <w:rFonts w:ascii="Calibri" w:eastAsia="Times New Roman" w:hAnsi="Calibri" w:cs="Times New Roman"/>
                <w:color w:val="000000"/>
                <w:lang w:eastAsia="en-GB"/>
              </w:rPr>
            </w:pPr>
            <w:r w:rsidRPr="00CA49B7">
              <w:rPr>
                <w:rFonts w:ascii="Calibri" w:eastAsia="Times New Roman" w:hAnsi="Calibri" w:cs="Times New Roman"/>
                <w:color w:val="000000"/>
                <w:lang w:eastAsia="en-GB"/>
              </w:rPr>
              <w:t>Mental Health (18-64)</w:t>
            </w:r>
          </w:p>
        </w:tc>
        <w:tc>
          <w:tcPr>
            <w:tcW w:w="851" w:type="dxa"/>
            <w:tcBorders>
              <w:top w:val="nil"/>
              <w:left w:val="nil"/>
              <w:bottom w:val="single" w:sz="4" w:space="0" w:color="auto"/>
              <w:right w:val="single" w:sz="4" w:space="0" w:color="auto"/>
            </w:tcBorders>
            <w:shd w:val="clear" w:color="auto" w:fill="auto"/>
            <w:noWrap/>
            <w:vAlign w:val="center"/>
            <w:hideMark/>
          </w:tcPr>
          <w:p w:rsidR="008921BF" w:rsidRPr="00CA49B7" w:rsidRDefault="008921BF" w:rsidP="00031B92">
            <w:pPr>
              <w:spacing w:after="0" w:line="240" w:lineRule="auto"/>
              <w:jc w:val="center"/>
              <w:rPr>
                <w:rFonts w:ascii="Calibri" w:eastAsia="Times New Roman" w:hAnsi="Calibri" w:cs="Times New Roman"/>
                <w:color w:val="000000"/>
                <w:lang w:eastAsia="en-GB"/>
              </w:rPr>
            </w:pPr>
            <w:r w:rsidRPr="00CA49B7">
              <w:rPr>
                <w:rFonts w:ascii="Calibri" w:eastAsia="Times New Roman" w:hAnsi="Calibri" w:cs="Times New Roman"/>
                <w:color w:val="000000"/>
                <w:lang w:eastAsia="en-GB"/>
              </w:rPr>
              <w:t>593</w:t>
            </w:r>
          </w:p>
        </w:tc>
        <w:tc>
          <w:tcPr>
            <w:tcW w:w="1559" w:type="dxa"/>
            <w:tcBorders>
              <w:top w:val="nil"/>
              <w:left w:val="nil"/>
              <w:bottom w:val="single" w:sz="4" w:space="0" w:color="auto"/>
              <w:right w:val="single" w:sz="4" w:space="0" w:color="auto"/>
            </w:tcBorders>
            <w:shd w:val="clear" w:color="auto" w:fill="auto"/>
            <w:noWrap/>
            <w:vAlign w:val="center"/>
            <w:hideMark/>
          </w:tcPr>
          <w:p w:rsidR="008921BF" w:rsidRPr="00CA49B7" w:rsidRDefault="008921BF" w:rsidP="00031B92">
            <w:pPr>
              <w:spacing w:after="0" w:line="240" w:lineRule="auto"/>
              <w:jc w:val="center"/>
              <w:rPr>
                <w:rFonts w:ascii="Calibri" w:eastAsia="Times New Roman" w:hAnsi="Calibri" w:cs="Times New Roman"/>
                <w:color w:val="000000"/>
                <w:lang w:eastAsia="en-GB"/>
              </w:rPr>
            </w:pPr>
            <w:r w:rsidRPr="00CA49B7">
              <w:rPr>
                <w:rFonts w:ascii="Calibri" w:eastAsia="Times New Roman" w:hAnsi="Calibri" w:cs="Times New Roman"/>
                <w:color w:val="000000"/>
                <w:lang w:eastAsia="en-GB"/>
              </w:rPr>
              <w:t>56.0%</w:t>
            </w:r>
          </w:p>
        </w:tc>
        <w:tc>
          <w:tcPr>
            <w:tcW w:w="851" w:type="dxa"/>
            <w:tcBorders>
              <w:top w:val="nil"/>
              <w:left w:val="nil"/>
              <w:bottom w:val="single" w:sz="4" w:space="0" w:color="auto"/>
              <w:right w:val="single" w:sz="4" w:space="0" w:color="auto"/>
            </w:tcBorders>
            <w:shd w:val="clear" w:color="auto" w:fill="auto"/>
            <w:vAlign w:val="center"/>
            <w:hideMark/>
          </w:tcPr>
          <w:p w:rsidR="008921BF" w:rsidRPr="00CA49B7" w:rsidRDefault="008921BF" w:rsidP="00031B92">
            <w:pPr>
              <w:spacing w:after="0" w:line="240" w:lineRule="auto"/>
              <w:jc w:val="center"/>
              <w:rPr>
                <w:rFonts w:ascii="Calibri" w:eastAsia="Times New Roman" w:hAnsi="Calibri" w:cs="Times New Roman"/>
                <w:color w:val="000000"/>
                <w:lang w:eastAsia="en-GB"/>
              </w:rPr>
            </w:pPr>
            <w:r w:rsidRPr="00CA49B7">
              <w:rPr>
                <w:rFonts w:ascii="Calibri" w:eastAsia="Times New Roman" w:hAnsi="Calibri" w:cs="Times New Roman"/>
                <w:color w:val="000000"/>
                <w:lang w:eastAsia="en-GB"/>
              </w:rPr>
              <w:t>631</w:t>
            </w:r>
          </w:p>
        </w:tc>
        <w:tc>
          <w:tcPr>
            <w:tcW w:w="1559" w:type="dxa"/>
            <w:tcBorders>
              <w:top w:val="nil"/>
              <w:left w:val="nil"/>
              <w:bottom w:val="single" w:sz="4" w:space="0" w:color="auto"/>
              <w:right w:val="single" w:sz="4" w:space="0" w:color="auto"/>
            </w:tcBorders>
            <w:shd w:val="clear" w:color="auto" w:fill="auto"/>
            <w:noWrap/>
            <w:vAlign w:val="center"/>
            <w:hideMark/>
          </w:tcPr>
          <w:p w:rsidR="008921BF" w:rsidRPr="00CA49B7" w:rsidRDefault="008921BF" w:rsidP="00031B92">
            <w:pPr>
              <w:spacing w:after="0" w:line="240" w:lineRule="auto"/>
              <w:jc w:val="center"/>
              <w:rPr>
                <w:rFonts w:ascii="Calibri" w:eastAsia="Times New Roman" w:hAnsi="Calibri" w:cs="Times New Roman"/>
                <w:color w:val="000000"/>
                <w:lang w:eastAsia="en-GB"/>
              </w:rPr>
            </w:pPr>
            <w:r w:rsidRPr="00CA49B7">
              <w:rPr>
                <w:rFonts w:ascii="Calibri" w:eastAsia="Times New Roman" w:hAnsi="Calibri" w:cs="Times New Roman"/>
                <w:color w:val="000000"/>
                <w:lang w:eastAsia="en-GB"/>
              </w:rPr>
              <w:t>53.8%</w:t>
            </w:r>
          </w:p>
        </w:tc>
        <w:tc>
          <w:tcPr>
            <w:tcW w:w="1134" w:type="dxa"/>
            <w:tcBorders>
              <w:top w:val="nil"/>
              <w:left w:val="nil"/>
              <w:bottom w:val="single" w:sz="4" w:space="0" w:color="auto"/>
              <w:right w:val="single" w:sz="4" w:space="0" w:color="auto"/>
            </w:tcBorders>
            <w:shd w:val="clear" w:color="auto" w:fill="auto"/>
            <w:vAlign w:val="center"/>
            <w:hideMark/>
          </w:tcPr>
          <w:p w:rsidR="008921BF" w:rsidRPr="00CA49B7" w:rsidRDefault="008921BF" w:rsidP="00031B92">
            <w:pPr>
              <w:spacing w:after="0" w:line="240" w:lineRule="auto"/>
              <w:jc w:val="center"/>
              <w:rPr>
                <w:rFonts w:ascii="Calibri" w:eastAsia="Times New Roman" w:hAnsi="Calibri" w:cs="Times New Roman"/>
                <w:color w:val="000000"/>
                <w:lang w:eastAsia="en-GB"/>
              </w:rPr>
            </w:pPr>
            <w:r w:rsidRPr="00CA49B7">
              <w:rPr>
                <w:rFonts w:ascii="Calibri" w:eastAsia="Times New Roman" w:hAnsi="Calibri" w:cs="Times New Roman"/>
                <w:color w:val="000000"/>
                <w:lang w:eastAsia="en-GB"/>
              </w:rPr>
              <w:t>638</w:t>
            </w:r>
          </w:p>
        </w:tc>
        <w:tc>
          <w:tcPr>
            <w:tcW w:w="1559" w:type="dxa"/>
            <w:tcBorders>
              <w:top w:val="nil"/>
              <w:left w:val="nil"/>
              <w:bottom w:val="single" w:sz="4" w:space="0" w:color="auto"/>
              <w:right w:val="single" w:sz="4" w:space="0" w:color="auto"/>
            </w:tcBorders>
            <w:shd w:val="clear" w:color="auto" w:fill="auto"/>
            <w:noWrap/>
            <w:vAlign w:val="center"/>
            <w:hideMark/>
          </w:tcPr>
          <w:p w:rsidR="008921BF" w:rsidRPr="00CA49B7" w:rsidRDefault="008921BF" w:rsidP="00031B92">
            <w:pPr>
              <w:spacing w:after="0" w:line="240" w:lineRule="auto"/>
              <w:jc w:val="center"/>
              <w:rPr>
                <w:rFonts w:ascii="Calibri" w:eastAsia="Times New Roman" w:hAnsi="Calibri" w:cs="Times New Roman"/>
                <w:color w:val="000000"/>
                <w:lang w:eastAsia="en-GB"/>
              </w:rPr>
            </w:pPr>
            <w:r w:rsidRPr="00CA49B7">
              <w:rPr>
                <w:rFonts w:ascii="Calibri" w:eastAsia="Times New Roman" w:hAnsi="Calibri" w:cs="Times New Roman"/>
                <w:color w:val="000000"/>
                <w:lang w:eastAsia="en-GB"/>
              </w:rPr>
              <w:t>56.6%</w:t>
            </w:r>
          </w:p>
        </w:tc>
      </w:tr>
      <w:tr w:rsidR="008921BF" w:rsidRPr="00CA49B7" w:rsidTr="00031B92">
        <w:trPr>
          <w:trHeight w:val="300"/>
        </w:trPr>
        <w:tc>
          <w:tcPr>
            <w:tcW w:w="1985" w:type="dxa"/>
            <w:tcBorders>
              <w:top w:val="nil"/>
              <w:left w:val="single" w:sz="4" w:space="0" w:color="auto"/>
              <w:bottom w:val="single" w:sz="4" w:space="0" w:color="auto"/>
              <w:right w:val="single" w:sz="4" w:space="0" w:color="auto"/>
            </w:tcBorders>
            <w:shd w:val="clear" w:color="auto" w:fill="auto"/>
            <w:noWrap/>
            <w:vAlign w:val="center"/>
            <w:hideMark/>
          </w:tcPr>
          <w:p w:rsidR="008921BF" w:rsidRPr="00CA49B7" w:rsidRDefault="008921BF" w:rsidP="00031B92">
            <w:pPr>
              <w:spacing w:after="0" w:line="240" w:lineRule="auto"/>
              <w:jc w:val="center"/>
              <w:rPr>
                <w:rFonts w:ascii="Calibri" w:eastAsia="Times New Roman" w:hAnsi="Calibri" w:cs="Times New Roman"/>
                <w:color w:val="000000"/>
                <w:lang w:eastAsia="en-GB"/>
              </w:rPr>
            </w:pPr>
            <w:r w:rsidRPr="00CA49B7">
              <w:rPr>
                <w:rFonts w:ascii="Calibri" w:eastAsia="Times New Roman" w:hAnsi="Calibri" w:cs="Times New Roman"/>
                <w:color w:val="000000"/>
                <w:lang w:eastAsia="en-GB"/>
              </w:rPr>
              <w:t>Other (18-64)</w:t>
            </w:r>
          </w:p>
        </w:tc>
        <w:tc>
          <w:tcPr>
            <w:tcW w:w="851" w:type="dxa"/>
            <w:tcBorders>
              <w:top w:val="nil"/>
              <w:left w:val="nil"/>
              <w:bottom w:val="single" w:sz="4" w:space="0" w:color="auto"/>
              <w:right w:val="single" w:sz="4" w:space="0" w:color="auto"/>
            </w:tcBorders>
            <w:shd w:val="clear" w:color="auto" w:fill="auto"/>
            <w:noWrap/>
            <w:vAlign w:val="center"/>
            <w:hideMark/>
          </w:tcPr>
          <w:p w:rsidR="008921BF" w:rsidRPr="00CA49B7" w:rsidRDefault="008921BF" w:rsidP="00031B92">
            <w:pPr>
              <w:spacing w:after="0" w:line="240" w:lineRule="auto"/>
              <w:jc w:val="center"/>
              <w:rPr>
                <w:rFonts w:ascii="Calibri" w:eastAsia="Times New Roman" w:hAnsi="Calibri" w:cs="Times New Roman"/>
                <w:color w:val="000000"/>
                <w:lang w:eastAsia="en-GB"/>
              </w:rPr>
            </w:pPr>
            <w:r w:rsidRPr="00CA49B7">
              <w:rPr>
                <w:rFonts w:ascii="Calibri" w:eastAsia="Times New Roman" w:hAnsi="Calibri" w:cs="Times New Roman"/>
                <w:color w:val="000000"/>
                <w:lang w:eastAsia="en-GB"/>
              </w:rPr>
              <w:t>10</w:t>
            </w:r>
          </w:p>
        </w:tc>
        <w:tc>
          <w:tcPr>
            <w:tcW w:w="1559" w:type="dxa"/>
            <w:tcBorders>
              <w:top w:val="nil"/>
              <w:left w:val="nil"/>
              <w:bottom w:val="single" w:sz="4" w:space="0" w:color="auto"/>
              <w:right w:val="single" w:sz="4" w:space="0" w:color="auto"/>
            </w:tcBorders>
            <w:shd w:val="clear" w:color="auto" w:fill="auto"/>
            <w:noWrap/>
            <w:vAlign w:val="center"/>
            <w:hideMark/>
          </w:tcPr>
          <w:p w:rsidR="008921BF" w:rsidRPr="00CA49B7" w:rsidRDefault="008921BF" w:rsidP="00031B92">
            <w:pPr>
              <w:spacing w:after="0" w:line="240" w:lineRule="auto"/>
              <w:jc w:val="center"/>
              <w:rPr>
                <w:rFonts w:ascii="Calibri" w:eastAsia="Times New Roman" w:hAnsi="Calibri" w:cs="Times New Roman"/>
                <w:color w:val="000000"/>
                <w:lang w:eastAsia="en-GB"/>
              </w:rPr>
            </w:pPr>
            <w:r w:rsidRPr="00CA49B7">
              <w:rPr>
                <w:rFonts w:ascii="Calibri" w:eastAsia="Times New Roman" w:hAnsi="Calibri" w:cs="Times New Roman"/>
                <w:color w:val="000000"/>
                <w:lang w:eastAsia="en-GB"/>
              </w:rPr>
              <w:t>33.3%</w:t>
            </w:r>
          </w:p>
        </w:tc>
        <w:tc>
          <w:tcPr>
            <w:tcW w:w="851" w:type="dxa"/>
            <w:tcBorders>
              <w:top w:val="nil"/>
              <w:left w:val="nil"/>
              <w:bottom w:val="single" w:sz="4" w:space="0" w:color="auto"/>
              <w:right w:val="single" w:sz="4" w:space="0" w:color="auto"/>
            </w:tcBorders>
            <w:shd w:val="clear" w:color="auto" w:fill="auto"/>
            <w:vAlign w:val="center"/>
            <w:hideMark/>
          </w:tcPr>
          <w:p w:rsidR="008921BF" w:rsidRPr="00CA49B7" w:rsidRDefault="008921BF" w:rsidP="00031B92">
            <w:pPr>
              <w:spacing w:after="0" w:line="240" w:lineRule="auto"/>
              <w:jc w:val="center"/>
              <w:rPr>
                <w:rFonts w:ascii="Calibri" w:eastAsia="Times New Roman" w:hAnsi="Calibri" w:cs="Times New Roman"/>
                <w:color w:val="000000"/>
                <w:lang w:eastAsia="en-GB"/>
              </w:rPr>
            </w:pPr>
            <w:r w:rsidRPr="00CA49B7">
              <w:rPr>
                <w:rFonts w:ascii="Calibri" w:eastAsia="Times New Roman" w:hAnsi="Calibri" w:cs="Times New Roman"/>
                <w:color w:val="000000"/>
                <w:lang w:eastAsia="en-GB"/>
              </w:rPr>
              <w:t>17</w:t>
            </w:r>
          </w:p>
        </w:tc>
        <w:tc>
          <w:tcPr>
            <w:tcW w:w="1559" w:type="dxa"/>
            <w:tcBorders>
              <w:top w:val="nil"/>
              <w:left w:val="nil"/>
              <w:bottom w:val="single" w:sz="4" w:space="0" w:color="auto"/>
              <w:right w:val="single" w:sz="4" w:space="0" w:color="auto"/>
            </w:tcBorders>
            <w:shd w:val="clear" w:color="auto" w:fill="auto"/>
            <w:noWrap/>
            <w:vAlign w:val="center"/>
            <w:hideMark/>
          </w:tcPr>
          <w:p w:rsidR="008921BF" w:rsidRPr="00CA49B7" w:rsidRDefault="008921BF" w:rsidP="00031B92">
            <w:pPr>
              <w:spacing w:after="0" w:line="240" w:lineRule="auto"/>
              <w:jc w:val="center"/>
              <w:rPr>
                <w:rFonts w:ascii="Calibri" w:eastAsia="Times New Roman" w:hAnsi="Calibri" w:cs="Times New Roman"/>
                <w:color w:val="000000"/>
                <w:lang w:eastAsia="en-GB"/>
              </w:rPr>
            </w:pPr>
            <w:r w:rsidRPr="00CA49B7">
              <w:rPr>
                <w:rFonts w:ascii="Calibri" w:eastAsia="Times New Roman" w:hAnsi="Calibri" w:cs="Times New Roman"/>
                <w:color w:val="000000"/>
                <w:lang w:eastAsia="en-GB"/>
              </w:rPr>
              <w:t>34.7%</w:t>
            </w:r>
          </w:p>
        </w:tc>
        <w:tc>
          <w:tcPr>
            <w:tcW w:w="1134" w:type="dxa"/>
            <w:tcBorders>
              <w:top w:val="nil"/>
              <w:left w:val="nil"/>
              <w:bottom w:val="single" w:sz="4" w:space="0" w:color="auto"/>
              <w:right w:val="single" w:sz="4" w:space="0" w:color="auto"/>
            </w:tcBorders>
            <w:shd w:val="clear" w:color="auto" w:fill="auto"/>
            <w:vAlign w:val="center"/>
            <w:hideMark/>
          </w:tcPr>
          <w:p w:rsidR="008921BF" w:rsidRPr="00CA49B7" w:rsidRDefault="008921BF" w:rsidP="00031B92">
            <w:pPr>
              <w:spacing w:after="0" w:line="240" w:lineRule="auto"/>
              <w:jc w:val="center"/>
              <w:rPr>
                <w:rFonts w:ascii="Calibri" w:eastAsia="Times New Roman" w:hAnsi="Calibri" w:cs="Times New Roman"/>
                <w:color w:val="000000"/>
                <w:lang w:eastAsia="en-GB"/>
              </w:rPr>
            </w:pPr>
            <w:r w:rsidRPr="00CA49B7">
              <w:rPr>
                <w:rFonts w:ascii="Calibri" w:eastAsia="Times New Roman" w:hAnsi="Calibri" w:cs="Times New Roman"/>
                <w:color w:val="000000"/>
                <w:lang w:eastAsia="en-GB"/>
              </w:rPr>
              <w:t>22</w:t>
            </w:r>
          </w:p>
        </w:tc>
        <w:tc>
          <w:tcPr>
            <w:tcW w:w="1559" w:type="dxa"/>
            <w:tcBorders>
              <w:top w:val="nil"/>
              <w:left w:val="nil"/>
              <w:bottom w:val="single" w:sz="4" w:space="0" w:color="auto"/>
              <w:right w:val="single" w:sz="4" w:space="0" w:color="auto"/>
            </w:tcBorders>
            <w:shd w:val="clear" w:color="auto" w:fill="auto"/>
            <w:noWrap/>
            <w:vAlign w:val="center"/>
            <w:hideMark/>
          </w:tcPr>
          <w:p w:rsidR="008921BF" w:rsidRPr="00CA49B7" w:rsidRDefault="008921BF" w:rsidP="00031B92">
            <w:pPr>
              <w:spacing w:after="0" w:line="240" w:lineRule="auto"/>
              <w:jc w:val="center"/>
              <w:rPr>
                <w:rFonts w:ascii="Calibri" w:eastAsia="Times New Roman" w:hAnsi="Calibri" w:cs="Times New Roman"/>
                <w:color w:val="000000"/>
                <w:lang w:eastAsia="en-GB"/>
              </w:rPr>
            </w:pPr>
            <w:r w:rsidRPr="00CA49B7">
              <w:rPr>
                <w:rFonts w:ascii="Calibri" w:eastAsia="Times New Roman" w:hAnsi="Calibri" w:cs="Times New Roman"/>
                <w:color w:val="000000"/>
                <w:lang w:eastAsia="en-GB"/>
              </w:rPr>
              <w:t>50.0%</w:t>
            </w:r>
          </w:p>
        </w:tc>
      </w:tr>
      <w:tr w:rsidR="008921BF" w:rsidRPr="00CA49B7" w:rsidTr="00031B92">
        <w:trPr>
          <w:trHeight w:val="300"/>
        </w:trPr>
        <w:tc>
          <w:tcPr>
            <w:tcW w:w="1985" w:type="dxa"/>
            <w:tcBorders>
              <w:top w:val="nil"/>
              <w:left w:val="single" w:sz="4" w:space="0" w:color="auto"/>
              <w:bottom w:val="single" w:sz="4" w:space="0" w:color="auto"/>
              <w:right w:val="single" w:sz="4" w:space="0" w:color="auto"/>
            </w:tcBorders>
            <w:shd w:val="clear" w:color="auto" w:fill="auto"/>
            <w:noWrap/>
            <w:vAlign w:val="center"/>
            <w:hideMark/>
          </w:tcPr>
          <w:p w:rsidR="008921BF" w:rsidRPr="00CA49B7" w:rsidRDefault="008921BF" w:rsidP="00031B92">
            <w:pPr>
              <w:spacing w:after="0" w:line="240" w:lineRule="auto"/>
              <w:jc w:val="center"/>
              <w:rPr>
                <w:rFonts w:ascii="Calibri" w:eastAsia="Times New Roman" w:hAnsi="Calibri" w:cs="Times New Roman"/>
                <w:color w:val="000000"/>
                <w:lang w:eastAsia="en-GB"/>
              </w:rPr>
            </w:pPr>
            <w:r w:rsidRPr="00CA49B7">
              <w:rPr>
                <w:rFonts w:ascii="Calibri" w:eastAsia="Times New Roman" w:hAnsi="Calibri" w:cs="Times New Roman"/>
                <w:color w:val="000000"/>
                <w:lang w:eastAsia="en-GB"/>
              </w:rPr>
              <w:t>Older Adults</w:t>
            </w:r>
          </w:p>
        </w:tc>
        <w:tc>
          <w:tcPr>
            <w:tcW w:w="851" w:type="dxa"/>
            <w:tcBorders>
              <w:top w:val="nil"/>
              <w:left w:val="nil"/>
              <w:bottom w:val="single" w:sz="4" w:space="0" w:color="auto"/>
              <w:right w:val="single" w:sz="4" w:space="0" w:color="auto"/>
            </w:tcBorders>
            <w:shd w:val="clear" w:color="auto" w:fill="auto"/>
            <w:noWrap/>
            <w:vAlign w:val="center"/>
            <w:hideMark/>
          </w:tcPr>
          <w:p w:rsidR="008921BF" w:rsidRPr="00CA49B7" w:rsidRDefault="008921BF" w:rsidP="00031B92">
            <w:pPr>
              <w:spacing w:after="0" w:line="240" w:lineRule="auto"/>
              <w:jc w:val="center"/>
              <w:rPr>
                <w:rFonts w:ascii="Calibri" w:eastAsia="Times New Roman" w:hAnsi="Calibri" w:cs="Times New Roman"/>
                <w:color w:val="000000"/>
                <w:lang w:eastAsia="en-GB"/>
              </w:rPr>
            </w:pPr>
            <w:r w:rsidRPr="00CA49B7">
              <w:rPr>
                <w:rFonts w:ascii="Calibri" w:eastAsia="Times New Roman" w:hAnsi="Calibri" w:cs="Times New Roman"/>
                <w:color w:val="000000"/>
                <w:lang w:eastAsia="en-GB"/>
              </w:rPr>
              <w:t>2,303</w:t>
            </w:r>
          </w:p>
        </w:tc>
        <w:tc>
          <w:tcPr>
            <w:tcW w:w="1559" w:type="dxa"/>
            <w:tcBorders>
              <w:top w:val="nil"/>
              <w:left w:val="nil"/>
              <w:bottom w:val="single" w:sz="4" w:space="0" w:color="auto"/>
              <w:right w:val="single" w:sz="4" w:space="0" w:color="auto"/>
            </w:tcBorders>
            <w:shd w:val="clear" w:color="auto" w:fill="auto"/>
            <w:noWrap/>
            <w:vAlign w:val="center"/>
            <w:hideMark/>
          </w:tcPr>
          <w:p w:rsidR="008921BF" w:rsidRPr="00CA49B7" w:rsidRDefault="008921BF" w:rsidP="00031B92">
            <w:pPr>
              <w:spacing w:after="0" w:line="240" w:lineRule="auto"/>
              <w:jc w:val="center"/>
              <w:rPr>
                <w:rFonts w:ascii="Calibri" w:eastAsia="Times New Roman" w:hAnsi="Calibri" w:cs="Times New Roman"/>
                <w:color w:val="000000"/>
                <w:lang w:eastAsia="en-GB"/>
              </w:rPr>
            </w:pPr>
            <w:r w:rsidRPr="00CA49B7">
              <w:rPr>
                <w:rFonts w:ascii="Calibri" w:eastAsia="Times New Roman" w:hAnsi="Calibri" w:cs="Times New Roman"/>
                <w:color w:val="000000"/>
                <w:lang w:eastAsia="en-GB"/>
              </w:rPr>
              <w:t>47.4%</w:t>
            </w:r>
          </w:p>
        </w:tc>
        <w:tc>
          <w:tcPr>
            <w:tcW w:w="851" w:type="dxa"/>
            <w:tcBorders>
              <w:top w:val="nil"/>
              <w:left w:val="nil"/>
              <w:bottom w:val="single" w:sz="4" w:space="0" w:color="auto"/>
              <w:right w:val="single" w:sz="4" w:space="0" w:color="auto"/>
            </w:tcBorders>
            <w:shd w:val="clear" w:color="auto" w:fill="auto"/>
            <w:vAlign w:val="center"/>
            <w:hideMark/>
          </w:tcPr>
          <w:p w:rsidR="008921BF" w:rsidRPr="00CA49B7" w:rsidRDefault="008921BF" w:rsidP="00031B92">
            <w:pPr>
              <w:spacing w:after="0" w:line="240" w:lineRule="auto"/>
              <w:jc w:val="center"/>
              <w:rPr>
                <w:rFonts w:ascii="Calibri" w:eastAsia="Times New Roman" w:hAnsi="Calibri" w:cs="Times New Roman"/>
                <w:color w:val="000000"/>
                <w:lang w:eastAsia="en-GB"/>
              </w:rPr>
            </w:pPr>
            <w:r w:rsidRPr="00CA49B7">
              <w:rPr>
                <w:rFonts w:ascii="Calibri" w:eastAsia="Times New Roman" w:hAnsi="Calibri" w:cs="Times New Roman"/>
                <w:color w:val="000000"/>
                <w:lang w:eastAsia="en-GB"/>
              </w:rPr>
              <w:t>2,264</w:t>
            </w:r>
          </w:p>
        </w:tc>
        <w:tc>
          <w:tcPr>
            <w:tcW w:w="1559" w:type="dxa"/>
            <w:tcBorders>
              <w:top w:val="nil"/>
              <w:left w:val="nil"/>
              <w:bottom w:val="single" w:sz="4" w:space="0" w:color="auto"/>
              <w:right w:val="single" w:sz="4" w:space="0" w:color="auto"/>
            </w:tcBorders>
            <w:shd w:val="clear" w:color="auto" w:fill="auto"/>
            <w:noWrap/>
            <w:vAlign w:val="center"/>
            <w:hideMark/>
          </w:tcPr>
          <w:p w:rsidR="008921BF" w:rsidRPr="00CA49B7" w:rsidRDefault="008921BF" w:rsidP="00031B92">
            <w:pPr>
              <w:spacing w:after="0" w:line="240" w:lineRule="auto"/>
              <w:jc w:val="center"/>
              <w:rPr>
                <w:rFonts w:ascii="Calibri" w:eastAsia="Times New Roman" w:hAnsi="Calibri" w:cs="Times New Roman"/>
                <w:color w:val="000000"/>
                <w:lang w:eastAsia="en-GB"/>
              </w:rPr>
            </w:pPr>
            <w:r w:rsidRPr="00CA49B7">
              <w:rPr>
                <w:rFonts w:ascii="Calibri" w:eastAsia="Times New Roman" w:hAnsi="Calibri" w:cs="Times New Roman"/>
                <w:color w:val="000000"/>
                <w:lang w:eastAsia="en-GB"/>
              </w:rPr>
              <w:t>47.5%</w:t>
            </w:r>
          </w:p>
        </w:tc>
        <w:tc>
          <w:tcPr>
            <w:tcW w:w="1134" w:type="dxa"/>
            <w:tcBorders>
              <w:top w:val="nil"/>
              <w:left w:val="nil"/>
              <w:bottom w:val="single" w:sz="4" w:space="0" w:color="auto"/>
              <w:right w:val="single" w:sz="4" w:space="0" w:color="auto"/>
            </w:tcBorders>
            <w:shd w:val="clear" w:color="auto" w:fill="auto"/>
            <w:vAlign w:val="center"/>
            <w:hideMark/>
          </w:tcPr>
          <w:p w:rsidR="008921BF" w:rsidRPr="00CA49B7" w:rsidRDefault="008921BF" w:rsidP="00031B92">
            <w:pPr>
              <w:spacing w:after="0" w:line="240" w:lineRule="auto"/>
              <w:jc w:val="center"/>
              <w:rPr>
                <w:rFonts w:ascii="Calibri" w:eastAsia="Times New Roman" w:hAnsi="Calibri" w:cs="Times New Roman"/>
                <w:color w:val="000000"/>
                <w:lang w:eastAsia="en-GB"/>
              </w:rPr>
            </w:pPr>
            <w:r w:rsidRPr="00CA49B7">
              <w:rPr>
                <w:rFonts w:ascii="Calibri" w:eastAsia="Times New Roman" w:hAnsi="Calibri" w:cs="Times New Roman"/>
                <w:color w:val="000000"/>
                <w:lang w:eastAsia="en-GB"/>
              </w:rPr>
              <w:t>2,405</w:t>
            </w:r>
          </w:p>
        </w:tc>
        <w:tc>
          <w:tcPr>
            <w:tcW w:w="1559" w:type="dxa"/>
            <w:tcBorders>
              <w:top w:val="nil"/>
              <w:left w:val="nil"/>
              <w:bottom w:val="single" w:sz="4" w:space="0" w:color="auto"/>
              <w:right w:val="single" w:sz="4" w:space="0" w:color="auto"/>
            </w:tcBorders>
            <w:shd w:val="clear" w:color="auto" w:fill="auto"/>
            <w:noWrap/>
            <w:vAlign w:val="center"/>
            <w:hideMark/>
          </w:tcPr>
          <w:p w:rsidR="008921BF" w:rsidRPr="00CA49B7" w:rsidRDefault="008921BF" w:rsidP="00031B92">
            <w:pPr>
              <w:spacing w:after="0" w:line="240" w:lineRule="auto"/>
              <w:jc w:val="center"/>
              <w:rPr>
                <w:rFonts w:ascii="Calibri" w:eastAsia="Times New Roman" w:hAnsi="Calibri" w:cs="Times New Roman"/>
                <w:color w:val="000000"/>
                <w:lang w:eastAsia="en-GB"/>
              </w:rPr>
            </w:pPr>
            <w:r w:rsidRPr="00CA49B7">
              <w:rPr>
                <w:rFonts w:ascii="Calibri" w:eastAsia="Times New Roman" w:hAnsi="Calibri" w:cs="Times New Roman"/>
                <w:color w:val="000000"/>
                <w:lang w:eastAsia="en-GB"/>
              </w:rPr>
              <w:t>50.7%</w:t>
            </w:r>
          </w:p>
        </w:tc>
      </w:tr>
      <w:tr w:rsidR="008921BF" w:rsidRPr="00CA49B7" w:rsidTr="00031B92">
        <w:trPr>
          <w:trHeight w:val="300"/>
        </w:trPr>
        <w:tc>
          <w:tcPr>
            <w:tcW w:w="1985" w:type="dxa"/>
            <w:tcBorders>
              <w:top w:val="nil"/>
              <w:left w:val="single" w:sz="4" w:space="0" w:color="auto"/>
              <w:bottom w:val="single" w:sz="4" w:space="0" w:color="auto"/>
              <w:right w:val="single" w:sz="4" w:space="0" w:color="auto"/>
            </w:tcBorders>
            <w:shd w:val="clear" w:color="auto" w:fill="auto"/>
            <w:noWrap/>
            <w:vAlign w:val="center"/>
            <w:hideMark/>
          </w:tcPr>
          <w:p w:rsidR="008921BF" w:rsidRPr="00CA49B7" w:rsidRDefault="008921BF" w:rsidP="00031B92">
            <w:pPr>
              <w:spacing w:after="0" w:line="240" w:lineRule="auto"/>
              <w:jc w:val="center"/>
              <w:rPr>
                <w:rFonts w:ascii="Calibri" w:eastAsia="Times New Roman" w:hAnsi="Calibri" w:cs="Times New Roman"/>
                <w:color w:val="000000"/>
                <w:lang w:eastAsia="en-GB"/>
              </w:rPr>
            </w:pPr>
            <w:r w:rsidRPr="00CA49B7">
              <w:rPr>
                <w:rFonts w:ascii="Calibri" w:eastAsia="Times New Roman" w:hAnsi="Calibri" w:cs="Times New Roman"/>
                <w:color w:val="000000"/>
                <w:lang w:eastAsia="en-GB"/>
              </w:rPr>
              <w:t>Total Service Users</w:t>
            </w:r>
          </w:p>
        </w:tc>
        <w:tc>
          <w:tcPr>
            <w:tcW w:w="851" w:type="dxa"/>
            <w:tcBorders>
              <w:top w:val="nil"/>
              <w:left w:val="nil"/>
              <w:bottom w:val="single" w:sz="4" w:space="0" w:color="auto"/>
              <w:right w:val="single" w:sz="4" w:space="0" w:color="auto"/>
            </w:tcBorders>
            <w:shd w:val="clear" w:color="auto" w:fill="auto"/>
            <w:vAlign w:val="center"/>
            <w:hideMark/>
          </w:tcPr>
          <w:p w:rsidR="008921BF" w:rsidRPr="00CA49B7" w:rsidRDefault="008921BF" w:rsidP="00031B92">
            <w:pPr>
              <w:spacing w:after="0" w:line="240" w:lineRule="auto"/>
              <w:jc w:val="center"/>
              <w:rPr>
                <w:rFonts w:ascii="Calibri" w:eastAsia="Times New Roman" w:hAnsi="Calibri" w:cs="Times New Roman"/>
                <w:color w:val="000000"/>
                <w:lang w:eastAsia="en-GB"/>
              </w:rPr>
            </w:pPr>
            <w:r w:rsidRPr="00CA49B7">
              <w:rPr>
                <w:rFonts w:ascii="Calibri" w:eastAsia="Times New Roman" w:hAnsi="Calibri" w:cs="Times New Roman"/>
                <w:color w:val="000000"/>
                <w:lang w:eastAsia="en-GB"/>
              </w:rPr>
              <w:t>3,871</w:t>
            </w:r>
          </w:p>
        </w:tc>
        <w:tc>
          <w:tcPr>
            <w:tcW w:w="1559" w:type="dxa"/>
            <w:tcBorders>
              <w:top w:val="nil"/>
              <w:left w:val="nil"/>
              <w:bottom w:val="single" w:sz="4" w:space="0" w:color="auto"/>
              <w:right w:val="single" w:sz="4" w:space="0" w:color="auto"/>
            </w:tcBorders>
            <w:shd w:val="clear" w:color="auto" w:fill="auto"/>
            <w:noWrap/>
            <w:vAlign w:val="center"/>
            <w:hideMark/>
          </w:tcPr>
          <w:p w:rsidR="008921BF" w:rsidRPr="00CA49B7" w:rsidRDefault="008921BF" w:rsidP="00031B92">
            <w:pPr>
              <w:spacing w:after="0" w:line="240" w:lineRule="auto"/>
              <w:jc w:val="center"/>
              <w:rPr>
                <w:rFonts w:ascii="Calibri" w:eastAsia="Times New Roman" w:hAnsi="Calibri" w:cs="Times New Roman"/>
                <w:color w:val="000000"/>
                <w:lang w:eastAsia="en-GB"/>
              </w:rPr>
            </w:pPr>
            <w:r w:rsidRPr="00CA49B7">
              <w:rPr>
                <w:rFonts w:ascii="Calibri" w:eastAsia="Times New Roman" w:hAnsi="Calibri" w:cs="Times New Roman"/>
                <w:color w:val="000000"/>
                <w:lang w:eastAsia="en-GB"/>
              </w:rPr>
              <w:t>51.4%</w:t>
            </w:r>
          </w:p>
        </w:tc>
        <w:tc>
          <w:tcPr>
            <w:tcW w:w="851" w:type="dxa"/>
            <w:tcBorders>
              <w:top w:val="nil"/>
              <w:left w:val="nil"/>
              <w:bottom w:val="single" w:sz="4" w:space="0" w:color="auto"/>
              <w:right w:val="single" w:sz="4" w:space="0" w:color="auto"/>
            </w:tcBorders>
            <w:shd w:val="clear" w:color="auto" w:fill="auto"/>
            <w:vAlign w:val="center"/>
            <w:hideMark/>
          </w:tcPr>
          <w:p w:rsidR="008921BF" w:rsidRPr="00CA49B7" w:rsidRDefault="008921BF" w:rsidP="00031B92">
            <w:pPr>
              <w:spacing w:after="0" w:line="240" w:lineRule="auto"/>
              <w:jc w:val="center"/>
              <w:rPr>
                <w:rFonts w:ascii="Calibri" w:eastAsia="Times New Roman" w:hAnsi="Calibri" w:cs="Times New Roman"/>
                <w:color w:val="000000"/>
                <w:lang w:eastAsia="en-GB"/>
              </w:rPr>
            </w:pPr>
            <w:r w:rsidRPr="00CA49B7">
              <w:rPr>
                <w:rFonts w:ascii="Calibri" w:eastAsia="Times New Roman" w:hAnsi="Calibri" w:cs="Times New Roman"/>
                <w:color w:val="000000"/>
                <w:lang w:eastAsia="en-GB"/>
              </w:rPr>
              <w:t>3,918</w:t>
            </w:r>
          </w:p>
        </w:tc>
        <w:tc>
          <w:tcPr>
            <w:tcW w:w="1559" w:type="dxa"/>
            <w:tcBorders>
              <w:top w:val="nil"/>
              <w:left w:val="nil"/>
              <w:bottom w:val="single" w:sz="4" w:space="0" w:color="auto"/>
              <w:right w:val="single" w:sz="4" w:space="0" w:color="auto"/>
            </w:tcBorders>
            <w:shd w:val="clear" w:color="auto" w:fill="auto"/>
            <w:noWrap/>
            <w:vAlign w:val="center"/>
            <w:hideMark/>
          </w:tcPr>
          <w:p w:rsidR="008921BF" w:rsidRPr="00CA49B7" w:rsidRDefault="008921BF" w:rsidP="00031B92">
            <w:pPr>
              <w:spacing w:after="0" w:line="240" w:lineRule="auto"/>
              <w:jc w:val="center"/>
              <w:rPr>
                <w:rFonts w:ascii="Calibri" w:eastAsia="Times New Roman" w:hAnsi="Calibri" w:cs="Times New Roman"/>
                <w:color w:val="000000"/>
                <w:lang w:eastAsia="en-GB"/>
              </w:rPr>
            </w:pPr>
            <w:r w:rsidRPr="00CA49B7">
              <w:rPr>
                <w:rFonts w:ascii="Calibri" w:eastAsia="Times New Roman" w:hAnsi="Calibri" w:cs="Times New Roman"/>
                <w:color w:val="000000"/>
                <w:lang w:eastAsia="en-GB"/>
              </w:rPr>
              <w:t>52.0%</w:t>
            </w:r>
          </w:p>
        </w:tc>
        <w:tc>
          <w:tcPr>
            <w:tcW w:w="1134" w:type="dxa"/>
            <w:tcBorders>
              <w:top w:val="nil"/>
              <w:left w:val="nil"/>
              <w:bottom w:val="single" w:sz="4" w:space="0" w:color="auto"/>
              <w:right w:val="single" w:sz="4" w:space="0" w:color="auto"/>
            </w:tcBorders>
            <w:shd w:val="clear" w:color="auto" w:fill="auto"/>
            <w:vAlign w:val="center"/>
            <w:hideMark/>
          </w:tcPr>
          <w:p w:rsidR="008921BF" w:rsidRPr="00CA49B7" w:rsidRDefault="008921BF" w:rsidP="00031B92">
            <w:pPr>
              <w:spacing w:after="0" w:line="240" w:lineRule="auto"/>
              <w:jc w:val="center"/>
              <w:rPr>
                <w:rFonts w:ascii="Calibri" w:eastAsia="Times New Roman" w:hAnsi="Calibri" w:cs="Times New Roman"/>
                <w:color w:val="000000"/>
                <w:lang w:eastAsia="en-GB"/>
              </w:rPr>
            </w:pPr>
            <w:r w:rsidRPr="00CA49B7">
              <w:rPr>
                <w:rFonts w:ascii="Calibri" w:eastAsia="Times New Roman" w:hAnsi="Calibri" w:cs="Times New Roman"/>
                <w:color w:val="000000"/>
                <w:lang w:eastAsia="en-GB"/>
              </w:rPr>
              <w:t>4,117</w:t>
            </w:r>
          </w:p>
        </w:tc>
        <w:tc>
          <w:tcPr>
            <w:tcW w:w="1559" w:type="dxa"/>
            <w:tcBorders>
              <w:top w:val="nil"/>
              <w:left w:val="nil"/>
              <w:bottom w:val="single" w:sz="4" w:space="0" w:color="auto"/>
              <w:right w:val="single" w:sz="4" w:space="0" w:color="auto"/>
            </w:tcBorders>
            <w:shd w:val="clear" w:color="auto" w:fill="auto"/>
            <w:noWrap/>
            <w:vAlign w:val="center"/>
            <w:hideMark/>
          </w:tcPr>
          <w:p w:rsidR="008921BF" w:rsidRPr="00CA49B7" w:rsidRDefault="008921BF" w:rsidP="00031B92">
            <w:pPr>
              <w:spacing w:after="0" w:line="240" w:lineRule="auto"/>
              <w:jc w:val="center"/>
              <w:rPr>
                <w:rFonts w:ascii="Calibri" w:eastAsia="Times New Roman" w:hAnsi="Calibri" w:cs="Times New Roman"/>
                <w:color w:val="000000"/>
                <w:lang w:eastAsia="en-GB"/>
              </w:rPr>
            </w:pPr>
            <w:r w:rsidRPr="00CA49B7">
              <w:rPr>
                <w:rFonts w:ascii="Calibri" w:eastAsia="Times New Roman" w:hAnsi="Calibri" w:cs="Times New Roman"/>
                <w:color w:val="000000"/>
                <w:lang w:eastAsia="en-GB"/>
              </w:rPr>
              <w:t>55.3%</w:t>
            </w:r>
          </w:p>
        </w:tc>
      </w:tr>
    </w:tbl>
    <w:p w:rsidR="000D6FBF" w:rsidRDefault="000D6FBF" w:rsidP="000D6FBF">
      <w:pPr>
        <w:spacing w:after="0" w:line="240" w:lineRule="auto"/>
      </w:pPr>
      <w:r>
        <w:t>Source:  SWIFT – Adult Social Care Database</w:t>
      </w:r>
    </w:p>
    <w:p w:rsidR="008921BF" w:rsidRDefault="008921BF" w:rsidP="008921BF">
      <w:pPr>
        <w:spacing w:after="0" w:line="240" w:lineRule="auto"/>
        <w:rPr>
          <w:lang w:val="en"/>
        </w:rPr>
      </w:pPr>
    </w:p>
    <w:p w:rsidR="008921BF" w:rsidRDefault="008921BF" w:rsidP="008921BF">
      <w:pPr>
        <w:spacing w:after="0" w:line="240" w:lineRule="auto"/>
        <w:jc w:val="both"/>
        <w:rPr>
          <w:lang w:val="en"/>
        </w:rPr>
      </w:pPr>
      <w:r>
        <w:rPr>
          <w:lang w:val="en"/>
        </w:rPr>
        <w:t>Over the period 2011-2014 there has been an increase in the prevalence of personal budgets in almost every year across all categories. The highest take-up of personal budgets is within clients who experience ‘learning disabilities’ (72.2%) and ‘physical / sensory impairments’ (65.8%).</w:t>
      </w:r>
    </w:p>
    <w:p w:rsidR="008921BF" w:rsidRDefault="008921BF" w:rsidP="008921BF">
      <w:pPr>
        <w:spacing w:after="0" w:line="240" w:lineRule="auto"/>
        <w:jc w:val="both"/>
        <w:rPr>
          <w:lang w:val="en"/>
        </w:rPr>
      </w:pPr>
    </w:p>
    <w:p w:rsidR="008921BF" w:rsidRDefault="008921BF" w:rsidP="008921BF">
      <w:pPr>
        <w:spacing w:after="0" w:line="240" w:lineRule="auto"/>
        <w:jc w:val="both"/>
        <w:rPr>
          <w:lang w:val="en"/>
        </w:rPr>
      </w:pPr>
      <w:r>
        <w:rPr>
          <w:lang w:val="en"/>
        </w:rPr>
        <w:t>The lowest take</w:t>
      </w:r>
      <w:r w:rsidR="00270AEE">
        <w:rPr>
          <w:lang w:val="en"/>
        </w:rPr>
        <w:t>-up of personal budgets in 2013/</w:t>
      </w:r>
      <w:r>
        <w:rPr>
          <w:lang w:val="en"/>
        </w:rPr>
        <w:t xml:space="preserve">14 was within the ‘Other’ category (50.7%), although as the numbers of service users within this category are quite low, this shouldn’t be viewed as significant. However ‘older adults’ have the second lowest take-up (50.7%) and this client category accounts for the largest proportion of total service users within adult social care and is projected to experience the highest levels of growth. </w:t>
      </w:r>
    </w:p>
    <w:p w:rsidR="008921BF" w:rsidRDefault="008921BF" w:rsidP="008921BF">
      <w:pPr>
        <w:spacing w:after="0" w:line="240" w:lineRule="auto"/>
        <w:jc w:val="both"/>
        <w:rPr>
          <w:lang w:val="en"/>
        </w:rPr>
      </w:pPr>
    </w:p>
    <w:p w:rsidR="008921BF" w:rsidRPr="00391164" w:rsidRDefault="008921BF" w:rsidP="008921BF">
      <w:pPr>
        <w:spacing w:after="0" w:line="240" w:lineRule="auto"/>
        <w:jc w:val="both"/>
        <w:rPr>
          <w:lang w:val="en"/>
        </w:rPr>
      </w:pPr>
      <w:r w:rsidRPr="00391164">
        <w:rPr>
          <w:lang w:val="en"/>
        </w:rPr>
        <w:t>Direct payments are cash payments given to service users in place of community care social services to allow them greater flexibility about how their care is delivered</w:t>
      </w:r>
      <w:r>
        <w:rPr>
          <w:lang w:val="en"/>
        </w:rPr>
        <w:t xml:space="preserve">. </w:t>
      </w:r>
      <w:r w:rsidRPr="00391164">
        <w:rPr>
          <w:lang w:val="en"/>
        </w:rPr>
        <w:t>The default position of the council is to offer service-users direct payments, including those people who are currently receiving council-managed services.</w:t>
      </w:r>
    </w:p>
    <w:p w:rsidR="008921BF" w:rsidRPr="00391164" w:rsidRDefault="008921BF" w:rsidP="008921BF">
      <w:pPr>
        <w:spacing w:after="0" w:line="240" w:lineRule="auto"/>
        <w:jc w:val="both"/>
        <w:rPr>
          <w:lang w:val="en"/>
        </w:rPr>
      </w:pPr>
    </w:p>
    <w:p w:rsidR="008921BF" w:rsidRDefault="008921BF" w:rsidP="008921BF">
      <w:pPr>
        <w:spacing w:after="0" w:line="240" w:lineRule="auto"/>
        <w:jc w:val="both"/>
        <w:rPr>
          <w:lang w:val="en"/>
        </w:rPr>
      </w:pPr>
      <w:r w:rsidRPr="00391164">
        <w:rPr>
          <w:lang w:val="en"/>
        </w:rPr>
        <w:t xml:space="preserve">Table </w:t>
      </w:r>
      <w:r>
        <w:rPr>
          <w:lang w:val="en"/>
        </w:rPr>
        <w:t>9-8</w:t>
      </w:r>
      <w:r w:rsidRPr="00391164">
        <w:rPr>
          <w:lang w:val="en"/>
        </w:rPr>
        <w:t xml:space="preserve"> includes all adults in receipt of direct payments, whether or not they are in receipt of a personal budget. </w:t>
      </w:r>
      <w:r>
        <w:rPr>
          <w:lang w:val="en"/>
        </w:rPr>
        <w:t xml:space="preserve">As with the take-up rates of personal budgets, over the period 2011-2014 the rate of direct payments has increased from 12.6% in 2011/12 to 17.0% in 2013/14. </w:t>
      </w:r>
    </w:p>
    <w:p w:rsidR="008921BF" w:rsidRDefault="008921BF" w:rsidP="008921BF">
      <w:pPr>
        <w:spacing w:after="0" w:line="240" w:lineRule="auto"/>
        <w:jc w:val="both"/>
        <w:rPr>
          <w:lang w:val="en"/>
        </w:rPr>
      </w:pPr>
    </w:p>
    <w:p w:rsidR="008921BF" w:rsidRDefault="008921BF" w:rsidP="008921BF">
      <w:pPr>
        <w:spacing w:after="0" w:line="240" w:lineRule="auto"/>
        <w:jc w:val="both"/>
        <w:rPr>
          <w:lang w:val="en"/>
        </w:rPr>
      </w:pPr>
      <w:r>
        <w:rPr>
          <w:lang w:val="en"/>
        </w:rPr>
        <w:t xml:space="preserve">However, only 7.5% of clients with ‘mental health’ conditions had a direct payment in 2013/14, significantly below the level who had personal budgets (56.6%). As with personal budgets ‘older adults’ continue to have the second lowest take-up of direct payments, with only 13.0% opting for a direct payment in 2013/14; a 0.2% decrease on the previous year. </w:t>
      </w:r>
    </w:p>
    <w:p w:rsidR="008921BF" w:rsidRDefault="008921BF" w:rsidP="008921BF">
      <w:pPr>
        <w:spacing w:after="0" w:line="240" w:lineRule="auto"/>
        <w:rPr>
          <w:lang w:val="en"/>
        </w:rPr>
      </w:pPr>
    </w:p>
    <w:p w:rsidR="00AA058C" w:rsidRDefault="00AA058C" w:rsidP="008921BF">
      <w:pPr>
        <w:spacing w:after="0" w:line="240" w:lineRule="auto"/>
        <w:rPr>
          <w:lang w:val="en"/>
        </w:rPr>
      </w:pPr>
    </w:p>
    <w:p w:rsidR="00AA058C" w:rsidRDefault="00AA058C" w:rsidP="008921BF">
      <w:pPr>
        <w:spacing w:after="0" w:line="240" w:lineRule="auto"/>
        <w:rPr>
          <w:lang w:val="en"/>
        </w:rPr>
      </w:pPr>
    </w:p>
    <w:p w:rsidR="00AA058C" w:rsidRDefault="00AA058C" w:rsidP="008921BF">
      <w:pPr>
        <w:spacing w:after="0" w:line="240" w:lineRule="auto"/>
        <w:rPr>
          <w:lang w:val="en"/>
        </w:rPr>
      </w:pPr>
    </w:p>
    <w:p w:rsidR="00AA058C" w:rsidRDefault="00AA058C" w:rsidP="008921BF">
      <w:pPr>
        <w:spacing w:after="0" w:line="240" w:lineRule="auto"/>
        <w:rPr>
          <w:lang w:val="en"/>
        </w:rPr>
      </w:pPr>
    </w:p>
    <w:p w:rsidR="00AA058C" w:rsidRDefault="00AA058C" w:rsidP="008921BF">
      <w:pPr>
        <w:spacing w:after="0" w:line="240" w:lineRule="auto"/>
        <w:rPr>
          <w:lang w:val="en"/>
        </w:rPr>
      </w:pPr>
    </w:p>
    <w:p w:rsidR="00AA058C" w:rsidRDefault="00AA058C" w:rsidP="008921BF">
      <w:pPr>
        <w:spacing w:after="0" w:line="240" w:lineRule="auto"/>
        <w:rPr>
          <w:lang w:val="en"/>
        </w:rPr>
      </w:pPr>
    </w:p>
    <w:p w:rsidR="00AA058C" w:rsidRDefault="00AA058C" w:rsidP="008921BF">
      <w:pPr>
        <w:spacing w:after="0" w:line="240" w:lineRule="auto"/>
        <w:rPr>
          <w:lang w:val="en"/>
        </w:rPr>
      </w:pPr>
    </w:p>
    <w:p w:rsidR="00AA058C" w:rsidRDefault="00AA058C" w:rsidP="008921BF">
      <w:pPr>
        <w:spacing w:after="0" w:line="240" w:lineRule="auto"/>
        <w:rPr>
          <w:lang w:val="en"/>
        </w:rPr>
      </w:pPr>
    </w:p>
    <w:p w:rsidR="00AA058C" w:rsidRDefault="00AA058C" w:rsidP="008921BF">
      <w:pPr>
        <w:spacing w:after="0" w:line="240" w:lineRule="auto"/>
        <w:rPr>
          <w:lang w:val="en"/>
        </w:rPr>
      </w:pPr>
    </w:p>
    <w:p w:rsidR="00AA058C" w:rsidRDefault="00AA058C" w:rsidP="008921BF">
      <w:pPr>
        <w:spacing w:after="0" w:line="240" w:lineRule="auto"/>
        <w:rPr>
          <w:lang w:val="en"/>
        </w:rPr>
      </w:pPr>
    </w:p>
    <w:p w:rsidR="00AA058C" w:rsidRDefault="00AA058C" w:rsidP="008921BF">
      <w:pPr>
        <w:spacing w:after="0" w:line="240" w:lineRule="auto"/>
        <w:rPr>
          <w:lang w:val="en"/>
        </w:rPr>
      </w:pPr>
    </w:p>
    <w:p w:rsidR="008921BF" w:rsidRDefault="008921BF" w:rsidP="008921BF">
      <w:pPr>
        <w:pStyle w:val="Caption"/>
        <w:rPr>
          <w:rFonts w:ascii="Calibri" w:hAnsi="Calibri" w:cs="Calibri"/>
          <w:b w:val="0"/>
          <w:i/>
        </w:rPr>
      </w:pPr>
      <w:r>
        <w:lastRenderedPageBreak/>
        <w:t xml:space="preserve">Table </w:t>
      </w:r>
      <w:fldSimple w:instr=" STYLEREF 1 \s ">
        <w:r w:rsidR="001663C2">
          <w:rPr>
            <w:noProof/>
          </w:rPr>
          <w:t>9</w:t>
        </w:r>
      </w:fldSimple>
      <w:r>
        <w:noBreakHyphen/>
      </w:r>
      <w:fldSimple w:instr=" SEQ Table \* ARABIC \s 1 ">
        <w:r w:rsidR="001663C2">
          <w:rPr>
            <w:noProof/>
          </w:rPr>
          <w:t>8</w:t>
        </w:r>
      </w:fldSimple>
      <w:r w:rsidRPr="00041E32">
        <w:t>: Number of service-users in receipt of Direct Payments</w:t>
      </w:r>
    </w:p>
    <w:tbl>
      <w:tblPr>
        <w:tblW w:w="9768" w:type="dxa"/>
        <w:tblInd w:w="-176" w:type="dxa"/>
        <w:tblLook w:val="04A0" w:firstRow="1" w:lastRow="0" w:firstColumn="1" w:lastColumn="0" w:noHBand="0" w:noVBand="1"/>
      </w:tblPr>
      <w:tblGrid>
        <w:gridCol w:w="1985"/>
        <w:gridCol w:w="1103"/>
        <w:gridCol w:w="1660"/>
        <w:gridCol w:w="820"/>
        <w:gridCol w:w="1600"/>
        <w:gridCol w:w="820"/>
        <w:gridCol w:w="1780"/>
      </w:tblGrid>
      <w:tr w:rsidR="008921BF" w:rsidRPr="00E2059E" w:rsidTr="00031B92">
        <w:trPr>
          <w:trHeight w:val="300"/>
        </w:trPr>
        <w:tc>
          <w:tcPr>
            <w:tcW w:w="1985" w:type="dxa"/>
            <w:vMerge w:val="restart"/>
            <w:tcBorders>
              <w:top w:val="single" w:sz="4" w:space="0" w:color="auto"/>
              <w:left w:val="single" w:sz="4" w:space="0" w:color="auto"/>
              <w:bottom w:val="single" w:sz="4" w:space="0" w:color="000000"/>
              <w:right w:val="single" w:sz="4" w:space="0" w:color="auto"/>
            </w:tcBorders>
            <w:shd w:val="clear" w:color="000000" w:fill="BFBFBF"/>
            <w:vAlign w:val="center"/>
            <w:hideMark/>
          </w:tcPr>
          <w:p w:rsidR="008921BF" w:rsidRPr="00E2059E" w:rsidRDefault="008921BF" w:rsidP="00031B92">
            <w:pPr>
              <w:spacing w:after="0" w:line="240" w:lineRule="auto"/>
              <w:jc w:val="center"/>
              <w:rPr>
                <w:rFonts w:ascii="Calibri" w:eastAsia="Times New Roman" w:hAnsi="Calibri" w:cs="Times New Roman"/>
                <w:b/>
                <w:bCs/>
                <w:color w:val="000000"/>
                <w:lang w:eastAsia="en-GB"/>
              </w:rPr>
            </w:pPr>
            <w:r w:rsidRPr="00E2059E">
              <w:rPr>
                <w:rFonts w:ascii="Calibri" w:eastAsia="Times New Roman" w:hAnsi="Calibri" w:cs="Times New Roman"/>
                <w:b/>
                <w:bCs/>
                <w:color w:val="000000"/>
                <w:lang w:eastAsia="en-GB"/>
              </w:rPr>
              <w:t>Client Category</w:t>
            </w:r>
          </w:p>
        </w:tc>
        <w:tc>
          <w:tcPr>
            <w:tcW w:w="2763" w:type="dxa"/>
            <w:gridSpan w:val="2"/>
            <w:tcBorders>
              <w:top w:val="single" w:sz="4" w:space="0" w:color="auto"/>
              <w:left w:val="nil"/>
              <w:bottom w:val="single" w:sz="4" w:space="0" w:color="auto"/>
              <w:right w:val="single" w:sz="4" w:space="0" w:color="auto"/>
            </w:tcBorders>
            <w:shd w:val="clear" w:color="000000" w:fill="BFBFBF"/>
            <w:vAlign w:val="center"/>
            <w:hideMark/>
          </w:tcPr>
          <w:p w:rsidR="008921BF" w:rsidRPr="00E2059E" w:rsidRDefault="008921BF" w:rsidP="00031B92">
            <w:pPr>
              <w:spacing w:after="0" w:line="240" w:lineRule="auto"/>
              <w:jc w:val="center"/>
              <w:rPr>
                <w:rFonts w:ascii="Calibri" w:eastAsia="Times New Roman" w:hAnsi="Calibri" w:cs="Times New Roman"/>
                <w:b/>
                <w:bCs/>
                <w:color w:val="000000"/>
                <w:lang w:eastAsia="en-GB"/>
              </w:rPr>
            </w:pPr>
            <w:r w:rsidRPr="00E2059E">
              <w:rPr>
                <w:rFonts w:ascii="Calibri" w:eastAsia="Times New Roman" w:hAnsi="Calibri" w:cs="Times New Roman"/>
                <w:b/>
                <w:bCs/>
                <w:color w:val="000000"/>
                <w:lang w:eastAsia="en-GB"/>
              </w:rPr>
              <w:t>2011/12</w:t>
            </w:r>
          </w:p>
        </w:tc>
        <w:tc>
          <w:tcPr>
            <w:tcW w:w="2420" w:type="dxa"/>
            <w:gridSpan w:val="2"/>
            <w:tcBorders>
              <w:top w:val="single" w:sz="4" w:space="0" w:color="auto"/>
              <w:left w:val="nil"/>
              <w:bottom w:val="single" w:sz="4" w:space="0" w:color="auto"/>
              <w:right w:val="single" w:sz="4" w:space="0" w:color="auto"/>
            </w:tcBorders>
            <w:shd w:val="clear" w:color="000000" w:fill="BFBFBF"/>
            <w:vAlign w:val="center"/>
            <w:hideMark/>
          </w:tcPr>
          <w:p w:rsidR="008921BF" w:rsidRPr="00E2059E" w:rsidRDefault="008921BF" w:rsidP="00031B92">
            <w:pPr>
              <w:spacing w:after="0" w:line="240" w:lineRule="auto"/>
              <w:jc w:val="center"/>
              <w:rPr>
                <w:rFonts w:ascii="Calibri" w:eastAsia="Times New Roman" w:hAnsi="Calibri" w:cs="Times New Roman"/>
                <w:b/>
                <w:bCs/>
                <w:color w:val="000000"/>
                <w:lang w:eastAsia="en-GB"/>
              </w:rPr>
            </w:pPr>
            <w:r w:rsidRPr="00E2059E">
              <w:rPr>
                <w:rFonts w:ascii="Calibri" w:eastAsia="Times New Roman" w:hAnsi="Calibri" w:cs="Times New Roman"/>
                <w:b/>
                <w:bCs/>
                <w:color w:val="000000"/>
                <w:lang w:eastAsia="en-GB"/>
              </w:rPr>
              <w:t>2012/13</w:t>
            </w:r>
          </w:p>
        </w:tc>
        <w:tc>
          <w:tcPr>
            <w:tcW w:w="2600" w:type="dxa"/>
            <w:gridSpan w:val="2"/>
            <w:tcBorders>
              <w:top w:val="single" w:sz="4" w:space="0" w:color="auto"/>
              <w:left w:val="nil"/>
              <w:bottom w:val="single" w:sz="4" w:space="0" w:color="auto"/>
              <w:right w:val="single" w:sz="4" w:space="0" w:color="auto"/>
            </w:tcBorders>
            <w:shd w:val="clear" w:color="000000" w:fill="BFBFBF"/>
            <w:vAlign w:val="center"/>
            <w:hideMark/>
          </w:tcPr>
          <w:p w:rsidR="008921BF" w:rsidRPr="00E2059E" w:rsidRDefault="008921BF" w:rsidP="00031B92">
            <w:pPr>
              <w:spacing w:after="0" w:line="240" w:lineRule="auto"/>
              <w:jc w:val="center"/>
              <w:rPr>
                <w:rFonts w:ascii="Calibri" w:eastAsia="Times New Roman" w:hAnsi="Calibri" w:cs="Times New Roman"/>
                <w:b/>
                <w:bCs/>
                <w:color w:val="000000"/>
                <w:lang w:eastAsia="en-GB"/>
              </w:rPr>
            </w:pPr>
            <w:r w:rsidRPr="00E2059E">
              <w:rPr>
                <w:rFonts w:ascii="Calibri" w:eastAsia="Times New Roman" w:hAnsi="Calibri" w:cs="Times New Roman"/>
                <w:b/>
                <w:bCs/>
                <w:color w:val="000000"/>
                <w:lang w:eastAsia="en-GB"/>
              </w:rPr>
              <w:t>2013/14</w:t>
            </w:r>
          </w:p>
        </w:tc>
      </w:tr>
      <w:tr w:rsidR="008921BF" w:rsidRPr="00E2059E" w:rsidTr="00031B92">
        <w:trPr>
          <w:trHeight w:val="600"/>
        </w:trPr>
        <w:tc>
          <w:tcPr>
            <w:tcW w:w="1985" w:type="dxa"/>
            <w:vMerge/>
            <w:tcBorders>
              <w:top w:val="single" w:sz="4" w:space="0" w:color="auto"/>
              <w:left w:val="single" w:sz="4" w:space="0" w:color="auto"/>
              <w:bottom w:val="single" w:sz="4" w:space="0" w:color="000000"/>
              <w:right w:val="single" w:sz="4" w:space="0" w:color="auto"/>
            </w:tcBorders>
            <w:vAlign w:val="center"/>
            <w:hideMark/>
          </w:tcPr>
          <w:p w:rsidR="008921BF" w:rsidRPr="00E2059E" w:rsidRDefault="008921BF" w:rsidP="00031B92">
            <w:pPr>
              <w:spacing w:after="0" w:line="240" w:lineRule="auto"/>
              <w:jc w:val="center"/>
              <w:rPr>
                <w:rFonts w:ascii="Calibri" w:eastAsia="Times New Roman" w:hAnsi="Calibri" w:cs="Times New Roman"/>
                <w:b/>
                <w:bCs/>
                <w:color w:val="000000"/>
                <w:lang w:eastAsia="en-GB"/>
              </w:rPr>
            </w:pPr>
          </w:p>
        </w:tc>
        <w:tc>
          <w:tcPr>
            <w:tcW w:w="1103" w:type="dxa"/>
            <w:tcBorders>
              <w:top w:val="nil"/>
              <w:left w:val="nil"/>
              <w:bottom w:val="single" w:sz="4" w:space="0" w:color="auto"/>
              <w:right w:val="single" w:sz="4" w:space="0" w:color="auto"/>
            </w:tcBorders>
            <w:shd w:val="clear" w:color="000000" w:fill="BFBFBF"/>
            <w:vAlign w:val="center"/>
            <w:hideMark/>
          </w:tcPr>
          <w:p w:rsidR="008921BF" w:rsidRPr="00E2059E" w:rsidRDefault="008921BF" w:rsidP="00031B92">
            <w:pPr>
              <w:spacing w:after="0" w:line="240" w:lineRule="auto"/>
              <w:jc w:val="center"/>
              <w:rPr>
                <w:rFonts w:ascii="Calibri" w:eastAsia="Times New Roman" w:hAnsi="Calibri" w:cs="Times New Roman"/>
                <w:b/>
                <w:bCs/>
                <w:color w:val="000000"/>
                <w:lang w:eastAsia="en-GB"/>
              </w:rPr>
            </w:pPr>
            <w:r w:rsidRPr="00E2059E">
              <w:rPr>
                <w:rFonts w:ascii="Calibri" w:eastAsia="Times New Roman" w:hAnsi="Calibri" w:cs="Times New Roman"/>
                <w:b/>
                <w:bCs/>
                <w:color w:val="000000"/>
                <w:lang w:eastAsia="en-GB"/>
              </w:rPr>
              <w:t>No.</w:t>
            </w:r>
          </w:p>
        </w:tc>
        <w:tc>
          <w:tcPr>
            <w:tcW w:w="1660" w:type="dxa"/>
            <w:tcBorders>
              <w:top w:val="nil"/>
              <w:left w:val="nil"/>
              <w:bottom w:val="single" w:sz="4" w:space="0" w:color="auto"/>
              <w:right w:val="single" w:sz="4" w:space="0" w:color="auto"/>
            </w:tcBorders>
            <w:shd w:val="clear" w:color="000000" w:fill="BFBFBF"/>
            <w:vAlign w:val="center"/>
            <w:hideMark/>
          </w:tcPr>
          <w:p w:rsidR="008921BF" w:rsidRPr="00E2059E" w:rsidRDefault="008921BF" w:rsidP="00031B92">
            <w:pPr>
              <w:spacing w:after="0" w:line="240" w:lineRule="auto"/>
              <w:jc w:val="center"/>
              <w:rPr>
                <w:rFonts w:ascii="Calibri" w:eastAsia="Times New Roman" w:hAnsi="Calibri" w:cs="Times New Roman"/>
                <w:b/>
                <w:bCs/>
                <w:color w:val="000000"/>
                <w:lang w:eastAsia="en-GB"/>
              </w:rPr>
            </w:pPr>
            <w:r w:rsidRPr="00E2059E">
              <w:rPr>
                <w:rFonts w:ascii="Calibri" w:eastAsia="Times New Roman" w:hAnsi="Calibri" w:cs="Times New Roman"/>
                <w:b/>
                <w:bCs/>
                <w:color w:val="000000"/>
                <w:lang w:eastAsia="en-GB"/>
              </w:rPr>
              <w:t>% of Total Service Users</w:t>
            </w:r>
          </w:p>
        </w:tc>
        <w:tc>
          <w:tcPr>
            <w:tcW w:w="820" w:type="dxa"/>
            <w:tcBorders>
              <w:top w:val="nil"/>
              <w:left w:val="nil"/>
              <w:bottom w:val="single" w:sz="4" w:space="0" w:color="auto"/>
              <w:right w:val="single" w:sz="4" w:space="0" w:color="auto"/>
            </w:tcBorders>
            <w:shd w:val="clear" w:color="000000" w:fill="BFBFBF"/>
            <w:vAlign w:val="center"/>
            <w:hideMark/>
          </w:tcPr>
          <w:p w:rsidR="008921BF" w:rsidRPr="00E2059E" w:rsidRDefault="008921BF" w:rsidP="00031B92">
            <w:pPr>
              <w:spacing w:after="0" w:line="240" w:lineRule="auto"/>
              <w:jc w:val="center"/>
              <w:rPr>
                <w:rFonts w:ascii="Calibri" w:eastAsia="Times New Roman" w:hAnsi="Calibri" w:cs="Times New Roman"/>
                <w:b/>
                <w:bCs/>
                <w:color w:val="000000"/>
                <w:lang w:eastAsia="en-GB"/>
              </w:rPr>
            </w:pPr>
            <w:r w:rsidRPr="00E2059E">
              <w:rPr>
                <w:rFonts w:ascii="Calibri" w:eastAsia="Times New Roman" w:hAnsi="Calibri" w:cs="Times New Roman"/>
                <w:b/>
                <w:bCs/>
                <w:color w:val="000000"/>
                <w:lang w:eastAsia="en-GB"/>
              </w:rPr>
              <w:t>No.</w:t>
            </w:r>
          </w:p>
        </w:tc>
        <w:tc>
          <w:tcPr>
            <w:tcW w:w="1600" w:type="dxa"/>
            <w:tcBorders>
              <w:top w:val="nil"/>
              <w:left w:val="nil"/>
              <w:bottom w:val="single" w:sz="4" w:space="0" w:color="auto"/>
              <w:right w:val="single" w:sz="4" w:space="0" w:color="auto"/>
            </w:tcBorders>
            <w:shd w:val="clear" w:color="000000" w:fill="BFBFBF"/>
            <w:vAlign w:val="center"/>
            <w:hideMark/>
          </w:tcPr>
          <w:p w:rsidR="008921BF" w:rsidRPr="00E2059E" w:rsidRDefault="008921BF" w:rsidP="00031B92">
            <w:pPr>
              <w:spacing w:after="0" w:line="240" w:lineRule="auto"/>
              <w:jc w:val="center"/>
              <w:rPr>
                <w:rFonts w:ascii="Calibri" w:eastAsia="Times New Roman" w:hAnsi="Calibri" w:cs="Times New Roman"/>
                <w:b/>
                <w:bCs/>
                <w:color w:val="000000"/>
                <w:lang w:eastAsia="en-GB"/>
              </w:rPr>
            </w:pPr>
            <w:r w:rsidRPr="00E2059E">
              <w:rPr>
                <w:rFonts w:ascii="Calibri" w:eastAsia="Times New Roman" w:hAnsi="Calibri" w:cs="Times New Roman"/>
                <w:b/>
                <w:bCs/>
                <w:color w:val="000000"/>
                <w:lang w:eastAsia="en-GB"/>
              </w:rPr>
              <w:t>% of Total Service Users</w:t>
            </w:r>
          </w:p>
        </w:tc>
        <w:tc>
          <w:tcPr>
            <w:tcW w:w="820" w:type="dxa"/>
            <w:tcBorders>
              <w:top w:val="nil"/>
              <w:left w:val="nil"/>
              <w:bottom w:val="single" w:sz="4" w:space="0" w:color="auto"/>
              <w:right w:val="single" w:sz="4" w:space="0" w:color="auto"/>
            </w:tcBorders>
            <w:shd w:val="clear" w:color="000000" w:fill="BFBFBF"/>
            <w:vAlign w:val="center"/>
            <w:hideMark/>
          </w:tcPr>
          <w:p w:rsidR="008921BF" w:rsidRPr="00E2059E" w:rsidRDefault="008921BF" w:rsidP="00031B92">
            <w:pPr>
              <w:spacing w:after="0" w:line="240" w:lineRule="auto"/>
              <w:jc w:val="center"/>
              <w:rPr>
                <w:rFonts w:ascii="Calibri" w:eastAsia="Times New Roman" w:hAnsi="Calibri" w:cs="Times New Roman"/>
                <w:b/>
                <w:bCs/>
                <w:color w:val="000000"/>
                <w:lang w:eastAsia="en-GB"/>
              </w:rPr>
            </w:pPr>
            <w:r w:rsidRPr="00E2059E">
              <w:rPr>
                <w:rFonts w:ascii="Calibri" w:eastAsia="Times New Roman" w:hAnsi="Calibri" w:cs="Times New Roman"/>
                <w:b/>
                <w:bCs/>
                <w:color w:val="000000"/>
                <w:lang w:eastAsia="en-GB"/>
              </w:rPr>
              <w:t>No.</w:t>
            </w:r>
          </w:p>
        </w:tc>
        <w:tc>
          <w:tcPr>
            <w:tcW w:w="1780" w:type="dxa"/>
            <w:tcBorders>
              <w:top w:val="nil"/>
              <w:left w:val="nil"/>
              <w:bottom w:val="single" w:sz="4" w:space="0" w:color="auto"/>
              <w:right w:val="single" w:sz="4" w:space="0" w:color="auto"/>
            </w:tcBorders>
            <w:shd w:val="clear" w:color="000000" w:fill="BFBFBF"/>
            <w:vAlign w:val="center"/>
            <w:hideMark/>
          </w:tcPr>
          <w:p w:rsidR="008921BF" w:rsidRPr="00E2059E" w:rsidRDefault="008921BF" w:rsidP="00031B92">
            <w:pPr>
              <w:spacing w:after="0" w:line="240" w:lineRule="auto"/>
              <w:jc w:val="center"/>
              <w:rPr>
                <w:rFonts w:ascii="Calibri" w:eastAsia="Times New Roman" w:hAnsi="Calibri" w:cs="Times New Roman"/>
                <w:b/>
                <w:bCs/>
                <w:color w:val="000000"/>
                <w:lang w:eastAsia="en-GB"/>
              </w:rPr>
            </w:pPr>
            <w:r w:rsidRPr="00E2059E">
              <w:rPr>
                <w:rFonts w:ascii="Calibri" w:eastAsia="Times New Roman" w:hAnsi="Calibri" w:cs="Times New Roman"/>
                <w:b/>
                <w:bCs/>
                <w:color w:val="000000"/>
                <w:lang w:eastAsia="en-GB"/>
              </w:rPr>
              <w:t>% of Total Service Users</w:t>
            </w:r>
          </w:p>
        </w:tc>
      </w:tr>
      <w:tr w:rsidR="008921BF" w:rsidRPr="00E2059E" w:rsidTr="00031B92">
        <w:trPr>
          <w:trHeight w:val="300"/>
        </w:trPr>
        <w:tc>
          <w:tcPr>
            <w:tcW w:w="1985" w:type="dxa"/>
            <w:tcBorders>
              <w:top w:val="nil"/>
              <w:left w:val="single" w:sz="4" w:space="0" w:color="auto"/>
              <w:bottom w:val="single" w:sz="4" w:space="0" w:color="auto"/>
              <w:right w:val="single" w:sz="4" w:space="0" w:color="auto"/>
            </w:tcBorders>
            <w:shd w:val="clear" w:color="auto" w:fill="auto"/>
            <w:noWrap/>
            <w:vAlign w:val="center"/>
            <w:hideMark/>
          </w:tcPr>
          <w:p w:rsidR="008921BF" w:rsidRPr="00E2059E" w:rsidRDefault="008921BF" w:rsidP="00031B92">
            <w:pPr>
              <w:spacing w:after="0" w:line="240" w:lineRule="auto"/>
              <w:jc w:val="center"/>
              <w:rPr>
                <w:rFonts w:ascii="Calibri" w:eastAsia="Times New Roman" w:hAnsi="Calibri" w:cs="Times New Roman"/>
                <w:color w:val="000000"/>
                <w:lang w:eastAsia="en-GB"/>
              </w:rPr>
            </w:pPr>
            <w:r w:rsidRPr="00E2059E">
              <w:rPr>
                <w:rFonts w:ascii="Calibri" w:eastAsia="Times New Roman" w:hAnsi="Calibri" w:cs="Times New Roman"/>
                <w:color w:val="000000"/>
                <w:lang w:eastAsia="en-GB"/>
              </w:rPr>
              <w:t>Physical / Sensory Impairment (18-64)</w:t>
            </w:r>
          </w:p>
        </w:tc>
        <w:tc>
          <w:tcPr>
            <w:tcW w:w="1103" w:type="dxa"/>
            <w:tcBorders>
              <w:top w:val="nil"/>
              <w:left w:val="nil"/>
              <w:bottom w:val="single" w:sz="4" w:space="0" w:color="auto"/>
              <w:right w:val="single" w:sz="4" w:space="0" w:color="auto"/>
            </w:tcBorders>
            <w:shd w:val="clear" w:color="auto" w:fill="auto"/>
            <w:noWrap/>
            <w:vAlign w:val="center"/>
            <w:hideMark/>
          </w:tcPr>
          <w:p w:rsidR="008921BF" w:rsidRPr="00E2059E" w:rsidRDefault="008921BF" w:rsidP="00031B92">
            <w:pPr>
              <w:spacing w:after="0" w:line="240" w:lineRule="auto"/>
              <w:jc w:val="center"/>
              <w:rPr>
                <w:rFonts w:ascii="Calibri" w:eastAsia="Times New Roman" w:hAnsi="Calibri" w:cs="Times New Roman"/>
                <w:color w:val="000000"/>
                <w:lang w:eastAsia="en-GB"/>
              </w:rPr>
            </w:pPr>
            <w:r w:rsidRPr="00E2059E">
              <w:rPr>
                <w:rFonts w:ascii="Calibri" w:eastAsia="Times New Roman" w:hAnsi="Calibri" w:cs="Times New Roman"/>
                <w:color w:val="000000"/>
                <w:lang w:eastAsia="en-GB"/>
              </w:rPr>
              <w:t>253</w:t>
            </w:r>
          </w:p>
        </w:tc>
        <w:tc>
          <w:tcPr>
            <w:tcW w:w="1660" w:type="dxa"/>
            <w:tcBorders>
              <w:top w:val="nil"/>
              <w:left w:val="nil"/>
              <w:bottom w:val="single" w:sz="4" w:space="0" w:color="auto"/>
              <w:right w:val="single" w:sz="4" w:space="0" w:color="auto"/>
            </w:tcBorders>
            <w:shd w:val="clear" w:color="auto" w:fill="auto"/>
            <w:noWrap/>
            <w:vAlign w:val="center"/>
            <w:hideMark/>
          </w:tcPr>
          <w:p w:rsidR="008921BF" w:rsidRPr="00E2059E" w:rsidRDefault="008921BF" w:rsidP="00031B92">
            <w:pPr>
              <w:spacing w:after="0" w:line="240" w:lineRule="auto"/>
              <w:jc w:val="center"/>
              <w:rPr>
                <w:rFonts w:ascii="Calibri" w:eastAsia="Times New Roman" w:hAnsi="Calibri" w:cs="Times New Roman"/>
                <w:color w:val="000000"/>
                <w:lang w:eastAsia="en-GB"/>
              </w:rPr>
            </w:pPr>
            <w:r w:rsidRPr="00E2059E">
              <w:rPr>
                <w:rFonts w:ascii="Calibri" w:eastAsia="Times New Roman" w:hAnsi="Calibri" w:cs="Times New Roman"/>
                <w:color w:val="000000"/>
                <w:lang w:eastAsia="en-GB"/>
              </w:rPr>
              <w:t>31.0%</w:t>
            </w:r>
          </w:p>
        </w:tc>
        <w:tc>
          <w:tcPr>
            <w:tcW w:w="820" w:type="dxa"/>
            <w:tcBorders>
              <w:top w:val="nil"/>
              <w:left w:val="nil"/>
              <w:bottom w:val="single" w:sz="4" w:space="0" w:color="auto"/>
              <w:right w:val="single" w:sz="4" w:space="0" w:color="auto"/>
            </w:tcBorders>
            <w:shd w:val="clear" w:color="auto" w:fill="auto"/>
            <w:vAlign w:val="center"/>
            <w:hideMark/>
          </w:tcPr>
          <w:p w:rsidR="008921BF" w:rsidRPr="00E2059E" w:rsidRDefault="008921BF" w:rsidP="00031B92">
            <w:pPr>
              <w:spacing w:after="0" w:line="240" w:lineRule="auto"/>
              <w:jc w:val="center"/>
              <w:rPr>
                <w:rFonts w:ascii="Calibri" w:eastAsia="Times New Roman" w:hAnsi="Calibri" w:cs="Times New Roman"/>
                <w:color w:val="000000"/>
                <w:lang w:eastAsia="en-GB"/>
              </w:rPr>
            </w:pPr>
            <w:r w:rsidRPr="00E2059E">
              <w:rPr>
                <w:rFonts w:ascii="Calibri" w:eastAsia="Times New Roman" w:hAnsi="Calibri" w:cs="Times New Roman"/>
                <w:color w:val="000000"/>
                <w:lang w:eastAsia="en-GB"/>
              </w:rPr>
              <w:t>288</w:t>
            </w:r>
          </w:p>
        </w:tc>
        <w:tc>
          <w:tcPr>
            <w:tcW w:w="1600" w:type="dxa"/>
            <w:tcBorders>
              <w:top w:val="nil"/>
              <w:left w:val="nil"/>
              <w:bottom w:val="single" w:sz="4" w:space="0" w:color="auto"/>
              <w:right w:val="single" w:sz="4" w:space="0" w:color="auto"/>
            </w:tcBorders>
            <w:shd w:val="clear" w:color="auto" w:fill="auto"/>
            <w:noWrap/>
            <w:vAlign w:val="center"/>
            <w:hideMark/>
          </w:tcPr>
          <w:p w:rsidR="008921BF" w:rsidRPr="00E2059E" w:rsidRDefault="008921BF" w:rsidP="00031B92">
            <w:pPr>
              <w:spacing w:after="0" w:line="240" w:lineRule="auto"/>
              <w:jc w:val="center"/>
              <w:rPr>
                <w:rFonts w:ascii="Calibri" w:eastAsia="Times New Roman" w:hAnsi="Calibri" w:cs="Times New Roman"/>
                <w:color w:val="000000"/>
                <w:lang w:eastAsia="en-GB"/>
              </w:rPr>
            </w:pPr>
            <w:r w:rsidRPr="00E2059E">
              <w:rPr>
                <w:rFonts w:ascii="Calibri" w:eastAsia="Times New Roman" w:hAnsi="Calibri" w:cs="Times New Roman"/>
                <w:color w:val="000000"/>
                <w:lang w:eastAsia="en-GB"/>
              </w:rPr>
              <w:t>36.3%</w:t>
            </w:r>
          </w:p>
        </w:tc>
        <w:tc>
          <w:tcPr>
            <w:tcW w:w="820" w:type="dxa"/>
            <w:tcBorders>
              <w:top w:val="nil"/>
              <w:left w:val="nil"/>
              <w:bottom w:val="single" w:sz="4" w:space="0" w:color="auto"/>
              <w:right w:val="single" w:sz="4" w:space="0" w:color="auto"/>
            </w:tcBorders>
            <w:shd w:val="clear" w:color="auto" w:fill="auto"/>
            <w:vAlign w:val="center"/>
            <w:hideMark/>
          </w:tcPr>
          <w:p w:rsidR="008921BF" w:rsidRPr="00E2059E" w:rsidRDefault="008921BF" w:rsidP="00031B92">
            <w:pPr>
              <w:spacing w:after="0" w:line="240" w:lineRule="auto"/>
              <w:jc w:val="center"/>
              <w:rPr>
                <w:rFonts w:ascii="Calibri" w:eastAsia="Times New Roman" w:hAnsi="Calibri" w:cs="Times New Roman"/>
                <w:color w:val="000000"/>
                <w:lang w:eastAsia="en-GB"/>
              </w:rPr>
            </w:pPr>
            <w:r w:rsidRPr="00E2059E">
              <w:rPr>
                <w:rFonts w:ascii="Calibri" w:eastAsia="Times New Roman" w:hAnsi="Calibri" w:cs="Times New Roman"/>
                <w:color w:val="000000"/>
                <w:lang w:eastAsia="en-GB"/>
              </w:rPr>
              <w:t>298</w:t>
            </w:r>
          </w:p>
        </w:tc>
        <w:tc>
          <w:tcPr>
            <w:tcW w:w="1780" w:type="dxa"/>
            <w:tcBorders>
              <w:top w:val="nil"/>
              <w:left w:val="nil"/>
              <w:bottom w:val="single" w:sz="4" w:space="0" w:color="auto"/>
              <w:right w:val="single" w:sz="4" w:space="0" w:color="auto"/>
            </w:tcBorders>
            <w:shd w:val="clear" w:color="auto" w:fill="auto"/>
            <w:noWrap/>
            <w:vAlign w:val="center"/>
            <w:hideMark/>
          </w:tcPr>
          <w:p w:rsidR="008921BF" w:rsidRPr="00E2059E" w:rsidRDefault="008921BF" w:rsidP="00031B92">
            <w:pPr>
              <w:spacing w:after="0" w:line="240" w:lineRule="auto"/>
              <w:jc w:val="center"/>
              <w:rPr>
                <w:rFonts w:ascii="Calibri" w:eastAsia="Times New Roman" w:hAnsi="Calibri" w:cs="Times New Roman"/>
                <w:color w:val="000000"/>
                <w:lang w:eastAsia="en-GB"/>
              </w:rPr>
            </w:pPr>
            <w:r w:rsidRPr="00E2059E">
              <w:rPr>
                <w:rFonts w:ascii="Calibri" w:eastAsia="Times New Roman" w:hAnsi="Calibri" w:cs="Times New Roman"/>
                <w:color w:val="000000"/>
                <w:lang w:eastAsia="en-GB"/>
              </w:rPr>
              <w:t>39.2%</w:t>
            </w:r>
          </w:p>
        </w:tc>
      </w:tr>
      <w:tr w:rsidR="008921BF" w:rsidRPr="00E2059E" w:rsidTr="00031B92">
        <w:trPr>
          <w:trHeight w:val="300"/>
        </w:trPr>
        <w:tc>
          <w:tcPr>
            <w:tcW w:w="1985" w:type="dxa"/>
            <w:tcBorders>
              <w:top w:val="nil"/>
              <w:left w:val="single" w:sz="4" w:space="0" w:color="auto"/>
              <w:bottom w:val="single" w:sz="4" w:space="0" w:color="auto"/>
              <w:right w:val="single" w:sz="4" w:space="0" w:color="auto"/>
            </w:tcBorders>
            <w:shd w:val="clear" w:color="auto" w:fill="auto"/>
            <w:noWrap/>
            <w:vAlign w:val="center"/>
            <w:hideMark/>
          </w:tcPr>
          <w:p w:rsidR="008921BF" w:rsidRPr="00E2059E" w:rsidRDefault="008921BF" w:rsidP="00031B92">
            <w:pPr>
              <w:spacing w:after="0" w:line="240" w:lineRule="auto"/>
              <w:jc w:val="center"/>
              <w:rPr>
                <w:rFonts w:ascii="Calibri" w:eastAsia="Times New Roman" w:hAnsi="Calibri" w:cs="Times New Roman"/>
                <w:color w:val="000000"/>
                <w:lang w:eastAsia="en-GB"/>
              </w:rPr>
            </w:pPr>
            <w:r w:rsidRPr="00E2059E">
              <w:rPr>
                <w:rFonts w:ascii="Calibri" w:eastAsia="Times New Roman" w:hAnsi="Calibri" w:cs="Times New Roman"/>
                <w:color w:val="000000"/>
                <w:lang w:eastAsia="en-GB"/>
              </w:rPr>
              <w:t>Learning Disability (18-64)</w:t>
            </w:r>
          </w:p>
        </w:tc>
        <w:tc>
          <w:tcPr>
            <w:tcW w:w="1103" w:type="dxa"/>
            <w:tcBorders>
              <w:top w:val="nil"/>
              <w:left w:val="nil"/>
              <w:bottom w:val="single" w:sz="4" w:space="0" w:color="auto"/>
              <w:right w:val="single" w:sz="4" w:space="0" w:color="auto"/>
            </w:tcBorders>
            <w:shd w:val="clear" w:color="auto" w:fill="auto"/>
            <w:noWrap/>
            <w:vAlign w:val="center"/>
            <w:hideMark/>
          </w:tcPr>
          <w:p w:rsidR="008921BF" w:rsidRPr="00E2059E" w:rsidRDefault="008921BF" w:rsidP="00031B92">
            <w:pPr>
              <w:spacing w:after="0" w:line="240" w:lineRule="auto"/>
              <w:jc w:val="center"/>
              <w:rPr>
                <w:rFonts w:ascii="Calibri" w:eastAsia="Times New Roman" w:hAnsi="Calibri" w:cs="Times New Roman"/>
                <w:color w:val="000000"/>
                <w:lang w:eastAsia="en-GB"/>
              </w:rPr>
            </w:pPr>
            <w:r w:rsidRPr="00E2059E">
              <w:rPr>
                <w:rFonts w:ascii="Calibri" w:eastAsia="Times New Roman" w:hAnsi="Calibri" w:cs="Times New Roman"/>
                <w:color w:val="000000"/>
                <w:lang w:eastAsia="en-GB"/>
              </w:rPr>
              <w:t>182</w:t>
            </w:r>
          </w:p>
        </w:tc>
        <w:tc>
          <w:tcPr>
            <w:tcW w:w="1660" w:type="dxa"/>
            <w:tcBorders>
              <w:top w:val="nil"/>
              <w:left w:val="nil"/>
              <w:bottom w:val="single" w:sz="4" w:space="0" w:color="auto"/>
              <w:right w:val="single" w:sz="4" w:space="0" w:color="auto"/>
            </w:tcBorders>
            <w:shd w:val="clear" w:color="auto" w:fill="auto"/>
            <w:noWrap/>
            <w:vAlign w:val="center"/>
            <w:hideMark/>
          </w:tcPr>
          <w:p w:rsidR="008921BF" w:rsidRPr="00E2059E" w:rsidRDefault="008921BF" w:rsidP="00031B92">
            <w:pPr>
              <w:spacing w:after="0" w:line="240" w:lineRule="auto"/>
              <w:jc w:val="center"/>
              <w:rPr>
                <w:rFonts w:ascii="Calibri" w:eastAsia="Times New Roman" w:hAnsi="Calibri" w:cs="Times New Roman"/>
                <w:color w:val="000000"/>
                <w:lang w:eastAsia="en-GB"/>
              </w:rPr>
            </w:pPr>
            <w:r w:rsidRPr="00E2059E">
              <w:rPr>
                <w:rFonts w:ascii="Calibri" w:eastAsia="Times New Roman" w:hAnsi="Calibri" w:cs="Times New Roman"/>
                <w:color w:val="000000"/>
                <w:lang w:eastAsia="en-GB"/>
              </w:rPr>
              <w:t>24.0%</w:t>
            </w:r>
          </w:p>
        </w:tc>
        <w:tc>
          <w:tcPr>
            <w:tcW w:w="820" w:type="dxa"/>
            <w:tcBorders>
              <w:top w:val="nil"/>
              <w:left w:val="nil"/>
              <w:bottom w:val="single" w:sz="4" w:space="0" w:color="auto"/>
              <w:right w:val="single" w:sz="4" w:space="0" w:color="auto"/>
            </w:tcBorders>
            <w:shd w:val="clear" w:color="auto" w:fill="auto"/>
            <w:vAlign w:val="center"/>
            <w:hideMark/>
          </w:tcPr>
          <w:p w:rsidR="008921BF" w:rsidRPr="00E2059E" w:rsidRDefault="008921BF" w:rsidP="00031B92">
            <w:pPr>
              <w:spacing w:after="0" w:line="240" w:lineRule="auto"/>
              <w:jc w:val="center"/>
              <w:rPr>
                <w:rFonts w:ascii="Calibri" w:eastAsia="Times New Roman" w:hAnsi="Calibri" w:cs="Times New Roman"/>
                <w:color w:val="000000"/>
                <w:lang w:eastAsia="en-GB"/>
              </w:rPr>
            </w:pPr>
            <w:r w:rsidRPr="00E2059E">
              <w:rPr>
                <w:rFonts w:ascii="Calibri" w:eastAsia="Times New Roman" w:hAnsi="Calibri" w:cs="Times New Roman"/>
                <w:color w:val="000000"/>
                <w:lang w:eastAsia="en-GB"/>
              </w:rPr>
              <w:t>209</w:t>
            </w:r>
          </w:p>
        </w:tc>
        <w:tc>
          <w:tcPr>
            <w:tcW w:w="1600" w:type="dxa"/>
            <w:tcBorders>
              <w:top w:val="nil"/>
              <w:left w:val="nil"/>
              <w:bottom w:val="single" w:sz="4" w:space="0" w:color="auto"/>
              <w:right w:val="single" w:sz="4" w:space="0" w:color="auto"/>
            </w:tcBorders>
            <w:shd w:val="clear" w:color="auto" w:fill="auto"/>
            <w:noWrap/>
            <w:vAlign w:val="center"/>
            <w:hideMark/>
          </w:tcPr>
          <w:p w:rsidR="008921BF" w:rsidRPr="00E2059E" w:rsidRDefault="008921BF" w:rsidP="00031B92">
            <w:pPr>
              <w:spacing w:after="0" w:line="240" w:lineRule="auto"/>
              <w:jc w:val="center"/>
              <w:rPr>
                <w:rFonts w:ascii="Calibri" w:eastAsia="Times New Roman" w:hAnsi="Calibri" w:cs="Times New Roman"/>
                <w:color w:val="000000"/>
                <w:lang w:eastAsia="en-GB"/>
              </w:rPr>
            </w:pPr>
            <w:r w:rsidRPr="00E2059E">
              <w:rPr>
                <w:rFonts w:ascii="Calibri" w:eastAsia="Times New Roman" w:hAnsi="Calibri" w:cs="Times New Roman"/>
                <w:color w:val="000000"/>
                <w:lang w:eastAsia="en-GB"/>
              </w:rPr>
              <w:t>27.8%</w:t>
            </w:r>
          </w:p>
        </w:tc>
        <w:tc>
          <w:tcPr>
            <w:tcW w:w="820" w:type="dxa"/>
            <w:tcBorders>
              <w:top w:val="nil"/>
              <w:left w:val="nil"/>
              <w:bottom w:val="single" w:sz="4" w:space="0" w:color="auto"/>
              <w:right w:val="single" w:sz="4" w:space="0" w:color="auto"/>
            </w:tcBorders>
            <w:shd w:val="clear" w:color="auto" w:fill="auto"/>
            <w:vAlign w:val="center"/>
            <w:hideMark/>
          </w:tcPr>
          <w:p w:rsidR="008921BF" w:rsidRPr="00E2059E" w:rsidRDefault="008921BF" w:rsidP="00031B92">
            <w:pPr>
              <w:spacing w:after="0" w:line="240" w:lineRule="auto"/>
              <w:jc w:val="center"/>
              <w:rPr>
                <w:rFonts w:ascii="Calibri" w:eastAsia="Times New Roman" w:hAnsi="Calibri" w:cs="Times New Roman"/>
                <w:color w:val="000000"/>
                <w:lang w:eastAsia="en-GB"/>
              </w:rPr>
            </w:pPr>
            <w:r w:rsidRPr="00E2059E">
              <w:rPr>
                <w:rFonts w:ascii="Calibri" w:eastAsia="Times New Roman" w:hAnsi="Calibri" w:cs="Times New Roman"/>
                <w:color w:val="000000"/>
                <w:lang w:eastAsia="en-GB"/>
              </w:rPr>
              <w:t>258</w:t>
            </w:r>
          </w:p>
        </w:tc>
        <w:tc>
          <w:tcPr>
            <w:tcW w:w="1780" w:type="dxa"/>
            <w:tcBorders>
              <w:top w:val="nil"/>
              <w:left w:val="nil"/>
              <w:bottom w:val="single" w:sz="4" w:space="0" w:color="auto"/>
              <w:right w:val="single" w:sz="4" w:space="0" w:color="auto"/>
            </w:tcBorders>
            <w:shd w:val="clear" w:color="auto" w:fill="auto"/>
            <w:noWrap/>
            <w:vAlign w:val="center"/>
            <w:hideMark/>
          </w:tcPr>
          <w:p w:rsidR="008921BF" w:rsidRPr="00E2059E" w:rsidRDefault="008921BF" w:rsidP="00031B92">
            <w:pPr>
              <w:spacing w:after="0" w:line="240" w:lineRule="auto"/>
              <w:jc w:val="center"/>
              <w:rPr>
                <w:rFonts w:ascii="Calibri" w:eastAsia="Times New Roman" w:hAnsi="Calibri" w:cs="Times New Roman"/>
                <w:color w:val="000000"/>
                <w:lang w:eastAsia="en-GB"/>
              </w:rPr>
            </w:pPr>
            <w:r w:rsidRPr="00E2059E">
              <w:rPr>
                <w:rFonts w:ascii="Calibri" w:eastAsia="Times New Roman" w:hAnsi="Calibri" w:cs="Times New Roman"/>
                <w:color w:val="000000"/>
                <w:lang w:eastAsia="en-GB"/>
              </w:rPr>
              <w:t>33.7%</w:t>
            </w:r>
          </w:p>
        </w:tc>
      </w:tr>
      <w:tr w:rsidR="008921BF" w:rsidRPr="00E2059E" w:rsidTr="00031B92">
        <w:trPr>
          <w:trHeight w:val="300"/>
        </w:trPr>
        <w:tc>
          <w:tcPr>
            <w:tcW w:w="1985" w:type="dxa"/>
            <w:tcBorders>
              <w:top w:val="nil"/>
              <w:left w:val="single" w:sz="4" w:space="0" w:color="auto"/>
              <w:bottom w:val="single" w:sz="4" w:space="0" w:color="auto"/>
              <w:right w:val="single" w:sz="4" w:space="0" w:color="auto"/>
            </w:tcBorders>
            <w:shd w:val="clear" w:color="auto" w:fill="auto"/>
            <w:noWrap/>
            <w:vAlign w:val="center"/>
            <w:hideMark/>
          </w:tcPr>
          <w:p w:rsidR="008921BF" w:rsidRPr="00E2059E" w:rsidRDefault="008921BF" w:rsidP="00031B92">
            <w:pPr>
              <w:spacing w:after="0" w:line="240" w:lineRule="auto"/>
              <w:jc w:val="center"/>
              <w:rPr>
                <w:rFonts w:ascii="Calibri" w:eastAsia="Times New Roman" w:hAnsi="Calibri" w:cs="Times New Roman"/>
                <w:color w:val="000000"/>
                <w:lang w:eastAsia="en-GB"/>
              </w:rPr>
            </w:pPr>
            <w:r w:rsidRPr="00E2059E">
              <w:rPr>
                <w:rFonts w:ascii="Calibri" w:eastAsia="Times New Roman" w:hAnsi="Calibri" w:cs="Times New Roman"/>
                <w:color w:val="000000"/>
                <w:lang w:eastAsia="en-GB"/>
              </w:rPr>
              <w:t>Mental Health (18-64)</w:t>
            </w:r>
          </w:p>
        </w:tc>
        <w:tc>
          <w:tcPr>
            <w:tcW w:w="1103" w:type="dxa"/>
            <w:tcBorders>
              <w:top w:val="nil"/>
              <w:left w:val="nil"/>
              <w:bottom w:val="single" w:sz="4" w:space="0" w:color="auto"/>
              <w:right w:val="single" w:sz="4" w:space="0" w:color="auto"/>
            </w:tcBorders>
            <w:shd w:val="clear" w:color="auto" w:fill="auto"/>
            <w:noWrap/>
            <w:vAlign w:val="center"/>
            <w:hideMark/>
          </w:tcPr>
          <w:p w:rsidR="008921BF" w:rsidRPr="00E2059E" w:rsidRDefault="008921BF" w:rsidP="00031B92">
            <w:pPr>
              <w:spacing w:after="0" w:line="240" w:lineRule="auto"/>
              <w:jc w:val="center"/>
              <w:rPr>
                <w:rFonts w:ascii="Calibri" w:eastAsia="Times New Roman" w:hAnsi="Calibri" w:cs="Times New Roman"/>
                <w:color w:val="000000"/>
                <w:lang w:eastAsia="en-GB"/>
              </w:rPr>
            </w:pPr>
            <w:r w:rsidRPr="00E2059E">
              <w:rPr>
                <w:rFonts w:ascii="Calibri" w:eastAsia="Times New Roman" w:hAnsi="Calibri" w:cs="Times New Roman"/>
                <w:color w:val="000000"/>
                <w:lang w:eastAsia="en-GB"/>
              </w:rPr>
              <w:t>61</w:t>
            </w:r>
          </w:p>
        </w:tc>
        <w:tc>
          <w:tcPr>
            <w:tcW w:w="1660" w:type="dxa"/>
            <w:tcBorders>
              <w:top w:val="nil"/>
              <w:left w:val="nil"/>
              <w:bottom w:val="single" w:sz="4" w:space="0" w:color="auto"/>
              <w:right w:val="single" w:sz="4" w:space="0" w:color="auto"/>
            </w:tcBorders>
            <w:shd w:val="clear" w:color="auto" w:fill="auto"/>
            <w:noWrap/>
            <w:vAlign w:val="center"/>
            <w:hideMark/>
          </w:tcPr>
          <w:p w:rsidR="008921BF" w:rsidRPr="00E2059E" w:rsidRDefault="008921BF" w:rsidP="00031B92">
            <w:pPr>
              <w:spacing w:after="0" w:line="240" w:lineRule="auto"/>
              <w:jc w:val="center"/>
              <w:rPr>
                <w:rFonts w:ascii="Calibri" w:eastAsia="Times New Roman" w:hAnsi="Calibri" w:cs="Times New Roman"/>
                <w:color w:val="000000"/>
                <w:lang w:eastAsia="en-GB"/>
              </w:rPr>
            </w:pPr>
            <w:r w:rsidRPr="00E2059E">
              <w:rPr>
                <w:rFonts w:ascii="Calibri" w:eastAsia="Times New Roman" w:hAnsi="Calibri" w:cs="Times New Roman"/>
                <w:color w:val="000000"/>
                <w:lang w:eastAsia="en-GB"/>
              </w:rPr>
              <w:t>5.8%</w:t>
            </w:r>
          </w:p>
        </w:tc>
        <w:tc>
          <w:tcPr>
            <w:tcW w:w="820" w:type="dxa"/>
            <w:tcBorders>
              <w:top w:val="nil"/>
              <w:left w:val="nil"/>
              <w:bottom w:val="single" w:sz="4" w:space="0" w:color="auto"/>
              <w:right w:val="single" w:sz="4" w:space="0" w:color="auto"/>
            </w:tcBorders>
            <w:shd w:val="clear" w:color="auto" w:fill="auto"/>
            <w:vAlign w:val="center"/>
            <w:hideMark/>
          </w:tcPr>
          <w:p w:rsidR="008921BF" w:rsidRPr="00E2059E" w:rsidRDefault="008921BF" w:rsidP="00031B92">
            <w:pPr>
              <w:spacing w:after="0" w:line="240" w:lineRule="auto"/>
              <w:jc w:val="center"/>
              <w:rPr>
                <w:rFonts w:ascii="Calibri" w:eastAsia="Times New Roman" w:hAnsi="Calibri" w:cs="Times New Roman"/>
                <w:color w:val="000000"/>
                <w:lang w:eastAsia="en-GB"/>
              </w:rPr>
            </w:pPr>
            <w:r w:rsidRPr="00E2059E">
              <w:rPr>
                <w:rFonts w:ascii="Calibri" w:eastAsia="Times New Roman" w:hAnsi="Calibri" w:cs="Times New Roman"/>
                <w:color w:val="000000"/>
                <w:lang w:eastAsia="en-GB"/>
              </w:rPr>
              <w:t>67</w:t>
            </w:r>
          </w:p>
        </w:tc>
        <w:tc>
          <w:tcPr>
            <w:tcW w:w="1600" w:type="dxa"/>
            <w:tcBorders>
              <w:top w:val="nil"/>
              <w:left w:val="nil"/>
              <w:bottom w:val="single" w:sz="4" w:space="0" w:color="auto"/>
              <w:right w:val="single" w:sz="4" w:space="0" w:color="auto"/>
            </w:tcBorders>
            <w:shd w:val="clear" w:color="auto" w:fill="auto"/>
            <w:noWrap/>
            <w:vAlign w:val="center"/>
            <w:hideMark/>
          </w:tcPr>
          <w:p w:rsidR="008921BF" w:rsidRPr="00E2059E" w:rsidRDefault="008921BF" w:rsidP="00031B92">
            <w:pPr>
              <w:spacing w:after="0" w:line="240" w:lineRule="auto"/>
              <w:jc w:val="center"/>
              <w:rPr>
                <w:rFonts w:ascii="Calibri" w:eastAsia="Times New Roman" w:hAnsi="Calibri" w:cs="Times New Roman"/>
                <w:color w:val="000000"/>
                <w:lang w:eastAsia="en-GB"/>
              </w:rPr>
            </w:pPr>
            <w:r w:rsidRPr="00E2059E">
              <w:rPr>
                <w:rFonts w:ascii="Calibri" w:eastAsia="Times New Roman" w:hAnsi="Calibri" w:cs="Times New Roman"/>
                <w:color w:val="000000"/>
                <w:lang w:eastAsia="en-GB"/>
              </w:rPr>
              <w:t>5.7%</w:t>
            </w:r>
          </w:p>
        </w:tc>
        <w:tc>
          <w:tcPr>
            <w:tcW w:w="820" w:type="dxa"/>
            <w:tcBorders>
              <w:top w:val="nil"/>
              <w:left w:val="nil"/>
              <w:bottom w:val="single" w:sz="4" w:space="0" w:color="auto"/>
              <w:right w:val="single" w:sz="4" w:space="0" w:color="auto"/>
            </w:tcBorders>
            <w:shd w:val="clear" w:color="auto" w:fill="auto"/>
            <w:vAlign w:val="center"/>
            <w:hideMark/>
          </w:tcPr>
          <w:p w:rsidR="008921BF" w:rsidRPr="00E2059E" w:rsidRDefault="008921BF" w:rsidP="00031B92">
            <w:pPr>
              <w:spacing w:after="0" w:line="240" w:lineRule="auto"/>
              <w:jc w:val="center"/>
              <w:rPr>
                <w:rFonts w:ascii="Calibri" w:eastAsia="Times New Roman" w:hAnsi="Calibri" w:cs="Times New Roman"/>
                <w:color w:val="000000"/>
                <w:lang w:eastAsia="en-GB"/>
              </w:rPr>
            </w:pPr>
            <w:r w:rsidRPr="00E2059E">
              <w:rPr>
                <w:rFonts w:ascii="Calibri" w:eastAsia="Times New Roman" w:hAnsi="Calibri" w:cs="Times New Roman"/>
                <w:color w:val="000000"/>
                <w:lang w:eastAsia="en-GB"/>
              </w:rPr>
              <w:t>84</w:t>
            </w:r>
          </w:p>
        </w:tc>
        <w:tc>
          <w:tcPr>
            <w:tcW w:w="1780" w:type="dxa"/>
            <w:tcBorders>
              <w:top w:val="nil"/>
              <w:left w:val="nil"/>
              <w:bottom w:val="single" w:sz="4" w:space="0" w:color="auto"/>
              <w:right w:val="single" w:sz="4" w:space="0" w:color="auto"/>
            </w:tcBorders>
            <w:shd w:val="clear" w:color="auto" w:fill="auto"/>
            <w:noWrap/>
            <w:vAlign w:val="center"/>
            <w:hideMark/>
          </w:tcPr>
          <w:p w:rsidR="008921BF" w:rsidRPr="00E2059E" w:rsidRDefault="008921BF" w:rsidP="00031B92">
            <w:pPr>
              <w:spacing w:after="0" w:line="240" w:lineRule="auto"/>
              <w:jc w:val="center"/>
              <w:rPr>
                <w:rFonts w:ascii="Calibri" w:eastAsia="Times New Roman" w:hAnsi="Calibri" w:cs="Times New Roman"/>
                <w:color w:val="000000"/>
                <w:lang w:eastAsia="en-GB"/>
              </w:rPr>
            </w:pPr>
            <w:r w:rsidRPr="00E2059E">
              <w:rPr>
                <w:rFonts w:ascii="Calibri" w:eastAsia="Times New Roman" w:hAnsi="Calibri" w:cs="Times New Roman"/>
                <w:color w:val="000000"/>
                <w:lang w:eastAsia="en-GB"/>
              </w:rPr>
              <w:t>7.5%</w:t>
            </w:r>
          </w:p>
        </w:tc>
      </w:tr>
      <w:tr w:rsidR="008921BF" w:rsidRPr="00E2059E" w:rsidTr="00031B92">
        <w:trPr>
          <w:trHeight w:val="300"/>
        </w:trPr>
        <w:tc>
          <w:tcPr>
            <w:tcW w:w="1985" w:type="dxa"/>
            <w:tcBorders>
              <w:top w:val="nil"/>
              <w:left w:val="single" w:sz="4" w:space="0" w:color="auto"/>
              <w:bottom w:val="single" w:sz="4" w:space="0" w:color="auto"/>
              <w:right w:val="single" w:sz="4" w:space="0" w:color="auto"/>
            </w:tcBorders>
            <w:shd w:val="clear" w:color="auto" w:fill="auto"/>
            <w:noWrap/>
            <w:vAlign w:val="center"/>
            <w:hideMark/>
          </w:tcPr>
          <w:p w:rsidR="008921BF" w:rsidRPr="00E2059E" w:rsidRDefault="008921BF" w:rsidP="00031B92">
            <w:pPr>
              <w:spacing w:after="0" w:line="240" w:lineRule="auto"/>
              <w:jc w:val="center"/>
              <w:rPr>
                <w:rFonts w:ascii="Calibri" w:eastAsia="Times New Roman" w:hAnsi="Calibri" w:cs="Times New Roman"/>
                <w:color w:val="000000"/>
                <w:lang w:eastAsia="en-GB"/>
              </w:rPr>
            </w:pPr>
            <w:r w:rsidRPr="00E2059E">
              <w:rPr>
                <w:rFonts w:ascii="Calibri" w:eastAsia="Times New Roman" w:hAnsi="Calibri" w:cs="Times New Roman"/>
                <w:color w:val="000000"/>
                <w:lang w:eastAsia="en-GB"/>
              </w:rPr>
              <w:t>Other (18-64)</w:t>
            </w:r>
          </w:p>
        </w:tc>
        <w:tc>
          <w:tcPr>
            <w:tcW w:w="1103" w:type="dxa"/>
            <w:tcBorders>
              <w:top w:val="nil"/>
              <w:left w:val="nil"/>
              <w:bottom w:val="single" w:sz="4" w:space="0" w:color="auto"/>
              <w:right w:val="single" w:sz="4" w:space="0" w:color="auto"/>
            </w:tcBorders>
            <w:shd w:val="clear" w:color="auto" w:fill="auto"/>
            <w:noWrap/>
            <w:vAlign w:val="center"/>
            <w:hideMark/>
          </w:tcPr>
          <w:p w:rsidR="008921BF" w:rsidRPr="00E2059E" w:rsidRDefault="008921BF" w:rsidP="00031B92">
            <w:pPr>
              <w:spacing w:after="0" w:line="240" w:lineRule="auto"/>
              <w:jc w:val="center"/>
              <w:rPr>
                <w:rFonts w:ascii="Calibri" w:eastAsia="Times New Roman" w:hAnsi="Calibri" w:cs="Times New Roman"/>
                <w:color w:val="000000"/>
                <w:lang w:eastAsia="en-GB"/>
              </w:rPr>
            </w:pPr>
            <w:r w:rsidRPr="00E2059E">
              <w:rPr>
                <w:rFonts w:ascii="Calibri" w:eastAsia="Times New Roman" w:hAnsi="Calibri" w:cs="Times New Roman"/>
                <w:color w:val="000000"/>
                <w:lang w:eastAsia="en-GB"/>
              </w:rPr>
              <w:t>2</w:t>
            </w:r>
          </w:p>
        </w:tc>
        <w:tc>
          <w:tcPr>
            <w:tcW w:w="1660" w:type="dxa"/>
            <w:tcBorders>
              <w:top w:val="nil"/>
              <w:left w:val="nil"/>
              <w:bottom w:val="single" w:sz="4" w:space="0" w:color="auto"/>
              <w:right w:val="single" w:sz="4" w:space="0" w:color="auto"/>
            </w:tcBorders>
            <w:shd w:val="clear" w:color="auto" w:fill="auto"/>
            <w:noWrap/>
            <w:vAlign w:val="center"/>
            <w:hideMark/>
          </w:tcPr>
          <w:p w:rsidR="008921BF" w:rsidRPr="00E2059E" w:rsidRDefault="008921BF" w:rsidP="00031B92">
            <w:pPr>
              <w:spacing w:after="0" w:line="240" w:lineRule="auto"/>
              <w:jc w:val="center"/>
              <w:rPr>
                <w:rFonts w:ascii="Calibri" w:eastAsia="Times New Roman" w:hAnsi="Calibri" w:cs="Times New Roman"/>
                <w:color w:val="000000"/>
                <w:lang w:eastAsia="en-GB"/>
              </w:rPr>
            </w:pPr>
            <w:r w:rsidRPr="00E2059E">
              <w:rPr>
                <w:rFonts w:ascii="Calibri" w:eastAsia="Times New Roman" w:hAnsi="Calibri" w:cs="Times New Roman"/>
                <w:color w:val="000000"/>
                <w:lang w:eastAsia="en-GB"/>
              </w:rPr>
              <w:t>6.7%</w:t>
            </w:r>
          </w:p>
        </w:tc>
        <w:tc>
          <w:tcPr>
            <w:tcW w:w="820" w:type="dxa"/>
            <w:tcBorders>
              <w:top w:val="nil"/>
              <w:left w:val="nil"/>
              <w:bottom w:val="single" w:sz="4" w:space="0" w:color="auto"/>
              <w:right w:val="single" w:sz="4" w:space="0" w:color="auto"/>
            </w:tcBorders>
            <w:shd w:val="clear" w:color="auto" w:fill="auto"/>
            <w:vAlign w:val="center"/>
            <w:hideMark/>
          </w:tcPr>
          <w:p w:rsidR="008921BF" w:rsidRPr="00E2059E" w:rsidRDefault="008921BF" w:rsidP="00031B92">
            <w:pPr>
              <w:spacing w:after="0" w:line="240" w:lineRule="auto"/>
              <w:jc w:val="center"/>
              <w:rPr>
                <w:rFonts w:ascii="Calibri" w:eastAsia="Times New Roman" w:hAnsi="Calibri" w:cs="Times New Roman"/>
                <w:color w:val="000000"/>
                <w:lang w:eastAsia="en-GB"/>
              </w:rPr>
            </w:pPr>
            <w:r w:rsidRPr="00E2059E">
              <w:rPr>
                <w:rFonts w:ascii="Calibri" w:eastAsia="Times New Roman" w:hAnsi="Calibri" w:cs="Times New Roman"/>
                <w:color w:val="000000"/>
                <w:lang w:eastAsia="en-GB"/>
              </w:rPr>
              <w:t>8</w:t>
            </w:r>
          </w:p>
        </w:tc>
        <w:tc>
          <w:tcPr>
            <w:tcW w:w="1600" w:type="dxa"/>
            <w:tcBorders>
              <w:top w:val="nil"/>
              <w:left w:val="nil"/>
              <w:bottom w:val="single" w:sz="4" w:space="0" w:color="auto"/>
              <w:right w:val="single" w:sz="4" w:space="0" w:color="auto"/>
            </w:tcBorders>
            <w:shd w:val="clear" w:color="auto" w:fill="auto"/>
            <w:noWrap/>
            <w:vAlign w:val="center"/>
            <w:hideMark/>
          </w:tcPr>
          <w:p w:rsidR="008921BF" w:rsidRPr="00E2059E" w:rsidRDefault="008921BF" w:rsidP="00031B92">
            <w:pPr>
              <w:spacing w:after="0" w:line="240" w:lineRule="auto"/>
              <w:jc w:val="center"/>
              <w:rPr>
                <w:rFonts w:ascii="Calibri" w:eastAsia="Times New Roman" w:hAnsi="Calibri" w:cs="Times New Roman"/>
                <w:color w:val="000000"/>
                <w:lang w:eastAsia="en-GB"/>
              </w:rPr>
            </w:pPr>
            <w:r w:rsidRPr="00E2059E">
              <w:rPr>
                <w:rFonts w:ascii="Calibri" w:eastAsia="Times New Roman" w:hAnsi="Calibri" w:cs="Times New Roman"/>
                <w:color w:val="000000"/>
                <w:lang w:eastAsia="en-GB"/>
              </w:rPr>
              <w:t>16.3%</w:t>
            </w:r>
          </w:p>
        </w:tc>
        <w:tc>
          <w:tcPr>
            <w:tcW w:w="820" w:type="dxa"/>
            <w:tcBorders>
              <w:top w:val="nil"/>
              <w:left w:val="nil"/>
              <w:bottom w:val="single" w:sz="4" w:space="0" w:color="auto"/>
              <w:right w:val="single" w:sz="4" w:space="0" w:color="auto"/>
            </w:tcBorders>
            <w:shd w:val="clear" w:color="auto" w:fill="auto"/>
            <w:vAlign w:val="center"/>
            <w:hideMark/>
          </w:tcPr>
          <w:p w:rsidR="008921BF" w:rsidRPr="00E2059E" w:rsidRDefault="008921BF" w:rsidP="00031B92">
            <w:pPr>
              <w:spacing w:after="0" w:line="240" w:lineRule="auto"/>
              <w:jc w:val="center"/>
              <w:rPr>
                <w:rFonts w:ascii="Calibri" w:eastAsia="Times New Roman" w:hAnsi="Calibri" w:cs="Times New Roman"/>
                <w:color w:val="000000"/>
                <w:lang w:eastAsia="en-GB"/>
              </w:rPr>
            </w:pPr>
            <w:r w:rsidRPr="00E2059E">
              <w:rPr>
                <w:rFonts w:ascii="Calibri" w:eastAsia="Times New Roman" w:hAnsi="Calibri" w:cs="Times New Roman"/>
                <w:color w:val="000000"/>
                <w:lang w:eastAsia="en-GB"/>
              </w:rPr>
              <w:t>9</w:t>
            </w:r>
          </w:p>
        </w:tc>
        <w:tc>
          <w:tcPr>
            <w:tcW w:w="1780" w:type="dxa"/>
            <w:tcBorders>
              <w:top w:val="nil"/>
              <w:left w:val="nil"/>
              <w:bottom w:val="single" w:sz="4" w:space="0" w:color="auto"/>
              <w:right w:val="single" w:sz="4" w:space="0" w:color="auto"/>
            </w:tcBorders>
            <w:shd w:val="clear" w:color="auto" w:fill="auto"/>
            <w:noWrap/>
            <w:vAlign w:val="center"/>
            <w:hideMark/>
          </w:tcPr>
          <w:p w:rsidR="008921BF" w:rsidRPr="00E2059E" w:rsidRDefault="008921BF" w:rsidP="00031B92">
            <w:pPr>
              <w:spacing w:after="0" w:line="240" w:lineRule="auto"/>
              <w:jc w:val="center"/>
              <w:rPr>
                <w:rFonts w:ascii="Calibri" w:eastAsia="Times New Roman" w:hAnsi="Calibri" w:cs="Times New Roman"/>
                <w:color w:val="000000"/>
                <w:lang w:eastAsia="en-GB"/>
              </w:rPr>
            </w:pPr>
            <w:r w:rsidRPr="00E2059E">
              <w:rPr>
                <w:rFonts w:ascii="Calibri" w:eastAsia="Times New Roman" w:hAnsi="Calibri" w:cs="Times New Roman"/>
                <w:color w:val="000000"/>
                <w:lang w:eastAsia="en-GB"/>
              </w:rPr>
              <w:t>20.5%</w:t>
            </w:r>
          </w:p>
        </w:tc>
      </w:tr>
      <w:tr w:rsidR="008921BF" w:rsidRPr="00E2059E" w:rsidTr="00031B92">
        <w:trPr>
          <w:trHeight w:val="300"/>
        </w:trPr>
        <w:tc>
          <w:tcPr>
            <w:tcW w:w="1985" w:type="dxa"/>
            <w:tcBorders>
              <w:top w:val="nil"/>
              <w:left w:val="single" w:sz="4" w:space="0" w:color="auto"/>
              <w:bottom w:val="single" w:sz="4" w:space="0" w:color="auto"/>
              <w:right w:val="single" w:sz="4" w:space="0" w:color="auto"/>
            </w:tcBorders>
            <w:shd w:val="clear" w:color="auto" w:fill="auto"/>
            <w:noWrap/>
            <w:vAlign w:val="center"/>
            <w:hideMark/>
          </w:tcPr>
          <w:p w:rsidR="008921BF" w:rsidRPr="00E2059E" w:rsidRDefault="008921BF" w:rsidP="00031B92">
            <w:pPr>
              <w:spacing w:after="0" w:line="240" w:lineRule="auto"/>
              <w:jc w:val="center"/>
              <w:rPr>
                <w:rFonts w:ascii="Calibri" w:eastAsia="Times New Roman" w:hAnsi="Calibri" w:cs="Times New Roman"/>
                <w:color w:val="000000"/>
                <w:lang w:eastAsia="en-GB"/>
              </w:rPr>
            </w:pPr>
            <w:r w:rsidRPr="00E2059E">
              <w:rPr>
                <w:rFonts w:ascii="Calibri" w:eastAsia="Times New Roman" w:hAnsi="Calibri" w:cs="Times New Roman"/>
                <w:color w:val="000000"/>
                <w:lang w:eastAsia="en-GB"/>
              </w:rPr>
              <w:t>Older Adults</w:t>
            </w:r>
          </w:p>
        </w:tc>
        <w:tc>
          <w:tcPr>
            <w:tcW w:w="1103" w:type="dxa"/>
            <w:tcBorders>
              <w:top w:val="nil"/>
              <w:left w:val="nil"/>
              <w:bottom w:val="single" w:sz="4" w:space="0" w:color="auto"/>
              <w:right w:val="single" w:sz="4" w:space="0" w:color="auto"/>
            </w:tcBorders>
            <w:shd w:val="clear" w:color="auto" w:fill="auto"/>
            <w:noWrap/>
            <w:vAlign w:val="center"/>
            <w:hideMark/>
          </w:tcPr>
          <w:p w:rsidR="008921BF" w:rsidRPr="00E2059E" w:rsidRDefault="008921BF" w:rsidP="00031B92">
            <w:pPr>
              <w:spacing w:after="0" w:line="240" w:lineRule="auto"/>
              <w:jc w:val="center"/>
              <w:rPr>
                <w:rFonts w:ascii="Calibri" w:eastAsia="Times New Roman" w:hAnsi="Calibri" w:cs="Times New Roman"/>
                <w:color w:val="000000"/>
                <w:lang w:eastAsia="en-GB"/>
              </w:rPr>
            </w:pPr>
            <w:r w:rsidRPr="00E2059E">
              <w:rPr>
                <w:rFonts w:ascii="Calibri" w:eastAsia="Times New Roman" w:hAnsi="Calibri" w:cs="Times New Roman"/>
                <w:color w:val="000000"/>
                <w:lang w:eastAsia="en-GB"/>
              </w:rPr>
              <w:t>452</w:t>
            </w:r>
          </w:p>
        </w:tc>
        <w:tc>
          <w:tcPr>
            <w:tcW w:w="1660" w:type="dxa"/>
            <w:tcBorders>
              <w:top w:val="nil"/>
              <w:left w:val="nil"/>
              <w:bottom w:val="single" w:sz="4" w:space="0" w:color="auto"/>
              <w:right w:val="single" w:sz="4" w:space="0" w:color="auto"/>
            </w:tcBorders>
            <w:shd w:val="clear" w:color="auto" w:fill="auto"/>
            <w:noWrap/>
            <w:vAlign w:val="center"/>
            <w:hideMark/>
          </w:tcPr>
          <w:p w:rsidR="008921BF" w:rsidRPr="00E2059E" w:rsidRDefault="008921BF" w:rsidP="00031B92">
            <w:pPr>
              <w:spacing w:after="0" w:line="240" w:lineRule="auto"/>
              <w:jc w:val="center"/>
              <w:rPr>
                <w:rFonts w:ascii="Calibri" w:eastAsia="Times New Roman" w:hAnsi="Calibri" w:cs="Times New Roman"/>
                <w:color w:val="000000"/>
                <w:lang w:eastAsia="en-GB"/>
              </w:rPr>
            </w:pPr>
            <w:r w:rsidRPr="00E2059E">
              <w:rPr>
                <w:rFonts w:ascii="Calibri" w:eastAsia="Times New Roman" w:hAnsi="Calibri" w:cs="Times New Roman"/>
                <w:color w:val="000000"/>
                <w:lang w:eastAsia="en-GB"/>
              </w:rPr>
              <w:t>9.3%</w:t>
            </w:r>
          </w:p>
        </w:tc>
        <w:tc>
          <w:tcPr>
            <w:tcW w:w="820" w:type="dxa"/>
            <w:tcBorders>
              <w:top w:val="nil"/>
              <w:left w:val="nil"/>
              <w:bottom w:val="single" w:sz="4" w:space="0" w:color="auto"/>
              <w:right w:val="single" w:sz="4" w:space="0" w:color="auto"/>
            </w:tcBorders>
            <w:shd w:val="clear" w:color="auto" w:fill="auto"/>
            <w:vAlign w:val="center"/>
            <w:hideMark/>
          </w:tcPr>
          <w:p w:rsidR="008921BF" w:rsidRPr="00E2059E" w:rsidRDefault="008921BF" w:rsidP="00031B92">
            <w:pPr>
              <w:spacing w:after="0" w:line="240" w:lineRule="auto"/>
              <w:jc w:val="center"/>
              <w:rPr>
                <w:rFonts w:ascii="Calibri" w:eastAsia="Times New Roman" w:hAnsi="Calibri" w:cs="Times New Roman"/>
                <w:color w:val="000000"/>
                <w:lang w:eastAsia="en-GB"/>
              </w:rPr>
            </w:pPr>
            <w:r w:rsidRPr="00E2059E">
              <w:rPr>
                <w:rFonts w:ascii="Calibri" w:eastAsia="Times New Roman" w:hAnsi="Calibri" w:cs="Times New Roman"/>
                <w:color w:val="000000"/>
                <w:lang w:eastAsia="en-GB"/>
              </w:rPr>
              <w:t>632</w:t>
            </w:r>
          </w:p>
        </w:tc>
        <w:tc>
          <w:tcPr>
            <w:tcW w:w="1600" w:type="dxa"/>
            <w:tcBorders>
              <w:top w:val="nil"/>
              <w:left w:val="nil"/>
              <w:bottom w:val="single" w:sz="4" w:space="0" w:color="auto"/>
              <w:right w:val="single" w:sz="4" w:space="0" w:color="auto"/>
            </w:tcBorders>
            <w:shd w:val="clear" w:color="auto" w:fill="auto"/>
            <w:noWrap/>
            <w:vAlign w:val="center"/>
            <w:hideMark/>
          </w:tcPr>
          <w:p w:rsidR="008921BF" w:rsidRPr="00E2059E" w:rsidRDefault="008921BF" w:rsidP="00031B92">
            <w:pPr>
              <w:spacing w:after="0" w:line="240" w:lineRule="auto"/>
              <w:jc w:val="center"/>
              <w:rPr>
                <w:rFonts w:ascii="Calibri" w:eastAsia="Times New Roman" w:hAnsi="Calibri" w:cs="Times New Roman"/>
                <w:color w:val="000000"/>
                <w:lang w:eastAsia="en-GB"/>
              </w:rPr>
            </w:pPr>
            <w:r w:rsidRPr="00E2059E">
              <w:rPr>
                <w:rFonts w:ascii="Calibri" w:eastAsia="Times New Roman" w:hAnsi="Calibri" w:cs="Times New Roman"/>
                <w:color w:val="000000"/>
                <w:lang w:eastAsia="en-GB"/>
              </w:rPr>
              <w:t>13.2%</w:t>
            </w:r>
          </w:p>
        </w:tc>
        <w:tc>
          <w:tcPr>
            <w:tcW w:w="820" w:type="dxa"/>
            <w:tcBorders>
              <w:top w:val="nil"/>
              <w:left w:val="nil"/>
              <w:bottom w:val="single" w:sz="4" w:space="0" w:color="auto"/>
              <w:right w:val="single" w:sz="4" w:space="0" w:color="auto"/>
            </w:tcBorders>
            <w:shd w:val="clear" w:color="auto" w:fill="auto"/>
            <w:vAlign w:val="center"/>
            <w:hideMark/>
          </w:tcPr>
          <w:p w:rsidR="008921BF" w:rsidRPr="00E2059E" w:rsidRDefault="008921BF" w:rsidP="00031B92">
            <w:pPr>
              <w:spacing w:after="0" w:line="240" w:lineRule="auto"/>
              <w:jc w:val="center"/>
              <w:rPr>
                <w:rFonts w:ascii="Calibri" w:eastAsia="Times New Roman" w:hAnsi="Calibri" w:cs="Times New Roman"/>
                <w:color w:val="000000"/>
                <w:lang w:eastAsia="en-GB"/>
              </w:rPr>
            </w:pPr>
            <w:r w:rsidRPr="00E2059E">
              <w:rPr>
                <w:rFonts w:ascii="Calibri" w:eastAsia="Times New Roman" w:hAnsi="Calibri" w:cs="Times New Roman"/>
                <w:color w:val="000000"/>
                <w:lang w:eastAsia="en-GB"/>
              </w:rPr>
              <w:t>616</w:t>
            </w:r>
          </w:p>
        </w:tc>
        <w:tc>
          <w:tcPr>
            <w:tcW w:w="1780" w:type="dxa"/>
            <w:tcBorders>
              <w:top w:val="nil"/>
              <w:left w:val="nil"/>
              <w:bottom w:val="single" w:sz="4" w:space="0" w:color="auto"/>
              <w:right w:val="single" w:sz="4" w:space="0" w:color="auto"/>
            </w:tcBorders>
            <w:shd w:val="clear" w:color="auto" w:fill="auto"/>
            <w:noWrap/>
            <w:vAlign w:val="center"/>
            <w:hideMark/>
          </w:tcPr>
          <w:p w:rsidR="008921BF" w:rsidRPr="00E2059E" w:rsidRDefault="008921BF" w:rsidP="00031B92">
            <w:pPr>
              <w:spacing w:after="0" w:line="240" w:lineRule="auto"/>
              <w:jc w:val="center"/>
              <w:rPr>
                <w:rFonts w:ascii="Calibri" w:eastAsia="Times New Roman" w:hAnsi="Calibri" w:cs="Times New Roman"/>
                <w:color w:val="000000"/>
                <w:lang w:eastAsia="en-GB"/>
              </w:rPr>
            </w:pPr>
            <w:r w:rsidRPr="00E2059E">
              <w:rPr>
                <w:rFonts w:ascii="Calibri" w:eastAsia="Times New Roman" w:hAnsi="Calibri" w:cs="Times New Roman"/>
                <w:color w:val="000000"/>
                <w:lang w:eastAsia="en-GB"/>
              </w:rPr>
              <w:t>13.0%</w:t>
            </w:r>
          </w:p>
        </w:tc>
      </w:tr>
      <w:tr w:rsidR="008921BF" w:rsidRPr="00E2059E" w:rsidTr="00031B92">
        <w:trPr>
          <w:trHeight w:val="300"/>
        </w:trPr>
        <w:tc>
          <w:tcPr>
            <w:tcW w:w="1985" w:type="dxa"/>
            <w:tcBorders>
              <w:top w:val="nil"/>
              <w:left w:val="single" w:sz="4" w:space="0" w:color="auto"/>
              <w:bottom w:val="single" w:sz="4" w:space="0" w:color="auto"/>
              <w:right w:val="single" w:sz="4" w:space="0" w:color="auto"/>
            </w:tcBorders>
            <w:shd w:val="clear" w:color="auto" w:fill="auto"/>
            <w:noWrap/>
            <w:vAlign w:val="center"/>
            <w:hideMark/>
          </w:tcPr>
          <w:p w:rsidR="008921BF" w:rsidRPr="00E2059E" w:rsidRDefault="008921BF" w:rsidP="00031B92">
            <w:pPr>
              <w:spacing w:after="0" w:line="240" w:lineRule="auto"/>
              <w:jc w:val="center"/>
              <w:rPr>
                <w:rFonts w:ascii="Calibri" w:eastAsia="Times New Roman" w:hAnsi="Calibri" w:cs="Times New Roman"/>
                <w:color w:val="000000"/>
                <w:lang w:eastAsia="en-GB"/>
              </w:rPr>
            </w:pPr>
            <w:r w:rsidRPr="00E2059E">
              <w:rPr>
                <w:rFonts w:ascii="Calibri" w:eastAsia="Times New Roman" w:hAnsi="Calibri" w:cs="Times New Roman"/>
                <w:color w:val="000000"/>
                <w:lang w:eastAsia="en-GB"/>
              </w:rPr>
              <w:t>Total</w:t>
            </w:r>
          </w:p>
        </w:tc>
        <w:tc>
          <w:tcPr>
            <w:tcW w:w="1103" w:type="dxa"/>
            <w:tcBorders>
              <w:top w:val="nil"/>
              <w:left w:val="nil"/>
              <w:bottom w:val="single" w:sz="4" w:space="0" w:color="auto"/>
              <w:right w:val="single" w:sz="4" w:space="0" w:color="auto"/>
            </w:tcBorders>
            <w:shd w:val="clear" w:color="auto" w:fill="auto"/>
            <w:vAlign w:val="center"/>
            <w:hideMark/>
          </w:tcPr>
          <w:p w:rsidR="008921BF" w:rsidRPr="00E2059E" w:rsidRDefault="008921BF" w:rsidP="00031B92">
            <w:pPr>
              <w:spacing w:after="0" w:line="240" w:lineRule="auto"/>
              <w:jc w:val="center"/>
              <w:rPr>
                <w:rFonts w:ascii="Calibri" w:eastAsia="Times New Roman" w:hAnsi="Calibri" w:cs="Times New Roman"/>
                <w:color w:val="000000"/>
                <w:lang w:eastAsia="en-GB"/>
              </w:rPr>
            </w:pPr>
            <w:r w:rsidRPr="00E2059E">
              <w:rPr>
                <w:rFonts w:ascii="Calibri" w:eastAsia="Times New Roman" w:hAnsi="Calibri" w:cs="Times New Roman"/>
                <w:color w:val="000000"/>
                <w:lang w:eastAsia="en-GB"/>
              </w:rPr>
              <w:t>950</w:t>
            </w:r>
          </w:p>
        </w:tc>
        <w:tc>
          <w:tcPr>
            <w:tcW w:w="1660" w:type="dxa"/>
            <w:tcBorders>
              <w:top w:val="nil"/>
              <w:left w:val="nil"/>
              <w:bottom w:val="single" w:sz="4" w:space="0" w:color="auto"/>
              <w:right w:val="single" w:sz="4" w:space="0" w:color="auto"/>
            </w:tcBorders>
            <w:shd w:val="clear" w:color="auto" w:fill="auto"/>
            <w:noWrap/>
            <w:vAlign w:val="center"/>
            <w:hideMark/>
          </w:tcPr>
          <w:p w:rsidR="008921BF" w:rsidRPr="00E2059E" w:rsidRDefault="008921BF" w:rsidP="00031B92">
            <w:pPr>
              <w:spacing w:after="0" w:line="240" w:lineRule="auto"/>
              <w:jc w:val="center"/>
              <w:rPr>
                <w:rFonts w:ascii="Calibri" w:eastAsia="Times New Roman" w:hAnsi="Calibri" w:cs="Times New Roman"/>
                <w:color w:val="000000"/>
                <w:lang w:eastAsia="en-GB"/>
              </w:rPr>
            </w:pPr>
            <w:r w:rsidRPr="00E2059E">
              <w:rPr>
                <w:rFonts w:ascii="Calibri" w:eastAsia="Times New Roman" w:hAnsi="Calibri" w:cs="Times New Roman"/>
                <w:color w:val="000000"/>
                <w:lang w:eastAsia="en-GB"/>
              </w:rPr>
              <w:t>12.6%</w:t>
            </w:r>
          </w:p>
        </w:tc>
        <w:tc>
          <w:tcPr>
            <w:tcW w:w="820" w:type="dxa"/>
            <w:tcBorders>
              <w:top w:val="nil"/>
              <w:left w:val="nil"/>
              <w:bottom w:val="single" w:sz="4" w:space="0" w:color="auto"/>
              <w:right w:val="single" w:sz="4" w:space="0" w:color="auto"/>
            </w:tcBorders>
            <w:shd w:val="clear" w:color="auto" w:fill="auto"/>
            <w:vAlign w:val="center"/>
            <w:hideMark/>
          </w:tcPr>
          <w:p w:rsidR="008921BF" w:rsidRPr="00E2059E" w:rsidRDefault="008921BF" w:rsidP="00031B92">
            <w:pPr>
              <w:spacing w:after="0" w:line="240" w:lineRule="auto"/>
              <w:jc w:val="center"/>
              <w:rPr>
                <w:rFonts w:ascii="Calibri" w:eastAsia="Times New Roman" w:hAnsi="Calibri" w:cs="Times New Roman"/>
                <w:color w:val="000000"/>
                <w:lang w:eastAsia="en-GB"/>
              </w:rPr>
            </w:pPr>
            <w:r w:rsidRPr="00E2059E">
              <w:rPr>
                <w:rFonts w:ascii="Calibri" w:eastAsia="Times New Roman" w:hAnsi="Calibri" w:cs="Times New Roman"/>
                <w:color w:val="000000"/>
                <w:lang w:eastAsia="en-GB"/>
              </w:rPr>
              <w:t>1,204</w:t>
            </w:r>
          </w:p>
        </w:tc>
        <w:tc>
          <w:tcPr>
            <w:tcW w:w="1600" w:type="dxa"/>
            <w:tcBorders>
              <w:top w:val="nil"/>
              <w:left w:val="nil"/>
              <w:bottom w:val="single" w:sz="4" w:space="0" w:color="auto"/>
              <w:right w:val="single" w:sz="4" w:space="0" w:color="auto"/>
            </w:tcBorders>
            <w:shd w:val="clear" w:color="auto" w:fill="auto"/>
            <w:noWrap/>
            <w:vAlign w:val="center"/>
            <w:hideMark/>
          </w:tcPr>
          <w:p w:rsidR="008921BF" w:rsidRPr="00E2059E" w:rsidRDefault="008921BF" w:rsidP="00031B92">
            <w:pPr>
              <w:spacing w:after="0" w:line="240" w:lineRule="auto"/>
              <w:jc w:val="center"/>
              <w:rPr>
                <w:rFonts w:ascii="Calibri" w:eastAsia="Times New Roman" w:hAnsi="Calibri" w:cs="Times New Roman"/>
                <w:color w:val="000000"/>
                <w:lang w:eastAsia="en-GB"/>
              </w:rPr>
            </w:pPr>
            <w:r w:rsidRPr="00E2059E">
              <w:rPr>
                <w:rFonts w:ascii="Calibri" w:eastAsia="Times New Roman" w:hAnsi="Calibri" w:cs="Times New Roman"/>
                <w:color w:val="000000"/>
                <w:lang w:eastAsia="en-GB"/>
              </w:rPr>
              <w:t>16.0%</w:t>
            </w:r>
          </w:p>
        </w:tc>
        <w:tc>
          <w:tcPr>
            <w:tcW w:w="820" w:type="dxa"/>
            <w:tcBorders>
              <w:top w:val="nil"/>
              <w:left w:val="nil"/>
              <w:bottom w:val="single" w:sz="4" w:space="0" w:color="auto"/>
              <w:right w:val="single" w:sz="4" w:space="0" w:color="auto"/>
            </w:tcBorders>
            <w:shd w:val="clear" w:color="auto" w:fill="auto"/>
            <w:vAlign w:val="center"/>
            <w:hideMark/>
          </w:tcPr>
          <w:p w:rsidR="008921BF" w:rsidRPr="00E2059E" w:rsidRDefault="008921BF" w:rsidP="00031B92">
            <w:pPr>
              <w:spacing w:after="0" w:line="240" w:lineRule="auto"/>
              <w:jc w:val="center"/>
              <w:rPr>
                <w:rFonts w:ascii="Calibri" w:eastAsia="Times New Roman" w:hAnsi="Calibri" w:cs="Times New Roman"/>
                <w:color w:val="000000"/>
                <w:lang w:eastAsia="en-GB"/>
              </w:rPr>
            </w:pPr>
            <w:r w:rsidRPr="00E2059E">
              <w:rPr>
                <w:rFonts w:ascii="Calibri" w:eastAsia="Times New Roman" w:hAnsi="Calibri" w:cs="Times New Roman"/>
                <w:color w:val="000000"/>
                <w:lang w:eastAsia="en-GB"/>
              </w:rPr>
              <w:t>1,265</w:t>
            </w:r>
          </w:p>
        </w:tc>
        <w:tc>
          <w:tcPr>
            <w:tcW w:w="1780" w:type="dxa"/>
            <w:tcBorders>
              <w:top w:val="nil"/>
              <w:left w:val="nil"/>
              <w:bottom w:val="single" w:sz="4" w:space="0" w:color="auto"/>
              <w:right w:val="single" w:sz="4" w:space="0" w:color="auto"/>
            </w:tcBorders>
            <w:shd w:val="clear" w:color="auto" w:fill="auto"/>
            <w:noWrap/>
            <w:vAlign w:val="center"/>
            <w:hideMark/>
          </w:tcPr>
          <w:p w:rsidR="008921BF" w:rsidRPr="00E2059E" w:rsidRDefault="008921BF" w:rsidP="00031B92">
            <w:pPr>
              <w:spacing w:after="0" w:line="240" w:lineRule="auto"/>
              <w:jc w:val="center"/>
              <w:rPr>
                <w:rFonts w:ascii="Calibri" w:eastAsia="Times New Roman" w:hAnsi="Calibri" w:cs="Times New Roman"/>
                <w:color w:val="000000"/>
                <w:lang w:eastAsia="en-GB"/>
              </w:rPr>
            </w:pPr>
            <w:r w:rsidRPr="00E2059E">
              <w:rPr>
                <w:rFonts w:ascii="Calibri" w:eastAsia="Times New Roman" w:hAnsi="Calibri" w:cs="Times New Roman"/>
                <w:color w:val="000000"/>
                <w:lang w:eastAsia="en-GB"/>
              </w:rPr>
              <w:t>17.0%</w:t>
            </w:r>
          </w:p>
        </w:tc>
      </w:tr>
    </w:tbl>
    <w:p w:rsidR="000D6FBF" w:rsidRDefault="000D6FBF" w:rsidP="000D6FBF">
      <w:pPr>
        <w:spacing w:after="0" w:line="240" w:lineRule="auto"/>
      </w:pPr>
      <w:r>
        <w:t>Source:  SWIFT – Adult Social Care Database</w:t>
      </w:r>
    </w:p>
    <w:p w:rsidR="008921BF" w:rsidRDefault="008921BF" w:rsidP="008921BF">
      <w:pPr>
        <w:spacing w:after="0" w:line="240" w:lineRule="auto"/>
        <w:rPr>
          <w:rFonts w:ascii="Calibri" w:hAnsi="Calibri" w:cs="Calibri"/>
          <w:b/>
          <w:i/>
        </w:rPr>
      </w:pPr>
    </w:p>
    <w:p w:rsidR="008921BF" w:rsidRPr="00C36020" w:rsidRDefault="008921BF" w:rsidP="008921BF">
      <w:pPr>
        <w:jc w:val="both"/>
      </w:pPr>
      <w:r>
        <w:t>Personal b</w:t>
      </w:r>
      <w:r w:rsidRPr="00C36020">
        <w:t>udgets</w:t>
      </w:r>
      <w:r>
        <w:t xml:space="preserve"> and direct payments</w:t>
      </w:r>
      <w:r w:rsidRPr="00C36020">
        <w:t xml:space="preserve"> help residents take control of their own social care budget, manage their own support and choose the services that suit them best. </w:t>
      </w:r>
      <w:r>
        <w:t xml:space="preserve">Although the council has experienced a significant increase in their use, some client categories, such as </w:t>
      </w:r>
      <w:r w:rsidR="00142795">
        <w:t>those with mental health issues</w:t>
      </w:r>
      <w:r>
        <w:t xml:space="preserve"> and older clients, have lower adoption rates than many of the other client categories. In order to maximise the use of these services</w:t>
      </w:r>
      <w:r w:rsidR="00702B67">
        <w:t xml:space="preserve"> there is a need to increase the</w:t>
      </w:r>
      <w:r>
        <w:t xml:space="preserve"> understanding of the drivers behind this. </w:t>
      </w:r>
    </w:p>
    <w:p w:rsidR="008921BF" w:rsidRPr="00791227" w:rsidRDefault="008921BF" w:rsidP="008921BF">
      <w:pPr>
        <w:pStyle w:val="Heading2"/>
      </w:pPr>
      <w:bookmarkStart w:id="942" w:name="_Toc426723397"/>
      <w:bookmarkStart w:id="943" w:name="_Toc431225224"/>
      <w:r w:rsidRPr="009B1506">
        <w:t>Community Care</w:t>
      </w:r>
      <w:bookmarkEnd w:id="942"/>
      <w:bookmarkEnd w:id="943"/>
      <w:r w:rsidRPr="009B1506">
        <w:t xml:space="preserve"> </w:t>
      </w:r>
    </w:p>
    <w:p w:rsidR="008921BF" w:rsidRDefault="008921BF" w:rsidP="008921BF">
      <w:pPr>
        <w:spacing w:after="0"/>
        <w:jc w:val="both"/>
      </w:pPr>
      <w:r w:rsidRPr="000E1F9E">
        <w:t xml:space="preserve">The pattern of social care provision has changed over </w:t>
      </w:r>
      <w:r>
        <w:t>recent</w:t>
      </w:r>
      <w:r w:rsidRPr="000E1F9E">
        <w:t xml:space="preserve"> years with </w:t>
      </w:r>
      <w:r>
        <w:t>fewer</w:t>
      </w:r>
      <w:r w:rsidRPr="000E1F9E">
        <w:t xml:space="preserve"> people wishing to enter long term residential/institutional care and </w:t>
      </w:r>
      <w:r>
        <w:t xml:space="preserve">a </w:t>
      </w:r>
      <w:r w:rsidRPr="000E1F9E">
        <w:t xml:space="preserve">greater </w:t>
      </w:r>
      <w:r>
        <w:t xml:space="preserve">variety of community </w:t>
      </w:r>
      <w:r w:rsidRPr="000E1F9E">
        <w:t>provision</w:t>
      </w:r>
      <w:r>
        <w:t xml:space="preserve"> becoming available</w:t>
      </w:r>
      <w:r w:rsidRPr="000E1F9E">
        <w:t xml:space="preserve">. </w:t>
      </w:r>
      <w:r>
        <w:t xml:space="preserve"> </w:t>
      </w:r>
      <w:r w:rsidRPr="000E1F9E">
        <w:t>Growth in personal budgets</w:t>
      </w:r>
      <w:r>
        <w:t xml:space="preserve"> </w:t>
      </w:r>
      <w:r w:rsidRPr="000E1F9E">
        <w:t xml:space="preserve">and </w:t>
      </w:r>
      <w:r>
        <w:t xml:space="preserve">direct payments has </w:t>
      </w:r>
      <w:r w:rsidRPr="000E1F9E">
        <w:t>shown the potential for service users to arrang</w:t>
      </w:r>
      <w:r>
        <w:t>e their own care and support, and it is expected that</w:t>
      </w:r>
      <w:r w:rsidRPr="000E1F9E">
        <w:t xml:space="preserve"> this trend will continue. </w:t>
      </w:r>
    </w:p>
    <w:p w:rsidR="008921BF" w:rsidRPr="00791227" w:rsidRDefault="008921BF" w:rsidP="008921BF">
      <w:pPr>
        <w:spacing w:after="0" w:line="240" w:lineRule="auto"/>
        <w:jc w:val="both"/>
        <w:rPr>
          <w:i/>
        </w:rPr>
      </w:pPr>
    </w:p>
    <w:p w:rsidR="008921BF" w:rsidRPr="00791227" w:rsidRDefault="008921BF" w:rsidP="008921BF">
      <w:pPr>
        <w:spacing w:after="0" w:line="240" w:lineRule="auto"/>
        <w:jc w:val="both"/>
        <w:rPr>
          <w:b/>
        </w:rPr>
      </w:pPr>
      <w:r>
        <w:rPr>
          <w:b/>
        </w:rPr>
        <w:t>What does C</w:t>
      </w:r>
      <w:r w:rsidRPr="00791227">
        <w:rPr>
          <w:b/>
        </w:rPr>
        <w:t>ommunity Care include in Barnet?</w:t>
      </w:r>
    </w:p>
    <w:p w:rsidR="008921BF" w:rsidRPr="000E1F9E" w:rsidRDefault="008921BF" w:rsidP="008921BF">
      <w:pPr>
        <w:pStyle w:val="ListParagraph"/>
        <w:numPr>
          <w:ilvl w:val="0"/>
          <w:numId w:val="41"/>
        </w:numPr>
        <w:spacing w:after="0" w:line="240" w:lineRule="auto"/>
        <w:jc w:val="both"/>
      </w:pPr>
      <w:r w:rsidRPr="000E1F9E">
        <w:t>Home care/Home and Community Support</w:t>
      </w:r>
    </w:p>
    <w:p w:rsidR="008921BF" w:rsidRPr="000E1F9E" w:rsidRDefault="008921BF" w:rsidP="008921BF">
      <w:pPr>
        <w:pStyle w:val="ListParagraph"/>
        <w:numPr>
          <w:ilvl w:val="0"/>
          <w:numId w:val="41"/>
        </w:numPr>
        <w:spacing w:after="0" w:line="240" w:lineRule="auto"/>
        <w:jc w:val="both"/>
      </w:pPr>
      <w:r w:rsidRPr="000E1F9E">
        <w:t>Day care</w:t>
      </w:r>
    </w:p>
    <w:p w:rsidR="008921BF" w:rsidRPr="000E1F9E" w:rsidRDefault="008921BF" w:rsidP="008921BF">
      <w:pPr>
        <w:pStyle w:val="ListParagraph"/>
        <w:numPr>
          <w:ilvl w:val="0"/>
          <w:numId w:val="41"/>
        </w:numPr>
        <w:spacing w:after="0" w:line="240" w:lineRule="auto"/>
        <w:jc w:val="both"/>
      </w:pPr>
      <w:r>
        <w:t>Community m</w:t>
      </w:r>
      <w:r w:rsidRPr="000E1F9E">
        <w:t>eals</w:t>
      </w:r>
    </w:p>
    <w:p w:rsidR="008921BF" w:rsidRPr="000E1F9E" w:rsidRDefault="008921BF" w:rsidP="008921BF">
      <w:pPr>
        <w:pStyle w:val="ListParagraph"/>
        <w:numPr>
          <w:ilvl w:val="0"/>
          <w:numId w:val="41"/>
        </w:numPr>
        <w:spacing w:after="0" w:line="240" w:lineRule="auto"/>
        <w:jc w:val="both"/>
      </w:pPr>
      <w:r w:rsidRPr="000E1F9E">
        <w:t>Short term residential care</w:t>
      </w:r>
    </w:p>
    <w:p w:rsidR="008921BF" w:rsidRPr="000E1F9E" w:rsidRDefault="008921BF" w:rsidP="008921BF">
      <w:pPr>
        <w:pStyle w:val="ListParagraph"/>
        <w:numPr>
          <w:ilvl w:val="0"/>
          <w:numId w:val="41"/>
        </w:numPr>
        <w:spacing w:after="0" w:line="240" w:lineRule="auto"/>
        <w:jc w:val="both"/>
      </w:pPr>
      <w:r w:rsidRPr="000E1F9E">
        <w:t>Equipment and adaptations</w:t>
      </w:r>
    </w:p>
    <w:p w:rsidR="008921BF" w:rsidRDefault="008921BF" w:rsidP="008921BF">
      <w:pPr>
        <w:pStyle w:val="ListParagraph"/>
        <w:numPr>
          <w:ilvl w:val="0"/>
          <w:numId w:val="41"/>
        </w:numPr>
        <w:spacing w:after="0" w:line="240" w:lineRule="auto"/>
        <w:jc w:val="both"/>
      </w:pPr>
      <w:r>
        <w:t>Direct payments</w:t>
      </w:r>
    </w:p>
    <w:p w:rsidR="008921BF" w:rsidRDefault="008921BF" w:rsidP="008921BF">
      <w:pPr>
        <w:pStyle w:val="ListParagraph"/>
        <w:numPr>
          <w:ilvl w:val="0"/>
          <w:numId w:val="41"/>
        </w:numPr>
        <w:spacing w:after="0" w:line="240" w:lineRule="auto"/>
        <w:jc w:val="both"/>
      </w:pPr>
      <w:r w:rsidRPr="00085372">
        <w:t>Voluntary sector and local community support</w:t>
      </w:r>
    </w:p>
    <w:p w:rsidR="008921BF" w:rsidRDefault="008921BF" w:rsidP="008921BF">
      <w:pPr>
        <w:spacing w:after="0" w:line="240" w:lineRule="auto"/>
        <w:jc w:val="both"/>
      </w:pPr>
    </w:p>
    <w:p w:rsidR="008921BF" w:rsidRDefault="00D7687B" w:rsidP="008921BF">
      <w:pPr>
        <w:spacing w:after="0" w:line="240" w:lineRule="auto"/>
        <w:jc w:val="both"/>
      </w:pPr>
      <w:r>
        <w:t>Figure 9-4</w:t>
      </w:r>
      <w:r w:rsidR="008921BF">
        <w:t xml:space="preserve"> shows the number of people in receipt of community care services over the period 2011-2014. Although there has been some slight movement in this figure, generally this has remained fairly constant. </w:t>
      </w:r>
    </w:p>
    <w:p w:rsidR="00AA058C" w:rsidRDefault="00AA058C" w:rsidP="008921BF">
      <w:pPr>
        <w:pStyle w:val="Caption"/>
      </w:pPr>
    </w:p>
    <w:p w:rsidR="00AA058C" w:rsidRDefault="00AA058C" w:rsidP="008921BF">
      <w:pPr>
        <w:pStyle w:val="Caption"/>
      </w:pPr>
    </w:p>
    <w:p w:rsidR="00AA058C" w:rsidRDefault="00AA058C" w:rsidP="008921BF">
      <w:pPr>
        <w:pStyle w:val="Caption"/>
      </w:pPr>
    </w:p>
    <w:p w:rsidR="00AA058C" w:rsidRDefault="00AA058C" w:rsidP="008921BF">
      <w:pPr>
        <w:pStyle w:val="Caption"/>
      </w:pPr>
    </w:p>
    <w:p w:rsidR="00AA058C" w:rsidRDefault="00AA058C" w:rsidP="008921BF">
      <w:pPr>
        <w:pStyle w:val="Caption"/>
      </w:pPr>
    </w:p>
    <w:p w:rsidR="00AA058C" w:rsidRDefault="00AA058C" w:rsidP="008921BF">
      <w:pPr>
        <w:pStyle w:val="Caption"/>
      </w:pPr>
    </w:p>
    <w:p w:rsidR="00AA058C" w:rsidRDefault="00AA058C" w:rsidP="008921BF">
      <w:pPr>
        <w:pStyle w:val="Caption"/>
      </w:pPr>
    </w:p>
    <w:p w:rsidR="008921BF" w:rsidRDefault="008921BF" w:rsidP="008921BF">
      <w:pPr>
        <w:pStyle w:val="Caption"/>
        <w:rPr>
          <w:rFonts w:ascii="Calibri" w:hAnsi="Calibri" w:cs="Calibri"/>
          <w:b w:val="0"/>
          <w:i/>
        </w:rPr>
      </w:pPr>
      <w:r>
        <w:lastRenderedPageBreak/>
        <w:t xml:space="preserve">Figure </w:t>
      </w:r>
      <w:fldSimple w:instr=" STYLEREF 1 \s ">
        <w:r w:rsidR="001663C2">
          <w:rPr>
            <w:noProof/>
          </w:rPr>
          <w:t>9</w:t>
        </w:r>
      </w:fldSimple>
      <w:r w:rsidR="00943DC2">
        <w:noBreakHyphen/>
      </w:r>
      <w:fldSimple w:instr=" SEQ Figure \* ARABIC \s 1 ">
        <w:r w:rsidR="001663C2">
          <w:rPr>
            <w:noProof/>
          </w:rPr>
          <w:t>4</w:t>
        </w:r>
      </w:fldSimple>
      <w:r w:rsidRPr="00041E32">
        <w:t>: Number of Service Users in Receipt of Community Care Services</w:t>
      </w:r>
    </w:p>
    <w:p w:rsidR="008921BF" w:rsidRDefault="008921BF" w:rsidP="008921BF">
      <w:pPr>
        <w:spacing w:after="0"/>
        <w:jc w:val="center"/>
        <w:rPr>
          <w:rFonts w:ascii="Calibri" w:hAnsi="Calibri" w:cs="Calibri"/>
          <w:b/>
          <w:i/>
        </w:rPr>
      </w:pPr>
      <w:r>
        <w:rPr>
          <w:noProof/>
          <w:lang w:eastAsia="en-GB"/>
        </w:rPr>
        <w:drawing>
          <wp:inline distT="0" distB="0" distL="0" distR="0" wp14:anchorId="2779A946" wp14:editId="015FA2A6">
            <wp:extent cx="4037610" cy="1460665"/>
            <wp:effectExtent l="0" t="0" r="20320" b="25400"/>
            <wp:docPr id="75" name="Chart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3"/>
              </a:graphicData>
            </a:graphic>
          </wp:inline>
        </w:drawing>
      </w:r>
    </w:p>
    <w:p w:rsidR="000D6FBF" w:rsidRDefault="000D6FBF" w:rsidP="000D6FBF">
      <w:pPr>
        <w:spacing w:after="0" w:line="240" w:lineRule="auto"/>
      </w:pPr>
      <w:r>
        <w:t>Source:  SWIFT – Adult Social Care Database</w:t>
      </w:r>
    </w:p>
    <w:p w:rsidR="008921BF" w:rsidRDefault="008921BF" w:rsidP="008921BF">
      <w:pPr>
        <w:spacing w:after="0"/>
        <w:jc w:val="both"/>
        <w:rPr>
          <w:rFonts w:ascii="Calibri" w:hAnsi="Calibri" w:cs="Calibri"/>
          <w:b/>
          <w:i/>
        </w:rPr>
      </w:pPr>
    </w:p>
    <w:p w:rsidR="008921BF" w:rsidRDefault="008921BF" w:rsidP="008921BF">
      <w:pPr>
        <w:spacing w:after="0"/>
        <w:jc w:val="both"/>
        <w:rPr>
          <w:rFonts w:ascii="Calibri" w:hAnsi="Calibri" w:cs="Calibri"/>
        </w:rPr>
      </w:pPr>
      <w:r>
        <w:rPr>
          <w:rFonts w:ascii="Calibri" w:hAnsi="Calibri" w:cs="Calibri"/>
        </w:rPr>
        <w:t xml:space="preserve">Table 9-9 breaks down the number of service users accessing community care service users by primary support need, as a proportion of the total number of service users receiving </w:t>
      </w:r>
      <w:r w:rsidR="00DD3A76">
        <w:rPr>
          <w:rFonts w:ascii="Calibri" w:hAnsi="Calibri" w:cs="Calibri"/>
        </w:rPr>
        <w:t xml:space="preserve">support. </w:t>
      </w:r>
      <w:r>
        <w:rPr>
          <w:rFonts w:ascii="Calibri" w:hAnsi="Calibri" w:cs="Calibri"/>
        </w:rPr>
        <w:t>In 2013/14, 84.4% of all service users received some form of community care service, with a</w:t>
      </w:r>
      <w:r w:rsidR="00142795">
        <w:rPr>
          <w:rFonts w:ascii="Calibri" w:hAnsi="Calibri" w:cs="Calibri"/>
        </w:rPr>
        <w:t xml:space="preserve">ll categories in excess of 70%, although, </w:t>
      </w:r>
      <w:r>
        <w:rPr>
          <w:rFonts w:ascii="Calibri" w:hAnsi="Calibri" w:cs="Calibri"/>
        </w:rPr>
        <w:t>clie</w:t>
      </w:r>
      <w:r w:rsidR="00142795">
        <w:rPr>
          <w:rFonts w:ascii="Calibri" w:hAnsi="Calibri" w:cs="Calibri"/>
        </w:rPr>
        <w:t xml:space="preserve">nts with learning disabilities had </w:t>
      </w:r>
      <w:r>
        <w:rPr>
          <w:rFonts w:ascii="Calibri" w:hAnsi="Calibri" w:cs="Calibri"/>
        </w:rPr>
        <w:t xml:space="preserve">a significantly lower take-up rate (74.90% </w:t>
      </w:r>
      <w:r w:rsidR="00142795">
        <w:rPr>
          <w:rFonts w:ascii="Calibri" w:hAnsi="Calibri" w:cs="Calibri"/>
        </w:rPr>
        <w:t>in 2013/14).</w:t>
      </w:r>
    </w:p>
    <w:p w:rsidR="008921BF" w:rsidRDefault="008921BF" w:rsidP="008921BF">
      <w:pPr>
        <w:spacing w:after="0"/>
        <w:jc w:val="both"/>
      </w:pPr>
    </w:p>
    <w:p w:rsidR="008921BF" w:rsidRDefault="008921BF" w:rsidP="008921BF">
      <w:pPr>
        <w:pStyle w:val="Caption"/>
        <w:rPr>
          <w:rFonts w:ascii="Calibri" w:hAnsi="Calibri" w:cs="Calibri"/>
          <w:b w:val="0"/>
          <w:i/>
        </w:rPr>
      </w:pPr>
      <w:r>
        <w:t xml:space="preserve">Table </w:t>
      </w:r>
      <w:fldSimple w:instr=" STYLEREF 1 \s ">
        <w:r w:rsidR="001663C2">
          <w:rPr>
            <w:noProof/>
          </w:rPr>
          <w:t>9</w:t>
        </w:r>
      </w:fldSimple>
      <w:r>
        <w:noBreakHyphen/>
      </w:r>
      <w:fldSimple w:instr=" SEQ Table \* ARABIC \s 1 ">
        <w:r w:rsidR="001663C2">
          <w:rPr>
            <w:noProof/>
          </w:rPr>
          <w:t>9</w:t>
        </w:r>
      </w:fldSimple>
      <w:r w:rsidRPr="00041E32">
        <w:t xml:space="preserve">: Number of Service Users </w:t>
      </w:r>
      <w:r>
        <w:t xml:space="preserve">Accessing Community Care Services </w:t>
      </w:r>
      <w:r w:rsidRPr="00041E32">
        <w:t>by Primary Support Need</w:t>
      </w:r>
    </w:p>
    <w:tbl>
      <w:tblPr>
        <w:tblW w:w="9497" w:type="dxa"/>
        <w:jc w:val="center"/>
        <w:tblInd w:w="108" w:type="dxa"/>
        <w:tblLook w:val="04A0" w:firstRow="1" w:lastRow="0" w:firstColumn="1" w:lastColumn="0" w:noHBand="0" w:noVBand="1"/>
      </w:tblPr>
      <w:tblGrid>
        <w:gridCol w:w="2976"/>
        <w:gridCol w:w="1135"/>
        <w:gridCol w:w="1245"/>
        <w:gridCol w:w="739"/>
        <w:gridCol w:w="1181"/>
        <w:gridCol w:w="960"/>
        <w:gridCol w:w="1261"/>
      </w:tblGrid>
      <w:tr w:rsidR="008921BF" w:rsidRPr="00E93F4C" w:rsidTr="00031B92">
        <w:trPr>
          <w:trHeight w:val="300"/>
          <w:jc w:val="center"/>
        </w:trPr>
        <w:tc>
          <w:tcPr>
            <w:tcW w:w="2976"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rsidR="008921BF" w:rsidRPr="00E93F4C" w:rsidRDefault="008921BF" w:rsidP="00031B92">
            <w:pPr>
              <w:spacing w:after="0" w:line="240" w:lineRule="auto"/>
              <w:jc w:val="center"/>
              <w:rPr>
                <w:rFonts w:ascii="Calibri" w:eastAsia="Times New Roman" w:hAnsi="Calibri" w:cs="Times New Roman"/>
                <w:b/>
                <w:bCs/>
                <w:color w:val="000000"/>
                <w:lang w:eastAsia="en-GB"/>
              </w:rPr>
            </w:pPr>
            <w:r w:rsidRPr="00E93F4C">
              <w:rPr>
                <w:rFonts w:ascii="Calibri" w:eastAsia="Times New Roman" w:hAnsi="Calibri" w:cs="Times New Roman"/>
                <w:b/>
                <w:bCs/>
                <w:color w:val="000000"/>
                <w:lang w:eastAsia="en-GB"/>
              </w:rPr>
              <w:t>Client Category </w:t>
            </w:r>
          </w:p>
        </w:tc>
        <w:tc>
          <w:tcPr>
            <w:tcW w:w="2380" w:type="dxa"/>
            <w:gridSpan w:val="2"/>
            <w:tcBorders>
              <w:top w:val="single" w:sz="4" w:space="0" w:color="auto"/>
              <w:left w:val="nil"/>
              <w:bottom w:val="single" w:sz="4" w:space="0" w:color="auto"/>
              <w:right w:val="single" w:sz="4" w:space="0" w:color="auto"/>
            </w:tcBorders>
            <w:shd w:val="clear" w:color="000000" w:fill="BFBFBF"/>
            <w:vAlign w:val="center"/>
            <w:hideMark/>
          </w:tcPr>
          <w:p w:rsidR="008921BF" w:rsidRPr="00E93F4C" w:rsidRDefault="008921BF" w:rsidP="00031B92">
            <w:pPr>
              <w:spacing w:after="0" w:line="240" w:lineRule="auto"/>
              <w:jc w:val="center"/>
              <w:rPr>
                <w:rFonts w:ascii="Calibri" w:eastAsia="Times New Roman" w:hAnsi="Calibri" w:cs="Times New Roman"/>
                <w:b/>
                <w:bCs/>
                <w:color w:val="000000"/>
                <w:lang w:eastAsia="en-GB"/>
              </w:rPr>
            </w:pPr>
            <w:r w:rsidRPr="00E93F4C">
              <w:rPr>
                <w:rFonts w:ascii="Calibri" w:eastAsia="Times New Roman" w:hAnsi="Calibri" w:cs="Times New Roman"/>
                <w:b/>
                <w:bCs/>
                <w:color w:val="000000"/>
                <w:lang w:eastAsia="en-GB"/>
              </w:rPr>
              <w:t>2011/12</w:t>
            </w:r>
          </w:p>
        </w:tc>
        <w:tc>
          <w:tcPr>
            <w:tcW w:w="1920" w:type="dxa"/>
            <w:gridSpan w:val="2"/>
            <w:tcBorders>
              <w:top w:val="single" w:sz="4" w:space="0" w:color="auto"/>
              <w:left w:val="nil"/>
              <w:bottom w:val="single" w:sz="4" w:space="0" w:color="auto"/>
              <w:right w:val="single" w:sz="4" w:space="0" w:color="auto"/>
            </w:tcBorders>
            <w:shd w:val="clear" w:color="000000" w:fill="BFBFBF"/>
            <w:vAlign w:val="center"/>
            <w:hideMark/>
          </w:tcPr>
          <w:p w:rsidR="008921BF" w:rsidRPr="00E93F4C" w:rsidRDefault="008921BF" w:rsidP="00031B92">
            <w:pPr>
              <w:spacing w:after="0" w:line="240" w:lineRule="auto"/>
              <w:jc w:val="center"/>
              <w:rPr>
                <w:rFonts w:ascii="Calibri" w:eastAsia="Times New Roman" w:hAnsi="Calibri" w:cs="Times New Roman"/>
                <w:b/>
                <w:bCs/>
                <w:color w:val="000000"/>
                <w:lang w:eastAsia="en-GB"/>
              </w:rPr>
            </w:pPr>
            <w:r w:rsidRPr="00E93F4C">
              <w:rPr>
                <w:rFonts w:ascii="Calibri" w:eastAsia="Times New Roman" w:hAnsi="Calibri" w:cs="Times New Roman"/>
                <w:b/>
                <w:bCs/>
                <w:color w:val="000000"/>
                <w:lang w:eastAsia="en-GB"/>
              </w:rPr>
              <w:t>2012/13</w:t>
            </w:r>
          </w:p>
        </w:tc>
        <w:tc>
          <w:tcPr>
            <w:tcW w:w="2221" w:type="dxa"/>
            <w:gridSpan w:val="2"/>
            <w:tcBorders>
              <w:top w:val="single" w:sz="4" w:space="0" w:color="auto"/>
              <w:left w:val="nil"/>
              <w:bottom w:val="single" w:sz="4" w:space="0" w:color="auto"/>
              <w:right w:val="single" w:sz="4" w:space="0" w:color="auto"/>
            </w:tcBorders>
            <w:shd w:val="clear" w:color="000000" w:fill="BFBFBF"/>
            <w:vAlign w:val="center"/>
            <w:hideMark/>
          </w:tcPr>
          <w:p w:rsidR="008921BF" w:rsidRPr="00E93F4C" w:rsidRDefault="008921BF" w:rsidP="00031B92">
            <w:pPr>
              <w:spacing w:after="0" w:line="240" w:lineRule="auto"/>
              <w:jc w:val="center"/>
              <w:rPr>
                <w:rFonts w:ascii="Calibri" w:eastAsia="Times New Roman" w:hAnsi="Calibri" w:cs="Times New Roman"/>
                <w:b/>
                <w:bCs/>
                <w:color w:val="000000"/>
                <w:lang w:eastAsia="en-GB"/>
              </w:rPr>
            </w:pPr>
            <w:r w:rsidRPr="00E93F4C">
              <w:rPr>
                <w:rFonts w:ascii="Calibri" w:eastAsia="Times New Roman" w:hAnsi="Calibri" w:cs="Times New Roman"/>
                <w:b/>
                <w:bCs/>
                <w:color w:val="000000"/>
                <w:lang w:eastAsia="en-GB"/>
              </w:rPr>
              <w:t>2013/14</w:t>
            </w:r>
          </w:p>
        </w:tc>
      </w:tr>
      <w:tr w:rsidR="008921BF" w:rsidRPr="00E93F4C" w:rsidTr="00031B92">
        <w:trPr>
          <w:trHeight w:val="1012"/>
          <w:jc w:val="center"/>
        </w:trPr>
        <w:tc>
          <w:tcPr>
            <w:tcW w:w="2976" w:type="dxa"/>
            <w:vMerge/>
            <w:tcBorders>
              <w:top w:val="single" w:sz="4" w:space="0" w:color="auto"/>
              <w:left w:val="single" w:sz="4" w:space="0" w:color="auto"/>
              <w:bottom w:val="single" w:sz="4" w:space="0" w:color="auto"/>
              <w:right w:val="single" w:sz="4" w:space="0" w:color="auto"/>
            </w:tcBorders>
            <w:vAlign w:val="center"/>
            <w:hideMark/>
          </w:tcPr>
          <w:p w:rsidR="008921BF" w:rsidRPr="00E93F4C" w:rsidRDefault="008921BF" w:rsidP="00031B92">
            <w:pPr>
              <w:spacing w:after="0" w:line="240" w:lineRule="auto"/>
              <w:rPr>
                <w:rFonts w:ascii="Calibri" w:eastAsia="Times New Roman" w:hAnsi="Calibri" w:cs="Times New Roman"/>
                <w:b/>
                <w:bCs/>
                <w:color w:val="000000"/>
                <w:lang w:eastAsia="en-GB"/>
              </w:rPr>
            </w:pPr>
          </w:p>
        </w:tc>
        <w:tc>
          <w:tcPr>
            <w:tcW w:w="1135" w:type="dxa"/>
            <w:tcBorders>
              <w:top w:val="nil"/>
              <w:left w:val="nil"/>
              <w:bottom w:val="single" w:sz="4" w:space="0" w:color="auto"/>
              <w:right w:val="single" w:sz="4" w:space="0" w:color="auto"/>
            </w:tcBorders>
            <w:shd w:val="clear" w:color="000000" w:fill="BFBFBF"/>
            <w:vAlign w:val="center"/>
            <w:hideMark/>
          </w:tcPr>
          <w:p w:rsidR="008921BF" w:rsidRPr="00E93F4C" w:rsidRDefault="008921BF" w:rsidP="00031B92">
            <w:pPr>
              <w:spacing w:after="0" w:line="240" w:lineRule="auto"/>
              <w:jc w:val="center"/>
              <w:rPr>
                <w:rFonts w:ascii="Calibri" w:eastAsia="Times New Roman" w:hAnsi="Calibri" w:cs="Times New Roman"/>
                <w:b/>
                <w:bCs/>
                <w:color w:val="000000"/>
                <w:lang w:eastAsia="en-GB"/>
              </w:rPr>
            </w:pPr>
            <w:r w:rsidRPr="00E93F4C">
              <w:rPr>
                <w:rFonts w:ascii="Calibri" w:eastAsia="Times New Roman" w:hAnsi="Calibri" w:cs="Times New Roman"/>
                <w:b/>
                <w:bCs/>
                <w:color w:val="000000"/>
                <w:lang w:eastAsia="en-GB"/>
              </w:rPr>
              <w:t>No.</w:t>
            </w:r>
          </w:p>
        </w:tc>
        <w:tc>
          <w:tcPr>
            <w:tcW w:w="1245" w:type="dxa"/>
            <w:tcBorders>
              <w:top w:val="nil"/>
              <w:left w:val="nil"/>
              <w:bottom w:val="single" w:sz="4" w:space="0" w:color="auto"/>
              <w:right w:val="single" w:sz="4" w:space="0" w:color="auto"/>
            </w:tcBorders>
            <w:shd w:val="clear" w:color="000000" w:fill="BFBFBF"/>
            <w:vAlign w:val="center"/>
            <w:hideMark/>
          </w:tcPr>
          <w:p w:rsidR="008921BF" w:rsidRPr="00E93F4C" w:rsidRDefault="008921BF" w:rsidP="00031B92">
            <w:pPr>
              <w:spacing w:after="0" w:line="240" w:lineRule="auto"/>
              <w:jc w:val="center"/>
              <w:rPr>
                <w:rFonts w:ascii="Calibri" w:eastAsia="Times New Roman" w:hAnsi="Calibri" w:cs="Times New Roman"/>
                <w:b/>
                <w:bCs/>
                <w:color w:val="000000"/>
                <w:lang w:eastAsia="en-GB"/>
              </w:rPr>
            </w:pPr>
            <w:r w:rsidRPr="00E93F4C">
              <w:rPr>
                <w:rFonts w:ascii="Calibri" w:eastAsia="Times New Roman" w:hAnsi="Calibri" w:cs="Times New Roman"/>
                <w:b/>
                <w:bCs/>
                <w:color w:val="000000"/>
                <w:lang w:eastAsia="en-GB"/>
              </w:rPr>
              <w:t>% of Total Service Users</w:t>
            </w:r>
          </w:p>
        </w:tc>
        <w:tc>
          <w:tcPr>
            <w:tcW w:w="739" w:type="dxa"/>
            <w:tcBorders>
              <w:top w:val="nil"/>
              <w:left w:val="nil"/>
              <w:bottom w:val="single" w:sz="4" w:space="0" w:color="auto"/>
              <w:right w:val="single" w:sz="4" w:space="0" w:color="auto"/>
            </w:tcBorders>
            <w:shd w:val="clear" w:color="000000" w:fill="BFBFBF"/>
            <w:vAlign w:val="center"/>
            <w:hideMark/>
          </w:tcPr>
          <w:p w:rsidR="008921BF" w:rsidRPr="00E93F4C" w:rsidRDefault="008921BF" w:rsidP="00031B92">
            <w:pPr>
              <w:spacing w:after="0" w:line="240" w:lineRule="auto"/>
              <w:jc w:val="center"/>
              <w:rPr>
                <w:rFonts w:ascii="Calibri" w:eastAsia="Times New Roman" w:hAnsi="Calibri" w:cs="Times New Roman"/>
                <w:b/>
                <w:bCs/>
                <w:color w:val="000000"/>
                <w:lang w:eastAsia="en-GB"/>
              </w:rPr>
            </w:pPr>
            <w:r w:rsidRPr="00E93F4C">
              <w:rPr>
                <w:rFonts w:ascii="Calibri" w:eastAsia="Times New Roman" w:hAnsi="Calibri" w:cs="Times New Roman"/>
                <w:b/>
                <w:bCs/>
                <w:color w:val="000000"/>
                <w:lang w:eastAsia="en-GB"/>
              </w:rPr>
              <w:t>No.</w:t>
            </w:r>
          </w:p>
        </w:tc>
        <w:tc>
          <w:tcPr>
            <w:tcW w:w="1181" w:type="dxa"/>
            <w:tcBorders>
              <w:top w:val="nil"/>
              <w:left w:val="nil"/>
              <w:bottom w:val="single" w:sz="4" w:space="0" w:color="auto"/>
              <w:right w:val="single" w:sz="4" w:space="0" w:color="auto"/>
            </w:tcBorders>
            <w:shd w:val="clear" w:color="000000" w:fill="BFBFBF"/>
            <w:vAlign w:val="center"/>
            <w:hideMark/>
          </w:tcPr>
          <w:p w:rsidR="008921BF" w:rsidRPr="00E93F4C" w:rsidRDefault="008921BF" w:rsidP="00031B92">
            <w:pPr>
              <w:spacing w:after="0" w:line="240" w:lineRule="auto"/>
              <w:jc w:val="center"/>
              <w:rPr>
                <w:rFonts w:ascii="Calibri" w:eastAsia="Times New Roman" w:hAnsi="Calibri" w:cs="Times New Roman"/>
                <w:b/>
                <w:bCs/>
                <w:color w:val="000000"/>
                <w:lang w:eastAsia="en-GB"/>
              </w:rPr>
            </w:pPr>
            <w:r w:rsidRPr="00E93F4C">
              <w:rPr>
                <w:rFonts w:ascii="Calibri" w:eastAsia="Times New Roman" w:hAnsi="Calibri" w:cs="Times New Roman"/>
                <w:b/>
                <w:bCs/>
                <w:color w:val="000000"/>
                <w:lang w:eastAsia="en-GB"/>
              </w:rPr>
              <w:t>% of Total Service Users</w:t>
            </w:r>
          </w:p>
        </w:tc>
        <w:tc>
          <w:tcPr>
            <w:tcW w:w="960" w:type="dxa"/>
            <w:tcBorders>
              <w:top w:val="nil"/>
              <w:left w:val="nil"/>
              <w:bottom w:val="single" w:sz="4" w:space="0" w:color="auto"/>
              <w:right w:val="single" w:sz="4" w:space="0" w:color="auto"/>
            </w:tcBorders>
            <w:shd w:val="clear" w:color="000000" w:fill="BFBFBF"/>
            <w:vAlign w:val="center"/>
            <w:hideMark/>
          </w:tcPr>
          <w:p w:rsidR="008921BF" w:rsidRPr="00E93F4C" w:rsidRDefault="008921BF" w:rsidP="00031B92">
            <w:pPr>
              <w:spacing w:after="0" w:line="240" w:lineRule="auto"/>
              <w:jc w:val="center"/>
              <w:rPr>
                <w:rFonts w:ascii="Calibri" w:eastAsia="Times New Roman" w:hAnsi="Calibri" w:cs="Times New Roman"/>
                <w:b/>
                <w:bCs/>
                <w:color w:val="000000"/>
                <w:lang w:eastAsia="en-GB"/>
              </w:rPr>
            </w:pPr>
            <w:r w:rsidRPr="00E93F4C">
              <w:rPr>
                <w:rFonts w:ascii="Calibri" w:eastAsia="Times New Roman" w:hAnsi="Calibri" w:cs="Times New Roman"/>
                <w:b/>
                <w:bCs/>
                <w:color w:val="000000"/>
                <w:lang w:eastAsia="en-GB"/>
              </w:rPr>
              <w:t>No.</w:t>
            </w:r>
          </w:p>
        </w:tc>
        <w:tc>
          <w:tcPr>
            <w:tcW w:w="1261" w:type="dxa"/>
            <w:tcBorders>
              <w:top w:val="nil"/>
              <w:left w:val="nil"/>
              <w:bottom w:val="single" w:sz="4" w:space="0" w:color="auto"/>
              <w:right w:val="single" w:sz="4" w:space="0" w:color="auto"/>
            </w:tcBorders>
            <w:shd w:val="clear" w:color="000000" w:fill="BFBFBF"/>
            <w:vAlign w:val="center"/>
            <w:hideMark/>
          </w:tcPr>
          <w:p w:rsidR="008921BF" w:rsidRPr="00E93F4C" w:rsidRDefault="008921BF" w:rsidP="00031B92">
            <w:pPr>
              <w:spacing w:after="0" w:line="240" w:lineRule="auto"/>
              <w:jc w:val="center"/>
              <w:rPr>
                <w:rFonts w:ascii="Calibri" w:eastAsia="Times New Roman" w:hAnsi="Calibri" w:cs="Times New Roman"/>
                <w:b/>
                <w:bCs/>
                <w:color w:val="000000"/>
                <w:lang w:eastAsia="en-GB"/>
              </w:rPr>
            </w:pPr>
            <w:r w:rsidRPr="00E93F4C">
              <w:rPr>
                <w:rFonts w:ascii="Calibri" w:eastAsia="Times New Roman" w:hAnsi="Calibri" w:cs="Times New Roman"/>
                <w:b/>
                <w:bCs/>
                <w:color w:val="000000"/>
                <w:lang w:eastAsia="en-GB"/>
              </w:rPr>
              <w:t>% of Total Service Users</w:t>
            </w:r>
          </w:p>
        </w:tc>
      </w:tr>
      <w:tr w:rsidR="008921BF" w:rsidRPr="00E93F4C" w:rsidTr="00031B92">
        <w:trPr>
          <w:trHeight w:val="300"/>
          <w:jc w:val="center"/>
        </w:trPr>
        <w:tc>
          <w:tcPr>
            <w:tcW w:w="2976" w:type="dxa"/>
            <w:tcBorders>
              <w:top w:val="nil"/>
              <w:left w:val="single" w:sz="4" w:space="0" w:color="auto"/>
              <w:bottom w:val="single" w:sz="4" w:space="0" w:color="auto"/>
              <w:right w:val="single" w:sz="4" w:space="0" w:color="auto"/>
            </w:tcBorders>
            <w:shd w:val="clear" w:color="auto" w:fill="auto"/>
            <w:noWrap/>
            <w:vAlign w:val="center"/>
            <w:hideMark/>
          </w:tcPr>
          <w:p w:rsidR="008921BF" w:rsidRPr="00E93F4C" w:rsidRDefault="008921BF" w:rsidP="00031B92">
            <w:pPr>
              <w:spacing w:after="0" w:line="240" w:lineRule="auto"/>
              <w:jc w:val="center"/>
              <w:rPr>
                <w:rFonts w:ascii="Calibri" w:eastAsia="Times New Roman" w:hAnsi="Calibri" w:cs="Times New Roman"/>
                <w:color w:val="000000"/>
                <w:lang w:eastAsia="en-GB"/>
              </w:rPr>
            </w:pPr>
            <w:r w:rsidRPr="00E93F4C">
              <w:rPr>
                <w:rFonts w:ascii="Calibri" w:eastAsia="Times New Roman" w:hAnsi="Calibri" w:cs="Times New Roman"/>
                <w:color w:val="000000"/>
                <w:lang w:eastAsia="en-GB"/>
              </w:rPr>
              <w:t>Sensory Impairment (18-64)</w:t>
            </w:r>
          </w:p>
        </w:tc>
        <w:tc>
          <w:tcPr>
            <w:tcW w:w="1135" w:type="dxa"/>
            <w:tcBorders>
              <w:top w:val="nil"/>
              <w:left w:val="nil"/>
              <w:bottom w:val="single" w:sz="4" w:space="0" w:color="auto"/>
              <w:right w:val="single" w:sz="4" w:space="0" w:color="auto"/>
            </w:tcBorders>
            <w:shd w:val="clear" w:color="auto" w:fill="auto"/>
            <w:noWrap/>
            <w:vAlign w:val="center"/>
            <w:hideMark/>
          </w:tcPr>
          <w:p w:rsidR="008921BF" w:rsidRPr="00E93F4C" w:rsidRDefault="008921BF" w:rsidP="00031B92">
            <w:pPr>
              <w:spacing w:after="0" w:line="240" w:lineRule="auto"/>
              <w:jc w:val="center"/>
              <w:rPr>
                <w:rFonts w:ascii="Calibri" w:eastAsia="Times New Roman" w:hAnsi="Calibri" w:cs="Times New Roman"/>
                <w:color w:val="000000"/>
                <w:lang w:eastAsia="en-GB"/>
              </w:rPr>
            </w:pPr>
            <w:r w:rsidRPr="00E93F4C">
              <w:rPr>
                <w:rFonts w:ascii="Calibri" w:eastAsia="Times New Roman" w:hAnsi="Calibri" w:cs="Times New Roman"/>
                <w:color w:val="000000"/>
                <w:lang w:eastAsia="en-GB"/>
              </w:rPr>
              <w:t>752</w:t>
            </w:r>
          </w:p>
        </w:tc>
        <w:tc>
          <w:tcPr>
            <w:tcW w:w="1245" w:type="dxa"/>
            <w:tcBorders>
              <w:top w:val="nil"/>
              <w:left w:val="nil"/>
              <w:bottom w:val="single" w:sz="4" w:space="0" w:color="auto"/>
              <w:right w:val="single" w:sz="4" w:space="0" w:color="auto"/>
            </w:tcBorders>
            <w:shd w:val="clear" w:color="auto" w:fill="auto"/>
            <w:noWrap/>
            <w:vAlign w:val="center"/>
            <w:hideMark/>
          </w:tcPr>
          <w:p w:rsidR="008921BF" w:rsidRPr="00E93F4C" w:rsidRDefault="008921BF" w:rsidP="00031B92">
            <w:pPr>
              <w:spacing w:after="0" w:line="240" w:lineRule="auto"/>
              <w:jc w:val="center"/>
              <w:rPr>
                <w:rFonts w:ascii="Calibri" w:eastAsia="Times New Roman" w:hAnsi="Calibri" w:cs="Times New Roman"/>
                <w:color w:val="000000"/>
                <w:lang w:eastAsia="en-GB"/>
              </w:rPr>
            </w:pPr>
            <w:r w:rsidRPr="00E93F4C">
              <w:rPr>
                <w:rFonts w:ascii="Calibri" w:eastAsia="Times New Roman" w:hAnsi="Calibri" w:cs="Times New Roman"/>
                <w:color w:val="000000"/>
                <w:lang w:eastAsia="en-GB"/>
              </w:rPr>
              <w:t>92.16%</w:t>
            </w:r>
          </w:p>
        </w:tc>
        <w:tc>
          <w:tcPr>
            <w:tcW w:w="739" w:type="dxa"/>
            <w:tcBorders>
              <w:top w:val="nil"/>
              <w:left w:val="nil"/>
              <w:bottom w:val="single" w:sz="4" w:space="0" w:color="auto"/>
              <w:right w:val="single" w:sz="4" w:space="0" w:color="auto"/>
            </w:tcBorders>
            <w:shd w:val="clear" w:color="auto" w:fill="auto"/>
            <w:vAlign w:val="center"/>
            <w:hideMark/>
          </w:tcPr>
          <w:p w:rsidR="008921BF" w:rsidRPr="00E93F4C" w:rsidRDefault="008921BF" w:rsidP="00031B92">
            <w:pPr>
              <w:spacing w:after="0" w:line="240" w:lineRule="auto"/>
              <w:jc w:val="center"/>
              <w:rPr>
                <w:rFonts w:ascii="Calibri" w:eastAsia="Times New Roman" w:hAnsi="Calibri" w:cs="Times New Roman"/>
                <w:color w:val="000000"/>
                <w:lang w:eastAsia="en-GB"/>
              </w:rPr>
            </w:pPr>
            <w:r w:rsidRPr="00E93F4C">
              <w:rPr>
                <w:rFonts w:ascii="Calibri" w:eastAsia="Times New Roman" w:hAnsi="Calibri" w:cs="Times New Roman"/>
                <w:color w:val="000000"/>
                <w:lang w:eastAsia="en-GB"/>
              </w:rPr>
              <w:t>740</w:t>
            </w:r>
          </w:p>
        </w:tc>
        <w:tc>
          <w:tcPr>
            <w:tcW w:w="1181" w:type="dxa"/>
            <w:tcBorders>
              <w:top w:val="nil"/>
              <w:left w:val="nil"/>
              <w:bottom w:val="single" w:sz="4" w:space="0" w:color="auto"/>
              <w:right w:val="single" w:sz="4" w:space="0" w:color="auto"/>
            </w:tcBorders>
            <w:shd w:val="clear" w:color="auto" w:fill="auto"/>
            <w:noWrap/>
            <w:vAlign w:val="center"/>
            <w:hideMark/>
          </w:tcPr>
          <w:p w:rsidR="008921BF" w:rsidRPr="00E93F4C" w:rsidRDefault="008921BF" w:rsidP="00031B92">
            <w:pPr>
              <w:spacing w:after="0" w:line="240" w:lineRule="auto"/>
              <w:jc w:val="center"/>
              <w:rPr>
                <w:rFonts w:ascii="Calibri" w:eastAsia="Times New Roman" w:hAnsi="Calibri" w:cs="Times New Roman"/>
                <w:color w:val="000000"/>
                <w:lang w:eastAsia="en-GB"/>
              </w:rPr>
            </w:pPr>
            <w:r w:rsidRPr="00E93F4C">
              <w:rPr>
                <w:rFonts w:ascii="Calibri" w:eastAsia="Times New Roman" w:hAnsi="Calibri" w:cs="Times New Roman"/>
                <w:color w:val="000000"/>
                <w:lang w:eastAsia="en-GB"/>
              </w:rPr>
              <w:t>93.20%</w:t>
            </w:r>
          </w:p>
        </w:tc>
        <w:tc>
          <w:tcPr>
            <w:tcW w:w="960" w:type="dxa"/>
            <w:tcBorders>
              <w:top w:val="nil"/>
              <w:left w:val="nil"/>
              <w:bottom w:val="single" w:sz="4" w:space="0" w:color="auto"/>
              <w:right w:val="single" w:sz="4" w:space="0" w:color="auto"/>
            </w:tcBorders>
            <w:shd w:val="clear" w:color="auto" w:fill="auto"/>
            <w:vAlign w:val="center"/>
            <w:hideMark/>
          </w:tcPr>
          <w:p w:rsidR="008921BF" w:rsidRPr="00E93F4C" w:rsidRDefault="008921BF" w:rsidP="00031B92">
            <w:pPr>
              <w:spacing w:after="0" w:line="240" w:lineRule="auto"/>
              <w:jc w:val="center"/>
              <w:rPr>
                <w:rFonts w:ascii="Calibri" w:eastAsia="Times New Roman" w:hAnsi="Calibri" w:cs="Times New Roman"/>
                <w:color w:val="000000"/>
                <w:lang w:eastAsia="en-GB"/>
              </w:rPr>
            </w:pPr>
            <w:r w:rsidRPr="00E93F4C">
              <w:rPr>
                <w:rFonts w:ascii="Calibri" w:eastAsia="Times New Roman" w:hAnsi="Calibri" w:cs="Times New Roman"/>
                <w:color w:val="000000"/>
                <w:lang w:eastAsia="en-GB"/>
              </w:rPr>
              <w:t>710</w:t>
            </w:r>
          </w:p>
        </w:tc>
        <w:tc>
          <w:tcPr>
            <w:tcW w:w="1261" w:type="dxa"/>
            <w:tcBorders>
              <w:top w:val="nil"/>
              <w:left w:val="nil"/>
              <w:bottom w:val="single" w:sz="4" w:space="0" w:color="auto"/>
              <w:right w:val="single" w:sz="4" w:space="0" w:color="auto"/>
            </w:tcBorders>
            <w:shd w:val="clear" w:color="auto" w:fill="auto"/>
            <w:noWrap/>
            <w:vAlign w:val="center"/>
            <w:hideMark/>
          </w:tcPr>
          <w:p w:rsidR="008921BF" w:rsidRPr="00E93F4C" w:rsidRDefault="008921BF" w:rsidP="00031B92">
            <w:pPr>
              <w:spacing w:after="0" w:line="240" w:lineRule="auto"/>
              <w:jc w:val="center"/>
              <w:rPr>
                <w:rFonts w:ascii="Calibri" w:eastAsia="Times New Roman" w:hAnsi="Calibri" w:cs="Times New Roman"/>
                <w:color w:val="000000"/>
                <w:lang w:eastAsia="en-GB"/>
              </w:rPr>
            </w:pPr>
            <w:r w:rsidRPr="00E93F4C">
              <w:rPr>
                <w:rFonts w:ascii="Calibri" w:eastAsia="Times New Roman" w:hAnsi="Calibri" w:cs="Times New Roman"/>
                <w:color w:val="000000"/>
                <w:lang w:eastAsia="en-GB"/>
              </w:rPr>
              <w:t>93.42%</w:t>
            </w:r>
          </w:p>
        </w:tc>
      </w:tr>
      <w:tr w:rsidR="008921BF" w:rsidRPr="00E93F4C" w:rsidTr="00031B92">
        <w:trPr>
          <w:trHeight w:val="300"/>
          <w:jc w:val="center"/>
        </w:trPr>
        <w:tc>
          <w:tcPr>
            <w:tcW w:w="2976" w:type="dxa"/>
            <w:tcBorders>
              <w:top w:val="nil"/>
              <w:left w:val="single" w:sz="4" w:space="0" w:color="auto"/>
              <w:bottom w:val="single" w:sz="4" w:space="0" w:color="auto"/>
              <w:right w:val="single" w:sz="4" w:space="0" w:color="auto"/>
            </w:tcBorders>
            <w:shd w:val="clear" w:color="auto" w:fill="auto"/>
            <w:noWrap/>
            <w:vAlign w:val="center"/>
            <w:hideMark/>
          </w:tcPr>
          <w:p w:rsidR="008921BF" w:rsidRPr="00E93F4C" w:rsidRDefault="008921BF" w:rsidP="00031B92">
            <w:pPr>
              <w:spacing w:after="0" w:line="240" w:lineRule="auto"/>
              <w:jc w:val="center"/>
              <w:rPr>
                <w:rFonts w:ascii="Calibri" w:eastAsia="Times New Roman" w:hAnsi="Calibri" w:cs="Times New Roman"/>
                <w:color w:val="000000"/>
                <w:lang w:eastAsia="en-GB"/>
              </w:rPr>
            </w:pPr>
            <w:r w:rsidRPr="00E93F4C">
              <w:rPr>
                <w:rFonts w:ascii="Calibri" w:eastAsia="Times New Roman" w:hAnsi="Calibri" w:cs="Times New Roman"/>
                <w:color w:val="000000"/>
                <w:lang w:eastAsia="en-GB"/>
              </w:rPr>
              <w:t>Learning Disability (18-64)</w:t>
            </w:r>
          </w:p>
        </w:tc>
        <w:tc>
          <w:tcPr>
            <w:tcW w:w="1135" w:type="dxa"/>
            <w:tcBorders>
              <w:top w:val="nil"/>
              <w:left w:val="nil"/>
              <w:bottom w:val="single" w:sz="4" w:space="0" w:color="auto"/>
              <w:right w:val="single" w:sz="4" w:space="0" w:color="auto"/>
            </w:tcBorders>
            <w:shd w:val="clear" w:color="auto" w:fill="auto"/>
            <w:noWrap/>
            <w:vAlign w:val="center"/>
            <w:hideMark/>
          </w:tcPr>
          <w:p w:rsidR="008921BF" w:rsidRPr="00E93F4C" w:rsidRDefault="008921BF" w:rsidP="00031B92">
            <w:pPr>
              <w:spacing w:after="0" w:line="240" w:lineRule="auto"/>
              <w:jc w:val="center"/>
              <w:rPr>
                <w:rFonts w:ascii="Calibri" w:eastAsia="Times New Roman" w:hAnsi="Calibri" w:cs="Times New Roman"/>
                <w:color w:val="000000"/>
                <w:lang w:eastAsia="en-GB"/>
              </w:rPr>
            </w:pPr>
            <w:r w:rsidRPr="00E93F4C">
              <w:rPr>
                <w:rFonts w:ascii="Calibri" w:eastAsia="Times New Roman" w:hAnsi="Calibri" w:cs="Times New Roman"/>
                <w:color w:val="000000"/>
                <w:lang w:eastAsia="en-GB"/>
              </w:rPr>
              <w:t>540</w:t>
            </w:r>
          </w:p>
        </w:tc>
        <w:tc>
          <w:tcPr>
            <w:tcW w:w="1245" w:type="dxa"/>
            <w:tcBorders>
              <w:top w:val="nil"/>
              <w:left w:val="nil"/>
              <w:bottom w:val="single" w:sz="4" w:space="0" w:color="auto"/>
              <w:right w:val="single" w:sz="4" w:space="0" w:color="auto"/>
            </w:tcBorders>
            <w:shd w:val="clear" w:color="auto" w:fill="auto"/>
            <w:noWrap/>
            <w:vAlign w:val="center"/>
            <w:hideMark/>
          </w:tcPr>
          <w:p w:rsidR="008921BF" w:rsidRPr="00E93F4C" w:rsidRDefault="008921BF" w:rsidP="00031B92">
            <w:pPr>
              <w:spacing w:after="0" w:line="240" w:lineRule="auto"/>
              <w:jc w:val="center"/>
              <w:rPr>
                <w:rFonts w:ascii="Calibri" w:eastAsia="Times New Roman" w:hAnsi="Calibri" w:cs="Times New Roman"/>
                <w:color w:val="000000"/>
                <w:lang w:eastAsia="en-GB"/>
              </w:rPr>
            </w:pPr>
            <w:r w:rsidRPr="00E93F4C">
              <w:rPr>
                <w:rFonts w:ascii="Calibri" w:eastAsia="Times New Roman" w:hAnsi="Calibri" w:cs="Times New Roman"/>
                <w:color w:val="000000"/>
                <w:lang w:eastAsia="en-GB"/>
              </w:rPr>
              <w:t>71.24%</w:t>
            </w:r>
          </w:p>
        </w:tc>
        <w:tc>
          <w:tcPr>
            <w:tcW w:w="739" w:type="dxa"/>
            <w:tcBorders>
              <w:top w:val="nil"/>
              <w:left w:val="nil"/>
              <w:bottom w:val="single" w:sz="4" w:space="0" w:color="auto"/>
              <w:right w:val="single" w:sz="4" w:space="0" w:color="auto"/>
            </w:tcBorders>
            <w:shd w:val="clear" w:color="auto" w:fill="auto"/>
            <w:vAlign w:val="center"/>
            <w:hideMark/>
          </w:tcPr>
          <w:p w:rsidR="008921BF" w:rsidRPr="00E93F4C" w:rsidRDefault="008921BF" w:rsidP="00031B92">
            <w:pPr>
              <w:spacing w:after="0" w:line="240" w:lineRule="auto"/>
              <w:jc w:val="center"/>
              <w:rPr>
                <w:rFonts w:ascii="Calibri" w:eastAsia="Times New Roman" w:hAnsi="Calibri" w:cs="Times New Roman"/>
                <w:color w:val="000000"/>
                <w:lang w:eastAsia="en-GB"/>
              </w:rPr>
            </w:pPr>
            <w:r w:rsidRPr="00E93F4C">
              <w:rPr>
                <w:rFonts w:ascii="Calibri" w:eastAsia="Times New Roman" w:hAnsi="Calibri" w:cs="Times New Roman"/>
                <w:color w:val="000000"/>
                <w:lang w:eastAsia="en-GB"/>
              </w:rPr>
              <w:t>551</w:t>
            </w:r>
          </w:p>
        </w:tc>
        <w:tc>
          <w:tcPr>
            <w:tcW w:w="1181" w:type="dxa"/>
            <w:tcBorders>
              <w:top w:val="nil"/>
              <w:left w:val="nil"/>
              <w:bottom w:val="single" w:sz="4" w:space="0" w:color="auto"/>
              <w:right w:val="single" w:sz="4" w:space="0" w:color="auto"/>
            </w:tcBorders>
            <w:shd w:val="clear" w:color="auto" w:fill="auto"/>
            <w:noWrap/>
            <w:vAlign w:val="center"/>
            <w:hideMark/>
          </w:tcPr>
          <w:p w:rsidR="008921BF" w:rsidRPr="00E93F4C" w:rsidRDefault="008921BF" w:rsidP="00031B92">
            <w:pPr>
              <w:spacing w:after="0" w:line="240" w:lineRule="auto"/>
              <w:jc w:val="center"/>
              <w:rPr>
                <w:rFonts w:ascii="Calibri" w:eastAsia="Times New Roman" w:hAnsi="Calibri" w:cs="Times New Roman"/>
                <w:color w:val="000000"/>
                <w:lang w:eastAsia="en-GB"/>
              </w:rPr>
            </w:pPr>
            <w:r w:rsidRPr="00E93F4C">
              <w:rPr>
                <w:rFonts w:ascii="Calibri" w:eastAsia="Times New Roman" w:hAnsi="Calibri" w:cs="Times New Roman"/>
                <w:color w:val="000000"/>
                <w:lang w:eastAsia="en-GB"/>
              </w:rPr>
              <w:t>73.27%</w:t>
            </w:r>
          </w:p>
        </w:tc>
        <w:tc>
          <w:tcPr>
            <w:tcW w:w="960" w:type="dxa"/>
            <w:tcBorders>
              <w:top w:val="nil"/>
              <w:left w:val="nil"/>
              <w:bottom w:val="single" w:sz="4" w:space="0" w:color="auto"/>
              <w:right w:val="single" w:sz="4" w:space="0" w:color="auto"/>
            </w:tcBorders>
            <w:shd w:val="clear" w:color="auto" w:fill="auto"/>
            <w:vAlign w:val="center"/>
            <w:hideMark/>
          </w:tcPr>
          <w:p w:rsidR="008921BF" w:rsidRPr="00E93F4C" w:rsidRDefault="008921BF" w:rsidP="00031B92">
            <w:pPr>
              <w:spacing w:after="0" w:line="240" w:lineRule="auto"/>
              <w:jc w:val="center"/>
              <w:rPr>
                <w:rFonts w:ascii="Calibri" w:eastAsia="Times New Roman" w:hAnsi="Calibri" w:cs="Times New Roman"/>
                <w:color w:val="000000"/>
                <w:lang w:eastAsia="en-GB"/>
              </w:rPr>
            </w:pPr>
            <w:r w:rsidRPr="00E93F4C">
              <w:rPr>
                <w:rFonts w:ascii="Calibri" w:eastAsia="Times New Roman" w:hAnsi="Calibri" w:cs="Times New Roman"/>
                <w:color w:val="000000"/>
                <w:lang w:eastAsia="en-GB"/>
              </w:rPr>
              <w:t>573</w:t>
            </w:r>
          </w:p>
        </w:tc>
        <w:tc>
          <w:tcPr>
            <w:tcW w:w="1261" w:type="dxa"/>
            <w:tcBorders>
              <w:top w:val="nil"/>
              <w:left w:val="nil"/>
              <w:bottom w:val="single" w:sz="4" w:space="0" w:color="auto"/>
              <w:right w:val="single" w:sz="4" w:space="0" w:color="auto"/>
            </w:tcBorders>
            <w:shd w:val="clear" w:color="auto" w:fill="auto"/>
            <w:noWrap/>
            <w:vAlign w:val="center"/>
            <w:hideMark/>
          </w:tcPr>
          <w:p w:rsidR="008921BF" w:rsidRPr="00E93F4C" w:rsidRDefault="008921BF" w:rsidP="00031B92">
            <w:pPr>
              <w:spacing w:after="0" w:line="240" w:lineRule="auto"/>
              <w:jc w:val="center"/>
              <w:rPr>
                <w:rFonts w:ascii="Calibri" w:eastAsia="Times New Roman" w:hAnsi="Calibri" w:cs="Times New Roman"/>
                <w:color w:val="000000"/>
                <w:lang w:eastAsia="en-GB"/>
              </w:rPr>
            </w:pPr>
            <w:r w:rsidRPr="00E93F4C">
              <w:rPr>
                <w:rFonts w:ascii="Calibri" w:eastAsia="Times New Roman" w:hAnsi="Calibri" w:cs="Times New Roman"/>
                <w:color w:val="000000"/>
                <w:lang w:eastAsia="en-GB"/>
              </w:rPr>
              <w:t>74.90%</w:t>
            </w:r>
          </w:p>
        </w:tc>
      </w:tr>
      <w:tr w:rsidR="008921BF" w:rsidRPr="00E93F4C" w:rsidTr="00031B92">
        <w:trPr>
          <w:trHeight w:val="300"/>
          <w:jc w:val="center"/>
        </w:trPr>
        <w:tc>
          <w:tcPr>
            <w:tcW w:w="2976" w:type="dxa"/>
            <w:tcBorders>
              <w:top w:val="nil"/>
              <w:left w:val="single" w:sz="4" w:space="0" w:color="auto"/>
              <w:bottom w:val="single" w:sz="4" w:space="0" w:color="auto"/>
              <w:right w:val="single" w:sz="4" w:space="0" w:color="auto"/>
            </w:tcBorders>
            <w:shd w:val="clear" w:color="auto" w:fill="auto"/>
            <w:noWrap/>
            <w:vAlign w:val="center"/>
            <w:hideMark/>
          </w:tcPr>
          <w:p w:rsidR="008921BF" w:rsidRPr="00E93F4C" w:rsidRDefault="008921BF" w:rsidP="00031B92">
            <w:pPr>
              <w:spacing w:after="0" w:line="240" w:lineRule="auto"/>
              <w:jc w:val="center"/>
              <w:rPr>
                <w:rFonts w:ascii="Calibri" w:eastAsia="Times New Roman" w:hAnsi="Calibri" w:cs="Times New Roman"/>
                <w:color w:val="000000"/>
                <w:lang w:eastAsia="en-GB"/>
              </w:rPr>
            </w:pPr>
            <w:r w:rsidRPr="00E93F4C">
              <w:rPr>
                <w:rFonts w:ascii="Calibri" w:eastAsia="Times New Roman" w:hAnsi="Calibri" w:cs="Times New Roman"/>
                <w:color w:val="000000"/>
                <w:lang w:eastAsia="en-GB"/>
              </w:rPr>
              <w:t>Mental Health (18-64)</w:t>
            </w:r>
          </w:p>
        </w:tc>
        <w:tc>
          <w:tcPr>
            <w:tcW w:w="1135" w:type="dxa"/>
            <w:tcBorders>
              <w:top w:val="nil"/>
              <w:left w:val="nil"/>
              <w:bottom w:val="single" w:sz="4" w:space="0" w:color="auto"/>
              <w:right w:val="single" w:sz="4" w:space="0" w:color="auto"/>
            </w:tcBorders>
            <w:shd w:val="clear" w:color="auto" w:fill="auto"/>
            <w:noWrap/>
            <w:vAlign w:val="center"/>
            <w:hideMark/>
          </w:tcPr>
          <w:p w:rsidR="008921BF" w:rsidRPr="00E93F4C" w:rsidRDefault="008921BF" w:rsidP="00031B92">
            <w:pPr>
              <w:spacing w:after="0" w:line="240" w:lineRule="auto"/>
              <w:jc w:val="center"/>
              <w:rPr>
                <w:rFonts w:ascii="Calibri" w:eastAsia="Times New Roman" w:hAnsi="Calibri" w:cs="Times New Roman"/>
                <w:color w:val="000000"/>
                <w:lang w:eastAsia="en-GB"/>
              </w:rPr>
            </w:pPr>
            <w:r w:rsidRPr="00E93F4C">
              <w:rPr>
                <w:rFonts w:ascii="Calibri" w:eastAsia="Times New Roman" w:hAnsi="Calibri" w:cs="Times New Roman"/>
                <w:color w:val="000000"/>
                <w:lang w:eastAsia="en-GB"/>
              </w:rPr>
              <w:t>993</w:t>
            </w:r>
          </w:p>
        </w:tc>
        <w:tc>
          <w:tcPr>
            <w:tcW w:w="1245" w:type="dxa"/>
            <w:tcBorders>
              <w:top w:val="nil"/>
              <w:left w:val="nil"/>
              <w:bottom w:val="single" w:sz="4" w:space="0" w:color="auto"/>
              <w:right w:val="single" w:sz="4" w:space="0" w:color="auto"/>
            </w:tcBorders>
            <w:shd w:val="clear" w:color="auto" w:fill="auto"/>
            <w:noWrap/>
            <w:vAlign w:val="center"/>
            <w:hideMark/>
          </w:tcPr>
          <w:p w:rsidR="008921BF" w:rsidRPr="00E93F4C" w:rsidRDefault="008921BF" w:rsidP="00031B92">
            <w:pPr>
              <w:spacing w:after="0" w:line="240" w:lineRule="auto"/>
              <w:jc w:val="center"/>
              <w:rPr>
                <w:rFonts w:ascii="Calibri" w:eastAsia="Times New Roman" w:hAnsi="Calibri" w:cs="Times New Roman"/>
                <w:color w:val="000000"/>
                <w:lang w:eastAsia="en-GB"/>
              </w:rPr>
            </w:pPr>
            <w:r w:rsidRPr="00E93F4C">
              <w:rPr>
                <w:rFonts w:ascii="Calibri" w:eastAsia="Times New Roman" w:hAnsi="Calibri" w:cs="Times New Roman"/>
                <w:color w:val="000000"/>
                <w:lang w:eastAsia="en-GB"/>
              </w:rPr>
              <w:t>93.77%</w:t>
            </w:r>
          </w:p>
        </w:tc>
        <w:tc>
          <w:tcPr>
            <w:tcW w:w="739" w:type="dxa"/>
            <w:tcBorders>
              <w:top w:val="nil"/>
              <w:left w:val="nil"/>
              <w:bottom w:val="single" w:sz="4" w:space="0" w:color="auto"/>
              <w:right w:val="single" w:sz="4" w:space="0" w:color="auto"/>
            </w:tcBorders>
            <w:shd w:val="clear" w:color="auto" w:fill="auto"/>
            <w:vAlign w:val="center"/>
            <w:hideMark/>
          </w:tcPr>
          <w:p w:rsidR="008921BF" w:rsidRPr="00E93F4C" w:rsidRDefault="008921BF" w:rsidP="00031B92">
            <w:pPr>
              <w:spacing w:after="0" w:line="240" w:lineRule="auto"/>
              <w:jc w:val="center"/>
              <w:rPr>
                <w:rFonts w:ascii="Calibri" w:eastAsia="Times New Roman" w:hAnsi="Calibri" w:cs="Times New Roman"/>
                <w:color w:val="000000"/>
                <w:lang w:eastAsia="en-GB"/>
              </w:rPr>
            </w:pPr>
            <w:r w:rsidRPr="00E93F4C">
              <w:rPr>
                <w:rFonts w:ascii="Calibri" w:eastAsia="Times New Roman" w:hAnsi="Calibri" w:cs="Times New Roman"/>
                <w:color w:val="000000"/>
                <w:lang w:eastAsia="en-GB"/>
              </w:rPr>
              <w:t>1104</w:t>
            </w:r>
          </w:p>
        </w:tc>
        <w:tc>
          <w:tcPr>
            <w:tcW w:w="1181" w:type="dxa"/>
            <w:tcBorders>
              <w:top w:val="nil"/>
              <w:left w:val="nil"/>
              <w:bottom w:val="single" w:sz="4" w:space="0" w:color="auto"/>
              <w:right w:val="single" w:sz="4" w:space="0" w:color="auto"/>
            </w:tcBorders>
            <w:shd w:val="clear" w:color="auto" w:fill="auto"/>
            <w:noWrap/>
            <w:vAlign w:val="center"/>
            <w:hideMark/>
          </w:tcPr>
          <w:p w:rsidR="008921BF" w:rsidRPr="00E93F4C" w:rsidRDefault="008921BF" w:rsidP="00031B92">
            <w:pPr>
              <w:spacing w:after="0" w:line="240" w:lineRule="auto"/>
              <w:jc w:val="center"/>
              <w:rPr>
                <w:rFonts w:ascii="Calibri" w:eastAsia="Times New Roman" w:hAnsi="Calibri" w:cs="Times New Roman"/>
                <w:color w:val="000000"/>
                <w:lang w:eastAsia="en-GB"/>
              </w:rPr>
            </w:pPr>
            <w:r w:rsidRPr="00E93F4C">
              <w:rPr>
                <w:rFonts w:ascii="Calibri" w:eastAsia="Times New Roman" w:hAnsi="Calibri" w:cs="Times New Roman"/>
                <w:color w:val="000000"/>
                <w:lang w:eastAsia="en-GB"/>
              </w:rPr>
              <w:t>94.12%</w:t>
            </w:r>
          </w:p>
        </w:tc>
        <w:tc>
          <w:tcPr>
            <w:tcW w:w="960" w:type="dxa"/>
            <w:tcBorders>
              <w:top w:val="nil"/>
              <w:left w:val="nil"/>
              <w:bottom w:val="single" w:sz="4" w:space="0" w:color="auto"/>
              <w:right w:val="single" w:sz="4" w:space="0" w:color="auto"/>
            </w:tcBorders>
            <w:shd w:val="clear" w:color="auto" w:fill="auto"/>
            <w:vAlign w:val="center"/>
            <w:hideMark/>
          </w:tcPr>
          <w:p w:rsidR="008921BF" w:rsidRPr="00E93F4C" w:rsidRDefault="008921BF" w:rsidP="00031B92">
            <w:pPr>
              <w:spacing w:after="0" w:line="240" w:lineRule="auto"/>
              <w:jc w:val="center"/>
              <w:rPr>
                <w:rFonts w:ascii="Calibri" w:eastAsia="Times New Roman" w:hAnsi="Calibri" w:cs="Times New Roman"/>
                <w:color w:val="000000"/>
                <w:lang w:eastAsia="en-GB"/>
              </w:rPr>
            </w:pPr>
            <w:r w:rsidRPr="00E93F4C">
              <w:rPr>
                <w:rFonts w:ascii="Calibri" w:eastAsia="Times New Roman" w:hAnsi="Calibri" w:cs="Times New Roman"/>
                <w:color w:val="000000"/>
                <w:lang w:eastAsia="en-GB"/>
              </w:rPr>
              <w:t>1059</w:t>
            </w:r>
          </w:p>
        </w:tc>
        <w:tc>
          <w:tcPr>
            <w:tcW w:w="1261" w:type="dxa"/>
            <w:tcBorders>
              <w:top w:val="nil"/>
              <w:left w:val="nil"/>
              <w:bottom w:val="single" w:sz="4" w:space="0" w:color="auto"/>
              <w:right w:val="single" w:sz="4" w:space="0" w:color="auto"/>
            </w:tcBorders>
            <w:shd w:val="clear" w:color="auto" w:fill="auto"/>
            <w:noWrap/>
            <w:vAlign w:val="center"/>
            <w:hideMark/>
          </w:tcPr>
          <w:p w:rsidR="008921BF" w:rsidRPr="00E93F4C" w:rsidRDefault="008921BF" w:rsidP="00031B92">
            <w:pPr>
              <w:spacing w:after="0" w:line="240" w:lineRule="auto"/>
              <w:jc w:val="center"/>
              <w:rPr>
                <w:rFonts w:ascii="Calibri" w:eastAsia="Times New Roman" w:hAnsi="Calibri" w:cs="Times New Roman"/>
                <w:color w:val="000000"/>
                <w:lang w:eastAsia="en-GB"/>
              </w:rPr>
            </w:pPr>
            <w:r w:rsidRPr="00E93F4C">
              <w:rPr>
                <w:rFonts w:ascii="Calibri" w:eastAsia="Times New Roman" w:hAnsi="Calibri" w:cs="Times New Roman"/>
                <w:color w:val="000000"/>
                <w:lang w:eastAsia="en-GB"/>
              </w:rPr>
              <w:t>93.97%</w:t>
            </w:r>
          </w:p>
        </w:tc>
      </w:tr>
      <w:tr w:rsidR="008921BF" w:rsidRPr="00E93F4C" w:rsidTr="00031B92">
        <w:trPr>
          <w:trHeight w:val="300"/>
          <w:jc w:val="center"/>
        </w:trPr>
        <w:tc>
          <w:tcPr>
            <w:tcW w:w="2976" w:type="dxa"/>
            <w:tcBorders>
              <w:top w:val="nil"/>
              <w:left w:val="single" w:sz="4" w:space="0" w:color="auto"/>
              <w:bottom w:val="single" w:sz="4" w:space="0" w:color="auto"/>
              <w:right w:val="single" w:sz="4" w:space="0" w:color="auto"/>
            </w:tcBorders>
            <w:shd w:val="clear" w:color="auto" w:fill="auto"/>
            <w:noWrap/>
            <w:vAlign w:val="center"/>
            <w:hideMark/>
          </w:tcPr>
          <w:p w:rsidR="008921BF" w:rsidRPr="00E93F4C" w:rsidRDefault="008921BF" w:rsidP="00031B92">
            <w:pPr>
              <w:spacing w:after="0" w:line="240" w:lineRule="auto"/>
              <w:jc w:val="center"/>
              <w:rPr>
                <w:rFonts w:ascii="Calibri" w:eastAsia="Times New Roman" w:hAnsi="Calibri" w:cs="Times New Roman"/>
                <w:color w:val="000000"/>
                <w:lang w:eastAsia="en-GB"/>
              </w:rPr>
            </w:pPr>
            <w:r w:rsidRPr="00E93F4C">
              <w:rPr>
                <w:rFonts w:ascii="Calibri" w:eastAsia="Times New Roman" w:hAnsi="Calibri" w:cs="Times New Roman"/>
                <w:color w:val="000000"/>
                <w:lang w:eastAsia="en-GB"/>
              </w:rPr>
              <w:t>Other (18-64)</w:t>
            </w:r>
          </w:p>
        </w:tc>
        <w:tc>
          <w:tcPr>
            <w:tcW w:w="1135" w:type="dxa"/>
            <w:tcBorders>
              <w:top w:val="nil"/>
              <w:left w:val="nil"/>
              <w:bottom w:val="single" w:sz="4" w:space="0" w:color="auto"/>
              <w:right w:val="single" w:sz="4" w:space="0" w:color="auto"/>
            </w:tcBorders>
            <w:shd w:val="clear" w:color="auto" w:fill="auto"/>
            <w:noWrap/>
            <w:vAlign w:val="center"/>
            <w:hideMark/>
          </w:tcPr>
          <w:p w:rsidR="008921BF" w:rsidRPr="00E93F4C" w:rsidRDefault="008921BF" w:rsidP="00031B92">
            <w:pPr>
              <w:spacing w:after="0" w:line="240" w:lineRule="auto"/>
              <w:jc w:val="center"/>
              <w:rPr>
                <w:rFonts w:ascii="Calibri" w:eastAsia="Times New Roman" w:hAnsi="Calibri" w:cs="Times New Roman"/>
                <w:color w:val="000000"/>
                <w:lang w:eastAsia="en-GB"/>
              </w:rPr>
            </w:pPr>
            <w:r w:rsidRPr="00E93F4C">
              <w:rPr>
                <w:rFonts w:ascii="Calibri" w:eastAsia="Times New Roman" w:hAnsi="Calibri" w:cs="Times New Roman"/>
                <w:color w:val="000000"/>
                <w:lang w:eastAsia="en-GB"/>
              </w:rPr>
              <w:t>28</w:t>
            </w:r>
          </w:p>
        </w:tc>
        <w:tc>
          <w:tcPr>
            <w:tcW w:w="1245" w:type="dxa"/>
            <w:tcBorders>
              <w:top w:val="nil"/>
              <w:left w:val="nil"/>
              <w:bottom w:val="single" w:sz="4" w:space="0" w:color="auto"/>
              <w:right w:val="single" w:sz="4" w:space="0" w:color="auto"/>
            </w:tcBorders>
            <w:shd w:val="clear" w:color="auto" w:fill="auto"/>
            <w:noWrap/>
            <w:vAlign w:val="center"/>
            <w:hideMark/>
          </w:tcPr>
          <w:p w:rsidR="008921BF" w:rsidRPr="00E93F4C" w:rsidRDefault="008921BF" w:rsidP="00031B92">
            <w:pPr>
              <w:spacing w:after="0" w:line="240" w:lineRule="auto"/>
              <w:jc w:val="center"/>
              <w:rPr>
                <w:rFonts w:ascii="Calibri" w:eastAsia="Times New Roman" w:hAnsi="Calibri" w:cs="Times New Roman"/>
                <w:color w:val="000000"/>
                <w:lang w:eastAsia="en-GB"/>
              </w:rPr>
            </w:pPr>
            <w:r w:rsidRPr="00E93F4C">
              <w:rPr>
                <w:rFonts w:ascii="Calibri" w:eastAsia="Times New Roman" w:hAnsi="Calibri" w:cs="Times New Roman"/>
                <w:color w:val="000000"/>
                <w:lang w:eastAsia="en-GB"/>
              </w:rPr>
              <w:t>93.33%</w:t>
            </w:r>
          </w:p>
        </w:tc>
        <w:tc>
          <w:tcPr>
            <w:tcW w:w="739" w:type="dxa"/>
            <w:tcBorders>
              <w:top w:val="nil"/>
              <w:left w:val="nil"/>
              <w:bottom w:val="single" w:sz="4" w:space="0" w:color="auto"/>
              <w:right w:val="single" w:sz="4" w:space="0" w:color="auto"/>
            </w:tcBorders>
            <w:shd w:val="clear" w:color="auto" w:fill="auto"/>
            <w:vAlign w:val="center"/>
            <w:hideMark/>
          </w:tcPr>
          <w:p w:rsidR="008921BF" w:rsidRPr="00E93F4C" w:rsidRDefault="008921BF" w:rsidP="00031B92">
            <w:pPr>
              <w:spacing w:after="0" w:line="240" w:lineRule="auto"/>
              <w:jc w:val="center"/>
              <w:rPr>
                <w:rFonts w:ascii="Calibri" w:eastAsia="Times New Roman" w:hAnsi="Calibri" w:cs="Times New Roman"/>
                <w:color w:val="000000"/>
                <w:lang w:eastAsia="en-GB"/>
              </w:rPr>
            </w:pPr>
            <w:r w:rsidRPr="00E93F4C">
              <w:rPr>
                <w:rFonts w:ascii="Calibri" w:eastAsia="Times New Roman" w:hAnsi="Calibri" w:cs="Times New Roman"/>
                <w:color w:val="000000"/>
                <w:lang w:eastAsia="en-GB"/>
              </w:rPr>
              <w:t>47</w:t>
            </w:r>
          </w:p>
        </w:tc>
        <w:tc>
          <w:tcPr>
            <w:tcW w:w="1181" w:type="dxa"/>
            <w:tcBorders>
              <w:top w:val="nil"/>
              <w:left w:val="nil"/>
              <w:bottom w:val="single" w:sz="4" w:space="0" w:color="auto"/>
              <w:right w:val="single" w:sz="4" w:space="0" w:color="auto"/>
            </w:tcBorders>
            <w:shd w:val="clear" w:color="auto" w:fill="auto"/>
            <w:noWrap/>
            <w:vAlign w:val="center"/>
            <w:hideMark/>
          </w:tcPr>
          <w:p w:rsidR="008921BF" w:rsidRPr="00E93F4C" w:rsidRDefault="008921BF" w:rsidP="00031B92">
            <w:pPr>
              <w:spacing w:after="0" w:line="240" w:lineRule="auto"/>
              <w:jc w:val="center"/>
              <w:rPr>
                <w:rFonts w:ascii="Calibri" w:eastAsia="Times New Roman" w:hAnsi="Calibri" w:cs="Times New Roman"/>
                <w:color w:val="000000"/>
                <w:lang w:eastAsia="en-GB"/>
              </w:rPr>
            </w:pPr>
            <w:r w:rsidRPr="00E93F4C">
              <w:rPr>
                <w:rFonts w:ascii="Calibri" w:eastAsia="Times New Roman" w:hAnsi="Calibri" w:cs="Times New Roman"/>
                <w:color w:val="000000"/>
                <w:lang w:eastAsia="en-GB"/>
              </w:rPr>
              <w:t>95.92%</w:t>
            </w:r>
          </w:p>
        </w:tc>
        <w:tc>
          <w:tcPr>
            <w:tcW w:w="960" w:type="dxa"/>
            <w:tcBorders>
              <w:top w:val="nil"/>
              <w:left w:val="nil"/>
              <w:bottom w:val="single" w:sz="4" w:space="0" w:color="auto"/>
              <w:right w:val="single" w:sz="4" w:space="0" w:color="auto"/>
            </w:tcBorders>
            <w:shd w:val="clear" w:color="auto" w:fill="auto"/>
            <w:vAlign w:val="center"/>
            <w:hideMark/>
          </w:tcPr>
          <w:p w:rsidR="008921BF" w:rsidRPr="00E93F4C" w:rsidRDefault="008921BF" w:rsidP="00031B92">
            <w:pPr>
              <w:spacing w:after="0" w:line="240" w:lineRule="auto"/>
              <w:jc w:val="center"/>
              <w:rPr>
                <w:rFonts w:ascii="Calibri" w:eastAsia="Times New Roman" w:hAnsi="Calibri" w:cs="Times New Roman"/>
                <w:color w:val="000000"/>
                <w:lang w:eastAsia="en-GB"/>
              </w:rPr>
            </w:pPr>
            <w:r w:rsidRPr="00E93F4C">
              <w:rPr>
                <w:rFonts w:ascii="Calibri" w:eastAsia="Times New Roman" w:hAnsi="Calibri" w:cs="Times New Roman"/>
                <w:color w:val="000000"/>
                <w:lang w:eastAsia="en-GB"/>
              </w:rPr>
              <w:t>42</w:t>
            </w:r>
          </w:p>
        </w:tc>
        <w:tc>
          <w:tcPr>
            <w:tcW w:w="1261" w:type="dxa"/>
            <w:tcBorders>
              <w:top w:val="nil"/>
              <w:left w:val="nil"/>
              <w:bottom w:val="single" w:sz="4" w:space="0" w:color="auto"/>
              <w:right w:val="single" w:sz="4" w:space="0" w:color="auto"/>
            </w:tcBorders>
            <w:shd w:val="clear" w:color="auto" w:fill="auto"/>
            <w:noWrap/>
            <w:vAlign w:val="center"/>
            <w:hideMark/>
          </w:tcPr>
          <w:p w:rsidR="008921BF" w:rsidRPr="00E93F4C" w:rsidRDefault="008921BF" w:rsidP="00031B92">
            <w:pPr>
              <w:spacing w:after="0" w:line="240" w:lineRule="auto"/>
              <w:jc w:val="center"/>
              <w:rPr>
                <w:rFonts w:ascii="Calibri" w:eastAsia="Times New Roman" w:hAnsi="Calibri" w:cs="Times New Roman"/>
                <w:color w:val="000000"/>
                <w:lang w:eastAsia="en-GB"/>
              </w:rPr>
            </w:pPr>
            <w:r w:rsidRPr="00E93F4C">
              <w:rPr>
                <w:rFonts w:ascii="Calibri" w:eastAsia="Times New Roman" w:hAnsi="Calibri" w:cs="Times New Roman"/>
                <w:color w:val="000000"/>
                <w:lang w:eastAsia="en-GB"/>
              </w:rPr>
              <w:t>95.45%</w:t>
            </w:r>
          </w:p>
        </w:tc>
      </w:tr>
      <w:tr w:rsidR="008921BF" w:rsidRPr="00E93F4C" w:rsidTr="00031B92">
        <w:trPr>
          <w:trHeight w:val="300"/>
          <w:jc w:val="center"/>
        </w:trPr>
        <w:tc>
          <w:tcPr>
            <w:tcW w:w="2976" w:type="dxa"/>
            <w:tcBorders>
              <w:top w:val="nil"/>
              <w:left w:val="single" w:sz="4" w:space="0" w:color="auto"/>
              <w:bottom w:val="single" w:sz="4" w:space="0" w:color="auto"/>
              <w:right w:val="single" w:sz="4" w:space="0" w:color="auto"/>
            </w:tcBorders>
            <w:shd w:val="clear" w:color="auto" w:fill="auto"/>
            <w:noWrap/>
            <w:vAlign w:val="center"/>
            <w:hideMark/>
          </w:tcPr>
          <w:p w:rsidR="008921BF" w:rsidRPr="00E93F4C" w:rsidRDefault="008921BF" w:rsidP="00031B92">
            <w:pPr>
              <w:spacing w:after="0" w:line="240" w:lineRule="auto"/>
              <w:jc w:val="center"/>
              <w:rPr>
                <w:rFonts w:ascii="Calibri" w:eastAsia="Times New Roman" w:hAnsi="Calibri" w:cs="Times New Roman"/>
                <w:color w:val="000000"/>
                <w:lang w:eastAsia="en-GB"/>
              </w:rPr>
            </w:pPr>
            <w:r w:rsidRPr="00E93F4C">
              <w:rPr>
                <w:rFonts w:ascii="Calibri" w:eastAsia="Times New Roman" w:hAnsi="Calibri" w:cs="Times New Roman"/>
                <w:color w:val="000000"/>
                <w:lang w:eastAsia="en-GB"/>
              </w:rPr>
              <w:t>Older Adults</w:t>
            </w:r>
          </w:p>
        </w:tc>
        <w:tc>
          <w:tcPr>
            <w:tcW w:w="1135" w:type="dxa"/>
            <w:tcBorders>
              <w:top w:val="nil"/>
              <w:left w:val="nil"/>
              <w:bottom w:val="single" w:sz="4" w:space="0" w:color="auto"/>
              <w:right w:val="single" w:sz="4" w:space="0" w:color="auto"/>
            </w:tcBorders>
            <w:shd w:val="clear" w:color="auto" w:fill="auto"/>
            <w:noWrap/>
            <w:vAlign w:val="center"/>
            <w:hideMark/>
          </w:tcPr>
          <w:p w:rsidR="008921BF" w:rsidRPr="00E93F4C" w:rsidRDefault="008921BF" w:rsidP="00031B92">
            <w:pPr>
              <w:spacing w:after="0" w:line="240" w:lineRule="auto"/>
              <w:jc w:val="center"/>
              <w:rPr>
                <w:rFonts w:ascii="Calibri" w:eastAsia="Times New Roman" w:hAnsi="Calibri" w:cs="Times New Roman"/>
                <w:color w:val="000000"/>
                <w:lang w:eastAsia="en-GB"/>
              </w:rPr>
            </w:pPr>
            <w:r w:rsidRPr="00E93F4C">
              <w:rPr>
                <w:rFonts w:ascii="Calibri" w:eastAsia="Times New Roman" w:hAnsi="Calibri" w:cs="Times New Roman"/>
                <w:color w:val="000000"/>
                <w:lang w:eastAsia="en-GB"/>
              </w:rPr>
              <w:t>3,979</w:t>
            </w:r>
          </w:p>
        </w:tc>
        <w:tc>
          <w:tcPr>
            <w:tcW w:w="1245" w:type="dxa"/>
            <w:tcBorders>
              <w:top w:val="nil"/>
              <w:left w:val="nil"/>
              <w:bottom w:val="single" w:sz="4" w:space="0" w:color="auto"/>
              <w:right w:val="single" w:sz="4" w:space="0" w:color="auto"/>
            </w:tcBorders>
            <w:shd w:val="clear" w:color="auto" w:fill="auto"/>
            <w:noWrap/>
            <w:vAlign w:val="center"/>
            <w:hideMark/>
          </w:tcPr>
          <w:p w:rsidR="008921BF" w:rsidRPr="00E93F4C" w:rsidRDefault="008921BF" w:rsidP="00031B92">
            <w:pPr>
              <w:spacing w:after="0" w:line="240" w:lineRule="auto"/>
              <w:jc w:val="center"/>
              <w:rPr>
                <w:rFonts w:ascii="Calibri" w:eastAsia="Times New Roman" w:hAnsi="Calibri" w:cs="Times New Roman"/>
                <w:color w:val="000000"/>
                <w:lang w:eastAsia="en-GB"/>
              </w:rPr>
            </w:pPr>
            <w:r w:rsidRPr="00E93F4C">
              <w:rPr>
                <w:rFonts w:ascii="Calibri" w:eastAsia="Times New Roman" w:hAnsi="Calibri" w:cs="Times New Roman"/>
                <w:color w:val="000000"/>
                <w:lang w:eastAsia="en-GB"/>
              </w:rPr>
              <w:t>81.84%</w:t>
            </w:r>
          </w:p>
        </w:tc>
        <w:tc>
          <w:tcPr>
            <w:tcW w:w="739" w:type="dxa"/>
            <w:tcBorders>
              <w:top w:val="nil"/>
              <w:left w:val="nil"/>
              <w:bottom w:val="single" w:sz="4" w:space="0" w:color="auto"/>
              <w:right w:val="single" w:sz="4" w:space="0" w:color="auto"/>
            </w:tcBorders>
            <w:shd w:val="clear" w:color="auto" w:fill="auto"/>
            <w:vAlign w:val="center"/>
            <w:hideMark/>
          </w:tcPr>
          <w:p w:rsidR="008921BF" w:rsidRPr="00E93F4C" w:rsidRDefault="008921BF" w:rsidP="00031B92">
            <w:pPr>
              <w:spacing w:after="0" w:line="240" w:lineRule="auto"/>
              <w:jc w:val="center"/>
              <w:rPr>
                <w:rFonts w:ascii="Calibri" w:eastAsia="Times New Roman" w:hAnsi="Calibri" w:cs="Times New Roman"/>
                <w:color w:val="000000"/>
                <w:lang w:eastAsia="en-GB"/>
              </w:rPr>
            </w:pPr>
            <w:r w:rsidRPr="00E93F4C">
              <w:rPr>
                <w:rFonts w:ascii="Calibri" w:eastAsia="Times New Roman" w:hAnsi="Calibri" w:cs="Times New Roman"/>
                <w:color w:val="000000"/>
                <w:lang w:eastAsia="en-GB"/>
              </w:rPr>
              <w:t>3,868</w:t>
            </w:r>
          </w:p>
        </w:tc>
        <w:tc>
          <w:tcPr>
            <w:tcW w:w="1181" w:type="dxa"/>
            <w:tcBorders>
              <w:top w:val="nil"/>
              <w:left w:val="nil"/>
              <w:bottom w:val="single" w:sz="4" w:space="0" w:color="auto"/>
              <w:right w:val="single" w:sz="4" w:space="0" w:color="auto"/>
            </w:tcBorders>
            <w:shd w:val="clear" w:color="auto" w:fill="auto"/>
            <w:noWrap/>
            <w:vAlign w:val="center"/>
            <w:hideMark/>
          </w:tcPr>
          <w:p w:rsidR="008921BF" w:rsidRPr="00E93F4C" w:rsidRDefault="008921BF" w:rsidP="00031B92">
            <w:pPr>
              <w:spacing w:after="0" w:line="240" w:lineRule="auto"/>
              <w:jc w:val="center"/>
              <w:rPr>
                <w:rFonts w:ascii="Calibri" w:eastAsia="Times New Roman" w:hAnsi="Calibri" w:cs="Times New Roman"/>
                <w:color w:val="000000"/>
                <w:lang w:eastAsia="en-GB"/>
              </w:rPr>
            </w:pPr>
            <w:r w:rsidRPr="00E93F4C">
              <w:rPr>
                <w:rFonts w:ascii="Calibri" w:eastAsia="Times New Roman" w:hAnsi="Calibri" w:cs="Times New Roman"/>
                <w:color w:val="000000"/>
                <w:lang w:eastAsia="en-GB"/>
              </w:rPr>
              <w:t>81.07%</w:t>
            </w:r>
          </w:p>
        </w:tc>
        <w:tc>
          <w:tcPr>
            <w:tcW w:w="960" w:type="dxa"/>
            <w:tcBorders>
              <w:top w:val="nil"/>
              <w:left w:val="nil"/>
              <w:bottom w:val="single" w:sz="4" w:space="0" w:color="auto"/>
              <w:right w:val="single" w:sz="4" w:space="0" w:color="auto"/>
            </w:tcBorders>
            <w:shd w:val="clear" w:color="auto" w:fill="auto"/>
            <w:vAlign w:val="center"/>
            <w:hideMark/>
          </w:tcPr>
          <w:p w:rsidR="008921BF" w:rsidRPr="00E93F4C" w:rsidRDefault="008921BF" w:rsidP="00031B92">
            <w:pPr>
              <w:spacing w:after="0" w:line="240" w:lineRule="auto"/>
              <w:jc w:val="center"/>
              <w:rPr>
                <w:rFonts w:ascii="Calibri" w:eastAsia="Times New Roman" w:hAnsi="Calibri" w:cs="Times New Roman"/>
                <w:color w:val="000000"/>
                <w:lang w:eastAsia="en-GB"/>
              </w:rPr>
            </w:pPr>
            <w:r w:rsidRPr="00E93F4C">
              <w:rPr>
                <w:rFonts w:ascii="Calibri" w:eastAsia="Times New Roman" w:hAnsi="Calibri" w:cs="Times New Roman"/>
                <w:color w:val="000000"/>
                <w:lang w:eastAsia="en-GB"/>
              </w:rPr>
              <w:t>3,894</w:t>
            </w:r>
          </w:p>
        </w:tc>
        <w:tc>
          <w:tcPr>
            <w:tcW w:w="1261" w:type="dxa"/>
            <w:tcBorders>
              <w:top w:val="nil"/>
              <w:left w:val="nil"/>
              <w:bottom w:val="single" w:sz="4" w:space="0" w:color="auto"/>
              <w:right w:val="single" w:sz="4" w:space="0" w:color="auto"/>
            </w:tcBorders>
            <w:shd w:val="clear" w:color="auto" w:fill="auto"/>
            <w:noWrap/>
            <w:vAlign w:val="center"/>
            <w:hideMark/>
          </w:tcPr>
          <w:p w:rsidR="008921BF" w:rsidRPr="00E93F4C" w:rsidRDefault="008921BF" w:rsidP="00031B92">
            <w:pPr>
              <w:spacing w:after="0" w:line="240" w:lineRule="auto"/>
              <w:jc w:val="center"/>
              <w:rPr>
                <w:rFonts w:ascii="Calibri" w:eastAsia="Times New Roman" w:hAnsi="Calibri" w:cs="Times New Roman"/>
                <w:color w:val="000000"/>
                <w:lang w:eastAsia="en-GB"/>
              </w:rPr>
            </w:pPr>
            <w:r w:rsidRPr="00E93F4C">
              <w:rPr>
                <w:rFonts w:ascii="Calibri" w:eastAsia="Times New Roman" w:hAnsi="Calibri" w:cs="Times New Roman"/>
                <w:color w:val="000000"/>
                <w:lang w:eastAsia="en-GB"/>
              </w:rPr>
              <w:t>82.08%</w:t>
            </w:r>
          </w:p>
        </w:tc>
      </w:tr>
      <w:tr w:rsidR="008921BF" w:rsidRPr="00E93F4C" w:rsidTr="00031B92">
        <w:trPr>
          <w:trHeight w:val="300"/>
          <w:jc w:val="center"/>
        </w:trPr>
        <w:tc>
          <w:tcPr>
            <w:tcW w:w="2976" w:type="dxa"/>
            <w:tcBorders>
              <w:top w:val="nil"/>
              <w:left w:val="single" w:sz="4" w:space="0" w:color="auto"/>
              <w:bottom w:val="single" w:sz="4" w:space="0" w:color="auto"/>
              <w:right w:val="single" w:sz="4" w:space="0" w:color="auto"/>
            </w:tcBorders>
            <w:shd w:val="clear" w:color="auto" w:fill="auto"/>
            <w:noWrap/>
            <w:vAlign w:val="center"/>
            <w:hideMark/>
          </w:tcPr>
          <w:p w:rsidR="008921BF" w:rsidRPr="00E93F4C" w:rsidRDefault="008921BF" w:rsidP="00031B92">
            <w:pPr>
              <w:spacing w:after="0" w:line="240" w:lineRule="auto"/>
              <w:jc w:val="center"/>
              <w:rPr>
                <w:rFonts w:ascii="Calibri" w:eastAsia="Times New Roman" w:hAnsi="Calibri" w:cs="Times New Roman"/>
                <w:color w:val="000000"/>
                <w:lang w:eastAsia="en-GB"/>
              </w:rPr>
            </w:pPr>
            <w:r w:rsidRPr="00E93F4C">
              <w:rPr>
                <w:rFonts w:ascii="Calibri" w:eastAsia="Times New Roman" w:hAnsi="Calibri" w:cs="Times New Roman"/>
                <w:color w:val="000000"/>
                <w:lang w:eastAsia="en-GB"/>
              </w:rPr>
              <w:t>Total Service Users</w:t>
            </w:r>
          </w:p>
        </w:tc>
        <w:tc>
          <w:tcPr>
            <w:tcW w:w="1135" w:type="dxa"/>
            <w:tcBorders>
              <w:top w:val="nil"/>
              <w:left w:val="nil"/>
              <w:bottom w:val="single" w:sz="4" w:space="0" w:color="auto"/>
              <w:right w:val="single" w:sz="4" w:space="0" w:color="auto"/>
            </w:tcBorders>
            <w:shd w:val="clear" w:color="auto" w:fill="auto"/>
            <w:vAlign w:val="center"/>
            <w:hideMark/>
          </w:tcPr>
          <w:p w:rsidR="008921BF" w:rsidRPr="00E93F4C" w:rsidRDefault="008921BF" w:rsidP="00031B92">
            <w:pPr>
              <w:spacing w:after="0" w:line="240" w:lineRule="auto"/>
              <w:jc w:val="center"/>
              <w:rPr>
                <w:rFonts w:ascii="Calibri" w:eastAsia="Times New Roman" w:hAnsi="Calibri" w:cs="Times New Roman"/>
                <w:color w:val="000000"/>
                <w:lang w:eastAsia="en-GB"/>
              </w:rPr>
            </w:pPr>
            <w:r w:rsidRPr="00E93F4C">
              <w:rPr>
                <w:rFonts w:ascii="Calibri" w:eastAsia="Times New Roman" w:hAnsi="Calibri" w:cs="Times New Roman"/>
                <w:color w:val="000000"/>
                <w:lang w:eastAsia="en-GB"/>
              </w:rPr>
              <w:t>6,292</w:t>
            </w:r>
          </w:p>
        </w:tc>
        <w:tc>
          <w:tcPr>
            <w:tcW w:w="1245" w:type="dxa"/>
            <w:tcBorders>
              <w:top w:val="nil"/>
              <w:left w:val="nil"/>
              <w:bottom w:val="single" w:sz="4" w:space="0" w:color="auto"/>
              <w:right w:val="single" w:sz="4" w:space="0" w:color="auto"/>
            </w:tcBorders>
            <w:shd w:val="clear" w:color="auto" w:fill="auto"/>
            <w:noWrap/>
            <w:vAlign w:val="center"/>
            <w:hideMark/>
          </w:tcPr>
          <w:p w:rsidR="008921BF" w:rsidRPr="00E93F4C" w:rsidRDefault="008921BF" w:rsidP="00031B92">
            <w:pPr>
              <w:spacing w:after="0" w:line="240" w:lineRule="auto"/>
              <w:jc w:val="center"/>
              <w:rPr>
                <w:rFonts w:ascii="Calibri" w:eastAsia="Times New Roman" w:hAnsi="Calibri" w:cs="Times New Roman"/>
                <w:color w:val="000000"/>
                <w:lang w:eastAsia="en-GB"/>
              </w:rPr>
            </w:pPr>
            <w:r w:rsidRPr="00E93F4C">
              <w:rPr>
                <w:rFonts w:ascii="Calibri" w:eastAsia="Times New Roman" w:hAnsi="Calibri" w:cs="Times New Roman"/>
                <w:color w:val="000000"/>
                <w:lang w:eastAsia="en-GB"/>
              </w:rPr>
              <w:t>83.61%</w:t>
            </w:r>
          </w:p>
        </w:tc>
        <w:tc>
          <w:tcPr>
            <w:tcW w:w="739" w:type="dxa"/>
            <w:tcBorders>
              <w:top w:val="nil"/>
              <w:left w:val="nil"/>
              <w:bottom w:val="single" w:sz="4" w:space="0" w:color="auto"/>
              <w:right w:val="single" w:sz="4" w:space="0" w:color="auto"/>
            </w:tcBorders>
            <w:shd w:val="clear" w:color="auto" w:fill="auto"/>
            <w:vAlign w:val="center"/>
            <w:hideMark/>
          </w:tcPr>
          <w:p w:rsidR="008921BF" w:rsidRPr="00E93F4C" w:rsidRDefault="008921BF" w:rsidP="00031B92">
            <w:pPr>
              <w:spacing w:after="0" w:line="240" w:lineRule="auto"/>
              <w:jc w:val="center"/>
              <w:rPr>
                <w:rFonts w:ascii="Calibri" w:eastAsia="Times New Roman" w:hAnsi="Calibri" w:cs="Times New Roman"/>
                <w:color w:val="000000"/>
                <w:lang w:eastAsia="en-GB"/>
              </w:rPr>
            </w:pPr>
            <w:r w:rsidRPr="00E93F4C">
              <w:rPr>
                <w:rFonts w:ascii="Calibri" w:eastAsia="Times New Roman" w:hAnsi="Calibri" w:cs="Times New Roman"/>
                <w:color w:val="000000"/>
                <w:lang w:eastAsia="en-GB"/>
              </w:rPr>
              <w:t>6,310</w:t>
            </w:r>
          </w:p>
        </w:tc>
        <w:tc>
          <w:tcPr>
            <w:tcW w:w="1181" w:type="dxa"/>
            <w:tcBorders>
              <w:top w:val="nil"/>
              <w:left w:val="nil"/>
              <w:bottom w:val="single" w:sz="4" w:space="0" w:color="auto"/>
              <w:right w:val="single" w:sz="4" w:space="0" w:color="auto"/>
            </w:tcBorders>
            <w:shd w:val="clear" w:color="auto" w:fill="auto"/>
            <w:noWrap/>
            <w:vAlign w:val="center"/>
            <w:hideMark/>
          </w:tcPr>
          <w:p w:rsidR="008921BF" w:rsidRPr="00E93F4C" w:rsidRDefault="008921BF" w:rsidP="00031B92">
            <w:pPr>
              <w:spacing w:after="0" w:line="240" w:lineRule="auto"/>
              <w:jc w:val="center"/>
              <w:rPr>
                <w:rFonts w:ascii="Calibri" w:eastAsia="Times New Roman" w:hAnsi="Calibri" w:cs="Times New Roman"/>
                <w:color w:val="000000"/>
                <w:lang w:eastAsia="en-GB"/>
              </w:rPr>
            </w:pPr>
            <w:r w:rsidRPr="00E93F4C">
              <w:rPr>
                <w:rFonts w:ascii="Calibri" w:eastAsia="Times New Roman" w:hAnsi="Calibri" w:cs="Times New Roman"/>
                <w:color w:val="000000"/>
                <w:lang w:eastAsia="en-GB"/>
              </w:rPr>
              <w:t>83.70%</w:t>
            </w:r>
          </w:p>
        </w:tc>
        <w:tc>
          <w:tcPr>
            <w:tcW w:w="960" w:type="dxa"/>
            <w:tcBorders>
              <w:top w:val="nil"/>
              <w:left w:val="nil"/>
              <w:bottom w:val="single" w:sz="4" w:space="0" w:color="auto"/>
              <w:right w:val="single" w:sz="4" w:space="0" w:color="auto"/>
            </w:tcBorders>
            <w:shd w:val="clear" w:color="auto" w:fill="auto"/>
            <w:vAlign w:val="center"/>
            <w:hideMark/>
          </w:tcPr>
          <w:p w:rsidR="008921BF" w:rsidRPr="00E93F4C" w:rsidRDefault="008921BF" w:rsidP="00031B92">
            <w:pPr>
              <w:spacing w:after="0" w:line="240" w:lineRule="auto"/>
              <w:jc w:val="center"/>
              <w:rPr>
                <w:rFonts w:ascii="Calibri" w:eastAsia="Times New Roman" w:hAnsi="Calibri" w:cs="Times New Roman"/>
                <w:color w:val="000000"/>
                <w:lang w:eastAsia="en-GB"/>
              </w:rPr>
            </w:pPr>
            <w:r w:rsidRPr="00E93F4C">
              <w:rPr>
                <w:rFonts w:ascii="Calibri" w:eastAsia="Times New Roman" w:hAnsi="Calibri" w:cs="Times New Roman"/>
                <w:color w:val="000000"/>
                <w:lang w:eastAsia="en-GB"/>
              </w:rPr>
              <w:t>6,278</w:t>
            </w:r>
          </w:p>
        </w:tc>
        <w:tc>
          <w:tcPr>
            <w:tcW w:w="1261" w:type="dxa"/>
            <w:tcBorders>
              <w:top w:val="nil"/>
              <w:left w:val="nil"/>
              <w:bottom w:val="single" w:sz="4" w:space="0" w:color="auto"/>
              <w:right w:val="single" w:sz="4" w:space="0" w:color="auto"/>
            </w:tcBorders>
            <w:shd w:val="clear" w:color="auto" w:fill="auto"/>
            <w:noWrap/>
            <w:vAlign w:val="center"/>
            <w:hideMark/>
          </w:tcPr>
          <w:p w:rsidR="008921BF" w:rsidRPr="00E93F4C" w:rsidRDefault="008921BF" w:rsidP="00031B92">
            <w:pPr>
              <w:spacing w:after="0" w:line="240" w:lineRule="auto"/>
              <w:jc w:val="center"/>
              <w:rPr>
                <w:rFonts w:ascii="Calibri" w:eastAsia="Times New Roman" w:hAnsi="Calibri" w:cs="Times New Roman"/>
                <w:color w:val="000000"/>
                <w:lang w:eastAsia="en-GB"/>
              </w:rPr>
            </w:pPr>
            <w:r w:rsidRPr="00E93F4C">
              <w:rPr>
                <w:rFonts w:ascii="Calibri" w:eastAsia="Times New Roman" w:hAnsi="Calibri" w:cs="Times New Roman"/>
                <w:color w:val="000000"/>
                <w:lang w:eastAsia="en-GB"/>
              </w:rPr>
              <w:t>84.38%</w:t>
            </w:r>
          </w:p>
        </w:tc>
      </w:tr>
    </w:tbl>
    <w:p w:rsidR="000D6FBF" w:rsidRDefault="000D6FBF" w:rsidP="000D6FBF">
      <w:pPr>
        <w:spacing w:after="0" w:line="240" w:lineRule="auto"/>
      </w:pPr>
      <w:r>
        <w:t>Source:  SWIFT – Adult Social Care Database</w:t>
      </w:r>
    </w:p>
    <w:p w:rsidR="008921BF" w:rsidRPr="00C130EE" w:rsidRDefault="008921BF" w:rsidP="008921BF">
      <w:pPr>
        <w:spacing w:after="0"/>
        <w:jc w:val="both"/>
        <w:rPr>
          <w:rFonts w:ascii="Calibri" w:hAnsi="Calibri" w:cs="Calibri"/>
          <w:b/>
          <w:i/>
        </w:rPr>
      </w:pPr>
    </w:p>
    <w:p w:rsidR="008921BF" w:rsidRDefault="00D7687B" w:rsidP="008921BF">
      <w:pPr>
        <w:spacing w:after="0"/>
        <w:jc w:val="both"/>
        <w:rPr>
          <w:rFonts w:ascii="Calibri" w:hAnsi="Calibri" w:cs="Calibri"/>
        </w:rPr>
      </w:pPr>
      <w:r>
        <w:rPr>
          <w:rFonts w:ascii="Calibri" w:hAnsi="Calibri" w:cs="Calibri"/>
        </w:rPr>
        <w:t>Figure 9-5</w:t>
      </w:r>
      <w:r w:rsidR="008921BF">
        <w:rPr>
          <w:rFonts w:ascii="Calibri" w:hAnsi="Calibri" w:cs="Calibri"/>
        </w:rPr>
        <w:t xml:space="preserve"> shows the breakdown of Community Care service users by age and gender. By age, the 18-64 age group accounts for around a third of the total clients, with the 65 and over client group accounting for around two thirds. This is roughly in line with the overall demographic breakdown of Adult Social care clients.</w:t>
      </w:r>
    </w:p>
    <w:p w:rsidR="008921BF" w:rsidRDefault="008921BF" w:rsidP="008921BF">
      <w:pPr>
        <w:spacing w:after="0"/>
        <w:jc w:val="both"/>
        <w:rPr>
          <w:rFonts w:ascii="Calibri" w:hAnsi="Calibri" w:cs="Calibri"/>
        </w:rPr>
      </w:pPr>
    </w:p>
    <w:p w:rsidR="008921BF" w:rsidRPr="00253FF5" w:rsidRDefault="008921BF" w:rsidP="008921BF">
      <w:pPr>
        <w:spacing w:after="0"/>
        <w:jc w:val="both"/>
        <w:rPr>
          <w:rFonts w:ascii="Calibri" w:hAnsi="Calibri" w:cs="Calibri"/>
        </w:rPr>
      </w:pPr>
      <w:r>
        <w:rPr>
          <w:rFonts w:ascii="Calibri" w:hAnsi="Calibri" w:cs="Calibri"/>
        </w:rPr>
        <w:t xml:space="preserve">By gender, the proportion of 18-64 year olds accessing Community Care </w:t>
      </w:r>
      <w:r w:rsidR="00DD3A76">
        <w:rPr>
          <w:rFonts w:ascii="Calibri" w:hAnsi="Calibri" w:cs="Calibri"/>
        </w:rPr>
        <w:t>services</w:t>
      </w:r>
      <w:r>
        <w:rPr>
          <w:rFonts w:ascii="Calibri" w:hAnsi="Calibri" w:cs="Calibri"/>
        </w:rPr>
        <w:t xml:space="preserve"> is roughly the same across both males and females. However, females in the 65 and over category are significantly more likely to use community care services than any other client group. Whereas</w:t>
      </w:r>
      <w:r w:rsidR="00142795">
        <w:rPr>
          <w:rFonts w:ascii="Calibri" w:hAnsi="Calibri" w:cs="Calibri"/>
        </w:rPr>
        <w:t>,</w:t>
      </w:r>
      <w:r>
        <w:rPr>
          <w:rFonts w:ascii="Calibri" w:hAnsi="Calibri" w:cs="Calibri"/>
        </w:rPr>
        <w:t xml:space="preserve"> there is very little difference between the number</w:t>
      </w:r>
      <w:r w:rsidR="00142795">
        <w:rPr>
          <w:rFonts w:ascii="Calibri" w:hAnsi="Calibri" w:cs="Calibri"/>
        </w:rPr>
        <w:t>s</w:t>
      </w:r>
      <w:r>
        <w:rPr>
          <w:rFonts w:ascii="Calibri" w:hAnsi="Calibri" w:cs="Calibri"/>
        </w:rPr>
        <w:t xml:space="preserve"> of men aged 18-64 receiving community care as those aged 65 and over. </w:t>
      </w:r>
      <w:r w:rsidR="009313DF">
        <w:t>This could be partially due</w:t>
      </w:r>
      <w:r w:rsidR="00C35D6A">
        <w:t xml:space="preserve"> to </w:t>
      </w:r>
      <w:r w:rsidR="00C35D6A" w:rsidRPr="00273688">
        <w:rPr>
          <w:rFonts w:ascii="Calibri" w:hAnsi="Calibri" w:cs="Calibri"/>
        </w:rPr>
        <w:t>women account</w:t>
      </w:r>
      <w:r w:rsidR="00047215">
        <w:rPr>
          <w:rFonts w:ascii="Calibri" w:hAnsi="Calibri" w:cs="Calibri"/>
        </w:rPr>
        <w:t>ing for 56.5% of</w:t>
      </w:r>
      <w:r w:rsidR="009313DF">
        <w:rPr>
          <w:rFonts w:ascii="Calibri" w:hAnsi="Calibri" w:cs="Calibri"/>
        </w:rPr>
        <w:t xml:space="preserve"> the</w:t>
      </w:r>
      <w:r w:rsidR="00047215">
        <w:rPr>
          <w:rFonts w:ascii="Calibri" w:hAnsi="Calibri" w:cs="Calibri"/>
        </w:rPr>
        <w:t xml:space="preserve"> 65 and over </w:t>
      </w:r>
      <w:r w:rsidR="00C35D6A" w:rsidRPr="00273688">
        <w:rPr>
          <w:rFonts w:ascii="Calibri" w:hAnsi="Calibri" w:cs="Calibri"/>
        </w:rPr>
        <w:t xml:space="preserve">population (29,152) compared to men who account </w:t>
      </w:r>
      <w:r w:rsidR="00C35D6A">
        <w:rPr>
          <w:rFonts w:ascii="Calibri" w:hAnsi="Calibri" w:cs="Calibri"/>
        </w:rPr>
        <w:t>for 43.5% (22,423).</w:t>
      </w:r>
    </w:p>
    <w:p w:rsidR="008921BF" w:rsidRDefault="008921BF" w:rsidP="008921BF">
      <w:pPr>
        <w:pStyle w:val="Caption"/>
      </w:pPr>
    </w:p>
    <w:p w:rsidR="00AA058C" w:rsidRDefault="00AA058C" w:rsidP="008921BF">
      <w:pPr>
        <w:pStyle w:val="Caption"/>
      </w:pPr>
    </w:p>
    <w:p w:rsidR="00AA058C" w:rsidRDefault="00AA058C" w:rsidP="008921BF">
      <w:pPr>
        <w:pStyle w:val="Caption"/>
      </w:pPr>
    </w:p>
    <w:p w:rsidR="00AA058C" w:rsidRDefault="00AA058C" w:rsidP="008921BF">
      <w:pPr>
        <w:pStyle w:val="Caption"/>
      </w:pPr>
    </w:p>
    <w:p w:rsidR="008921BF" w:rsidRPr="00041E32" w:rsidRDefault="008921BF" w:rsidP="008921BF">
      <w:pPr>
        <w:pStyle w:val="Caption"/>
      </w:pPr>
      <w:r>
        <w:lastRenderedPageBreak/>
        <w:t xml:space="preserve">Figure </w:t>
      </w:r>
      <w:fldSimple w:instr=" STYLEREF 1 \s ">
        <w:r w:rsidR="001663C2">
          <w:rPr>
            <w:noProof/>
          </w:rPr>
          <w:t>9</w:t>
        </w:r>
      </w:fldSimple>
      <w:r w:rsidR="00943DC2">
        <w:noBreakHyphen/>
      </w:r>
      <w:fldSimple w:instr=" SEQ Figure \* ARABIC \s 1 ">
        <w:r w:rsidR="001663C2">
          <w:rPr>
            <w:noProof/>
          </w:rPr>
          <w:t>5</w:t>
        </w:r>
      </w:fldSimple>
      <w:r w:rsidRPr="00041E32">
        <w:t>: Number of Service Users by Age group and Gender</w:t>
      </w:r>
    </w:p>
    <w:p w:rsidR="008921BF" w:rsidRDefault="008921BF" w:rsidP="008921BF">
      <w:pPr>
        <w:spacing w:after="0"/>
        <w:jc w:val="center"/>
        <w:rPr>
          <w:rFonts w:ascii="Calibri" w:hAnsi="Calibri" w:cs="Calibri"/>
          <w:b/>
          <w:i/>
        </w:rPr>
      </w:pPr>
      <w:r>
        <w:rPr>
          <w:noProof/>
          <w:lang w:eastAsia="en-GB"/>
        </w:rPr>
        <w:drawing>
          <wp:inline distT="0" distB="0" distL="0" distR="0" wp14:anchorId="4CEF60F8" wp14:editId="1667D972">
            <wp:extent cx="5284382" cy="1658679"/>
            <wp:effectExtent l="0" t="0" r="12065" b="17780"/>
            <wp:docPr id="76" name="Chart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4"/>
              </a:graphicData>
            </a:graphic>
          </wp:inline>
        </w:drawing>
      </w:r>
    </w:p>
    <w:p w:rsidR="000D6FBF" w:rsidRDefault="000D6FBF" w:rsidP="000D6FBF">
      <w:pPr>
        <w:spacing w:after="0" w:line="240" w:lineRule="auto"/>
      </w:pPr>
      <w:r>
        <w:t>Source:  SWIFT – Adult Social Care Database</w:t>
      </w:r>
    </w:p>
    <w:p w:rsidR="008921BF" w:rsidRPr="00006F92" w:rsidRDefault="008921BF" w:rsidP="008921BF">
      <w:pPr>
        <w:pStyle w:val="Heading3"/>
      </w:pPr>
      <w:r w:rsidRPr="00006F92">
        <w:t>Home and Community Support</w:t>
      </w:r>
    </w:p>
    <w:p w:rsidR="008921BF" w:rsidRDefault="008921BF" w:rsidP="008921BF">
      <w:pPr>
        <w:spacing w:after="0"/>
        <w:jc w:val="both"/>
      </w:pPr>
      <w:r w:rsidRPr="00006F92">
        <w:t>Home and Community Support provides support to people in their own home, including older people who are frail or have health needs</w:t>
      </w:r>
      <w:r>
        <w:t>,</w:t>
      </w:r>
      <w:r w:rsidR="00142795">
        <w:t xml:space="preserve"> as well as </w:t>
      </w:r>
      <w:r w:rsidRPr="00006F92">
        <w:t xml:space="preserve">to people with disabilities or complex needs. It often follows a period of </w:t>
      </w:r>
      <w:r>
        <w:t>e</w:t>
      </w:r>
      <w:r w:rsidRPr="00006F92">
        <w:t>nablement whe</w:t>
      </w:r>
      <w:r>
        <w:t>re</w:t>
      </w:r>
      <w:r w:rsidRPr="00006F92">
        <w:t xml:space="preserve"> it is identified that the individual will require further support.</w:t>
      </w:r>
    </w:p>
    <w:p w:rsidR="008921BF" w:rsidRDefault="008921BF" w:rsidP="008921BF">
      <w:pPr>
        <w:spacing w:after="0"/>
        <w:jc w:val="both"/>
      </w:pPr>
    </w:p>
    <w:p w:rsidR="008921BF" w:rsidRPr="00006F92" w:rsidRDefault="008921BF" w:rsidP="008921BF">
      <w:pPr>
        <w:spacing w:after="0"/>
        <w:jc w:val="both"/>
      </w:pPr>
      <w:r w:rsidRPr="00006F92">
        <w:t xml:space="preserve">Currently the </w:t>
      </w:r>
      <w:r>
        <w:t>c</w:t>
      </w:r>
      <w:r w:rsidRPr="00006F92">
        <w:t>ouncil’s Home and Community Support service is delivered by three lead providers and a number of other contracted suppliers.</w:t>
      </w:r>
    </w:p>
    <w:p w:rsidR="008921BF" w:rsidRPr="000E1F9E" w:rsidRDefault="00D00F6E" w:rsidP="008921BF">
      <w:pPr>
        <w:pStyle w:val="ListParagraph"/>
        <w:numPr>
          <w:ilvl w:val="0"/>
          <w:numId w:val="41"/>
        </w:numPr>
        <w:spacing w:after="0" w:line="240" w:lineRule="auto"/>
        <w:jc w:val="both"/>
      </w:pPr>
      <w:r>
        <w:t>At present, there are 28 homec</w:t>
      </w:r>
      <w:r w:rsidR="008921BF" w:rsidRPr="000E1F9E">
        <w:t>are providers o</w:t>
      </w:r>
      <w:r w:rsidR="008921BF">
        <w:t>n the Barnet contract register.</w:t>
      </w:r>
    </w:p>
    <w:p w:rsidR="008921BF" w:rsidRPr="000E1F9E" w:rsidRDefault="008921BF" w:rsidP="008921BF">
      <w:pPr>
        <w:pStyle w:val="ListParagraph"/>
        <w:numPr>
          <w:ilvl w:val="0"/>
          <w:numId w:val="41"/>
        </w:numPr>
        <w:spacing w:after="0" w:line="240" w:lineRule="auto"/>
        <w:jc w:val="both"/>
      </w:pPr>
      <w:r w:rsidRPr="000E1F9E">
        <w:t xml:space="preserve">In 2013/14, the majority of community care clients received homecare. </w:t>
      </w:r>
    </w:p>
    <w:p w:rsidR="008921BF" w:rsidRPr="000E1F9E" w:rsidRDefault="008921BF" w:rsidP="008921BF">
      <w:pPr>
        <w:pStyle w:val="ListParagraph"/>
        <w:numPr>
          <w:ilvl w:val="0"/>
          <w:numId w:val="41"/>
        </w:numPr>
        <w:spacing w:after="0" w:line="240" w:lineRule="auto"/>
        <w:jc w:val="both"/>
      </w:pPr>
      <w:r w:rsidRPr="000E1F9E">
        <w:t xml:space="preserve">80% of homecare clients were older adults (65+). </w:t>
      </w:r>
    </w:p>
    <w:p w:rsidR="008921BF" w:rsidRDefault="008921BF" w:rsidP="008921BF">
      <w:pPr>
        <w:pStyle w:val="ListParagraph"/>
        <w:numPr>
          <w:ilvl w:val="0"/>
          <w:numId w:val="41"/>
        </w:numPr>
        <w:spacing w:after="0" w:line="240" w:lineRule="auto"/>
        <w:jc w:val="both"/>
      </w:pPr>
      <w:r w:rsidRPr="000E1F9E">
        <w:t>The majorit</w:t>
      </w:r>
      <w:r w:rsidR="00D00F6E">
        <w:t>y of younger adult (18-64) home</w:t>
      </w:r>
      <w:r w:rsidRPr="000E1F9E">
        <w:t xml:space="preserve">care recipients were people with a </w:t>
      </w:r>
      <w:r>
        <w:t>physical / sensory impairment</w:t>
      </w:r>
      <w:r w:rsidRPr="000E1F9E">
        <w:t>.</w:t>
      </w:r>
    </w:p>
    <w:p w:rsidR="008921BF" w:rsidRDefault="008921BF" w:rsidP="008921BF">
      <w:pPr>
        <w:spacing w:after="0" w:line="240" w:lineRule="auto"/>
        <w:jc w:val="both"/>
      </w:pPr>
    </w:p>
    <w:p w:rsidR="008921BF" w:rsidRDefault="008921BF" w:rsidP="008921BF">
      <w:pPr>
        <w:pStyle w:val="Caption"/>
        <w:rPr>
          <w:rFonts w:ascii="Calibri" w:hAnsi="Calibri" w:cs="Calibri"/>
          <w:b w:val="0"/>
          <w:i/>
        </w:rPr>
      </w:pPr>
      <w:r>
        <w:t xml:space="preserve">Table </w:t>
      </w:r>
      <w:fldSimple w:instr=" STYLEREF 1 \s ">
        <w:r w:rsidR="001663C2">
          <w:rPr>
            <w:noProof/>
          </w:rPr>
          <w:t>9</w:t>
        </w:r>
      </w:fldSimple>
      <w:r>
        <w:noBreakHyphen/>
      </w:r>
      <w:fldSimple w:instr=" SEQ Table \* ARABIC \s 1 ">
        <w:r w:rsidR="001663C2">
          <w:rPr>
            <w:noProof/>
          </w:rPr>
          <w:t>10</w:t>
        </w:r>
      </w:fldSimple>
      <w:r w:rsidRPr="00041E32">
        <w:t>: Number of Home Care Packages offered during the year</w:t>
      </w:r>
    </w:p>
    <w:tbl>
      <w:tblPr>
        <w:tblStyle w:val="TableGrid"/>
        <w:tblW w:w="6804" w:type="dxa"/>
        <w:jc w:val="center"/>
        <w:tblInd w:w="-1949" w:type="dxa"/>
        <w:tblLook w:val="04A0" w:firstRow="1" w:lastRow="0" w:firstColumn="1" w:lastColumn="0" w:noHBand="0" w:noVBand="1"/>
      </w:tblPr>
      <w:tblGrid>
        <w:gridCol w:w="3852"/>
        <w:gridCol w:w="980"/>
        <w:gridCol w:w="980"/>
        <w:gridCol w:w="992"/>
      </w:tblGrid>
      <w:tr w:rsidR="008921BF" w:rsidRPr="00311580" w:rsidTr="00031B92">
        <w:trPr>
          <w:trHeight w:val="570"/>
          <w:jc w:val="center"/>
        </w:trPr>
        <w:tc>
          <w:tcPr>
            <w:tcW w:w="3852" w:type="dxa"/>
            <w:shd w:val="clear" w:color="auto" w:fill="BFBFBF" w:themeFill="background1" w:themeFillShade="BF"/>
            <w:vAlign w:val="center"/>
          </w:tcPr>
          <w:p w:rsidR="008921BF" w:rsidRPr="00723C7D" w:rsidRDefault="008921BF" w:rsidP="00031B92">
            <w:pPr>
              <w:jc w:val="center"/>
              <w:rPr>
                <w:rFonts w:ascii="Calibri" w:eastAsia="Times New Roman" w:hAnsi="Calibri" w:cs="Times New Roman"/>
                <w:b/>
                <w:bCs/>
                <w:lang w:eastAsia="en-GB"/>
              </w:rPr>
            </w:pPr>
            <w:r>
              <w:rPr>
                <w:rFonts w:ascii="Calibri" w:eastAsia="Times New Roman" w:hAnsi="Calibri" w:cs="Times New Roman"/>
                <w:b/>
                <w:bCs/>
                <w:lang w:eastAsia="en-GB"/>
              </w:rPr>
              <w:t>Number of Unpaid Carers</w:t>
            </w:r>
          </w:p>
        </w:tc>
        <w:tc>
          <w:tcPr>
            <w:tcW w:w="980" w:type="dxa"/>
            <w:shd w:val="clear" w:color="auto" w:fill="BFBFBF" w:themeFill="background1" w:themeFillShade="BF"/>
            <w:vAlign w:val="center"/>
          </w:tcPr>
          <w:p w:rsidR="008921BF" w:rsidRDefault="008921BF" w:rsidP="00031B92">
            <w:pPr>
              <w:jc w:val="center"/>
              <w:rPr>
                <w:rFonts w:ascii="Calibri" w:eastAsia="Times New Roman" w:hAnsi="Calibri" w:cs="Times New Roman"/>
                <w:b/>
                <w:color w:val="000000"/>
                <w:lang w:eastAsia="en-GB"/>
              </w:rPr>
            </w:pPr>
            <w:r>
              <w:rPr>
                <w:rFonts w:ascii="Calibri" w:eastAsia="Times New Roman" w:hAnsi="Calibri" w:cs="Times New Roman"/>
                <w:b/>
                <w:color w:val="000000"/>
                <w:lang w:eastAsia="en-GB"/>
              </w:rPr>
              <w:t>2011/12</w:t>
            </w:r>
          </w:p>
        </w:tc>
        <w:tc>
          <w:tcPr>
            <w:tcW w:w="980" w:type="dxa"/>
            <w:shd w:val="clear" w:color="auto" w:fill="BFBFBF" w:themeFill="background1" w:themeFillShade="BF"/>
            <w:vAlign w:val="center"/>
          </w:tcPr>
          <w:p w:rsidR="008921BF" w:rsidRDefault="008921BF" w:rsidP="00031B92">
            <w:pPr>
              <w:jc w:val="center"/>
              <w:rPr>
                <w:rFonts w:ascii="Calibri" w:eastAsia="Times New Roman" w:hAnsi="Calibri" w:cs="Times New Roman"/>
                <w:b/>
                <w:color w:val="000000"/>
                <w:lang w:eastAsia="en-GB"/>
              </w:rPr>
            </w:pPr>
            <w:r>
              <w:rPr>
                <w:rFonts w:ascii="Calibri" w:eastAsia="Times New Roman" w:hAnsi="Calibri" w:cs="Times New Roman"/>
                <w:b/>
                <w:color w:val="000000"/>
                <w:lang w:eastAsia="en-GB"/>
              </w:rPr>
              <w:t>2012/13</w:t>
            </w:r>
          </w:p>
        </w:tc>
        <w:tc>
          <w:tcPr>
            <w:tcW w:w="992" w:type="dxa"/>
            <w:shd w:val="clear" w:color="auto" w:fill="BFBFBF" w:themeFill="background1" w:themeFillShade="BF"/>
            <w:vAlign w:val="center"/>
          </w:tcPr>
          <w:p w:rsidR="008921BF" w:rsidRPr="00723C7D" w:rsidRDefault="008921BF" w:rsidP="00031B92">
            <w:pPr>
              <w:jc w:val="center"/>
              <w:rPr>
                <w:rFonts w:ascii="Calibri" w:eastAsia="Times New Roman" w:hAnsi="Calibri" w:cs="Times New Roman"/>
                <w:b/>
                <w:color w:val="000000"/>
                <w:lang w:eastAsia="en-GB"/>
              </w:rPr>
            </w:pPr>
            <w:r>
              <w:rPr>
                <w:rFonts w:ascii="Calibri" w:eastAsia="Times New Roman" w:hAnsi="Calibri" w:cs="Times New Roman"/>
                <w:b/>
                <w:color w:val="000000"/>
                <w:lang w:eastAsia="en-GB"/>
              </w:rPr>
              <w:t>2013/14</w:t>
            </w:r>
          </w:p>
        </w:tc>
      </w:tr>
      <w:tr w:rsidR="008921BF" w:rsidRPr="00311580" w:rsidTr="00031B92">
        <w:trPr>
          <w:trHeight w:val="315"/>
          <w:jc w:val="center"/>
        </w:trPr>
        <w:tc>
          <w:tcPr>
            <w:tcW w:w="3852" w:type="dxa"/>
            <w:noWrap/>
            <w:vAlign w:val="center"/>
          </w:tcPr>
          <w:p w:rsidR="008921BF" w:rsidRPr="00E2059E" w:rsidRDefault="008921BF" w:rsidP="00031B92">
            <w:pPr>
              <w:jc w:val="center"/>
              <w:rPr>
                <w:rFonts w:ascii="Calibri" w:eastAsia="Times New Roman" w:hAnsi="Calibri" w:cs="Times New Roman"/>
                <w:color w:val="000000"/>
                <w:lang w:eastAsia="en-GB"/>
              </w:rPr>
            </w:pPr>
            <w:r w:rsidRPr="00E2059E">
              <w:rPr>
                <w:rFonts w:ascii="Calibri" w:eastAsia="Times New Roman" w:hAnsi="Calibri" w:cs="Times New Roman"/>
                <w:color w:val="000000"/>
                <w:lang w:eastAsia="en-GB"/>
              </w:rPr>
              <w:t>Physical / Sensory Impairment (18-64)</w:t>
            </w:r>
          </w:p>
        </w:tc>
        <w:tc>
          <w:tcPr>
            <w:tcW w:w="980" w:type="dxa"/>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290</w:t>
            </w:r>
          </w:p>
        </w:tc>
        <w:tc>
          <w:tcPr>
            <w:tcW w:w="980" w:type="dxa"/>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282</w:t>
            </w:r>
          </w:p>
        </w:tc>
        <w:tc>
          <w:tcPr>
            <w:tcW w:w="992"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271</w:t>
            </w:r>
          </w:p>
        </w:tc>
      </w:tr>
      <w:tr w:rsidR="008921BF" w:rsidRPr="00311580" w:rsidTr="00031B92">
        <w:trPr>
          <w:trHeight w:val="300"/>
          <w:jc w:val="center"/>
        </w:trPr>
        <w:tc>
          <w:tcPr>
            <w:tcW w:w="3852" w:type="dxa"/>
            <w:noWrap/>
            <w:vAlign w:val="center"/>
          </w:tcPr>
          <w:p w:rsidR="008921BF" w:rsidRPr="00E2059E" w:rsidRDefault="008921BF" w:rsidP="00031B92">
            <w:pPr>
              <w:jc w:val="center"/>
              <w:rPr>
                <w:rFonts w:ascii="Calibri" w:eastAsia="Times New Roman" w:hAnsi="Calibri" w:cs="Times New Roman"/>
                <w:color w:val="000000"/>
                <w:lang w:eastAsia="en-GB"/>
              </w:rPr>
            </w:pPr>
            <w:r w:rsidRPr="00E2059E">
              <w:rPr>
                <w:rFonts w:ascii="Calibri" w:eastAsia="Times New Roman" w:hAnsi="Calibri" w:cs="Times New Roman"/>
                <w:color w:val="000000"/>
                <w:lang w:eastAsia="en-GB"/>
              </w:rPr>
              <w:t>Learning Disability (18-64)</w:t>
            </w:r>
          </w:p>
        </w:tc>
        <w:tc>
          <w:tcPr>
            <w:tcW w:w="980" w:type="dxa"/>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173</w:t>
            </w:r>
          </w:p>
        </w:tc>
        <w:tc>
          <w:tcPr>
            <w:tcW w:w="980" w:type="dxa"/>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196</w:t>
            </w:r>
          </w:p>
        </w:tc>
        <w:tc>
          <w:tcPr>
            <w:tcW w:w="992"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209</w:t>
            </w:r>
          </w:p>
        </w:tc>
      </w:tr>
      <w:tr w:rsidR="008921BF" w:rsidRPr="00311580" w:rsidTr="00031B92">
        <w:trPr>
          <w:trHeight w:val="300"/>
          <w:jc w:val="center"/>
        </w:trPr>
        <w:tc>
          <w:tcPr>
            <w:tcW w:w="3852" w:type="dxa"/>
            <w:noWrap/>
            <w:vAlign w:val="center"/>
          </w:tcPr>
          <w:p w:rsidR="008921BF" w:rsidRPr="00E2059E" w:rsidRDefault="008921BF" w:rsidP="00031B92">
            <w:pPr>
              <w:jc w:val="center"/>
              <w:rPr>
                <w:rFonts w:ascii="Calibri" w:eastAsia="Times New Roman" w:hAnsi="Calibri" w:cs="Times New Roman"/>
                <w:color w:val="000000"/>
                <w:lang w:eastAsia="en-GB"/>
              </w:rPr>
            </w:pPr>
            <w:r w:rsidRPr="00E2059E">
              <w:rPr>
                <w:rFonts w:ascii="Calibri" w:eastAsia="Times New Roman" w:hAnsi="Calibri" w:cs="Times New Roman"/>
                <w:color w:val="000000"/>
                <w:lang w:eastAsia="en-GB"/>
              </w:rPr>
              <w:t>Mental Health (18-64)</w:t>
            </w:r>
          </w:p>
        </w:tc>
        <w:tc>
          <w:tcPr>
            <w:tcW w:w="980" w:type="dxa"/>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96</w:t>
            </w:r>
          </w:p>
        </w:tc>
        <w:tc>
          <w:tcPr>
            <w:tcW w:w="980" w:type="dxa"/>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118</w:t>
            </w:r>
          </w:p>
        </w:tc>
        <w:tc>
          <w:tcPr>
            <w:tcW w:w="992"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110</w:t>
            </w:r>
          </w:p>
        </w:tc>
      </w:tr>
      <w:tr w:rsidR="008921BF" w:rsidRPr="00311580" w:rsidTr="00031B92">
        <w:trPr>
          <w:trHeight w:val="300"/>
          <w:jc w:val="center"/>
        </w:trPr>
        <w:tc>
          <w:tcPr>
            <w:tcW w:w="3852" w:type="dxa"/>
            <w:noWrap/>
            <w:vAlign w:val="center"/>
          </w:tcPr>
          <w:p w:rsidR="008921BF" w:rsidRPr="00E2059E" w:rsidRDefault="008921BF" w:rsidP="00031B92">
            <w:pPr>
              <w:jc w:val="center"/>
              <w:rPr>
                <w:rFonts w:ascii="Calibri" w:eastAsia="Times New Roman" w:hAnsi="Calibri" w:cs="Times New Roman"/>
                <w:color w:val="000000"/>
                <w:lang w:eastAsia="en-GB"/>
              </w:rPr>
            </w:pPr>
            <w:r w:rsidRPr="00E2059E">
              <w:rPr>
                <w:rFonts w:ascii="Calibri" w:eastAsia="Times New Roman" w:hAnsi="Calibri" w:cs="Times New Roman"/>
                <w:color w:val="000000"/>
                <w:lang w:eastAsia="en-GB"/>
              </w:rPr>
              <w:t>Other (18-64)</w:t>
            </w:r>
          </w:p>
        </w:tc>
        <w:tc>
          <w:tcPr>
            <w:tcW w:w="980" w:type="dxa"/>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6</w:t>
            </w:r>
          </w:p>
        </w:tc>
        <w:tc>
          <w:tcPr>
            <w:tcW w:w="980" w:type="dxa"/>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11</w:t>
            </w:r>
          </w:p>
        </w:tc>
        <w:tc>
          <w:tcPr>
            <w:tcW w:w="992" w:type="dxa"/>
            <w:noWrap/>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8</w:t>
            </w:r>
          </w:p>
        </w:tc>
      </w:tr>
      <w:tr w:rsidR="008921BF" w:rsidRPr="00311580" w:rsidTr="00031B92">
        <w:trPr>
          <w:trHeight w:val="300"/>
          <w:jc w:val="center"/>
        </w:trPr>
        <w:tc>
          <w:tcPr>
            <w:tcW w:w="3852" w:type="dxa"/>
            <w:noWrap/>
            <w:vAlign w:val="center"/>
          </w:tcPr>
          <w:p w:rsidR="008921BF" w:rsidRPr="00E2059E" w:rsidRDefault="008921BF" w:rsidP="00031B92">
            <w:pPr>
              <w:jc w:val="center"/>
              <w:rPr>
                <w:rFonts w:ascii="Calibri" w:eastAsia="Times New Roman" w:hAnsi="Calibri" w:cs="Times New Roman"/>
                <w:color w:val="000000"/>
                <w:lang w:eastAsia="en-GB"/>
              </w:rPr>
            </w:pPr>
            <w:r w:rsidRPr="00E2059E">
              <w:rPr>
                <w:rFonts w:ascii="Calibri" w:eastAsia="Times New Roman" w:hAnsi="Calibri" w:cs="Times New Roman"/>
                <w:color w:val="000000"/>
                <w:lang w:eastAsia="en-GB"/>
              </w:rPr>
              <w:t>Older Adults</w:t>
            </w:r>
          </w:p>
        </w:tc>
        <w:tc>
          <w:tcPr>
            <w:tcW w:w="980" w:type="dxa"/>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3,046</w:t>
            </w:r>
          </w:p>
        </w:tc>
        <w:tc>
          <w:tcPr>
            <w:tcW w:w="980" w:type="dxa"/>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2,982</w:t>
            </w:r>
          </w:p>
        </w:tc>
        <w:tc>
          <w:tcPr>
            <w:tcW w:w="992" w:type="dxa"/>
            <w:noWrap/>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2,948</w:t>
            </w:r>
          </w:p>
        </w:tc>
      </w:tr>
      <w:tr w:rsidR="008921BF" w:rsidRPr="00311580" w:rsidTr="00031B92">
        <w:trPr>
          <w:trHeight w:val="300"/>
          <w:jc w:val="center"/>
        </w:trPr>
        <w:tc>
          <w:tcPr>
            <w:tcW w:w="3852" w:type="dxa"/>
            <w:noWrap/>
            <w:vAlign w:val="center"/>
          </w:tcPr>
          <w:p w:rsidR="008921BF" w:rsidRPr="00651378" w:rsidRDefault="008921BF" w:rsidP="00031B92">
            <w:pPr>
              <w:jc w:val="center"/>
              <w:rPr>
                <w:rFonts w:ascii="Calibri" w:eastAsia="Times New Roman" w:hAnsi="Calibri" w:cs="Times New Roman"/>
                <w:b/>
                <w:color w:val="000000"/>
                <w:lang w:eastAsia="en-GB"/>
              </w:rPr>
            </w:pPr>
            <w:r w:rsidRPr="00651378">
              <w:rPr>
                <w:rFonts w:ascii="Calibri" w:eastAsia="Times New Roman" w:hAnsi="Calibri" w:cs="Times New Roman"/>
                <w:b/>
                <w:color w:val="000000"/>
                <w:lang w:eastAsia="en-GB"/>
              </w:rPr>
              <w:t>Total</w:t>
            </w:r>
          </w:p>
        </w:tc>
        <w:tc>
          <w:tcPr>
            <w:tcW w:w="980" w:type="dxa"/>
            <w:vAlign w:val="center"/>
          </w:tcPr>
          <w:p w:rsidR="008921BF" w:rsidRPr="00651378" w:rsidRDefault="008921BF" w:rsidP="00031B92">
            <w:pPr>
              <w:jc w:val="center"/>
              <w:rPr>
                <w:rFonts w:ascii="Calibri" w:eastAsia="Times New Roman" w:hAnsi="Calibri" w:cs="Times New Roman"/>
                <w:b/>
                <w:color w:val="000000"/>
                <w:lang w:eastAsia="en-GB"/>
              </w:rPr>
            </w:pPr>
            <w:r w:rsidRPr="00651378">
              <w:rPr>
                <w:rFonts w:ascii="Calibri" w:eastAsia="Times New Roman" w:hAnsi="Calibri" w:cs="Times New Roman"/>
                <w:b/>
                <w:color w:val="000000"/>
                <w:lang w:eastAsia="en-GB"/>
              </w:rPr>
              <w:t>3,611</w:t>
            </w:r>
          </w:p>
        </w:tc>
        <w:tc>
          <w:tcPr>
            <w:tcW w:w="980" w:type="dxa"/>
            <w:vAlign w:val="center"/>
          </w:tcPr>
          <w:p w:rsidR="008921BF" w:rsidRPr="00651378" w:rsidRDefault="008921BF" w:rsidP="00031B92">
            <w:pPr>
              <w:jc w:val="center"/>
              <w:rPr>
                <w:rFonts w:ascii="Calibri" w:eastAsia="Times New Roman" w:hAnsi="Calibri" w:cs="Times New Roman"/>
                <w:b/>
                <w:color w:val="000000"/>
                <w:lang w:eastAsia="en-GB"/>
              </w:rPr>
            </w:pPr>
            <w:r w:rsidRPr="00651378">
              <w:rPr>
                <w:rFonts w:ascii="Calibri" w:eastAsia="Times New Roman" w:hAnsi="Calibri" w:cs="Times New Roman"/>
                <w:b/>
                <w:color w:val="000000"/>
                <w:lang w:eastAsia="en-GB"/>
              </w:rPr>
              <w:t>3,589</w:t>
            </w:r>
          </w:p>
        </w:tc>
        <w:tc>
          <w:tcPr>
            <w:tcW w:w="992" w:type="dxa"/>
            <w:noWrap/>
            <w:vAlign w:val="center"/>
          </w:tcPr>
          <w:p w:rsidR="008921BF" w:rsidRPr="00651378" w:rsidRDefault="008921BF" w:rsidP="00031B92">
            <w:pPr>
              <w:jc w:val="center"/>
              <w:rPr>
                <w:rFonts w:ascii="Calibri" w:eastAsia="Times New Roman" w:hAnsi="Calibri" w:cs="Times New Roman"/>
                <w:b/>
                <w:color w:val="000000"/>
                <w:lang w:eastAsia="en-GB"/>
              </w:rPr>
            </w:pPr>
            <w:r w:rsidRPr="00651378">
              <w:rPr>
                <w:rFonts w:ascii="Calibri" w:eastAsia="Times New Roman" w:hAnsi="Calibri" w:cs="Times New Roman"/>
                <w:b/>
                <w:color w:val="000000"/>
                <w:lang w:eastAsia="en-GB"/>
              </w:rPr>
              <w:t>3,546</w:t>
            </w:r>
          </w:p>
        </w:tc>
      </w:tr>
    </w:tbl>
    <w:p w:rsidR="000D6FBF" w:rsidRDefault="000D6FBF" w:rsidP="000D6FBF">
      <w:pPr>
        <w:spacing w:after="0" w:line="240" w:lineRule="auto"/>
      </w:pPr>
      <w:r>
        <w:t>Source:  SWIFT – Adult Social Care Database</w:t>
      </w:r>
    </w:p>
    <w:p w:rsidR="008921BF" w:rsidRPr="007324BC" w:rsidRDefault="008921BF" w:rsidP="008921BF">
      <w:pPr>
        <w:spacing w:after="0"/>
        <w:jc w:val="both"/>
        <w:rPr>
          <w:rFonts w:ascii="Calibri" w:hAnsi="Calibri" w:cs="Calibri"/>
          <w:b/>
          <w:i/>
        </w:rPr>
      </w:pPr>
    </w:p>
    <w:p w:rsidR="008921BF" w:rsidRPr="000E1F9E" w:rsidRDefault="008921BF" w:rsidP="008921BF">
      <w:pPr>
        <w:spacing w:after="0"/>
        <w:jc w:val="both"/>
      </w:pPr>
      <w:r w:rsidRPr="000E1F9E">
        <w:t xml:space="preserve">The </w:t>
      </w:r>
      <w:r w:rsidR="00D00F6E">
        <w:t>C</w:t>
      </w:r>
      <w:r w:rsidRPr="000E1F9E">
        <w:t xml:space="preserve">ouncil has now adopted a ‘community offer’ approach. The community offer ensures that informal </w:t>
      </w:r>
      <w:r w:rsidR="00DD3A76" w:rsidRPr="000E1F9E">
        <w:t>support;</w:t>
      </w:r>
      <w:r w:rsidRPr="000E1F9E">
        <w:t xml:space="preserve"> </w:t>
      </w:r>
      <w:proofErr w:type="spellStart"/>
      <w:r w:rsidRPr="000E1F9E">
        <w:t>telecare</w:t>
      </w:r>
      <w:proofErr w:type="spellEnd"/>
      <w:r w:rsidRPr="000E1F9E">
        <w:t>, enablement and equipment are considered and offered before traditional care is provided.</w:t>
      </w:r>
    </w:p>
    <w:p w:rsidR="008921BF" w:rsidRPr="000E1F9E" w:rsidRDefault="008921BF" w:rsidP="008921BF">
      <w:pPr>
        <w:spacing w:after="0"/>
        <w:ind w:left="709"/>
        <w:jc w:val="both"/>
      </w:pPr>
    </w:p>
    <w:p w:rsidR="008921BF" w:rsidRPr="000E1F9E" w:rsidRDefault="008921BF" w:rsidP="008921BF">
      <w:pPr>
        <w:spacing w:after="0"/>
        <w:jc w:val="both"/>
      </w:pPr>
      <w:r w:rsidRPr="000E1F9E">
        <w:t>Whilst the</w:t>
      </w:r>
      <w:r>
        <w:t xml:space="preserve"> move towards a ‘community offer’ approach should help to reduce </w:t>
      </w:r>
      <w:r w:rsidRPr="000E1F9E">
        <w:t>requirements for H</w:t>
      </w:r>
      <w:r>
        <w:t xml:space="preserve">ome Care support, </w:t>
      </w:r>
      <w:r w:rsidRPr="000E1F9E">
        <w:t xml:space="preserve">demographic projections indicate that the number of people potentially needing a service is due to increase significantly over the next 20 years. The council’s modelling also indicates that an increased number of residents will come forward requesting social care support from the council as a result of the enhanced duties on councils arising from the Care Act.  </w:t>
      </w:r>
    </w:p>
    <w:p w:rsidR="008921BF" w:rsidRPr="0081427E" w:rsidRDefault="008921BF" w:rsidP="008921BF">
      <w:pPr>
        <w:pStyle w:val="Heading3"/>
      </w:pPr>
      <w:r>
        <w:lastRenderedPageBreak/>
        <w:t xml:space="preserve">Community </w:t>
      </w:r>
      <w:r w:rsidRPr="0081427E">
        <w:t>Meals</w:t>
      </w:r>
    </w:p>
    <w:p w:rsidR="008921BF" w:rsidRDefault="008921BF" w:rsidP="008921BF">
      <w:pPr>
        <w:spacing w:after="0"/>
        <w:jc w:val="both"/>
      </w:pPr>
      <w:r w:rsidRPr="000E1F9E">
        <w:t xml:space="preserve">The current community meals service provides a lunch time home-delivery service to service users across the </w:t>
      </w:r>
      <w:r>
        <w:t>Borough</w:t>
      </w:r>
      <w:r w:rsidRPr="000E1F9E">
        <w:t xml:space="preserve"> 7 </w:t>
      </w:r>
      <w:r>
        <w:t>days a week</w:t>
      </w:r>
      <w:r w:rsidRPr="000E1F9E">
        <w:t xml:space="preserve">. An estimated 50,000 meals are delivered annually and approx. 200 meals per day. </w:t>
      </w:r>
    </w:p>
    <w:p w:rsidR="008921BF" w:rsidRPr="000E1F9E" w:rsidRDefault="008921BF" w:rsidP="008921BF">
      <w:pPr>
        <w:spacing w:after="0"/>
        <w:ind w:left="709"/>
        <w:jc w:val="both"/>
      </w:pPr>
    </w:p>
    <w:p w:rsidR="008921BF" w:rsidRDefault="008921BF" w:rsidP="008921BF">
      <w:pPr>
        <w:spacing w:after="0"/>
        <w:jc w:val="both"/>
      </w:pPr>
      <w:r w:rsidRPr="000E1F9E">
        <w:t>In recent years there has been a decline in the number of people receiving community meals. Nevertheless</w:t>
      </w:r>
      <w:r w:rsidR="00D00F6E">
        <w:t>,</w:t>
      </w:r>
      <w:r w:rsidRPr="000E1F9E">
        <w:t xml:space="preserve"> there continues to be an on-going demand for this provision across a range of ages and ethnic and cultural backgrounds. </w:t>
      </w:r>
    </w:p>
    <w:p w:rsidR="008921BF" w:rsidRDefault="008921BF" w:rsidP="008921BF">
      <w:pPr>
        <w:spacing w:after="0"/>
        <w:jc w:val="both"/>
      </w:pPr>
    </w:p>
    <w:p w:rsidR="008921BF" w:rsidRDefault="008921BF" w:rsidP="008921BF">
      <w:pPr>
        <w:pStyle w:val="Caption"/>
        <w:rPr>
          <w:rFonts w:ascii="Calibri" w:hAnsi="Calibri" w:cs="Calibri"/>
          <w:b w:val="0"/>
          <w:i/>
        </w:rPr>
      </w:pPr>
      <w:r>
        <w:t xml:space="preserve">Table </w:t>
      </w:r>
      <w:fldSimple w:instr=" STYLEREF 1 \s ">
        <w:r w:rsidR="001663C2">
          <w:rPr>
            <w:noProof/>
          </w:rPr>
          <w:t>9</w:t>
        </w:r>
      </w:fldSimple>
      <w:r>
        <w:noBreakHyphen/>
      </w:r>
      <w:fldSimple w:instr=" SEQ Table \* ARABIC \s 1 ">
        <w:r w:rsidR="001663C2">
          <w:rPr>
            <w:noProof/>
          </w:rPr>
          <w:t>11</w:t>
        </w:r>
      </w:fldSimple>
      <w:r w:rsidRPr="00041E32">
        <w:t>: Number of Home Meal Packages offered during the year</w:t>
      </w:r>
    </w:p>
    <w:tbl>
      <w:tblPr>
        <w:tblStyle w:val="TableGrid"/>
        <w:tblW w:w="6804" w:type="dxa"/>
        <w:jc w:val="center"/>
        <w:tblInd w:w="-1949" w:type="dxa"/>
        <w:tblLook w:val="04A0" w:firstRow="1" w:lastRow="0" w:firstColumn="1" w:lastColumn="0" w:noHBand="0" w:noVBand="1"/>
      </w:tblPr>
      <w:tblGrid>
        <w:gridCol w:w="3852"/>
        <w:gridCol w:w="980"/>
        <w:gridCol w:w="980"/>
        <w:gridCol w:w="992"/>
      </w:tblGrid>
      <w:tr w:rsidR="008921BF" w:rsidRPr="00311580" w:rsidTr="00031B92">
        <w:trPr>
          <w:trHeight w:val="570"/>
          <w:jc w:val="center"/>
        </w:trPr>
        <w:tc>
          <w:tcPr>
            <w:tcW w:w="3852" w:type="dxa"/>
            <w:shd w:val="clear" w:color="auto" w:fill="BFBFBF" w:themeFill="background1" w:themeFillShade="BF"/>
            <w:vAlign w:val="center"/>
          </w:tcPr>
          <w:p w:rsidR="008921BF" w:rsidRPr="00723C7D" w:rsidRDefault="008921BF" w:rsidP="00031B92">
            <w:pPr>
              <w:jc w:val="center"/>
              <w:rPr>
                <w:rFonts w:ascii="Calibri" w:eastAsia="Times New Roman" w:hAnsi="Calibri" w:cs="Times New Roman"/>
                <w:b/>
                <w:bCs/>
                <w:lang w:eastAsia="en-GB"/>
              </w:rPr>
            </w:pPr>
            <w:r>
              <w:rPr>
                <w:rFonts w:ascii="Calibri" w:eastAsia="Times New Roman" w:hAnsi="Calibri" w:cs="Times New Roman"/>
                <w:b/>
                <w:bCs/>
                <w:lang w:eastAsia="en-GB"/>
              </w:rPr>
              <w:t>Number of Unpaid Carers</w:t>
            </w:r>
          </w:p>
        </w:tc>
        <w:tc>
          <w:tcPr>
            <w:tcW w:w="980" w:type="dxa"/>
            <w:shd w:val="clear" w:color="auto" w:fill="BFBFBF" w:themeFill="background1" w:themeFillShade="BF"/>
            <w:vAlign w:val="center"/>
          </w:tcPr>
          <w:p w:rsidR="008921BF" w:rsidRDefault="008921BF" w:rsidP="00031B92">
            <w:pPr>
              <w:jc w:val="center"/>
              <w:rPr>
                <w:rFonts w:ascii="Calibri" w:eastAsia="Times New Roman" w:hAnsi="Calibri" w:cs="Times New Roman"/>
                <w:b/>
                <w:color w:val="000000"/>
                <w:lang w:eastAsia="en-GB"/>
              </w:rPr>
            </w:pPr>
            <w:r>
              <w:rPr>
                <w:rFonts w:ascii="Calibri" w:eastAsia="Times New Roman" w:hAnsi="Calibri" w:cs="Times New Roman"/>
                <w:b/>
                <w:color w:val="000000"/>
                <w:lang w:eastAsia="en-GB"/>
              </w:rPr>
              <w:t>2011/12</w:t>
            </w:r>
          </w:p>
        </w:tc>
        <w:tc>
          <w:tcPr>
            <w:tcW w:w="980" w:type="dxa"/>
            <w:shd w:val="clear" w:color="auto" w:fill="BFBFBF" w:themeFill="background1" w:themeFillShade="BF"/>
            <w:vAlign w:val="center"/>
          </w:tcPr>
          <w:p w:rsidR="008921BF" w:rsidRDefault="008921BF" w:rsidP="00031B92">
            <w:pPr>
              <w:jc w:val="center"/>
              <w:rPr>
                <w:rFonts w:ascii="Calibri" w:eastAsia="Times New Roman" w:hAnsi="Calibri" w:cs="Times New Roman"/>
                <w:b/>
                <w:color w:val="000000"/>
                <w:lang w:eastAsia="en-GB"/>
              </w:rPr>
            </w:pPr>
            <w:r>
              <w:rPr>
                <w:rFonts w:ascii="Calibri" w:eastAsia="Times New Roman" w:hAnsi="Calibri" w:cs="Times New Roman"/>
                <w:b/>
                <w:color w:val="000000"/>
                <w:lang w:eastAsia="en-GB"/>
              </w:rPr>
              <w:t>2012/13</w:t>
            </w:r>
          </w:p>
        </w:tc>
        <w:tc>
          <w:tcPr>
            <w:tcW w:w="992" w:type="dxa"/>
            <w:shd w:val="clear" w:color="auto" w:fill="BFBFBF" w:themeFill="background1" w:themeFillShade="BF"/>
            <w:vAlign w:val="center"/>
          </w:tcPr>
          <w:p w:rsidR="008921BF" w:rsidRPr="00723C7D" w:rsidRDefault="008921BF" w:rsidP="00031B92">
            <w:pPr>
              <w:jc w:val="center"/>
              <w:rPr>
                <w:rFonts w:ascii="Calibri" w:eastAsia="Times New Roman" w:hAnsi="Calibri" w:cs="Times New Roman"/>
                <w:b/>
                <w:color w:val="000000"/>
                <w:lang w:eastAsia="en-GB"/>
              </w:rPr>
            </w:pPr>
            <w:r>
              <w:rPr>
                <w:rFonts w:ascii="Calibri" w:eastAsia="Times New Roman" w:hAnsi="Calibri" w:cs="Times New Roman"/>
                <w:b/>
                <w:color w:val="000000"/>
                <w:lang w:eastAsia="en-GB"/>
              </w:rPr>
              <w:t>2013/14</w:t>
            </w:r>
          </w:p>
        </w:tc>
      </w:tr>
      <w:tr w:rsidR="008921BF" w:rsidRPr="00311580" w:rsidTr="00031B92">
        <w:trPr>
          <w:trHeight w:val="315"/>
          <w:jc w:val="center"/>
        </w:trPr>
        <w:tc>
          <w:tcPr>
            <w:tcW w:w="3852" w:type="dxa"/>
            <w:noWrap/>
            <w:vAlign w:val="center"/>
          </w:tcPr>
          <w:p w:rsidR="008921BF" w:rsidRPr="00E2059E" w:rsidRDefault="008921BF" w:rsidP="00031B92">
            <w:pPr>
              <w:jc w:val="center"/>
              <w:rPr>
                <w:rFonts w:ascii="Calibri" w:eastAsia="Times New Roman" w:hAnsi="Calibri" w:cs="Times New Roman"/>
                <w:color w:val="000000"/>
                <w:lang w:eastAsia="en-GB"/>
              </w:rPr>
            </w:pPr>
            <w:r w:rsidRPr="00E2059E">
              <w:rPr>
                <w:rFonts w:ascii="Calibri" w:eastAsia="Times New Roman" w:hAnsi="Calibri" w:cs="Times New Roman"/>
                <w:color w:val="000000"/>
                <w:lang w:eastAsia="en-GB"/>
              </w:rPr>
              <w:t>Physical / Sensory Impairment (18-64)</w:t>
            </w:r>
          </w:p>
        </w:tc>
        <w:tc>
          <w:tcPr>
            <w:tcW w:w="980" w:type="dxa"/>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18</w:t>
            </w:r>
          </w:p>
        </w:tc>
        <w:tc>
          <w:tcPr>
            <w:tcW w:w="980" w:type="dxa"/>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17</w:t>
            </w:r>
          </w:p>
        </w:tc>
        <w:tc>
          <w:tcPr>
            <w:tcW w:w="992"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15</w:t>
            </w:r>
          </w:p>
        </w:tc>
      </w:tr>
      <w:tr w:rsidR="008921BF" w:rsidRPr="00311580" w:rsidTr="00031B92">
        <w:trPr>
          <w:trHeight w:val="300"/>
          <w:jc w:val="center"/>
        </w:trPr>
        <w:tc>
          <w:tcPr>
            <w:tcW w:w="3852" w:type="dxa"/>
            <w:noWrap/>
            <w:vAlign w:val="center"/>
          </w:tcPr>
          <w:p w:rsidR="008921BF" w:rsidRPr="00E2059E" w:rsidRDefault="008921BF" w:rsidP="00031B92">
            <w:pPr>
              <w:jc w:val="center"/>
              <w:rPr>
                <w:rFonts w:ascii="Calibri" w:eastAsia="Times New Roman" w:hAnsi="Calibri" w:cs="Times New Roman"/>
                <w:color w:val="000000"/>
                <w:lang w:eastAsia="en-GB"/>
              </w:rPr>
            </w:pPr>
            <w:r w:rsidRPr="00E2059E">
              <w:rPr>
                <w:rFonts w:ascii="Calibri" w:eastAsia="Times New Roman" w:hAnsi="Calibri" w:cs="Times New Roman"/>
                <w:color w:val="000000"/>
                <w:lang w:eastAsia="en-GB"/>
              </w:rPr>
              <w:t>Learning Disability (18-64)</w:t>
            </w:r>
          </w:p>
        </w:tc>
        <w:tc>
          <w:tcPr>
            <w:tcW w:w="980" w:type="dxa"/>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w:t>
            </w:r>
          </w:p>
        </w:tc>
        <w:tc>
          <w:tcPr>
            <w:tcW w:w="980" w:type="dxa"/>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w:t>
            </w:r>
          </w:p>
        </w:tc>
        <w:tc>
          <w:tcPr>
            <w:tcW w:w="992"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w:t>
            </w:r>
          </w:p>
        </w:tc>
      </w:tr>
      <w:tr w:rsidR="008921BF" w:rsidRPr="00311580" w:rsidTr="00031B92">
        <w:trPr>
          <w:trHeight w:val="300"/>
          <w:jc w:val="center"/>
        </w:trPr>
        <w:tc>
          <w:tcPr>
            <w:tcW w:w="3852" w:type="dxa"/>
            <w:noWrap/>
            <w:vAlign w:val="center"/>
          </w:tcPr>
          <w:p w:rsidR="008921BF" w:rsidRPr="00E2059E" w:rsidRDefault="008921BF" w:rsidP="00031B92">
            <w:pPr>
              <w:jc w:val="center"/>
              <w:rPr>
                <w:rFonts w:ascii="Calibri" w:eastAsia="Times New Roman" w:hAnsi="Calibri" w:cs="Times New Roman"/>
                <w:color w:val="000000"/>
                <w:lang w:eastAsia="en-GB"/>
              </w:rPr>
            </w:pPr>
            <w:r w:rsidRPr="00E2059E">
              <w:rPr>
                <w:rFonts w:ascii="Calibri" w:eastAsia="Times New Roman" w:hAnsi="Calibri" w:cs="Times New Roman"/>
                <w:color w:val="000000"/>
                <w:lang w:eastAsia="en-GB"/>
              </w:rPr>
              <w:t>Mental Health (18-64)</w:t>
            </w:r>
          </w:p>
        </w:tc>
        <w:tc>
          <w:tcPr>
            <w:tcW w:w="980" w:type="dxa"/>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8</w:t>
            </w:r>
          </w:p>
        </w:tc>
        <w:tc>
          <w:tcPr>
            <w:tcW w:w="980" w:type="dxa"/>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9</w:t>
            </w:r>
          </w:p>
        </w:tc>
        <w:tc>
          <w:tcPr>
            <w:tcW w:w="992"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17</w:t>
            </w:r>
          </w:p>
        </w:tc>
      </w:tr>
      <w:tr w:rsidR="008921BF" w:rsidRPr="00311580" w:rsidTr="00031B92">
        <w:trPr>
          <w:trHeight w:val="300"/>
          <w:jc w:val="center"/>
        </w:trPr>
        <w:tc>
          <w:tcPr>
            <w:tcW w:w="3852" w:type="dxa"/>
            <w:noWrap/>
            <w:vAlign w:val="center"/>
          </w:tcPr>
          <w:p w:rsidR="008921BF" w:rsidRPr="00E2059E" w:rsidRDefault="008921BF" w:rsidP="00031B92">
            <w:pPr>
              <w:jc w:val="center"/>
              <w:rPr>
                <w:rFonts w:ascii="Calibri" w:eastAsia="Times New Roman" w:hAnsi="Calibri" w:cs="Times New Roman"/>
                <w:color w:val="000000"/>
                <w:lang w:eastAsia="en-GB"/>
              </w:rPr>
            </w:pPr>
            <w:r w:rsidRPr="00E2059E">
              <w:rPr>
                <w:rFonts w:ascii="Calibri" w:eastAsia="Times New Roman" w:hAnsi="Calibri" w:cs="Times New Roman"/>
                <w:color w:val="000000"/>
                <w:lang w:eastAsia="en-GB"/>
              </w:rPr>
              <w:t>Other (18-64)</w:t>
            </w:r>
          </w:p>
        </w:tc>
        <w:tc>
          <w:tcPr>
            <w:tcW w:w="980" w:type="dxa"/>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w:t>
            </w:r>
          </w:p>
        </w:tc>
        <w:tc>
          <w:tcPr>
            <w:tcW w:w="980" w:type="dxa"/>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0</w:t>
            </w:r>
          </w:p>
        </w:tc>
        <w:tc>
          <w:tcPr>
            <w:tcW w:w="992" w:type="dxa"/>
            <w:noWrap/>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2</w:t>
            </w:r>
          </w:p>
        </w:tc>
      </w:tr>
      <w:tr w:rsidR="008921BF" w:rsidRPr="00311580" w:rsidTr="00031B92">
        <w:trPr>
          <w:trHeight w:val="300"/>
          <w:jc w:val="center"/>
        </w:trPr>
        <w:tc>
          <w:tcPr>
            <w:tcW w:w="3852" w:type="dxa"/>
            <w:noWrap/>
            <w:vAlign w:val="center"/>
          </w:tcPr>
          <w:p w:rsidR="008921BF" w:rsidRPr="00E2059E" w:rsidRDefault="008921BF" w:rsidP="00031B92">
            <w:pPr>
              <w:jc w:val="center"/>
              <w:rPr>
                <w:rFonts w:ascii="Calibri" w:eastAsia="Times New Roman" w:hAnsi="Calibri" w:cs="Times New Roman"/>
                <w:color w:val="000000"/>
                <w:lang w:eastAsia="en-GB"/>
              </w:rPr>
            </w:pPr>
            <w:r w:rsidRPr="00E2059E">
              <w:rPr>
                <w:rFonts w:ascii="Calibri" w:eastAsia="Times New Roman" w:hAnsi="Calibri" w:cs="Times New Roman"/>
                <w:color w:val="000000"/>
                <w:lang w:eastAsia="en-GB"/>
              </w:rPr>
              <w:t>Older Adults</w:t>
            </w:r>
          </w:p>
        </w:tc>
        <w:tc>
          <w:tcPr>
            <w:tcW w:w="980" w:type="dxa"/>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513</w:t>
            </w:r>
          </w:p>
        </w:tc>
        <w:tc>
          <w:tcPr>
            <w:tcW w:w="980" w:type="dxa"/>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466</w:t>
            </w:r>
          </w:p>
        </w:tc>
        <w:tc>
          <w:tcPr>
            <w:tcW w:w="992" w:type="dxa"/>
            <w:noWrap/>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442</w:t>
            </w:r>
          </w:p>
        </w:tc>
      </w:tr>
      <w:tr w:rsidR="008921BF" w:rsidRPr="00311580" w:rsidTr="00031B92">
        <w:trPr>
          <w:trHeight w:val="300"/>
          <w:jc w:val="center"/>
        </w:trPr>
        <w:tc>
          <w:tcPr>
            <w:tcW w:w="3852" w:type="dxa"/>
            <w:noWrap/>
            <w:vAlign w:val="center"/>
          </w:tcPr>
          <w:p w:rsidR="008921BF" w:rsidRPr="00651378" w:rsidRDefault="008921BF" w:rsidP="00031B92">
            <w:pPr>
              <w:jc w:val="center"/>
              <w:rPr>
                <w:rFonts w:ascii="Calibri" w:eastAsia="Times New Roman" w:hAnsi="Calibri" w:cs="Times New Roman"/>
                <w:b/>
                <w:color w:val="000000"/>
                <w:lang w:eastAsia="en-GB"/>
              </w:rPr>
            </w:pPr>
            <w:r w:rsidRPr="00651378">
              <w:rPr>
                <w:rFonts w:ascii="Calibri" w:eastAsia="Times New Roman" w:hAnsi="Calibri" w:cs="Times New Roman"/>
                <w:b/>
                <w:color w:val="000000"/>
                <w:lang w:eastAsia="en-GB"/>
              </w:rPr>
              <w:t>Total</w:t>
            </w:r>
          </w:p>
        </w:tc>
        <w:tc>
          <w:tcPr>
            <w:tcW w:w="980" w:type="dxa"/>
            <w:vAlign w:val="center"/>
          </w:tcPr>
          <w:p w:rsidR="008921BF" w:rsidRPr="00651378" w:rsidRDefault="008921BF" w:rsidP="00031B92">
            <w:pPr>
              <w:jc w:val="center"/>
              <w:rPr>
                <w:rFonts w:ascii="Calibri" w:eastAsia="Times New Roman" w:hAnsi="Calibri" w:cs="Times New Roman"/>
                <w:b/>
                <w:color w:val="000000"/>
                <w:lang w:eastAsia="en-GB"/>
              </w:rPr>
            </w:pPr>
            <w:r>
              <w:rPr>
                <w:rFonts w:ascii="Calibri" w:eastAsia="Times New Roman" w:hAnsi="Calibri" w:cs="Times New Roman"/>
                <w:b/>
                <w:color w:val="000000"/>
                <w:lang w:eastAsia="en-GB"/>
              </w:rPr>
              <w:t>541</w:t>
            </w:r>
          </w:p>
        </w:tc>
        <w:tc>
          <w:tcPr>
            <w:tcW w:w="980" w:type="dxa"/>
            <w:vAlign w:val="center"/>
          </w:tcPr>
          <w:p w:rsidR="008921BF" w:rsidRPr="00651378" w:rsidRDefault="008921BF" w:rsidP="00031B92">
            <w:pPr>
              <w:jc w:val="center"/>
              <w:rPr>
                <w:rFonts w:ascii="Calibri" w:eastAsia="Times New Roman" w:hAnsi="Calibri" w:cs="Times New Roman"/>
                <w:b/>
                <w:color w:val="000000"/>
                <w:lang w:eastAsia="en-GB"/>
              </w:rPr>
            </w:pPr>
            <w:r>
              <w:rPr>
                <w:rFonts w:ascii="Calibri" w:eastAsia="Times New Roman" w:hAnsi="Calibri" w:cs="Times New Roman"/>
                <w:b/>
                <w:color w:val="000000"/>
                <w:lang w:eastAsia="en-GB"/>
              </w:rPr>
              <w:t>493</w:t>
            </w:r>
          </w:p>
        </w:tc>
        <w:tc>
          <w:tcPr>
            <w:tcW w:w="992" w:type="dxa"/>
            <w:noWrap/>
            <w:vAlign w:val="center"/>
          </w:tcPr>
          <w:p w:rsidR="008921BF" w:rsidRPr="00651378" w:rsidRDefault="008921BF" w:rsidP="00031B92">
            <w:pPr>
              <w:jc w:val="center"/>
              <w:rPr>
                <w:rFonts w:ascii="Calibri" w:eastAsia="Times New Roman" w:hAnsi="Calibri" w:cs="Times New Roman"/>
                <w:b/>
                <w:color w:val="000000"/>
                <w:lang w:eastAsia="en-GB"/>
              </w:rPr>
            </w:pPr>
            <w:r>
              <w:rPr>
                <w:rFonts w:ascii="Calibri" w:eastAsia="Times New Roman" w:hAnsi="Calibri" w:cs="Times New Roman"/>
                <w:b/>
                <w:color w:val="000000"/>
                <w:lang w:eastAsia="en-GB"/>
              </w:rPr>
              <w:t>477</w:t>
            </w:r>
          </w:p>
        </w:tc>
      </w:tr>
    </w:tbl>
    <w:p w:rsidR="000D6FBF" w:rsidRDefault="000D6FBF" w:rsidP="000D6FBF">
      <w:pPr>
        <w:spacing w:after="0" w:line="240" w:lineRule="auto"/>
      </w:pPr>
      <w:r>
        <w:t>Source:  SWIFT – Adult Social Care Database</w:t>
      </w:r>
    </w:p>
    <w:p w:rsidR="008921BF" w:rsidRPr="00C753FA" w:rsidRDefault="008921BF" w:rsidP="008921BF">
      <w:pPr>
        <w:pStyle w:val="Heading3"/>
      </w:pPr>
      <w:r w:rsidRPr="00C753FA">
        <w:t xml:space="preserve">Voluntary </w:t>
      </w:r>
      <w:r>
        <w:t>S</w:t>
      </w:r>
      <w:r w:rsidRPr="00C753FA">
        <w:t>ervices and Social Capital</w:t>
      </w:r>
    </w:p>
    <w:p w:rsidR="008921BF" w:rsidRDefault="008921BF" w:rsidP="008921BF">
      <w:pPr>
        <w:spacing w:after="0"/>
        <w:jc w:val="both"/>
      </w:pPr>
      <w:r w:rsidRPr="00C36020">
        <w:t>Those not accessing social services may be purchasing care directly themselves</w:t>
      </w:r>
      <w:r>
        <w:t>,</w:t>
      </w:r>
      <w:r w:rsidR="00D00F6E">
        <w:t xml:space="preserve"> </w:t>
      </w:r>
      <w:r>
        <w:t xml:space="preserve">relying on the help of </w:t>
      </w:r>
      <w:r w:rsidRPr="00C36020">
        <w:t xml:space="preserve">family and friends or benefitting from the support of the voluntary sector. Compared to other </w:t>
      </w:r>
      <w:r w:rsidR="00D00F6E">
        <w:t>B</w:t>
      </w:r>
      <w:r>
        <w:t>orough</w:t>
      </w:r>
      <w:r w:rsidRPr="00C36020">
        <w:t>s</w:t>
      </w:r>
      <w:r>
        <w:t>,</w:t>
      </w:r>
      <w:r w:rsidRPr="00C36020">
        <w:t xml:space="preserve"> Barnet provides care to a relatively small proportion of the population indicating a strong voluntary sector as well as a willingness</w:t>
      </w:r>
      <w:r w:rsidR="00D00F6E">
        <w:t xml:space="preserve"> of users</w:t>
      </w:r>
      <w:r w:rsidRPr="00C36020">
        <w:t xml:space="preserve"> to purchase care </w:t>
      </w:r>
      <w:r>
        <w:t>independently</w:t>
      </w:r>
      <w:r w:rsidRPr="00C36020">
        <w:t xml:space="preserve">. Many referrals to Adults &amp; Communities are given advice or support at the point of referral and/or referred to an alternative support agency. This helps to ensure that people with moderate and lower level needs </w:t>
      </w:r>
      <w:r w:rsidR="00D00F6E">
        <w:t xml:space="preserve">have these met in </w:t>
      </w:r>
      <w:r w:rsidRPr="00C36020">
        <w:t>the community</w:t>
      </w:r>
      <w:r>
        <w:t>.</w:t>
      </w:r>
    </w:p>
    <w:p w:rsidR="008921BF" w:rsidRPr="00C36020" w:rsidRDefault="008921BF" w:rsidP="008921BF">
      <w:pPr>
        <w:spacing w:after="0"/>
        <w:jc w:val="both"/>
      </w:pPr>
    </w:p>
    <w:p w:rsidR="008921BF" w:rsidRPr="00C36020" w:rsidRDefault="008921BF" w:rsidP="008921BF">
      <w:pPr>
        <w:jc w:val="both"/>
      </w:pPr>
      <w:r w:rsidRPr="00C36020">
        <w:t xml:space="preserve">There are a significant number of charitable and community groups active in Barnet. The sector offers significant value for money by engaging residents as volunteers and bringing </w:t>
      </w:r>
      <w:r>
        <w:t>external funding</w:t>
      </w:r>
      <w:r w:rsidRPr="00C36020">
        <w:t xml:space="preserve"> into the </w:t>
      </w:r>
      <w:r>
        <w:t>Borough</w:t>
      </w:r>
      <w:r w:rsidRPr="00C36020">
        <w:t>.</w:t>
      </w:r>
    </w:p>
    <w:p w:rsidR="008921BF" w:rsidRPr="00C36020" w:rsidRDefault="008921BF" w:rsidP="008921BF">
      <w:pPr>
        <w:jc w:val="both"/>
      </w:pPr>
      <w:r w:rsidRPr="00C36020">
        <w:t>Services offered can be universal such as health promotion, befriending, digital inclusion, information and advice. There are targeted groups such as lunch clubs for Asian Elders</w:t>
      </w:r>
      <w:r>
        <w:t xml:space="preserve"> and</w:t>
      </w:r>
      <w:r w:rsidRPr="00C36020">
        <w:t xml:space="preserve"> </w:t>
      </w:r>
      <w:r w:rsidR="00D00F6E">
        <w:t xml:space="preserve">a </w:t>
      </w:r>
      <w:r w:rsidRPr="00C36020">
        <w:t xml:space="preserve">Day Centre </w:t>
      </w:r>
      <w:r>
        <w:t xml:space="preserve">provision </w:t>
      </w:r>
      <w:r w:rsidRPr="00C36020">
        <w:t xml:space="preserve">for Tamil Elders. There are also targeted services for people with dementia or </w:t>
      </w:r>
      <w:r>
        <w:t xml:space="preserve">for those </w:t>
      </w:r>
      <w:r w:rsidRPr="00C36020">
        <w:t>who have suffered from a stroke.</w:t>
      </w:r>
    </w:p>
    <w:p w:rsidR="008921BF" w:rsidRPr="00C36020" w:rsidRDefault="008921BF" w:rsidP="008921BF">
      <w:pPr>
        <w:jc w:val="both"/>
      </w:pPr>
      <w:r w:rsidRPr="00C36020">
        <w:t xml:space="preserve">Services such as Home from Hospital and the Handyperson </w:t>
      </w:r>
      <w:r>
        <w:t xml:space="preserve">scheme </w:t>
      </w:r>
      <w:r w:rsidRPr="00C36020">
        <w:t>explicitly assist older and vulnerable people to return successfully</w:t>
      </w:r>
      <w:r w:rsidR="00D00F6E">
        <w:t xml:space="preserve"> home from a spell in hospital or </w:t>
      </w:r>
      <w:r w:rsidRPr="00C36020">
        <w:t>help to avoid hospital admissions.</w:t>
      </w:r>
    </w:p>
    <w:p w:rsidR="008921BF" w:rsidRPr="00C36020" w:rsidRDefault="00D00F6E" w:rsidP="008921BF">
      <w:pPr>
        <w:jc w:val="both"/>
      </w:pPr>
      <w:r>
        <w:t>Both the</w:t>
      </w:r>
      <w:r w:rsidR="008921BF" w:rsidRPr="00C36020">
        <w:t xml:space="preserve"> Barnet Ageing </w:t>
      </w:r>
      <w:r w:rsidR="008921BF">
        <w:t>W</w:t>
      </w:r>
      <w:r>
        <w:t xml:space="preserve">ell programme and </w:t>
      </w:r>
      <w:r w:rsidR="008921BF" w:rsidRPr="00C36020">
        <w:t>the Neighbourhood model, stimulates increas</w:t>
      </w:r>
      <w:r w:rsidR="008921BF">
        <w:t>ed</w:t>
      </w:r>
      <w:r w:rsidR="008921BF" w:rsidRPr="00C36020">
        <w:t xml:space="preserve"> use of social capital through effective use of volunteers and encouraging peer support,</w:t>
      </w:r>
      <w:r>
        <w:t xml:space="preserve"> as well as</w:t>
      </w:r>
      <w:r w:rsidR="008921BF" w:rsidRPr="00C36020">
        <w:t xml:space="preserve"> encouraging and supporting local leadership. Projects such as the Barnet </w:t>
      </w:r>
      <w:proofErr w:type="spellStart"/>
      <w:r w:rsidR="008921BF" w:rsidRPr="00C36020">
        <w:t>Timebank</w:t>
      </w:r>
      <w:proofErr w:type="spellEnd"/>
      <w:r w:rsidR="008921BF" w:rsidRPr="00C36020">
        <w:t>, Men</w:t>
      </w:r>
      <w:r>
        <w:t>’</w:t>
      </w:r>
      <w:r w:rsidR="008921BF" w:rsidRPr="00C36020">
        <w:t xml:space="preserve">s Sheds </w:t>
      </w:r>
      <w:r w:rsidR="008921BF" w:rsidRPr="00C36020">
        <w:lastRenderedPageBreak/>
        <w:t>and Altogether Better Projects are now well established with appro</w:t>
      </w:r>
      <w:r w:rsidR="008921BF">
        <w:t xml:space="preserve">ximately </w:t>
      </w:r>
      <w:r w:rsidR="008921BF" w:rsidRPr="00C36020">
        <w:t>1</w:t>
      </w:r>
      <w:r w:rsidR="008921BF">
        <w:t>,</w:t>
      </w:r>
      <w:r w:rsidR="008921BF" w:rsidRPr="00C36020">
        <w:t>000 people now involved either as volunteers or beneficiaries.</w:t>
      </w:r>
    </w:p>
    <w:p w:rsidR="008921BF" w:rsidRPr="0001342F" w:rsidRDefault="008921BF" w:rsidP="008921BF">
      <w:pPr>
        <w:jc w:val="both"/>
      </w:pPr>
      <w:r w:rsidRPr="00C36020">
        <w:t xml:space="preserve">Feelings of social isolation and loneliness are detrimental to a person’s health and wellbeing. As more and more older and frail residents </w:t>
      </w:r>
      <w:r>
        <w:t xml:space="preserve">choose </w:t>
      </w:r>
      <w:r w:rsidRPr="00C36020">
        <w:t>to stay at home for longer, there is even more of a need for local social groups and community health care facilities</w:t>
      </w:r>
      <w:r>
        <w:t>.</w:t>
      </w:r>
      <w:r w:rsidRPr="00C36020">
        <w:t xml:space="preserve"> </w:t>
      </w:r>
      <w:r>
        <w:t>T</w:t>
      </w:r>
      <w:r w:rsidRPr="00C36020">
        <w:t xml:space="preserve">he initiatives above help to address these issues, as they are user led and promote </w:t>
      </w:r>
      <w:r>
        <w:t>wellbeing.</w:t>
      </w:r>
    </w:p>
    <w:p w:rsidR="008921BF" w:rsidRPr="007324BC" w:rsidRDefault="008921BF" w:rsidP="008921BF">
      <w:pPr>
        <w:pStyle w:val="Heading2"/>
        <w:jc w:val="both"/>
      </w:pPr>
      <w:bookmarkStart w:id="944" w:name="_Toc426723398"/>
      <w:bookmarkStart w:id="945" w:name="_Toc431225225"/>
      <w:r w:rsidRPr="007324BC">
        <w:t>Carers</w:t>
      </w:r>
      <w:bookmarkEnd w:id="944"/>
      <w:bookmarkEnd w:id="945"/>
    </w:p>
    <w:p w:rsidR="008921BF" w:rsidRPr="00274843" w:rsidRDefault="008921BF" w:rsidP="008921BF">
      <w:pPr>
        <w:pStyle w:val="Default"/>
        <w:spacing w:line="276" w:lineRule="auto"/>
        <w:jc w:val="both"/>
        <w:rPr>
          <w:rFonts w:asciiTheme="minorHAnsi" w:hAnsiTheme="minorHAnsi" w:cstheme="minorBidi"/>
          <w:color w:val="auto"/>
          <w:sz w:val="22"/>
          <w:szCs w:val="22"/>
        </w:rPr>
      </w:pPr>
      <w:r w:rsidRPr="007324BC">
        <w:rPr>
          <w:rFonts w:asciiTheme="minorHAnsi" w:hAnsiTheme="minorHAnsi" w:cstheme="minorBidi"/>
          <w:color w:val="auto"/>
          <w:sz w:val="22"/>
          <w:szCs w:val="22"/>
        </w:rPr>
        <w:t xml:space="preserve">A carer is a person who looks after or supports someone else who needs help with their day-to-day life because of issues such as their age, a long-term illness, disability, mental health or substance misuse.  A young carer is anyone under the age of 18 who provides or intends to provide care for another person. Each caring situation is unique and every carer has different needs and </w:t>
      </w:r>
      <w:r w:rsidRPr="00274843">
        <w:rPr>
          <w:rFonts w:asciiTheme="minorHAnsi" w:hAnsiTheme="minorHAnsi" w:cstheme="minorBidi"/>
          <w:color w:val="auto"/>
          <w:sz w:val="22"/>
          <w:szCs w:val="22"/>
        </w:rPr>
        <w:t xml:space="preserve">priorities. </w:t>
      </w:r>
    </w:p>
    <w:p w:rsidR="008921BF" w:rsidRPr="00274843" w:rsidRDefault="008921BF" w:rsidP="008921BF">
      <w:pPr>
        <w:autoSpaceDE w:val="0"/>
        <w:autoSpaceDN w:val="0"/>
        <w:adjustRightInd w:val="0"/>
        <w:spacing w:after="0" w:line="240" w:lineRule="auto"/>
        <w:jc w:val="both"/>
      </w:pPr>
    </w:p>
    <w:p w:rsidR="008921BF" w:rsidRDefault="008921BF" w:rsidP="009313DF">
      <w:pPr>
        <w:jc w:val="both"/>
      </w:pPr>
      <w:r>
        <w:t xml:space="preserve">Data from the 2011 Census indicated that there were 32,256 residents who classified themselves as a </w:t>
      </w:r>
      <w:proofErr w:type="spellStart"/>
      <w:r>
        <w:t>carer</w:t>
      </w:r>
      <w:proofErr w:type="spellEnd"/>
      <w:r>
        <w:t xml:space="preserve"> in Barnet in 2011. By age, the largest number of carers were located within the 25-49 age group. </w:t>
      </w:r>
      <w:r w:rsidR="009313DF">
        <w:t>Whereas, only 5,500</w:t>
      </w:r>
      <w:r w:rsidR="009313DF" w:rsidRPr="00B57C4B">
        <w:t xml:space="preserve"> </w:t>
      </w:r>
      <w:r w:rsidR="009313DF">
        <w:t xml:space="preserve">carers </w:t>
      </w:r>
      <w:r w:rsidR="00702B67">
        <w:t>are registered with the Council’s</w:t>
      </w:r>
      <w:r w:rsidR="009313DF" w:rsidRPr="00B57C4B">
        <w:t xml:space="preserve"> commissioned lead provider for carers su</w:t>
      </w:r>
      <w:r w:rsidR="009313DF">
        <w:t xml:space="preserve">pport services in the Borough, indicating a significant proportion that remain hidden to the Council. </w:t>
      </w:r>
    </w:p>
    <w:p w:rsidR="008921BF" w:rsidRPr="00BB4463" w:rsidRDefault="008921BF" w:rsidP="008921BF">
      <w:pPr>
        <w:pStyle w:val="Caption"/>
        <w:rPr>
          <w:rFonts w:ascii="Calibri" w:hAnsi="Calibri" w:cs="Calibri"/>
          <w:b w:val="0"/>
          <w:i/>
        </w:rPr>
      </w:pPr>
      <w:r>
        <w:t xml:space="preserve">Table </w:t>
      </w:r>
      <w:fldSimple w:instr=" STYLEREF 1 \s ">
        <w:r w:rsidR="001663C2">
          <w:rPr>
            <w:noProof/>
          </w:rPr>
          <w:t>9</w:t>
        </w:r>
      </w:fldSimple>
      <w:r>
        <w:noBreakHyphen/>
      </w:r>
      <w:fldSimple w:instr=" SEQ Table \* ARABIC \s 1 ">
        <w:r w:rsidR="001663C2">
          <w:rPr>
            <w:noProof/>
          </w:rPr>
          <w:t>12</w:t>
        </w:r>
      </w:fldSimple>
      <w:r w:rsidRPr="00041E32">
        <w:t>: Number of Unpaid Carers in Barnet</w:t>
      </w:r>
    </w:p>
    <w:tbl>
      <w:tblPr>
        <w:tblStyle w:val="TableGrid"/>
        <w:tblW w:w="7724" w:type="dxa"/>
        <w:jc w:val="center"/>
        <w:tblInd w:w="-865" w:type="dxa"/>
        <w:tblLook w:val="04A0" w:firstRow="1" w:lastRow="0" w:firstColumn="1" w:lastColumn="0" w:noHBand="0" w:noVBand="1"/>
      </w:tblPr>
      <w:tblGrid>
        <w:gridCol w:w="2768"/>
        <w:gridCol w:w="846"/>
        <w:gridCol w:w="953"/>
        <w:gridCol w:w="992"/>
        <w:gridCol w:w="1134"/>
        <w:gridCol w:w="1031"/>
      </w:tblGrid>
      <w:tr w:rsidR="008921BF" w:rsidRPr="00311580" w:rsidTr="00031B92">
        <w:trPr>
          <w:trHeight w:val="570"/>
          <w:jc w:val="center"/>
        </w:trPr>
        <w:tc>
          <w:tcPr>
            <w:tcW w:w="2768" w:type="dxa"/>
            <w:shd w:val="clear" w:color="auto" w:fill="BFBFBF" w:themeFill="background1" w:themeFillShade="BF"/>
            <w:vAlign w:val="center"/>
          </w:tcPr>
          <w:p w:rsidR="008921BF" w:rsidRPr="00723C7D" w:rsidRDefault="008921BF" w:rsidP="00031B92">
            <w:pPr>
              <w:jc w:val="center"/>
              <w:rPr>
                <w:rFonts w:ascii="Calibri" w:eastAsia="Times New Roman" w:hAnsi="Calibri" w:cs="Times New Roman"/>
                <w:b/>
                <w:bCs/>
                <w:lang w:eastAsia="en-GB"/>
              </w:rPr>
            </w:pPr>
            <w:r>
              <w:rPr>
                <w:rFonts w:ascii="Calibri" w:eastAsia="Times New Roman" w:hAnsi="Calibri" w:cs="Times New Roman"/>
                <w:b/>
                <w:bCs/>
                <w:lang w:eastAsia="en-GB"/>
              </w:rPr>
              <w:t>Number of Unpaid Carers</w:t>
            </w:r>
          </w:p>
        </w:tc>
        <w:tc>
          <w:tcPr>
            <w:tcW w:w="846" w:type="dxa"/>
            <w:shd w:val="clear" w:color="auto" w:fill="BFBFBF" w:themeFill="background1" w:themeFillShade="BF"/>
            <w:vAlign w:val="center"/>
          </w:tcPr>
          <w:p w:rsidR="008921BF" w:rsidRDefault="008921BF" w:rsidP="00031B92">
            <w:pPr>
              <w:jc w:val="center"/>
              <w:rPr>
                <w:rFonts w:ascii="Calibri" w:eastAsia="Times New Roman" w:hAnsi="Calibri" w:cs="Times New Roman"/>
                <w:b/>
                <w:color w:val="000000"/>
                <w:lang w:eastAsia="en-GB"/>
              </w:rPr>
            </w:pPr>
            <w:r>
              <w:rPr>
                <w:rFonts w:ascii="Calibri" w:eastAsia="Times New Roman" w:hAnsi="Calibri" w:cs="Times New Roman"/>
                <w:b/>
                <w:color w:val="000000"/>
                <w:lang w:eastAsia="en-GB"/>
              </w:rPr>
              <w:t>Total</w:t>
            </w:r>
          </w:p>
        </w:tc>
        <w:tc>
          <w:tcPr>
            <w:tcW w:w="953" w:type="dxa"/>
            <w:shd w:val="clear" w:color="auto" w:fill="BFBFBF" w:themeFill="background1" w:themeFillShade="BF"/>
            <w:vAlign w:val="center"/>
          </w:tcPr>
          <w:p w:rsidR="008921BF" w:rsidRDefault="008921BF" w:rsidP="00031B92">
            <w:pPr>
              <w:jc w:val="center"/>
              <w:rPr>
                <w:rFonts w:ascii="Calibri" w:eastAsia="Times New Roman" w:hAnsi="Calibri" w:cs="Times New Roman"/>
                <w:b/>
                <w:color w:val="000000"/>
                <w:lang w:eastAsia="en-GB"/>
              </w:rPr>
            </w:pPr>
            <w:r>
              <w:rPr>
                <w:rFonts w:ascii="Calibri" w:eastAsia="Times New Roman" w:hAnsi="Calibri" w:cs="Times New Roman"/>
                <w:b/>
                <w:color w:val="000000"/>
                <w:lang w:eastAsia="en-GB"/>
              </w:rPr>
              <w:t>0-24</w:t>
            </w:r>
          </w:p>
        </w:tc>
        <w:tc>
          <w:tcPr>
            <w:tcW w:w="992" w:type="dxa"/>
            <w:shd w:val="clear" w:color="auto" w:fill="BFBFBF" w:themeFill="background1" w:themeFillShade="BF"/>
            <w:vAlign w:val="center"/>
          </w:tcPr>
          <w:p w:rsidR="008921BF" w:rsidRPr="00723C7D" w:rsidRDefault="008921BF" w:rsidP="00031B92">
            <w:pPr>
              <w:jc w:val="center"/>
              <w:rPr>
                <w:rFonts w:ascii="Calibri" w:eastAsia="Times New Roman" w:hAnsi="Calibri" w:cs="Times New Roman"/>
                <w:b/>
                <w:color w:val="000000"/>
                <w:lang w:eastAsia="en-GB"/>
              </w:rPr>
            </w:pPr>
            <w:r>
              <w:rPr>
                <w:rFonts w:ascii="Calibri" w:eastAsia="Times New Roman" w:hAnsi="Calibri" w:cs="Times New Roman"/>
                <w:b/>
                <w:color w:val="000000"/>
                <w:lang w:eastAsia="en-GB"/>
              </w:rPr>
              <w:t>25-49</w:t>
            </w:r>
          </w:p>
        </w:tc>
        <w:tc>
          <w:tcPr>
            <w:tcW w:w="1134" w:type="dxa"/>
            <w:shd w:val="clear" w:color="auto" w:fill="BFBFBF" w:themeFill="background1" w:themeFillShade="BF"/>
            <w:vAlign w:val="center"/>
          </w:tcPr>
          <w:p w:rsidR="008921BF" w:rsidRPr="00723C7D" w:rsidRDefault="008921BF" w:rsidP="00031B92">
            <w:pPr>
              <w:jc w:val="center"/>
              <w:rPr>
                <w:rFonts w:ascii="Calibri" w:eastAsia="Times New Roman" w:hAnsi="Calibri" w:cs="Times New Roman"/>
                <w:b/>
                <w:color w:val="000000"/>
                <w:lang w:eastAsia="en-GB"/>
              </w:rPr>
            </w:pPr>
            <w:r>
              <w:rPr>
                <w:rFonts w:ascii="Calibri" w:eastAsia="Times New Roman" w:hAnsi="Calibri" w:cs="Times New Roman"/>
                <w:b/>
                <w:color w:val="000000"/>
                <w:lang w:eastAsia="en-GB"/>
              </w:rPr>
              <w:t>50-64</w:t>
            </w:r>
          </w:p>
        </w:tc>
        <w:tc>
          <w:tcPr>
            <w:tcW w:w="1031" w:type="dxa"/>
            <w:shd w:val="clear" w:color="auto" w:fill="BFBFBF" w:themeFill="background1" w:themeFillShade="BF"/>
            <w:vAlign w:val="center"/>
          </w:tcPr>
          <w:p w:rsidR="008921BF" w:rsidRPr="00723C7D" w:rsidRDefault="008921BF" w:rsidP="00031B92">
            <w:pPr>
              <w:jc w:val="center"/>
              <w:rPr>
                <w:rFonts w:ascii="Calibri" w:eastAsia="Times New Roman" w:hAnsi="Calibri" w:cs="Times New Roman"/>
                <w:b/>
                <w:color w:val="000000"/>
                <w:lang w:eastAsia="en-GB"/>
              </w:rPr>
            </w:pPr>
            <w:r>
              <w:rPr>
                <w:rFonts w:ascii="Calibri" w:eastAsia="Times New Roman" w:hAnsi="Calibri" w:cs="Times New Roman"/>
                <w:b/>
                <w:color w:val="000000"/>
                <w:lang w:eastAsia="en-GB"/>
              </w:rPr>
              <w:t>65+</w:t>
            </w:r>
          </w:p>
        </w:tc>
      </w:tr>
      <w:tr w:rsidR="008921BF" w:rsidRPr="00311580" w:rsidTr="00031B92">
        <w:trPr>
          <w:trHeight w:val="315"/>
          <w:jc w:val="center"/>
        </w:trPr>
        <w:tc>
          <w:tcPr>
            <w:tcW w:w="2768"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Provides unpaid care: Total</w:t>
            </w:r>
          </w:p>
        </w:tc>
        <w:tc>
          <w:tcPr>
            <w:tcW w:w="846" w:type="dxa"/>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32,256</w:t>
            </w:r>
          </w:p>
        </w:tc>
        <w:tc>
          <w:tcPr>
            <w:tcW w:w="953" w:type="dxa"/>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2,911</w:t>
            </w:r>
          </w:p>
        </w:tc>
        <w:tc>
          <w:tcPr>
            <w:tcW w:w="992"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12,746</w:t>
            </w:r>
          </w:p>
        </w:tc>
        <w:tc>
          <w:tcPr>
            <w:tcW w:w="1134"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10,499</w:t>
            </w:r>
          </w:p>
        </w:tc>
        <w:tc>
          <w:tcPr>
            <w:tcW w:w="1031" w:type="dxa"/>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6,100</w:t>
            </w:r>
          </w:p>
        </w:tc>
      </w:tr>
      <w:tr w:rsidR="008921BF" w:rsidRPr="00311580" w:rsidTr="00031B92">
        <w:trPr>
          <w:trHeight w:val="300"/>
          <w:jc w:val="center"/>
        </w:trPr>
        <w:tc>
          <w:tcPr>
            <w:tcW w:w="2768"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Provides 1 to 19 hours unpaid care a week</w:t>
            </w:r>
          </w:p>
        </w:tc>
        <w:tc>
          <w:tcPr>
            <w:tcW w:w="846" w:type="dxa"/>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21,448</w:t>
            </w:r>
          </w:p>
        </w:tc>
        <w:tc>
          <w:tcPr>
            <w:tcW w:w="953" w:type="dxa"/>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2,249</w:t>
            </w:r>
          </w:p>
        </w:tc>
        <w:tc>
          <w:tcPr>
            <w:tcW w:w="992"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8,394</w:t>
            </w:r>
          </w:p>
        </w:tc>
        <w:tc>
          <w:tcPr>
            <w:tcW w:w="1134"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7,432</w:t>
            </w:r>
          </w:p>
        </w:tc>
        <w:tc>
          <w:tcPr>
            <w:tcW w:w="1031" w:type="dxa"/>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3,373</w:t>
            </w:r>
          </w:p>
        </w:tc>
      </w:tr>
      <w:tr w:rsidR="008921BF" w:rsidRPr="00311580" w:rsidTr="00031B92">
        <w:trPr>
          <w:trHeight w:val="300"/>
          <w:jc w:val="center"/>
        </w:trPr>
        <w:tc>
          <w:tcPr>
            <w:tcW w:w="2768"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Provides 20 to 49 hours unpaid care a week</w:t>
            </w:r>
          </w:p>
        </w:tc>
        <w:tc>
          <w:tcPr>
            <w:tcW w:w="846" w:type="dxa"/>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4,584</w:t>
            </w:r>
          </w:p>
        </w:tc>
        <w:tc>
          <w:tcPr>
            <w:tcW w:w="953" w:type="dxa"/>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399</w:t>
            </w:r>
          </w:p>
        </w:tc>
        <w:tc>
          <w:tcPr>
            <w:tcW w:w="992"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1,950</w:t>
            </w:r>
          </w:p>
        </w:tc>
        <w:tc>
          <w:tcPr>
            <w:tcW w:w="1134"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1,392</w:t>
            </w:r>
          </w:p>
        </w:tc>
        <w:tc>
          <w:tcPr>
            <w:tcW w:w="1031" w:type="dxa"/>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843</w:t>
            </w:r>
          </w:p>
        </w:tc>
      </w:tr>
      <w:tr w:rsidR="008921BF" w:rsidRPr="00311580" w:rsidTr="00031B92">
        <w:trPr>
          <w:trHeight w:val="300"/>
          <w:jc w:val="center"/>
        </w:trPr>
        <w:tc>
          <w:tcPr>
            <w:tcW w:w="2768" w:type="dxa"/>
            <w:noWrap/>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Provides 50 or more unpaid hours unpaid care a week</w:t>
            </w:r>
          </w:p>
        </w:tc>
        <w:tc>
          <w:tcPr>
            <w:tcW w:w="846" w:type="dxa"/>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6,224</w:t>
            </w:r>
          </w:p>
        </w:tc>
        <w:tc>
          <w:tcPr>
            <w:tcW w:w="953" w:type="dxa"/>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263</w:t>
            </w:r>
          </w:p>
        </w:tc>
        <w:tc>
          <w:tcPr>
            <w:tcW w:w="992" w:type="dxa"/>
            <w:noWrap/>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2,402</w:t>
            </w:r>
          </w:p>
        </w:tc>
        <w:tc>
          <w:tcPr>
            <w:tcW w:w="1134" w:type="dxa"/>
            <w:noWrap/>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1,675</w:t>
            </w:r>
          </w:p>
        </w:tc>
        <w:tc>
          <w:tcPr>
            <w:tcW w:w="1031" w:type="dxa"/>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1,884</w:t>
            </w:r>
          </w:p>
        </w:tc>
      </w:tr>
    </w:tbl>
    <w:p w:rsidR="008921BF" w:rsidRDefault="008921BF" w:rsidP="008921BF">
      <w:pPr>
        <w:spacing w:after="0"/>
      </w:pPr>
      <w:r>
        <w:t>Source: Census 2011</w:t>
      </w:r>
    </w:p>
    <w:p w:rsidR="008921BF" w:rsidRDefault="008921BF" w:rsidP="008921BF">
      <w:pPr>
        <w:spacing w:after="0"/>
      </w:pPr>
    </w:p>
    <w:p w:rsidR="008921BF" w:rsidRDefault="008921BF" w:rsidP="008921BF">
      <w:pPr>
        <w:spacing w:after="0"/>
        <w:jc w:val="both"/>
      </w:pPr>
      <w:r>
        <w:t xml:space="preserve">By ward the areas with the highest level of carers were Mill Hill (1,800); Hale (1,724) and Brunswick Park (1,721). The wards with the lowest number of carers were Colindale (1,176); East Finchley (1,302) and Garden Suburb (1,332).  </w:t>
      </w:r>
    </w:p>
    <w:p w:rsidR="008921BF" w:rsidRDefault="008921BF" w:rsidP="008921BF">
      <w:pPr>
        <w:spacing w:after="0"/>
        <w:jc w:val="both"/>
      </w:pPr>
    </w:p>
    <w:p w:rsidR="008921BF" w:rsidRDefault="008921BF" w:rsidP="008921BF">
      <w:pPr>
        <w:spacing w:after="0"/>
        <w:jc w:val="both"/>
      </w:pPr>
      <w:r>
        <w:t xml:space="preserve">In proportion to the total population, Brunswick Park and Underhill had the highest rates of carers (10.5%), compared to Colindale which had the lowest (6.90%). </w:t>
      </w:r>
    </w:p>
    <w:p w:rsidR="008921BF" w:rsidRDefault="008921BF" w:rsidP="008921BF">
      <w:pPr>
        <w:spacing w:after="0"/>
        <w:jc w:val="both"/>
        <w:rPr>
          <w:rFonts w:ascii="Calibri" w:hAnsi="Calibri" w:cs="Calibri"/>
          <w:b/>
          <w:i/>
        </w:rPr>
      </w:pPr>
    </w:p>
    <w:p w:rsidR="008921BF" w:rsidRDefault="008921BF" w:rsidP="008921BF">
      <w:pPr>
        <w:pStyle w:val="Caption"/>
      </w:pPr>
    </w:p>
    <w:p w:rsidR="008921BF" w:rsidRDefault="008921BF" w:rsidP="008921BF">
      <w:pPr>
        <w:pStyle w:val="Caption"/>
      </w:pPr>
    </w:p>
    <w:p w:rsidR="00AA058C" w:rsidRDefault="00AA058C" w:rsidP="00AA058C"/>
    <w:p w:rsidR="00AA058C" w:rsidRPr="00AA058C" w:rsidRDefault="00AA058C" w:rsidP="00AA058C"/>
    <w:p w:rsidR="008921BF" w:rsidRDefault="008921BF" w:rsidP="008921BF">
      <w:pPr>
        <w:pStyle w:val="Caption"/>
      </w:pPr>
    </w:p>
    <w:p w:rsidR="008921BF" w:rsidRDefault="008921BF" w:rsidP="008921BF">
      <w:pPr>
        <w:pStyle w:val="Caption"/>
      </w:pPr>
    </w:p>
    <w:p w:rsidR="008921BF" w:rsidRPr="00F411A3" w:rsidRDefault="008921BF" w:rsidP="008921BF">
      <w:pPr>
        <w:pStyle w:val="Caption"/>
        <w:rPr>
          <w:rFonts w:ascii="Calibri" w:hAnsi="Calibri" w:cs="Calibri"/>
          <w:b w:val="0"/>
          <w:i/>
        </w:rPr>
      </w:pPr>
      <w:r>
        <w:lastRenderedPageBreak/>
        <w:t xml:space="preserve">Table </w:t>
      </w:r>
      <w:fldSimple w:instr=" STYLEREF 1 \s ">
        <w:r w:rsidR="001663C2">
          <w:rPr>
            <w:noProof/>
          </w:rPr>
          <w:t>9</w:t>
        </w:r>
      </w:fldSimple>
      <w:r>
        <w:noBreakHyphen/>
      </w:r>
      <w:fldSimple w:instr=" SEQ Table \* ARABIC \s 1 ">
        <w:r w:rsidR="001663C2">
          <w:rPr>
            <w:noProof/>
          </w:rPr>
          <w:t>13</w:t>
        </w:r>
      </w:fldSimple>
      <w:r w:rsidRPr="00041E32">
        <w:t>: Barnet Carers by Ward</w:t>
      </w:r>
      <w:r w:rsidR="00AA058C">
        <w:t>, 2011</w:t>
      </w:r>
    </w:p>
    <w:tbl>
      <w:tblPr>
        <w:tblW w:w="8454" w:type="dxa"/>
        <w:jc w:val="center"/>
        <w:tblInd w:w="108" w:type="dxa"/>
        <w:tblLook w:val="04A0" w:firstRow="1" w:lastRow="0" w:firstColumn="1" w:lastColumn="0" w:noHBand="0" w:noVBand="1"/>
      </w:tblPr>
      <w:tblGrid>
        <w:gridCol w:w="1559"/>
        <w:gridCol w:w="1417"/>
        <w:gridCol w:w="1418"/>
        <w:gridCol w:w="960"/>
        <w:gridCol w:w="960"/>
        <w:gridCol w:w="960"/>
        <w:gridCol w:w="1180"/>
      </w:tblGrid>
      <w:tr w:rsidR="008921BF" w:rsidRPr="00786A8B" w:rsidTr="00031B92">
        <w:trPr>
          <w:trHeight w:val="600"/>
          <w:jc w:val="center"/>
        </w:trPr>
        <w:tc>
          <w:tcPr>
            <w:tcW w:w="1559"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8921BF" w:rsidRPr="00786A8B" w:rsidRDefault="008921BF" w:rsidP="00031B92">
            <w:pPr>
              <w:spacing w:after="0" w:line="240" w:lineRule="auto"/>
              <w:jc w:val="center"/>
              <w:rPr>
                <w:rFonts w:ascii="Calibri" w:eastAsia="Times New Roman" w:hAnsi="Calibri" w:cs="Times New Roman"/>
                <w:b/>
                <w:bCs/>
                <w:color w:val="000000"/>
                <w:lang w:eastAsia="en-GB"/>
              </w:rPr>
            </w:pPr>
            <w:bookmarkStart w:id="946" w:name="RANGE!A1:G1"/>
            <w:r w:rsidRPr="00786A8B">
              <w:rPr>
                <w:rFonts w:ascii="Calibri" w:eastAsia="Times New Roman" w:hAnsi="Calibri" w:cs="Times New Roman"/>
                <w:b/>
                <w:bCs/>
                <w:color w:val="000000"/>
                <w:lang w:eastAsia="en-GB"/>
              </w:rPr>
              <w:t>Ward</w:t>
            </w:r>
            <w:bookmarkEnd w:id="946"/>
          </w:p>
        </w:tc>
        <w:tc>
          <w:tcPr>
            <w:tcW w:w="1417" w:type="dxa"/>
            <w:tcBorders>
              <w:top w:val="single" w:sz="4" w:space="0" w:color="auto"/>
              <w:left w:val="nil"/>
              <w:bottom w:val="single" w:sz="4" w:space="0" w:color="auto"/>
              <w:right w:val="single" w:sz="4" w:space="0" w:color="auto"/>
            </w:tcBorders>
            <w:shd w:val="clear" w:color="000000" w:fill="BFBFBF"/>
            <w:vAlign w:val="center"/>
            <w:hideMark/>
          </w:tcPr>
          <w:p w:rsidR="008921BF" w:rsidRPr="00786A8B" w:rsidRDefault="008921BF" w:rsidP="00031B92">
            <w:pPr>
              <w:spacing w:after="0" w:line="240" w:lineRule="auto"/>
              <w:jc w:val="center"/>
              <w:rPr>
                <w:rFonts w:ascii="Calibri" w:eastAsia="Times New Roman" w:hAnsi="Calibri" w:cs="Times New Roman"/>
                <w:b/>
                <w:bCs/>
                <w:color w:val="000000"/>
                <w:lang w:eastAsia="en-GB"/>
              </w:rPr>
            </w:pPr>
            <w:r w:rsidRPr="00786A8B">
              <w:rPr>
                <w:rFonts w:ascii="Calibri" w:eastAsia="Times New Roman" w:hAnsi="Calibri" w:cs="Times New Roman"/>
                <w:b/>
                <w:bCs/>
                <w:color w:val="000000"/>
                <w:lang w:eastAsia="en-GB"/>
              </w:rPr>
              <w:t>Total (All Ages)</w:t>
            </w:r>
          </w:p>
        </w:tc>
        <w:tc>
          <w:tcPr>
            <w:tcW w:w="1418" w:type="dxa"/>
            <w:tcBorders>
              <w:top w:val="single" w:sz="4" w:space="0" w:color="auto"/>
              <w:left w:val="nil"/>
              <w:bottom w:val="single" w:sz="4" w:space="0" w:color="auto"/>
              <w:right w:val="single" w:sz="4" w:space="0" w:color="auto"/>
            </w:tcBorders>
            <w:shd w:val="clear" w:color="000000" w:fill="BFBFBF"/>
            <w:vAlign w:val="center"/>
            <w:hideMark/>
          </w:tcPr>
          <w:p w:rsidR="008921BF" w:rsidRPr="00786A8B" w:rsidRDefault="008921BF" w:rsidP="00031B92">
            <w:pPr>
              <w:spacing w:after="0" w:line="240" w:lineRule="auto"/>
              <w:jc w:val="center"/>
              <w:rPr>
                <w:rFonts w:ascii="Calibri" w:eastAsia="Times New Roman" w:hAnsi="Calibri" w:cs="Times New Roman"/>
                <w:b/>
                <w:bCs/>
                <w:color w:val="000000"/>
                <w:lang w:eastAsia="en-GB"/>
              </w:rPr>
            </w:pPr>
            <w:r w:rsidRPr="00786A8B">
              <w:rPr>
                <w:rFonts w:ascii="Calibri" w:eastAsia="Times New Roman" w:hAnsi="Calibri" w:cs="Times New Roman"/>
                <w:b/>
                <w:bCs/>
                <w:color w:val="000000"/>
                <w:lang w:eastAsia="en-GB"/>
              </w:rPr>
              <w:t>% of Total Population</w:t>
            </w:r>
          </w:p>
        </w:tc>
        <w:tc>
          <w:tcPr>
            <w:tcW w:w="960" w:type="dxa"/>
            <w:tcBorders>
              <w:top w:val="single" w:sz="4" w:space="0" w:color="auto"/>
              <w:left w:val="nil"/>
              <w:bottom w:val="single" w:sz="4" w:space="0" w:color="auto"/>
              <w:right w:val="single" w:sz="4" w:space="0" w:color="auto"/>
            </w:tcBorders>
            <w:shd w:val="clear" w:color="000000" w:fill="BFBFBF"/>
            <w:vAlign w:val="center"/>
            <w:hideMark/>
          </w:tcPr>
          <w:p w:rsidR="008921BF" w:rsidRPr="00786A8B" w:rsidRDefault="008921BF" w:rsidP="00031B92">
            <w:pPr>
              <w:spacing w:after="0" w:line="240" w:lineRule="auto"/>
              <w:jc w:val="center"/>
              <w:rPr>
                <w:rFonts w:ascii="Calibri" w:eastAsia="Times New Roman" w:hAnsi="Calibri" w:cs="Times New Roman"/>
                <w:b/>
                <w:bCs/>
                <w:color w:val="000000"/>
                <w:lang w:eastAsia="en-GB"/>
              </w:rPr>
            </w:pPr>
            <w:r w:rsidRPr="00786A8B">
              <w:rPr>
                <w:rFonts w:ascii="Calibri" w:eastAsia="Times New Roman" w:hAnsi="Calibri" w:cs="Times New Roman"/>
                <w:b/>
                <w:bCs/>
                <w:color w:val="000000"/>
                <w:lang w:eastAsia="en-GB"/>
              </w:rPr>
              <w:t>0-24</w:t>
            </w:r>
          </w:p>
        </w:tc>
        <w:tc>
          <w:tcPr>
            <w:tcW w:w="960" w:type="dxa"/>
            <w:tcBorders>
              <w:top w:val="single" w:sz="4" w:space="0" w:color="auto"/>
              <w:left w:val="nil"/>
              <w:bottom w:val="single" w:sz="4" w:space="0" w:color="auto"/>
              <w:right w:val="single" w:sz="4" w:space="0" w:color="auto"/>
            </w:tcBorders>
            <w:shd w:val="clear" w:color="000000" w:fill="BFBFBF"/>
            <w:vAlign w:val="center"/>
            <w:hideMark/>
          </w:tcPr>
          <w:p w:rsidR="008921BF" w:rsidRPr="00786A8B" w:rsidRDefault="008921BF" w:rsidP="00031B92">
            <w:pPr>
              <w:spacing w:after="0" w:line="240" w:lineRule="auto"/>
              <w:jc w:val="center"/>
              <w:rPr>
                <w:rFonts w:ascii="Calibri" w:eastAsia="Times New Roman" w:hAnsi="Calibri" w:cs="Times New Roman"/>
                <w:b/>
                <w:bCs/>
                <w:color w:val="000000"/>
                <w:lang w:eastAsia="en-GB"/>
              </w:rPr>
            </w:pPr>
            <w:r w:rsidRPr="00786A8B">
              <w:rPr>
                <w:rFonts w:ascii="Calibri" w:eastAsia="Times New Roman" w:hAnsi="Calibri" w:cs="Times New Roman"/>
                <w:b/>
                <w:bCs/>
                <w:color w:val="000000"/>
                <w:lang w:eastAsia="en-GB"/>
              </w:rPr>
              <w:t>25-49</w:t>
            </w:r>
          </w:p>
        </w:tc>
        <w:tc>
          <w:tcPr>
            <w:tcW w:w="960" w:type="dxa"/>
            <w:tcBorders>
              <w:top w:val="single" w:sz="4" w:space="0" w:color="auto"/>
              <w:left w:val="nil"/>
              <w:bottom w:val="single" w:sz="4" w:space="0" w:color="auto"/>
              <w:right w:val="single" w:sz="4" w:space="0" w:color="auto"/>
            </w:tcBorders>
            <w:shd w:val="clear" w:color="000000" w:fill="BFBFBF"/>
            <w:vAlign w:val="center"/>
            <w:hideMark/>
          </w:tcPr>
          <w:p w:rsidR="008921BF" w:rsidRPr="00786A8B" w:rsidRDefault="008921BF" w:rsidP="00031B92">
            <w:pPr>
              <w:spacing w:after="0" w:line="240" w:lineRule="auto"/>
              <w:jc w:val="center"/>
              <w:rPr>
                <w:rFonts w:ascii="Calibri" w:eastAsia="Times New Roman" w:hAnsi="Calibri" w:cs="Times New Roman"/>
                <w:b/>
                <w:bCs/>
                <w:color w:val="000000"/>
                <w:lang w:eastAsia="en-GB"/>
              </w:rPr>
            </w:pPr>
            <w:r w:rsidRPr="00786A8B">
              <w:rPr>
                <w:rFonts w:ascii="Calibri" w:eastAsia="Times New Roman" w:hAnsi="Calibri" w:cs="Times New Roman"/>
                <w:b/>
                <w:bCs/>
                <w:color w:val="000000"/>
                <w:lang w:eastAsia="en-GB"/>
              </w:rPr>
              <w:t>50-64</w:t>
            </w:r>
          </w:p>
        </w:tc>
        <w:tc>
          <w:tcPr>
            <w:tcW w:w="1180" w:type="dxa"/>
            <w:tcBorders>
              <w:top w:val="single" w:sz="4" w:space="0" w:color="auto"/>
              <w:left w:val="nil"/>
              <w:bottom w:val="single" w:sz="4" w:space="0" w:color="auto"/>
              <w:right w:val="single" w:sz="4" w:space="0" w:color="auto"/>
            </w:tcBorders>
            <w:shd w:val="clear" w:color="000000" w:fill="BFBFBF"/>
            <w:vAlign w:val="center"/>
            <w:hideMark/>
          </w:tcPr>
          <w:p w:rsidR="008921BF" w:rsidRPr="00786A8B" w:rsidRDefault="008921BF" w:rsidP="00031B92">
            <w:pPr>
              <w:spacing w:after="0" w:line="240" w:lineRule="auto"/>
              <w:jc w:val="center"/>
              <w:rPr>
                <w:rFonts w:ascii="Calibri" w:eastAsia="Times New Roman" w:hAnsi="Calibri" w:cs="Times New Roman"/>
                <w:b/>
                <w:bCs/>
                <w:color w:val="000000"/>
                <w:lang w:eastAsia="en-GB"/>
              </w:rPr>
            </w:pPr>
            <w:r w:rsidRPr="00786A8B">
              <w:rPr>
                <w:rFonts w:ascii="Calibri" w:eastAsia="Times New Roman" w:hAnsi="Calibri" w:cs="Times New Roman"/>
                <w:b/>
                <w:bCs/>
                <w:color w:val="000000"/>
                <w:lang w:eastAsia="en-GB"/>
              </w:rPr>
              <w:t>65+</w:t>
            </w:r>
          </w:p>
        </w:tc>
      </w:tr>
      <w:tr w:rsidR="008921BF" w:rsidRPr="00786A8B" w:rsidTr="00031B92">
        <w:trPr>
          <w:trHeight w:val="300"/>
          <w:jc w:val="center"/>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Brunswick Park</w:t>
            </w:r>
          </w:p>
        </w:tc>
        <w:tc>
          <w:tcPr>
            <w:tcW w:w="1417"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1</w:t>
            </w:r>
            <w:r>
              <w:rPr>
                <w:rFonts w:ascii="Calibri" w:eastAsia="Times New Roman" w:hAnsi="Calibri" w:cs="Times New Roman"/>
                <w:color w:val="000000"/>
                <w:lang w:eastAsia="en-GB"/>
              </w:rPr>
              <w:t>,</w:t>
            </w:r>
            <w:r w:rsidRPr="00786A8B">
              <w:rPr>
                <w:rFonts w:ascii="Calibri" w:eastAsia="Times New Roman" w:hAnsi="Calibri" w:cs="Times New Roman"/>
                <w:color w:val="000000"/>
                <w:lang w:eastAsia="en-GB"/>
              </w:rPr>
              <w:t>721</w:t>
            </w:r>
          </w:p>
        </w:tc>
        <w:tc>
          <w:tcPr>
            <w:tcW w:w="1418"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10.5%</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136</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664</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606</w:t>
            </w:r>
          </w:p>
        </w:tc>
        <w:tc>
          <w:tcPr>
            <w:tcW w:w="118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315</w:t>
            </w:r>
          </w:p>
        </w:tc>
      </w:tr>
      <w:tr w:rsidR="008921BF" w:rsidRPr="00786A8B" w:rsidTr="00031B92">
        <w:trPr>
          <w:trHeight w:val="300"/>
          <w:jc w:val="center"/>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Burnt Oak</w:t>
            </w:r>
          </w:p>
        </w:tc>
        <w:tc>
          <w:tcPr>
            <w:tcW w:w="1417"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1</w:t>
            </w:r>
            <w:r>
              <w:rPr>
                <w:rFonts w:ascii="Calibri" w:eastAsia="Times New Roman" w:hAnsi="Calibri" w:cs="Times New Roman"/>
                <w:color w:val="000000"/>
                <w:lang w:eastAsia="en-GB"/>
              </w:rPr>
              <w:t>,</w:t>
            </w:r>
            <w:r w:rsidRPr="00786A8B">
              <w:rPr>
                <w:rFonts w:ascii="Calibri" w:eastAsia="Times New Roman" w:hAnsi="Calibri" w:cs="Times New Roman"/>
                <w:color w:val="000000"/>
                <w:lang w:eastAsia="en-GB"/>
              </w:rPr>
              <w:t>554</w:t>
            </w:r>
          </w:p>
        </w:tc>
        <w:tc>
          <w:tcPr>
            <w:tcW w:w="1418"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8.5%</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190</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792</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401</w:t>
            </w:r>
          </w:p>
        </w:tc>
        <w:tc>
          <w:tcPr>
            <w:tcW w:w="118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171</w:t>
            </w:r>
          </w:p>
        </w:tc>
      </w:tr>
      <w:tr w:rsidR="008921BF" w:rsidRPr="00786A8B" w:rsidTr="00031B92">
        <w:trPr>
          <w:trHeight w:val="300"/>
          <w:jc w:val="center"/>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Childs Hill</w:t>
            </w:r>
          </w:p>
        </w:tc>
        <w:tc>
          <w:tcPr>
            <w:tcW w:w="1417"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1</w:t>
            </w:r>
            <w:r>
              <w:rPr>
                <w:rFonts w:ascii="Calibri" w:eastAsia="Times New Roman" w:hAnsi="Calibri" w:cs="Times New Roman"/>
                <w:color w:val="000000"/>
                <w:lang w:eastAsia="en-GB"/>
              </w:rPr>
              <w:t>,</w:t>
            </w:r>
            <w:r w:rsidRPr="00786A8B">
              <w:rPr>
                <w:rFonts w:ascii="Calibri" w:eastAsia="Times New Roman" w:hAnsi="Calibri" w:cs="Times New Roman"/>
                <w:color w:val="000000"/>
                <w:lang w:eastAsia="en-GB"/>
              </w:rPr>
              <w:t>623</w:t>
            </w:r>
          </w:p>
        </w:tc>
        <w:tc>
          <w:tcPr>
            <w:tcW w:w="1418"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8.1%</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187</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652</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500</w:t>
            </w:r>
          </w:p>
        </w:tc>
        <w:tc>
          <w:tcPr>
            <w:tcW w:w="118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284</w:t>
            </w:r>
          </w:p>
        </w:tc>
      </w:tr>
      <w:tr w:rsidR="008921BF" w:rsidRPr="00786A8B" w:rsidTr="00031B92">
        <w:trPr>
          <w:trHeight w:val="300"/>
          <w:jc w:val="center"/>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Colindale</w:t>
            </w:r>
          </w:p>
        </w:tc>
        <w:tc>
          <w:tcPr>
            <w:tcW w:w="1417"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1</w:t>
            </w:r>
            <w:r>
              <w:rPr>
                <w:rFonts w:ascii="Calibri" w:eastAsia="Times New Roman" w:hAnsi="Calibri" w:cs="Times New Roman"/>
                <w:color w:val="000000"/>
                <w:lang w:eastAsia="en-GB"/>
              </w:rPr>
              <w:t>,</w:t>
            </w:r>
            <w:r w:rsidRPr="00786A8B">
              <w:rPr>
                <w:rFonts w:ascii="Calibri" w:eastAsia="Times New Roman" w:hAnsi="Calibri" w:cs="Times New Roman"/>
                <w:color w:val="000000"/>
                <w:lang w:eastAsia="en-GB"/>
              </w:rPr>
              <w:t>176</w:t>
            </w:r>
          </w:p>
        </w:tc>
        <w:tc>
          <w:tcPr>
            <w:tcW w:w="1418"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6.9%</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144</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584</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290</w:t>
            </w:r>
          </w:p>
        </w:tc>
        <w:tc>
          <w:tcPr>
            <w:tcW w:w="118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158</w:t>
            </w:r>
          </w:p>
        </w:tc>
      </w:tr>
      <w:tr w:rsidR="008921BF" w:rsidRPr="00786A8B" w:rsidTr="00031B92">
        <w:trPr>
          <w:trHeight w:val="300"/>
          <w:jc w:val="center"/>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Coppetts</w:t>
            </w:r>
          </w:p>
        </w:tc>
        <w:tc>
          <w:tcPr>
            <w:tcW w:w="1417"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1</w:t>
            </w:r>
            <w:r>
              <w:rPr>
                <w:rFonts w:ascii="Calibri" w:eastAsia="Times New Roman" w:hAnsi="Calibri" w:cs="Times New Roman"/>
                <w:color w:val="000000"/>
                <w:lang w:eastAsia="en-GB"/>
              </w:rPr>
              <w:t>,</w:t>
            </w:r>
            <w:r w:rsidRPr="00786A8B">
              <w:rPr>
                <w:rFonts w:ascii="Calibri" w:eastAsia="Times New Roman" w:hAnsi="Calibri" w:cs="Times New Roman"/>
                <w:color w:val="000000"/>
                <w:lang w:eastAsia="en-GB"/>
              </w:rPr>
              <w:t>454</w:t>
            </w:r>
          </w:p>
        </w:tc>
        <w:tc>
          <w:tcPr>
            <w:tcW w:w="1418"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8.4%</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138</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645</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483</w:t>
            </w:r>
          </w:p>
        </w:tc>
        <w:tc>
          <w:tcPr>
            <w:tcW w:w="118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188</w:t>
            </w:r>
          </w:p>
        </w:tc>
      </w:tr>
      <w:tr w:rsidR="008921BF" w:rsidRPr="00786A8B" w:rsidTr="00031B92">
        <w:trPr>
          <w:trHeight w:val="300"/>
          <w:jc w:val="center"/>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East Barnet</w:t>
            </w:r>
          </w:p>
        </w:tc>
        <w:tc>
          <w:tcPr>
            <w:tcW w:w="1417"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1</w:t>
            </w:r>
            <w:r>
              <w:rPr>
                <w:rFonts w:ascii="Calibri" w:eastAsia="Times New Roman" w:hAnsi="Calibri" w:cs="Times New Roman"/>
                <w:color w:val="000000"/>
                <w:lang w:eastAsia="en-GB"/>
              </w:rPr>
              <w:t>,</w:t>
            </w:r>
            <w:r w:rsidRPr="00786A8B">
              <w:rPr>
                <w:rFonts w:ascii="Calibri" w:eastAsia="Times New Roman" w:hAnsi="Calibri" w:cs="Times New Roman"/>
                <w:color w:val="000000"/>
                <w:lang w:eastAsia="en-GB"/>
              </w:rPr>
              <w:t>645</w:t>
            </w:r>
          </w:p>
        </w:tc>
        <w:tc>
          <w:tcPr>
            <w:tcW w:w="1418"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10.2%</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129</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601</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590</w:t>
            </w:r>
          </w:p>
        </w:tc>
        <w:tc>
          <w:tcPr>
            <w:tcW w:w="118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325</w:t>
            </w:r>
          </w:p>
        </w:tc>
      </w:tr>
      <w:tr w:rsidR="008921BF" w:rsidRPr="00786A8B" w:rsidTr="00031B92">
        <w:trPr>
          <w:trHeight w:val="300"/>
          <w:jc w:val="center"/>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East Finchley</w:t>
            </w:r>
          </w:p>
        </w:tc>
        <w:tc>
          <w:tcPr>
            <w:tcW w:w="1417"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1</w:t>
            </w:r>
            <w:r>
              <w:rPr>
                <w:rFonts w:ascii="Calibri" w:eastAsia="Times New Roman" w:hAnsi="Calibri" w:cs="Times New Roman"/>
                <w:color w:val="000000"/>
                <w:lang w:eastAsia="en-GB"/>
              </w:rPr>
              <w:t>,</w:t>
            </w:r>
            <w:r w:rsidRPr="00786A8B">
              <w:rPr>
                <w:rFonts w:ascii="Calibri" w:eastAsia="Times New Roman" w:hAnsi="Calibri" w:cs="Times New Roman"/>
                <w:color w:val="000000"/>
                <w:lang w:eastAsia="en-GB"/>
              </w:rPr>
              <w:t>302</w:t>
            </w:r>
          </w:p>
        </w:tc>
        <w:tc>
          <w:tcPr>
            <w:tcW w:w="1418"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8.1%</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93</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545</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419</w:t>
            </w:r>
          </w:p>
        </w:tc>
        <w:tc>
          <w:tcPr>
            <w:tcW w:w="118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245</w:t>
            </w:r>
          </w:p>
        </w:tc>
      </w:tr>
      <w:tr w:rsidR="008921BF" w:rsidRPr="00786A8B" w:rsidTr="00031B92">
        <w:trPr>
          <w:trHeight w:val="300"/>
          <w:jc w:val="center"/>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Edgware</w:t>
            </w:r>
          </w:p>
        </w:tc>
        <w:tc>
          <w:tcPr>
            <w:tcW w:w="1417"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1</w:t>
            </w:r>
            <w:r>
              <w:rPr>
                <w:rFonts w:ascii="Calibri" w:eastAsia="Times New Roman" w:hAnsi="Calibri" w:cs="Times New Roman"/>
                <w:color w:val="000000"/>
                <w:lang w:eastAsia="en-GB"/>
              </w:rPr>
              <w:t>,</w:t>
            </w:r>
            <w:r w:rsidRPr="00786A8B">
              <w:rPr>
                <w:rFonts w:ascii="Calibri" w:eastAsia="Times New Roman" w:hAnsi="Calibri" w:cs="Times New Roman"/>
                <w:color w:val="000000"/>
                <w:lang w:eastAsia="en-GB"/>
              </w:rPr>
              <w:t>643</w:t>
            </w:r>
          </w:p>
        </w:tc>
        <w:tc>
          <w:tcPr>
            <w:tcW w:w="1418"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9.8%</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162</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593</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551</w:t>
            </w:r>
          </w:p>
        </w:tc>
        <w:tc>
          <w:tcPr>
            <w:tcW w:w="118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337</w:t>
            </w:r>
          </w:p>
        </w:tc>
      </w:tr>
      <w:tr w:rsidR="008921BF" w:rsidRPr="00786A8B" w:rsidTr="00031B92">
        <w:trPr>
          <w:trHeight w:val="300"/>
          <w:jc w:val="center"/>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Finchley Church End</w:t>
            </w:r>
          </w:p>
        </w:tc>
        <w:tc>
          <w:tcPr>
            <w:tcW w:w="1417"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1</w:t>
            </w:r>
            <w:r>
              <w:rPr>
                <w:rFonts w:ascii="Calibri" w:eastAsia="Times New Roman" w:hAnsi="Calibri" w:cs="Times New Roman"/>
                <w:color w:val="000000"/>
                <w:lang w:eastAsia="en-GB"/>
              </w:rPr>
              <w:t>,</w:t>
            </w:r>
            <w:r w:rsidRPr="00786A8B">
              <w:rPr>
                <w:rFonts w:ascii="Calibri" w:eastAsia="Times New Roman" w:hAnsi="Calibri" w:cs="Times New Roman"/>
                <w:color w:val="000000"/>
                <w:lang w:eastAsia="en-GB"/>
              </w:rPr>
              <w:t>452</w:t>
            </w:r>
          </w:p>
        </w:tc>
        <w:tc>
          <w:tcPr>
            <w:tcW w:w="1418"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9.2%</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120</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483</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478</w:t>
            </w:r>
          </w:p>
        </w:tc>
        <w:tc>
          <w:tcPr>
            <w:tcW w:w="118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371</w:t>
            </w:r>
          </w:p>
        </w:tc>
      </w:tr>
      <w:tr w:rsidR="008921BF" w:rsidRPr="00786A8B" w:rsidTr="00031B92">
        <w:trPr>
          <w:trHeight w:val="300"/>
          <w:jc w:val="center"/>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Garden Suburb</w:t>
            </w:r>
          </w:p>
        </w:tc>
        <w:tc>
          <w:tcPr>
            <w:tcW w:w="1417"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1</w:t>
            </w:r>
            <w:r>
              <w:rPr>
                <w:rFonts w:ascii="Calibri" w:eastAsia="Times New Roman" w:hAnsi="Calibri" w:cs="Times New Roman"/>
                <w:color w:val="000000"/>
                <w:lang w:eastAsia="en-GB"/>
              </w:rPr>
              <w:t>,</w:t>
            </w:r>
            <w:r w:rsidRPr="00786A8B">
              <w:rPr>
                <w:rFonts w:ascii="Calibri" w:eastAsia="Times New Roman" w:hAnsi="Calibri" w:cs="Times New Roman"/>
                <w:color w:val="000000"/>
                <w:lang w:eastAsia="en-GB"/>
              </w:rPr>
              <w:t>332</w:t>
            </w:r>
          </w:p>
        </w:tc>
        <w:tc>
          <w:tcPr>
            <w:tcW w:w="1418"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8.3%</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61</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407</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501</w:t>
            </w:r>
          </w:p>
        </w:tc>
        <w:tc>
          <w:tcPr>
            <w:tcW w:w="118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363</w:t>
            </w:r>
          </w:p>
        </w:tc>
      </w:tr>
      <w:tr w:rsidR="008921BF" w:rsidRPr="00786A8B" w:rsidTr="00031B92">
        <w:trPr>
          <w:trHeight w:val="300"/>
          <w:jc w:val="center"/>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Golders Green</w:t>
            </w:r>
          </w:p>
        </w:tc>
        <w:tc>
          <w:tcPr>
            <w:tcW w:w="1417"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1</w:t>
            </w:r>
            <w:r>
              <w:rPr>
                <w:rFonts w:ascii="Calibri" w:eastAsia="Times New Roman" w:hAnsi="Calibri" w:cs="Times New Roman"/>
                <w:color w:val="000000"/>
                <w:lang w:eastAsia="en-GB"/>
              </w:rPr>
              <w:t>,</w:t>
            </w:r>
            <w:r w:rsidRPr="00786A8B">
              <w:rPr>
                <w:rFonts w:ascii="Calibri" w:eastAsia="Times New Roman" w:hAnsi="Calibri" w:cs="Times New Roman"/>
                <w:color w:val="000000"/>
                <w:lang w:eastAsia="en-GB"/>
              </w:rPr>
              <w:t>575</w:t>
            </w:r>
          </w:p>
        </w:tc>
        <w:tc>
          <w:tcPr>
            <w:tcW w:w="1418"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8.3%</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203</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657</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446</w:t>
            </w:r>
          </w:p>
        </w:tc>
        <w:tc>
          <w:tcPr>
            <w:tcW w:w="118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269</w:t>
            </w:r>
          </w:p>
        </w:tc>
      </w:tr>
      <w:tr w:rsidR="008921BF" w:rsidRPr="00786A8B" w:rsidTr="00031B92">
        <w:trPr>
          <w:trHeight w:val="300"/>
          <w:jc w:val="center"/>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Hale</w:t>
            </w:r>
          </w:p>
        </w:tc>
        <w:tc>
          <w:tcPr>
            <w:tcW w:w="1417"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1</w:t>
            </w:r>
            <w:r>
              <w:rPr>
                <w:rFonts w:ascii="Calibri" w:eastAsia="Times New Roman" w:hAnsi="Calibri" w:cs="Times New Roman"/>
                <w:color w:val="000000"/>
                <w:lang w:eastAsia="en-GB"/>
              </w:rPr>
              <w:t>,</w:t>
            </w:r>
            <w:r w:rsidRPr="00786A8B">
              <w:rPr>
                <w:rFonts w:ascii="Calibri" w:eastAsia="Times New Roman" w:hAnsi="Calibri" w:cs="Times New Roman"/>
                <w:color w:val="000000"/>
                <w:lang w:eastAsia="en-GB"/>
              </w:rPr>
              <w:t>724</w:t>
            </w:r>
          </w:p>
        </w:tc>
        <w:tc>
          <w:tcPr>
            <w:tcW w:w="1418"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9.9%</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160</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709</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557</w:t>
            </w:r>
          </w:p>
        </w:tc>
        <w:tc>
          <w:tcPr>
            <w:tcW w:w="118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298</w:t>
            </w:r>
          </w:p>
        </w:tc>
      </w:tr>
      <w:tr w:rsidR="008921BF" w:rsidRPr="00786A8B" w:rsidTr="00031B92">
        <w:trPr>
          <w:trHeight w:val="300"/>
          <w:jc w:val="center"/>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Hendon</w:t>
            </w:r>
          </w:p>
        </w:tc>
        <w:tc>
          <w:tcPr>
            <w:tcW w:w="1417"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1</w:t>
            </w:r>
            <w:r>
              <w:rPr>
                <w:rFonts w:ascii="Calibri" w:eastAsia="Times New Roman" w:hAnsi="Calibri" w:cs="Times New Roman"/>
                <w:color w:val="000000"/>
                <w:lang w:eastAsia="en-GB"/>
              </w:rPr>
              <w:t>,</w:t>
            </w:r>
            <w:r w:rsidRPr="00786A8B">
              <w:rPr>
                <w:rFonts w:ascii="Calibri" w:eastAsia="Times New Roman" w:hAnsi="Calibri" w:cs="Times New Roman"/>
                <w:color w:val="000000"/>
                <w:lang w:eastAsia="en-GB"/>
              </w:rPr>
              <w:t>425</w:t>
            </w:r>
          </w:p>
        </w:tc>
        <w:tc>
          <w:tcPr>
            <w:tcW w:w="1418"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7.7%</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152</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586</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443</w:t>
            </w:r>
          </w:p>
        </w:tc>
        <w:tc>
          <w:tcPr>
            <w:tcW w:w="118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244</w:t>
            </w:r>
          </w:p>
        </w:tc>
      </w:tr>
      <w:tr w:rsidR="008921BF" w:rsidRPr="00786A8B" w:rsidTr="00031B92">
        <w:trPr>
          <w:trHeight w:val="300"/>
          <w:jc w:val="center"/>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High Barnet</w:t>
            </w:r>
          </w:p>
        </w:tc>
        <w:tc>
          <w:tcPr>
            <w:tcW w:w="1417"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1</w:t>
            </w:r>
            <w:r>
              <w:rPr>
                <w:rFonts w:ascii="Calibri" w:eastAsia="Times New Roman" w:hAnsi="Calibri" w:cs="Times New Roman"/>
                <w:color w:val="000000"/>
                <w:lang w:eastAsia="en-GB"/>
              </w:rPr>
              <w:t>,</w:t>
            </w:r>
            <w:r w:rsidRPr="00786A8B">
              <w:rPr>
                <w:rFonts w:ascii="Calibri" w:eastAsia="Times New Roman" w:hAnsi="Calibri" w:cs="Times New Roman"/>
                <w:color w:val="000000"/>
                <w:lang w:eastAsia="en-GB"/>
              </w:rPr>
              <w:t>567</w:t>
            </w:r>
          </w:p>
        </w:tc>
        <w:tc>
          <w:tcPr>
            <w:tcW w:w="1418"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10.2%</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105</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492</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646</w:t>
            </w:r>
          </w:p>
        </w:tc>
        <w:tc>
          <w:tcPr>
            <w:tcW w:w="118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324</w:t>
            </w:r>
          </w:p>
        </w:tc>
      </w:tr>
      <w:tr w:rsidR="008921BF" w:rsidRPr="00786A8B" w:rsidTr="00031B92">
        <w:trPr>
          <w:trHeight w:val="300"/>
          <w:jc w:val="center"/>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Mill Hill</w:t>
            </w:r>
          </w:p>
        </w:tc>
        <w:tc>
          <w:tcPr>
            <w:tcW w:w="1417"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1</w:t>
            </w:r>
            <w:r>
              <w:rPr>
                <w:rFonts w:ascii="Calibri" w:eastAsia="Times New Roman" w:hAnsi="Calibri" w:cs="Times New Roman"/>
                <w:color w:val="000000"/>
                <w:lang w:eastAsia="en-GB"/>
              </w:rPr>
              <w:t>,</w:t>
            </w:r>
            <w:r w:rsidRPr="00786A8B">
              <w:rPr>
                <w:rFonts w:ascii="Calibri" w:eastAsia="Times New Roman" w:hAnsi="Calibri" w:cs="Times New Roman"/>
                <w:color w:val="000000"/>
                <w:lang w:eastAsia="en-GB"/>
              </w:rPr>
              <w:t>800</w:t>
            </w:r>
          </w:p>
        </w:tc>
        <w:tc>
          <w:tcPr>
            <w:tcW w:w="1418"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9.7%</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143</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724</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581</w:t>
            </w:r>
          </w:p>
        </w:tc>
        <w:tc>
          <w:tcPr>
            <w:tcW w:w="118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352</w:t>
            </w:r>
          </w:p>
        </w:tc>
      </w:tr>
      <w:tr w:rsidR="008921BF" w:rsidRPr="00786A8B" w:rsidTr="00031B92">
        <w:trPr>
          <w:trHeight w:val="300"/>
          <w:jc w:val="center"/>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Oakleigh</w:t>
            </w:r>
          </w:p>
        </w:tc>
        <w:tc>
          <w:tcPr>
            <w:tcW w:w="1417"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1</w:t>
            </w:r>
            <w:r>
              <w:rPr>
                <w:rFonts w:ascii="Calibri" w:eastAsia="Times New Roman" w:hAnsi="Calibri" w:cs="Times New Roman"/>
                <w:color w:val="000000"/>
                <w:lang w:eastAsia="en-GB"/>
              </w:rPr>
              <w:t>,</w:t>
            </w:r>
            <w:r w:rsidRPr="00786A8B">
              <w:rPr>
                <w:rFonts w:ascii="Calibri" w:eastAsia="Times New Roman" w:hAnsi="Calibri" w:cs="Times New Roman"/>
                <w:color w:val="000000"/>
                <w:lang w:eastAsia="en-GB"/>
              </w:rPr>
              <w:t>592</w:t>
            </w:r>
          </w:p>
        </w:tc>
        <w:tc>
          <w:tcPr>
            <w:tcW w:w="1418"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10.0%</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131</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553</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567</w:t>
            </w:r>
          </w:p>
        </w:tc>
        <w:tc>
          <w:tcPr>
            <w:tcW w:w="118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341</w:t>
            </w:r>
          </w:p>
        </w:tc>
      </w:tr>
      <w:tr w:rsidR="008921BF" w:rsidRPr="00786A8B" w:rsidTr="00031B92">
        <w:trPr>
          <w:trHeight w:val="300"/>
          <w:jc w:val="center"/>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Totteridge</w:t>
            </w:r>
          </w:p>
        </w:tc>
        <w:tc>
          <w:tcPr>
            <w:tcW w:w="1417"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1</w:t>
            </w:r>
            <w:r>
              <w:rPr>
                <w:rFonts w:ascii="Calibri" w:eastAsia="Times New Roman" w:hAnsi="Calibri" w:cs="Times New Roman"/>
                <w:color w:val="000000"/>
                <w:lang w:eastAsia="en-GB"/>
              </w:rPr>
              <w:t>,</w:t>
            </w:r>
            <w:r w:rsidRPr="00786A8B">
              <w:rPr>
                <w:rFonts w:ascii="Calibri" w:eastAsia="Times New Roman" w:hAnsi="Calibri" w:cs="Times New Roman"/>
                <w:color w:val="000000"/>
                <w:lang w:eastAsia="en-GB"/>
              </w:rPr>
              <w:t>454</w:t>
            </w:r>
          </w:p>
        </w:tc>
        <w:tc>
          <w:tcPr>
            <w:tcW w:w="1418"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9.6%</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94</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495</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507</w:t>
            </w:r>
          </w:p>
        </w:tc>
        <w:tc>
          <w:tcPr>
            <w:tcW w:w="118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358</w:t>
            </w:r>
          </w:p>
        </w:tc>
      </w:tr>
      <w:tr w:rsidR="008921BF" w:rsidRPr="00786A8B" w:rsidTr="00031B92">
        <w:trPr>
          <w:trHeight w:val="300"/>
          <w:jc w:val="center"/>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Underhill</w:t>
            </w:r>
          </w:p>
        </w:tc>
        <w:tc>
          <w:tcPr>
            <w:tcW w:w="1417"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1</w:t>
            </w:r>
            <w:r>
              <w:rPr>
                <w:rFonts w:ascii="Calibri" w:eastAsia="Times New Roman" w:hAnsi="Calibri" w:cs="Times New Roman"/>
                <w:color w:val="000000"/>
                <w:lang w:eastAsia="en-GB"/>
              </w:rPr>
              <w:t>,</w:t>
            </w:r>
            <w:r w:rsidRPr="00786A8B">
              <w:rPr>
                <w:rFonts w:ascii="Calibri" w:eastAsia="Times New Roman" w:hAnsi="Calibri" w:cs="Times New Roman"/>
                <w:color w:val="000000"/>
                <w:lang w:eastAsia="en-GB"/>
              </w:rPr>
              <w:t>671</w:t>
            </w:r>
          </w:p>
        </w:tc>
        <w:tc>
          <w:tcPr>
            <w:tcW w:w="1418"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10.5%</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140</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635</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560</w:t>
            </w:r>
          </w:p>
        </w:tc>
        <w:tc>
          <w:tcPr>
            <w:tcW w:w="118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336</w:t>
            </w:r>
          </w:p>
        </w:tc>
      </w:tr>
      <w:tr w:rsidR="008921BF" w:rsidRPr="00786A8B" w:rsidTr="00031B92">
        <w:trPr>
          <w:trHeight w:val="300"/>
          <w:jc w:val="center"/>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West Finchley</w:t>
            </w:r>
          </w:p>
        </w:tc>
        <w:tc>
          <w:tcPr>
            <w:tcW w:w="1417"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1</w:t>
            </w:r>
            <w:r>
              <w:rPr>
                <w:rFonts w:ascii="Calibri" w:eastAsia="Times New Roman" w:hAnsi="Calibri" w:cs="Times New Roman"/>
                <w:color w:val="000000"/>
                <w:lang w:eastAsia="en-GB"/>
              </w:rPr>
              <w:t>,</w:t>
            </w:r>
            <w:r w:rsidRPr="00786A8B">
              <w:rPr>
                <w:rFonts w:ascii="Calibri" w:eastAsia="Times New Roman" w:hAnsi="Calibri" w:cs="Times New Roman"/>
                <w:color w:val="000000"/>
                <w:lang w:eastAsia="en-GB"/>
              </w:rPr>
              <w:t>363</w:t>
            </w:r>
          </w:p>
        </w:tc>
        <w:tc>
          <w:tcPr>
            <w:tcW w:w="1418"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8.2%</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89</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573</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443</w:t>
            </w:r>
          </w:p>
        </w:tc>
        <w:tc>
          <w:tcPr>
            <w:tcW w:w="118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258</w:t>
            </w:r>
          </w:p>
        </w:tc>
      </w:tr>
      <w:tr w:rsidR="008921BF" w:rsidRPr="00786A8B" w:rsidTr="00031B92">
        <w:trPr>
          <w:trHeight w:val="300"/>
          <w:jc w:val="center"/>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West Hendon</w:t>
            </w:r>
          </w:p>
        </w:tc>
        <w:tc>
          <w:tcPr>
            <w:tcW w:w="1417"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1</w:t>
            </w:r>
            <w:r>
              <w:rPr>
                <w:rFonts w:ascii="Calibri" w:eastAsia="Times New Roman" w:hAnsi="Calibri" w:cs="Times New Roman"/>
                <w:color w:val="000000"/>
                <w:lang w:eastAsia="en-GB"/>
              </w:rPr>
              <w:t>,</w:t>
            </w:r>
            <w:r w:rsidRPr="00786A8B">
              <w:rPr>
                <w:rFonts w:ascii="Calibri" w:eastAsia="Times New Roman" w:hAnsi="Calibri" w:cs="Times New Roman"/>
                <w:color w:val="000000"/>
                <w:lang w:eastAsia="en-GB"/>
              </w:rPr>
              <w:t>502</w:t>
            </w:r>
          </w:p>
        </w:tc>
        <w:tc>
          <w:tcPr>
            <w:tcW w:w="1418"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8.6%</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170</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656</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406</w:t>
            </w:r>
          </w:p>
        </w:tc>
        <w:tc>
          <w:tcPr>
            <w:tcW w:w="118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270</w:t>
            </w:r>
          </w:p>
        </w:tc>
      </w:tr>
      <w:tr w:rsidR="008921BF" w:rsidRPr="00786A8B" w:rsidTr="00031B92">
        <w:trPr>
          <w:trHeight w:val="300"/>
          <w:jc w:val="center"/>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Woodhouse</w:t>
            </w:r>
          </w:p>
        </w:tc>
        <w:tc>
          <w:tcPr>
            <w:tcW w:w="1417"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1</w:t>
            </w:r>
            <w:r>
              <w:rPr>
                <w:rFonts w:ascii="Calibri" w:eastAsia="Times New Roman" w:hAnsi="Calibri" w:cs="Times New Roman"/>
                <w:color w:val="000000"/>
                <w:lang w:eastAsia="en-GB"/>
              </w:rPr>
              <w:t>,</w:t>
            </w:r>
            <w:r w:rsidRPr="00786A8B">
              <w:rPr>
                <w:rFonts w:ascii="Calibri" w:eastAsia="Times New Roman" w:hAnsi="Calibri" w:cs="Times New Roman"/>
                <w:color w:val="000000"/>
                <w:lang w:eastAsia="en-GB"/>
              </w:rPr>
              <w:t>681</w:t>
            </w:r>
          </w:p>
        </w:tc>
        <w:tc>
          <w:tcPr>
            <w:tcW w:w="1418"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9.5%</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164</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700</w:t>
            </w:r>
          </w:p>
        </w:tc>
        <w:tc>
          <w:tcPr>
            <w:tcW w:w="96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524</w:t>
            </w:r>
          </w:p>
        </w:tc>
        <w:tc>
          <w:tcPr>
            <w:tcW w:w="1180" w:type="dxa"/>
            <w:tcBorders>
              <w:top w:val="nil"/>
              <w:left w:val="nil"/>
              <w:bottom w:val="single" w:sz="4" w:space="0" w:color="auto"/>
              <w:right w:val="single" w:sz="4" w:space="0" w:color="auto"/>
            </w:tcBorders>
            <w:shd w:val="clear" w:color="auto" w:fill="auto"/>
            <w:noWrap/>
            <w:vAlign w:val="center"/>
            <w:hideMark/>
          </w:tcPr>
          <w:p w:rsidR="008921BF" w:rsidRPr="00786A8B" w:rsidRDefault="008921BF" w:rsidP="00031B92">
            <w:pPr>
              <w:spacing w:after="0" w:line="240" w:lineRule="auto"/>
              <w:jc w:val="center"/>
              <w:rPr>
                <w:rFonts w:ascii="Calibri" w:eastAsia="Times New Roman" w:hAnsi="Calibri" w:cs="Times New Roman"/>
                <w:color w:val="000000"/>
                <w:lang w:eastAsia="en-GB"/>
              </w:rPr>
            </w:pPr>
            <w:r w:rsidRPr="00786A8B">
              <w:rPr>
                <w:rFonts w:ascii="Calibri" w:eastAsia="Times New Roman" w:hAnsi="Calibri" w:cs="Times New Roman"/>
                <w:color w:val="000000"/>
                <w:lang w:eastAsia="en-GB"/>
              </w:rPr>
              <w:t>293</w:t>
            </w:r>
          </w:p>
        </w:tc>
      </w:tr>
    </w:tbl>
    <w:p w:rsidR="008921BF" w:rsidRDefault="008921BF" w:rsidP="008921BF">
      <w:pPr>
        <w:pStyle w:val="Default"/>
        <w:spacing w:line="276" w:lineRule="auto"/>
        <w:rPr>
          <w:rFonts w:asciiTheme="minorHAnsi" w:hAnsiTheme="minorHAnsi" w:cstheme="minorBidi"/>
          <w:color w:val="auto"/>
          <w:sz w:val="22"/>
          <w:szCs w:val="22"/>
        </w:rPr>
      </w:pPr>
      <w:r>
        <w:rPr>
          <w:rFonts w:asciiTheme="minorHAnsi" w:hAnsiTheme="minorHAnsi" w:cstheme="minorBidi"/>
          <w:color w:val="auto"/>
          <w:sz w:val="22"/>
          <w:szCs w:val="22"/>
        </w:rPr>
        <w:t>Source: Census 2011</w:t>
      </w:r>
    </w:p>
    <w:p w:rsidR="008921BF" w:rsidRDefault="008921BF" w:rsidP="008921BF">
      <w:pPr>
        <w:pStyle w:val="Default"/>
        <w:spacing w:line="276" w:lineRule="auto"/>
        <w:rPr>
          <w:rFonts w:asciiTheme="minorHAnsi" w:hAnsiTheme="minorHAnsi" w:cstheme="minorBidi"/>
          <w:color w:val="auto"/>
          <w:sz w:val="22"/>
          <w:szCs w:val="22"/>
        </w:rPr>
      </w:pPr>
    </w:p>
    <w:p w:rsidR="008921BF" w:rsidRDefault="008921BF" w:rsidP="008921BF">
      <w:pPr>
        <w:jc w:val="both"/>
      </w:pPr>
      <w:r>
        <w:t>Not all carers are offered</w:t>
      </w:r>
      <w:r w:rsidR="004A416F">
        <w:t>,</w:t>
      </w:r>
      <w:r>
        <w:t xml:space="preserve"> or agree to have</w:t>
      </w:r>
      <w:r w:rsidR="004A416F">
        <w:t>,</w:t>
      </w:r>
      <w:r>
        <w:t xml:space="preserve"> an </w:t>
      </w:r>
      <w:r w:rsidR="00DD3A76">
        <w:t>assessment. There</w:t>
      </w:r>
      <w:r>
        <w:t xml:space="preserve"> are currently eligibility criteria in place for carer assessments but this will change with the introduction of the Care Act 2014. </w:t>
      </w:r>
    </w:p>
    <w:p w:rsidR="008921BF" w:rsidRDefault="008921BF" w:rsidP="008921BF">
      <w:pPr>
        <w:pStyle w:val="Default"/>
        <w:spacing w:line="276" w:lineRule="auto"/>
        <w:jc w:val="both"/>
        <w:rPr>
          <w:rFonts w:asciiTheme="minorHAnsi" w:hAnsiTheme="minorHAnsi" w:cstheme="minorBidi"/>
          <w:color w:val="auto"/>
          <w:sz w:val="22"/>
          <w:szCs w:val="22"/>
        </w:rPr>
      </w:pPr>
      <w:r>
        <w:rPr>
          <w:rFonts w:asciiTheme="minorHAnsi" w:hAnsiTheme="minorHAnsi" w:cstheme="minorBidi"/>
          <w:color w:val="auto"/>
          <w:sz w:val="22"/>
          <w:szCs w:val="22"/>
        </w:rPr>
        <w:t xml:space="preserve">Table 9-14 shows the number of carers who were assessed in Barnet over the period 2011-2014 by primary support need. As can be seen, there has been a downward trend in the number of carers being assessed over this period reducing from 2,432 in 2011/12 to 1,948 in 2013/14. </w:t>
      </w:r>
    </w:p>
    <w:p w:rsidR="009313DF" w:rsidRDefault="009313DF" w:rsidP="008921BF">
      <w:pPr>
        <w:pStyle w:val="Caption"/>
      </w:pPr>
    </w:p>
    <w:p w:rsidR="008921BF" w:rsidRPr="007324BC" w:rsidRDefault="008921BF" w:rsidP="008921BF">
      <w:pPr>
        <w:pStyle w:val="Caption"/>
        <w:rPr>
          <w:rFonts w:ascii="Calibri" w:hAnsi="Calibri" w:cs="Calibri"/>
          <w:b w:val="0"/>
          <w:i/>
        </w:rPr>
      </w:pPr>
      <w:r>
        <w:t xml:space="preserve">Table </w:t>
      </w:r>
      <w:fldSimple w:instr=" STYLEREF 1 \s ">
        <w:r w:rsidR="001663C2">
          <w:rPr>
            <w:noProof/>
          </w:rPr>
          <w:t>9</w:t>
        </w:r>
      </w:fldSimple>
      <w:r>
        <w:noBreakHyphen/>
      </w:r>
      <w:fldSimple w:instr=" SEQ Table \* ARABIC \s 1 ">
        <w:r w:rsidR="001663C2">
          <w:rPr>
            <w:noProof/>
          </w:rPr>
          <w:t>14</w:t>
        </w:r>
      </w:fldSimple>
      <w:r w:rsidRPr="00041E32">
        <w:t xml:space="preserve">: Number of carers assessed </w:t>
      </w:r>
      <w:r w:rsidR="00AA058C">
        <w:t>by the</w:t>
      </w:r>
      <w:r w:rsidRPr="00041E32">
        <w:t xml:space="preserve"> primary support need of the cared for adult</w:t>
      </w:r>
    </w:p>
    <w:tbl>
      <w:tblPr>
        <w:tblStyle w:val="TableGrid"/>
        <w:tblW w:w="7396" w:type="dxa"/>
        <w:jc w:val="center"/>
        <w:tblInd w:w="-2622" w:type="dxa"/>
        <w:tblLook w:val="04A0" w:firstRow="1" w:lastRow="0" w:firstColumn="1" w:lastColumn="0" w:noHBand="0" w:noVBand="1"/>
      </w:tblPr>
      <w:tblGrid>
        <w:gridCol w:w="3904"/>
        <w:gridCol w:w="1224"/>
        <w:gridCol w:w="1134"/>
        <w:gridCol w:w="1134"/>
      </w:tblGrid>
      <w:tr w:rsidR="008921BF" w:rsidRPr="00311580" w:rsidTr="00031B92">
        <w:trPr>
          <w:trHeight w:val="570"/>
          <w:jc w:val="center"/>
        </w:trPr>
        <w:tc>
          <w:tcPr>
            <w:tcW w:w="3904" w:type="dxa"/>
            <w:shd w:val="clear" w:color="auto" w:fill="BFBFBF" w:themeFill="background1" w:themeFillShade="BF"/>
            <w:vAlign w:val="center"/>
          </w:tcPr>
          <w:p w:rsidR="008921BF" w:rsidRPr="00723C7D" w:rsidRDefault="008921BF" w:rsidP="00031B92">
            <w:pPr>
              <w:jc w:val="center"/>
              <w:rPr>
                <w:rFonts w:ascii="Calibri" w:eastAsia="Times New Roman" w:hAnsi="Calibri" w:cs="Times New Roman"/>
                <w:b/>
                <w:bCs/>
                <w:lang w:eastAsia="en-GB"/>
              </w:rPr>
            </w:pPr>
            <w:r>
              <w:rPr>
                <w:rFonts w:ascii="Calibri" w:eastAsia="Times New Roman" w:hAnsi="Calibri" w:cs="Times New Roman"/>
                <w:b/>
                <w:bCs/>
                <w:lang w:eastAsia="en-GB"/>
              </w:rPr>
              <w:t>Client Category</w:t>
            </w:r>
          </w:p>
        </w:tc>
        <w:tc>
          <w:tcPr>
            <w:tcW w:w="1224" w:type="dxa"/>
            <w:shd w:val="clear" w:color="auto" w:fill="BFBFBF" w:themeFill="background1" w:themeFillShade="BF"/>
            <w:vAlign w:val="center"/>
          </w:tcPr>
          <w:p w:rsidR="008921BF" w:rsidRPr="00723C7D" w:rsidRDefault="008921BF" w:rsidP="00031B92">
            <w:pPr>
              <w:jc w:val="center"/>
              <w:rPr>
                <w:rFonts w:ascii="Calibri" w:eastAsia="Times New Roman" w:hAnsi="Calibri" w:cs="Times New Roman"/>
                <w:b/>
                <w:color w:val="000000"/>
                <w:lang w:eastAsia="en-GB"/>
              </w:rPr>
            </w:pPr>
            <w:r>
              <w:rPr>
                <w:rFonts w:ascii="Calibri" w:eastAsia="Times New Roman" w:hAnsi="Calibri" w:cs="Times New Roman"/>
                <w:b/>
                <w:color w:val="000000"/>
                <w:lang w:eastAsia="en-GB"/>
              </w:rPr>
              <w:t>2011/12</w:t>
            </w:r>
          </w:p>
        </w:tc>
        <w:tc>
          <w:tcPr>
            <w:tcW w:w="1134" w:type="dxa"/>
            <w:shd w:val="clear" w:color="auto" w:fill="BFBFBF" w:themeFill="background1" w:themeFillShade="BF"/>
            <w:vAlign w:val="center"/>
          </w:tcPr>
          <w:p w:rsidR="008921BF" w:rsidRPr="00723C7D" w:rsidRDefault="008921BF" w:rsidP="00031B92">
            <w:pPr>
              <w:jc w:val="center"/>
              <w:rPr>
                <w:rFonts w:ascii="Calibri" w:eastAsia="Times New Roman" w:hAnsi="Calibri" w:cs="Times New Roman"/>
                <w:b/>
                <w:color w:val="000000"/>
                <w:lang w:eastAsia="en-GB"/>
              </w:rPr>
            </w:pPr>
            <w:r>
              <w:rPr>
                <w:rFonts w:ascii="Calibri" w:eastAsia="Times New Roman" w:hAnsi="Calibri" w:cs="Times New Roman"/>
                <w:b/>
                <w:color w:val="000000"/>
                <w:lang w:eastAsia="en-GB"/>
              </w:rPr>
              <w:t>2012/13</w:t>
            </w:r>
          </w:p>
        </w:tc>
        <w:tc>
          <w:tcPr>
            <w:tcW w:w="1134" w:type="dxa"/>
            <w:shd w:val="clear" w:color="auto" w:fill="BFBFBF" w:themeFill="background1" w:themeFillShade="BF"/>
            <w:vAlign w:val="center"/>
          </w:tcPr>
          <w:p w:rsidR="008921BF" w:rsidRPr="00723C7D" w:rsidRDefault="008921BF" w:rsidP="00031B92">
            <w:pPr>
              <w:jc w:val="center"/>
              <w:rPr>
                <w:rFonts w:ascii="Calibri" w:eastAsia="Times New Roman" w:hAnsi="Calibri" w:cs="Times New Roman"/>
                <w:b/>
                <w:color w:val="000000"/>
                <w:lang w:eastAsia="en-GB"/>
              </w:rPr>
            </w:pPr>
            <w:r>
              <w:rPr>
                <w:rFonts w:ascii="Calibri" w:eastAsia="Times New Roman" w:hAnsi="Calibri" w:cs="Times New Roman"/>
                <w:b/>
                <w:color w:val="000000"/>
                <w:lang w:eastAsia="en-GB"/>
              </w:rPr>
              <w:t>2013/14</w:t>
            </w:r>
          </w:p>
        </w:tc>
      </w:tr>
      <w:tr w:rsidR="008921BF" w:rsidRPr="00311580" w:rsidTr="00031B92">
        <w:trPr>
          <w:trHeight w:val="315"/>
          <w:jc w:val="center"/>
        </w:trPr>
        <w:tc>
          <w:tcPr>
            <w:tcW w:w="3904" w:type="dxa"/>
            <w:noWrap/>
            <w:vAlign w:val="center"/>
            <w:hideMark/>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Physical / Sensory Impairment (18-64)</w:t>
            </w:r>
          </w:p>
        </w:tc>
        <w:tc>
          <w:tcPr>
            <w:tcW w:w="1224"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226</w:t>
            </w:r>
          </w:p>
        </w:tc>
        <w:tc>
          <w:tcPr>
            <w:tcW w:w="1134"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248</w:t>
            </w:r>
          </w:p>
        </w:tc>
        <w:tc>
          <w:tcPr>
            <w:tcW w:w="1134" w:type="dxa"/>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177</w:t>
            </w:r>
          </w:p>
        </w:tc>
      </w:tr>
      <w:tr w:rsidR="008921BF" w:rsidRPr="00311580" w:rsidTr="00031B92">
        <w:trPr>
          <w:trHeight w:val="300"/>
          <w:jc w:val="center"/>
        </w:trPr>
        <w:tc>
          <w:tcPr>
            <w:tcW w:w="3904"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Learning Disability (18-64)</w:t>
            </w:r>
          </w:p>
        </w:tc>
        <w:tc>
          <w:tcPr>
            <w:tcW w:w="1224"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115</w:t>
            </w:r>
          </w:p>
        </w:tc>
        <w:tc>
          <w:tcPr>
            <w:tcW w:w="1134"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171</w:t>
            </w:r>
          </w:p>
        </w:tc>
        <w:tc>
          <w:tcPr>
            <w:tcW w:w="1134" w:type="dxa"/>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160</w:t>
            </w:r>
          </w:p>
        </w:tc>
      </w:tr>
      <w:tr w:rsidR="008921BF" w:rsidRPr="00311580" w:rsidTr="00031B92">
        <w:trPr>
          <w:trHeight w:val="300"/>
          <w:jc w:val="center"/>
        </w:trPr>
        <w:tc>
          <w:tcPr>
            <w:tcW w:w="3904"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Mental Health (18-64)</w:t>
            </w:r>
          </w:p>
        </w:tc>
        <w:tc>
          <w:tcPr>
            <w:tcW w:w="1224"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164</w:t>
            </w:r>
          </w:p>
        </w:tc>
        <w:tc>
          <w:tcPr>
            <w:tcW w:w="1134"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86</w:t>
            </w:r>
          </w:p>
        </w:tc>
        <w:tc>
          <w:tcPr>
            <w:tcW w:w="1134" w:type="dxa"/>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126</w:t>
            </w:r>
          </w:p>
        </w:tc>
      </w:tr>
      <w:tr w:rsidR="008921BF" w:rsidRPr="00311580" w:rsidTr="00031B92">
        <w:trPr>
          <w:trHeight w:val="300"/>
          <w:jc w:val="center"/>
        </w:trPr>
        <w:tc>
          <w:tcPr>
            <w:tcW w:w="3904" w:type="dxa"/>
            <w:noWrap/>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Other (18-64)</w:t>
            </w:r>
          </w:p>
        </w:tc>
        <w:tc>
          <w:tcPr>
            <w:tcW w:w="1224" w:type="dxa"/>
            <w:noWrap/>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7</w:t>
            </w:r>
          </w:p>
        </w:tc>
        <w:tc>
          <w:tcPr>
            <w:tcW w:w="1134" w:type="dxa"/>
            <w:noWrap/>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5</w:t>
            </w:r>
          </w:p>
        </w:tc>
        <w:tc>
          <w:tcPr>
            <w:tcW w:w="1134" w:type="dxa"/>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5</w:t>
            </w:r>
          </w:p>
        </w:tc>
      </w:tr>
      <w:tr w:rsidR="008921BF" w:rsidRPr="00311580" w:rsidTr="00031B92">
        <w:trPr>
          <w:trHeight w:val="300"/>
          <w:jc w:val="center"/>
        </w:trPr>
        <w:tc>
          <w:tcPr>
            <w:tcW w:w="3904" w:type="dxa"/>
            <w:noWrap/>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Older Adults</w:t>
            </w:r>
          </w:p>
        </w:tc>
        <w:tc>
          <w:tcPr>
            <w:tcW w:w="1224" w:type="dxa"/>
            <w:noWrap/>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1,820</w:t>
            </w:r>
          </w:p>
        </w:tc>
        <w:tc>
          <w:tcPr>
            <w:tcW w:w="1134" w:type="dxa"/>
            <w:noWrap/>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1,669</w:t>
            </w:r>
          </w:p>
        </w:tc>
        <w:tc>
          <w:tcPr>
            <w:tcW w:w="1134" w:type="dxa"/>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1,480</w:t>
            </w:r>
          </w:p>
        </w:tc>
      </w:tr>
      <w:tr w:rsidR="008921BF" w:rsidRPr="00311580" w:rsidTr="00031B92">
        <w:trPr>
          <w:trHeight w:val="300"/>
          <w:jc w:val="center"/>
        </w:trPr>
        <w:tc>
          <w:tcPr>
            <w:tcW w:w="3904" w:type="dxa"/>
            <w:noWrap/>
            <w:vAlign w:val="center"/>
          </w:tcPr>
          <w:p w:rsidR="008921BF" w:rsidRPr="002D4D9E" w:rsidRDefault="008921BF" w:rsidP="00031B92">
            <w:pPr>
              <w:jc w:val="center"/>
              <w:rPr>
                <w:rFonts w:ascii="Calibri" w:eastAsia="Times New Roman" w:hAnsi="Calibri" w:cs="Times New Roman"/>
                <w:b/>
                <w:color w:val="000000"/>
                <w:lang w:eastAsia="en-GB"/>
              </w:rPr>
            </w:pPr>
            <w:r w:rsidRPr="002D4D9E">
              <w:rPr>
                <w:rFonts w:ascii="Calibri" w:eastAsia="Times New Roman" w:hAnsi="Calibri" w:cs="Times New Roman"/>
                <w:b/>
                <w:color w:val="000000"/>
                <w:lang w:eastAsia="en-GB"/>
              </w:rPr>
              <w:t>Total</w:t>
            </w:r>
          </w:p>
        </w:tc>
        <w:tc>
          <w:tcPr>
            <w:tcW w:w="1224" w:type="dxa"/>
            <w:noWrap/>
            <w:vAlign w:val="center"/>
          </w:tcPr>
          <w:p w:rsidR="008921BF" w:rsidRPr="002D4D9E" w:rsidRDefault="008921BF" w:rsidP="00031B92">
            <w:pPr>
              <w:jc w:val="center"/>
              <w:rPr>
                <w:rFonts w:ascii="Calibri" w:eastAsia="Times New Roman" w:hAnsi="Calibri" w:cs="Times New Roman"/>
                <w:b/>
                <w:color w:val="000000"/>
                <w:lang w:eastAsia="en-GB"/>
              </w:rPr>
            </w:pPr>
            <w:r w:rsidRPr="002D4D9E">
              <w:rPr>
                <w:rFonts w:ascii="Calibri" w:eastAsia="Times New Roman" w:hAnsi="Calibri" w:cs="Times New Roman"/>
                <w:b/>
                <w:color w:val="000000"/>
                <w:lang w:eastAsia="en-GB"/>
              </w:rPr>
              <w:t>2,432</w:t>
            </w:r>
          </w:p>
        </w:tc>
        <w:tc>
          <w:tcPr>
            <w:tcW w:w="1134" w:type="dxa"/>
            <w:noWrap/>
            <w:vAlign w:val="center"/>
          </w:tcPr>
          <w:p w:rsidR="008921BF" w:rsidRPr="002D4D9E" w:rsidRDefault="008921BF" w:rsidP="00031B92">
            <w:pPr>
              <w:jc w:val="center"/>
              <w:rPr>
                <w:rFonts w:ascii="Calibri" w:eastAsia="Times New Roman" w:hAnsi="Calibri" w:cs="Times New Roman"/>
                <w:b/>
                <w:color w:val="000000"/>
                <w:lang w:eastAsia="en-GB"/>
              </w:rPr>
            </w:pPr>
            <w:r w:rsidRPr="002D4D9E">
              <w:rPr>
                <w:rFonts w:ascii="Calibri" w:eastAsia="Times New Roman" w:hAnsi="Calibri" w:cs="Times New Roman"/>
                <w:b/>
                <w:color w:val="000000"/>
                <w:lang w:eastAsia="en-GB"/>
              </w:rPr>
              <w:t>2,179</w:t>
            </w:r>
          </w:p>
        </w:tc>
        <w:tc>
          <w:tcPr>
            <w:tcW w:w="1134" w:type="dxa"/>
            <w:vAlign w:val="center"/>
          </w:tcPr>
          <w:p w:rsidR="008921BF" w:rsidRPr="002D4D9E" w:rsidRDefault="008921BF" w:rsidP="00031B92">
            <w:pPr>
              <w:jc w:val="center"/>
              <w:rPr>
                <w:rFonts w:ascii="Calibri" w:eastAsia="Times New Roman" w:hAnsi="Calibri" w:cs="Times New Roman"/>
                <w:b/>
                <w:color w:val="000000"/>
                <w:lang w:eastAsia="en-GB"/>
              </w:rPr>
            </w:pPr>
            <w:r w:rsidRPr="002D4D9E">
              <w:rPr>
                <w:rFonts w:ascii="Calibri" w:eastAsia="Times New Roman" w:hAnsi="Calibri" w:cs="Times New Roman"/>
                <w:b/>
                <w:color w:val="000000"/>
                <w:lang w:eastAsia="en-GB"/>
              </w:rPr>
              <w:t>1,948</w:t>
            </w:r>
          </w:p>
        </w:tc>
      </w:tr>
    </w:tbl>
    <w:p w:rsidR="000D6FBF" w:rsidRDefault="000D6FBF" w:rsidP="000D6FBF">
      <w:pPr>
        <w:spacing w:after="0" w:line="240" w:lineRule="auto"/>
      </w:pPr>
      <w:r>
        <w:t>Source:  SWIFT – Adult Social Care Database</w:t>
      </w:r>
    </w:p>
    <w:p w:rsidR="008921BF" w:rsidRPr="005D7F65" w:rsidRDefault="008921BF" w:rsidP="008921BF">
      <w:pPr>
        <w:pStyle w:val="Heading3"/>
        <w:jc w:val="both"/>
      </w:pPr>
      <w:r w:rsidRPr="005D7F65">
        <w:lastRenderedPageBreak/>
        <w:t>Current Provision</w:t>
      </w:r>
    </w:p>
    <w:p w:rsidR="008921BF" w:rsidRDefault="008921BF" w:rsidP="008921BF">
      <w:pPr>
        <w:pStyle w:val="Default"/>
        <w:spacing w:line="276" w:lineRule="auto"/>
        <w:jc w:val="both"/>
        <w:rPr>
          <w:rFonts w:asciiTheme="minorHAnsi" w:hAnsiTheme="minorHAnsi" w:cstheme="minorBidi"/>
          <w:color w:val="auto"/>
          <w:sz w:val="22"/>
          <w:szCs w:val="22"/>
        </w:rPr>
      </w:pPr>
      <w:r>
        <w:rPr>
          <w:rFonts w:asciiTheme="minorHAnsi" w:hAnsiTheme="minorHAnsi" w:cstheme="minorBidi"/>
          <w:color w:val="auto"/>
          <w:sz w:val="22"/>
          <w:szCs w:val="22"/>
        </w:rPr>
        <w:t>A</w:t>
      </w:r>
      <w:r w:rsidRPr="005D7F65">
        <w:rPr>
          <w:rFonts w:asciiTheme="minorHAnsi" w:hAnsiTheme="minorHAnsi" w:cstheme="minorBidi"/>
          <w:color w:val="auto"/>
          <w:sz w:val="22"/>
          <w:szCs w:val="22"/>
        </w:rPr>
        <w:t xml:space="preserve"> range of support services</w:t>
      </w:r>
      <w:r>
        <w:rPr>
          <w:rFonts w:asciiTheme="minorHAnsi" w:hAnsiTheme="minorHAnsi" w:cstheme="minorBidi"/>
          <w:color w:val="auto"/>
          <w:sz w:val="22"/>
          <w:szCs w:val="22"/>
        </w:rPr>
        <w:t xml:space="preserve"> are currently in place for carers.  These</w:t>
      </w:r>
      <w:r w:rsidRPr="005D7F65">
        <w:rPr>
          <w:rFonts w:asciiTheme="minorHAnsi" w:hAnsiTheme="minorHAnsi" w:cstheme="minorBidi"/>
          <w:color w:val="auto"/>
          <w:sz w:val="22"/>
          <w:szCs w:val="22"/>
        </w:rPr>
        <w:t xml:space="preserve"> i</w:t>
      </w:r>
      <w:r>
        <w:rPr>
          <w:rFonts w:asciiTheme="minorHAnsi" w:hAnsiTheme="minorHAnsi" w:cstheme="minorBidi"/>
          <w:color w:val="auto"/>
          <w:sz w:val="22"/>
          <w:szCs w:val="22"/>
        </w:rPr>
        <w:t>nclude but are</w:t>
      </w:r>
      <w:r w:rsidRPr="005D7F65">
        <w:rPr>
          <w:rFonts w:asciiTheme="minorHAnsi" w:hAnsiTheme="minorHAnsi" w:cstheme="minorBidi"/>
          <w:color w:val="auto"/>
          <w:sz w:val="22"/>
          <w:szCs w:val="22"/>
        </w:rPr>
        <w:t xml:space="preserve"> not limited to:</w:t>
      </w:r>
    </w:p>
    <w:p w:rsidR="008921BF" w:rsidRPr="005D7F65" w:rsidRDefault="008921BF" w:rsidP="008921BF">
      <w:pPr>
        <w:pStyle w:val="ListParagraph"/>
        <w:numPr>
          <w:ilvl w:val="0"/>
          <w:numId w:val="49"/>
        </w:numPr>
        <w:autoSpaceDE w:val="0"/>
        <w:autoSpaceDN w:val="0"/>
        <w:adjustRightInd w:val="0"/>
        <w:spacing w:after="0" w:line="240" w:lineRule="auto"/>
        <w:ind w:left="426" w:hanging="426"/>
        <w:jc w:val="both"/>
      </w:pPr>
      <w:r w:rsidRPr="005D7F65">
        <w:t xml:space="preserve">Accessible information about the many support services available to carers and those they care for within the </w:t>
      </w:r>
      <w:r>
        <w:t>Borough</w:t>
      </w:r>
      <w:r w:rsidR="004A416F">
        <w:t>;</w:t>
      </w:r>
    </w:p>
    <w:p w:rsidR="008921BF" w:rsidRPr="005D7F65" w:rsidRDefault="008921BF" w:rsidP="008921BF">
      <w:pPr>
        <w:pStyle w:val="ListParagraph"/>
        <w:numPr>
          <w:ilvl w:val="0"/>
          <w:numId w:val="49"/>
        </w:numPr>
        <w:autoSpaceDE w:val="0"/>
        <w:autoSpaceDN w:val="0"/>
        <w:adjustRightInd w:val="0"/>
        <w:spacing w:after="0" w:line="240" w:lineRule="auto"/>
        <w:ind w:left="426" w:hanging="426"/>
        <w:jc w:val="both"/>
      </w:pPr>
      <w:r w:rsidRPr="005D7F65">
        <w:t>Carrying out assessments</w:t>
      </w:r>
      <w:r w:rsidR="004A416F">
        <w:t>;</w:t>
      </w:r>
    </w:p>
    <w:p w:rsidR="008921BF" w:rsidRPr="005D7F65" w:rsidRDefault="008921BF" w:rsidP="008921BF">
      <w:pPr>
        <w:pStyle w:val="ListParagraph"/>
        <w:numPr>
          <w:ilvl w:val="0"/>
          <w:numId w:val="49"/>
        </w:numPr>
        <w:autoSpaceDE w:val="0"/>
        <w:autoSpaceDN w:val="0"/>
        <w:adjustRightInd w:val="0"/>
        <w:spacing w:after="0" w:line="240" w:lineRule="auto"/>
        <w:ind w:left="426" w:hanging="426"/>
        <w:jc w:val="both"/>
      </w:pPr>
      <w:r w:rsidRPr="005D7F65">
        <w:t>Emergency planning</w:t>
      </w:r>
      <w:r w:rsidR="004A416F">
        <w:t>;</w:t>
      </w:r>
    </w:p>
    <w:p w:rsidR="004A416F" w:rsidRDefault="008921BF" w:rsidP="004A416F">
      <w:pPr>
        <w:pStyle w:val="ListParagraph"/>
        <w:numPr>
          <w:ilvl w:val="0"/>
          <w:numId w:val="49"/>
        </w:numPr>
        <w:autoSpaceDE w:val="0"/>
        <w:autoSpaceDN w:val="0"/>
        <w:adjustRightInd w:val="0"/>
        <w:spacing w:after="0" w:line="240" w:lineRule="auto"/>
        <w:ind w:left="426" w:hanging="426"/>
        <w:jc w:val="both"/>
      </w:pPr>
      <w:proofErr w:type="spellStart"/>
      <w:r w:rsidRPr="005D7F65">
        <w:t>Telecare</w:t>
      </w:r>
      <w:proofErr w:type="spellEnd"/>
      <w:r w:rsidRPr="005D7F65">
        <w:t xml:space="preserve"> service</w:t>
      </w:r>
      <w:r>
        <w:t>s</w:t>
      </w:r>
      <w:r w:rsidRPr="005D7F65">
        <w:t xml:space="preserve"> for people who need devices to continue to live safely at home e.g. alarms and other equipment to alert support</w:t>
      </w:r>
      <w:r w:rsidR="004A416F">
        <w:t>;</w:t>
      </w:r>
    </w:p>
    <w:p w:rsidR="004A416F" w:rsidRDefault="008921BF" w:rsidP="004A416F">
      <w:pPr>
        <w:pStyle w:val="ListParagraph"/>
        <w:numPr>
          <w:ilvl w:val="0"/>
          <w:numId w:val="49"/>
        </w:numPr>
        <w:autoSpaceDE w:val="0"/>
        <w:autoSpaceDN w:val="0"/>
        <w:adjustRightInd w:val="0"/>
        <w:spacing w:after="0" w:line="240" w:lineRule="auto"/>
        <w:ind w:left="426" w:hanging="426"/>
        <w:jc w:val="both"/>
      </w:pPr>
      <w:r w:rsidRPr="005D7F65">
        <w:t xml:space="preserve">Where a </w:t>
      </w:r>
      <w:proofErr w:type="spellStart"/>
      <w:r w:rsidRPr="005D7F65">
        <w:t>carer</w:t>
      </w:r>
      <w:proofErr w:type="spellEnd"/>
      <w:r w:rsidRPr="005D7F65">
        <w:t xml:space="preserve"> has been assessed as eligible for direct support from adult social care</w:t>
      </w:r>
      <w:r w:rsidR="00EA5799">
        <w:t xml:space="preserve">, </w:t>
      </w:r>
      <w:r w:rsidRPr="005D7F65">
        <w:t>respite care or direct payments</w:t>
      </w:r>
      <w:r w:rsidR="00EA5799">
        <w:t xml:space="preserve"> may be offered</w:t>
      </w:r>
      <w:r w:rsidR="004A416F">
        <w:t>;</w:t>
      </w:r>
    </w:p>
    <w:p w:rsidR="008921BF" w:rsidRPr="005D7F65" w:rsidRDefault="00EA5799" w:rsidP="004A416F">
      <w:pPr>
        <w:pStyle w:val="ListParagraph"/>
        <w:numPr>
          <w:ilvl w:val="0"/>
          <w:numId w:val="49"/>
        </w:numPr>
        <w:autoSpaceDE w:val="0"/>
        <w:autoSpaceDN w:val="0"/>
        <w:adjustRightInd w:val="0"/>
        <w:spacing w:after="0" w:line="240" w:lineRule="auto"/>
        <w:ind w:left="426" w:hanging="426"/>
        <w:jc w:val="both"/>
      </w:pPr>
      <w:r>
        <w:t>A</w:t>
      </w:r>
      <w:r w:rsidR="008921BF" w:rsidRPr="005D7F65">
        <w:t xml:space="preserve"> commissioned</w:t>
      </w:r>
      <w:r w:rsidR="008921BF">
        <w:t xml:space="preserve"> a </w:t>
      </w:r>
      <w:r w:rsidR="008921BF" w:rsidRPr="005D7F65">
        <w:t xml:space="preserve"> lead provider for carers support services  which offers a range of support services including:</w:t>
      </w:r>
    </w:p>
    <w:p w:rsidR="008921BF" w:rsidRPr="00C36020" w:rsidRDefault="008921BF" w:rsidP="008921BF">
      <w:pPr>
        <w:numPr>
          <w:ilvl w:val="1"/>
          <w:numId w:val="48"/>
        </w:numPr>
        <w:autoSpaceDE w:val="0"/>
        <w:autoSpaceDN w:val="0"/>
        <w:adjustRightInd w:val="0"/>
        <w:spacing w:after="0"/>
        <w:ind w:left="993" w:hanging="567"/>
        <w:contextualSpacing/>
        <w:jc w:val="both"/>
        <w:rPr>
          <w:rFonts w:cs="Arial"/>
          <w:lang w:eastAsia="en-GB"/>
        </w:rPr>
      </w:pPr>
      <w:r w:rsidRPr="00C36020">
        <w:rPr>
          <w:rFonts w:cs="Arial"/>
          <w:lang w:eastAsia="en-GB"/>
        </w:rPr>
        <w:t>Individual and group support offering practical help and emotional support</w:t>
      </w:r>
    </w:p>
    <w:p w:rsidR="008921BF" w:rsidRPr="00C36020" w:rsidRDefault="008921BF" w:rsidP="008921BF">
      <w:pPr>
        <w:numPr>
          <w:ilvl w:val="1"/>
          <w:numId w:val="48"/>
        </w:numPr>
        <w:autoSpaceDE w:val="0"/>
        <w:autoSpaceDN w:val="0"/>
        <w:adjustRightInd w:val="0"/>
        <w:spacing w:after="0"/>
        <w:ind w:left="993" w:hanging="567"/>
        <w:contextualSpacing/>
        <w:jc w:val="both"/>
        <w:rPr>
          <w:rFonts w:cs="Arial"/>
          <w:lang w:eastAsia="en-GB"/>
        </w:rPr>
      </w:pPr>
      <w:r w:rsidRPr="00C36020">
        <w:rPr>
          <w:rFonts w:cs="Arial"/>
          <w:lang w:eastAsia="en-GB"/>
        </w:rPr>
        <w:t xml:space="preserve">Training </w:t>
      </w:r>
    </w:p>
    <w:p w:rsidR="008921BF" w:rsidRPr="00C36020" w:rsidRDefault="008921BF" w:rsidP="008921BF">
      <w:pPr>
        <w:numPr>
          <w:ilvl w:val="1"/>
          <w:numId w:val="48"/>
        </w:numPr>
        <w:autoSpaceDE w:val="0"/>
        <w:autoSpaceDN w:val="0"/>
        <w:adjustRightInd w:val="0"/>
        <w:spacing w:after="0"/>
        <w:ind w:left="993" w:hanging="567"/>
        <w:contextualSpacing/>
        <w:jc w:val="both"/>
        <w:rPr>
          <w:rFonts w:cs="Arial"/>
          <w:lang w:eastAsia="en-GB"/>
        </w:rPr>
      </w:pPr>
      <w:r w:rsidRPr="00C36020">
        <w:rPr>
          <w:rFonts w:cs="Arial"/>
          <w:lang w:eastAsia="en-GB"/>
        </w:rPr>
        <w:t>Short breaks where appropriate</w:t>
      </w:r>
    </w:p>
    <w:p w:rsidR="008921BF" w:rsidRPr="00C36020" w:rsidRDefault="008921BF" w:rsidP="008921BF">
      <w:pPr>
        <w:numPr>
          <w:ilvl w:val="1"/>
          <w:numId w:val="48"/>
        </w:numPr>
        <w:autoSpaceDE w:val="0"/>
        <w:autoSpaceDN w:val="0"/>
        <w:adjustRightInd w:val="0"/>
        <w:spacing w:after="0"/>
        <w:ind w:left="993" w:hanging="567"/>
        <w:contextualSpacing/>
        <w:jc w:val="both"/>
        <w:rPr>
          <w:rFonts w:cs="Arial"/>
          <w:lang w:eastAsia="en-GB"/>
        </w:rPr>
      </w:pPr>
      <w:r w:rsidRPr="00C36020">
        <w:rPr>
          <w:rFonts w:cs="Arial"/>
          <w:lang w:eastAsia="en-GB"/>
        </w:rPr>
        <w:t>Counselling and support service for families of disabled people</w:t>
      </w:r>
    </w:p>
    <w:p w:rsidR="008921BF" w:rsidRPr="00C36020" w:rsidRDefault="008921BF" w:rsidP="008921BF">
      <w:pPr>
        <w:numPr>
          <w:ilvl w:val="1"/>
          <w:numId w:val="48"/>
        </w:numPr>
        <w:autoSpaceDE w:val="0"/>
        <w:autoSpaceDN w:val="0"/>
        <w:adjustRightInd w:val="0"/>
        <w:spacing w:after="0"/>
        <w:ind w:left="993" w:hanging="567"/>
        <w:contextualSpacing/>
        <w:jc w:val="both"/>
        <w:rPr>
          <w:rFonts w:cs="Arial"/>
          <w:lang w:eastAsia="en-GB"/>
        </w:rPr>
      </w:pPr>
      <w:r w:rsidRPr="00C36020">
        <w:rPr>
          <w:rFonts w:cs="Arial"/>
          <w:lang w:eastAsia="en-GB"/>
        </w:rPr>
        <w:t xml:space="preserve">Benefits advice </w:t>
      </w:r>
    </w:p>
    <w:p w:rsidR="008921BF" w:rsidRPr="00C36020" w:rsidRDefault="008921BF" w:rsidP="008921BF">
      <w:pPr>
        <w:numPr>
          <w:ilvl w:val="1"/>
          <w:numId w:val="48"/>
        </w:numPr>
        <w:autoSpaceDE w:val="0"/>
        <w:autoSpaceDN w:val="0"/>
        <w:adjustRightInd w:val="0"/>
        <w:spacing w:after="0"/>
        <w:ind w:left="993" w:hanging="567"/>
        <w:contextualSpacing/>
        <w:jc w:val="both"/>
        <w:rPr>
          <w:rFonts w:cs="Arial"/>
          <w:lang w:eastAsia="en-GB"/>
        </w:rPr>
      </w:pPr>
      <w:r>
        <w:rPr>
          <w:rFonts w:cs="Arial"/>
          <w:lang w:eastAsia="en-GB"/>
        </w:rPr>
        <w:t xml:space="preserve">A </w:t>
      </w:r>
      <w:r w:rsidRPr="00C36020">
        <w:rPr>
          <w:rFonts w:cs="Arial"/>
          <w:lang w:eastAsia="en-GB"/>
        </w:rPr>
        <w:t>Carers forum</w:t>
      </w:r>
    </w:p>
    <w:p w:rsidR="008921BF" w:rsidRPr="00DE7FFB" w:rsidRDefault="008921BF" w:rsidP="008921BF">
      <w:pPr>
        <w:spacing w:after="0" w:line="240" w:lineRule="auto"/>
        <w:rPr>
          <w:rFonts w:ascii="Arial" w:hAnsi="Arial" w:cs="Arial"/>
          <w:sz w:val="24"/>
          <w:szCs w:val="24"/>
        </w:rPr>
      </w:pPr>
    </w:p>
    <w:p w:rsidR="008921BF" w:rsidRPr="00041E32" w:rsidRDefault="008921BF" w:rsidP="008921BF">
      <w:pPr>
        <w:pStyle w:val="Caption"/>
      </w:pPr>
      <w:r>
        <w:t xml:space="preserve">Table </w:t>
      </w:r>
      <w:fldSimple w:instr=" STYLEREF 1 \s ">
        <w:r w:rsidR="001663C2">
          <w:rPr>
            <w:noProof/>
          </w:rPr>
          <w:t>9</w:t>
        </w:r>
      </w:fldSimple>
      <w:r>
        <w:noBreakHyphen/>
      </w:r>
      <w:fldSimple w:instr=" SEQ Table \* ARABIC \s 1 ">
        <w:r w:rsidR="001663C2">
          <w:rPr>
            <w:noProof/>
          </w:rPr>
          <w:t>15</w:t>
        </w:r>
      </w:fldSimple>
      <w:r w:rsidRPr="00041E32">
        <w:t>: Number of Carers in receipt of Carer Specific Services</w:t>
      </w:r>
    </w:p>
    <w:tbl>
      <w:tblPr>
        <w:tblStyle w:val="TableGrid"/>
        <w:tblW w:w="7396" w:type="dxa"/>
        <w:jc w:val="center"/>
        <w:tblInd w:w="-2622" w:type="dxa"/>
        <w:tblLook w:val="04A0" w:firstRow="1" w:lastRow="0" w:firstColumn="1" w:lastColumn="0" w:noHBand="0" w:noVBand="1"/>
      </w:tblPr>
      <w:tblGrid>
        <w:gridCol w:w="3904"/>
        <w:gridCol w:w="1224"/>
        <w:gridCol w:w="1134"/>
        <w:gridCol w:w="1134"/>
      </w:tblGrid>
      <w:tr w:rsidR="008921BF" w:rsidRPr="00311580" w:rsidTr="000D6FBF">
        <w:trPr>
          <w:trHeight w:val="434"/>
          <w:jc w:val="center"/>
        </w:trPr>
        <w:tc>
          <w:tcPr>
            <w:tcW w:w="3904" w:type="dxa"/>
            <w:shd w:val="clear" w:color="auto" w:fill="BFBFBF" w:themeFill="background1" w:themeFillShade="BF"/>
            <w:vAlign w:val="center"/>
          </w:tcPr>
          <w:p w:rsidR="008921BF" w:rsidRPr="00723C7D" w:rsidRDefault="008921BF" w:rsidP="00031B92">
            <w:pPr>
              <w:jc w:val="center"/>
              <w:rPr>
                <w:rFonts w:ascii="Calibri" w:eastAsia="Times New Roman" w:hAnsi="Calibri" w:cs="Times New Roman"/>
                <w:b/>
                <w:bCs/>
                <w:lang w:eastAsia="en-GB"/>
              </w:rPr>
            </w:pPr>
            <w:r>
              <w:rPr>
                <w:rFonts w:ascii="Calibri" w:eastAsia="Times New Roman" w:hAnsi="Calibri" w:cs="Times New Roman"/>
                <w:b/>
                <w:bCs/>
                <w:lang w:eastAsia="en-GB"/>
              </w:rPr>
              <w:t>Primary Support Need</w:t>
            </w:r>
          </w:p>
        </w:tc>
        <w:tc>
          <w:tcPr>
            <w:tcW w:w="1224" w:type="dxa"/>
            <w:shd w:val="clear" w:color="auto" w:fill="BFBFBF" w:themeFill="background1" w:themeFillShade="BF"/>
            <w:vAlign w:val="center"/>
          </w:tcPr>
          <w:p w:rsidR="008921BF" w:rsidRPr="00723C7D" w:rsidRDefault="008921BF" w:rsidP="00031B92">
            <w:pPr>
              <w:jc w:val="center"/>
              <w:rPr>
                <w:rFonts w:ascii="Calibri" w:eastAsia="Times New Roman" w:hAnsi="Calibri" w:cs="Times New Roman"/>
                <w:b/>
                <w:color w:val="000000"/>
                <w:lang w:eastAsia="en-GB"/>
              </w:rPr>
            </w:pPr>
            <w:r>
              <w:rPr>
                <w:rFonts w:ascii="Calibri" w:eastAsia="Times New Roman" w:hAnsi="Calibri" w:cs="Times New Roman"/>
                <w:b/>
                <w:color w:val="000000"/>
                <w:lang w:eastAsia="en-GB"/>
              </w:rPr>
              <w:t>2011/12</w:t>
            </w:r>
          </w:p>
        </w:tc>
        <w:tc>
          <w:tcPr>
            <w:tcW w:w="1134" w:type="dxa"/>
            <w:shd w:val="clear" w:color="auto" w:fill="BFBFBF" w:themeFill="background1" w:themeFillShade="BF"/>
            <w:vAlign w:val="center"/>
          </w:tcPr>
          <w:p w:rsidR="008921BF" w:rsidRPr="00723C7D" w:rsidRDefault="008921BF" w:rsidP="00031B92">
            <w:pPr>
              <w:jc w:val="center"/>
              <w:rPr>
                <w:rFonts w:ascii="Calibri" w:eastAsia="Times New Roman" w:hAnsi="Calibri" w:cs="Times New Roman"/>
                <w:b/>
                <w:color w:val="000000"/>
                <w:lang w:eastAsia="en-GB"/>
              </w:rPr>
            </w:pPr>
            <w:r>
              <w:rPr>
                <w:rFonts w:ascii="Calibri" w:eastAsia="Times New Roman" w:hAnsi="Calibri" w:cs="Times New Roman"/>
                <w:b/>
                <w:color w:val="000000"/>
                <w:lang w:eastAsia="en-GB"/>
              </w:rPr>
              <w:t>2012/13</w:t>
            </w:r>
          </w:p>
        </w:tc>
        <w:tc>
          <w:tcPr>
            <w:tcW w:w="1134" w:type="dxa"/>
            <w:shd w:val="clear" w:color="auto" w:fill="BFBFBF" w:themeFill="background1" w:themeFillShade="BF"/>
            <w:vAlign w:val="center"/>
          </w:tcPr>
          <w:p w:rsidR="008921BF" w:rsidRPr="00723C7D" w:rsidRDefault="008921BF" w:rsidP="00031B92">
            <w:pPr>
              <w:jc w:val="center"/>
              <w:rPr>
                <w:rFonts w:ascii="Calibri" w:eastAsia="Times New Roman" w:hAnsi="Calibri" w:cs="Times New Roman"/>
                <w:b/>
                <w:color w:val="000000"/>
                <w:lang w:eastAsia="en-GB"/>
              </w:rPr>
            </w:pPr>
            <w:r>
              <w:rPr>
                <w:rFonts w:ascii="Calibri" w:eastAsia="Times New Roman" w:hAnsi="Calibri" w:cs="Times New Roman"/>
                <w:b/>
                <w:color w:val="000000"/>
                <w:lang w:eastAsia="en-GB"/>
              </w:rPr>
              <w:t>2013/14</w:t>
            </w:r>
          </w:p>
        </w:tc>
      </w:tr>
      <w:tr w:rsidR="008921BF" w:rsidRPr="00311580" w:rsidTr="00031B92">
        <w:trPr>
          <w:trHeight w:val="315"/>
          <w:jc w:val="center"/>
        </w:trPr>
        <w:tc>
          <w:tcPr>
            <w:tcW w:w="3904" w:type="dxa"/>
            <w:noWrap/>
            <w:vAlign w:val="center"/>
            <w:hideMark/>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Physical / Sensory Impairment (18-64)</w:t>
            </w:r>
          </w:p>
        </w:tc>
        <w:tc>
          <w:tcPr>
            <w:tcW w:w="1224"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46</w:t>
            </w:r>
          </w:p>
        </w:tc>
        <w:tc>
          <w:tcPr>
            <w:tcW w:w="1134"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48</w:t>
            </w:r>
          </w:p>
        </w:tc>
        <w:tc>
          <w:tcPr>
            <w:tcW w:w="1134" w:type="dxa"/>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45</w:t>
            </w:r>
          </w:p>
        </w:tc>
      </w:tr>
      <w:tr w:rsidR="008921BF" w:rsidRPr="00311580" w:rsidTr="00031B92">
        <w:trPr>
          <w:trHeight w:val="300"/>
          <w:jc w:val="center"/>
        </w:trPr>
        <w:tc>
          <w:tcPr>
            <w:tcW w:w="3904"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Learning Disability (18-64)</w:t>
            </w:r>
          </w:p>
        </w:tc>
        <w:tc>
          <w:tcPr>
            <w:tcW w:w="1224"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80</w:t>
            </w:r>
          </w:p>
        </w:tc>
        <w:tc>
          <w:tcPr>
            <w:tcW w:w="1134"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59</w:t>
            </w:r>
          </w:p>
        </w:tc>
        <w:tc>
          <w:tcPr>
            <w:tcW w:w="1134" w:type="dxa"/>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62</w:t>
            </w:r>
          </w:p>
        </w:tc>
      </w:tr>
      <w:tr w:rsidR="008921BF" w:rsidRPr="00311580" w:rsidTr="00031B92">
        <w:trPr>
          <w:trHeight w:val="300"/>
          <w:jc w:val="center"/>
        </w:trPr>
        <w:tc>
          <w:tcPr>
            <w:tcW w:w="3904"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Mental Health (18-64)</w:t>
            </w:r>
          </w:p>
        </w:tc>
        <w:tc>
          <w:tcPr>
            <w:tcW w:w="1224"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78</w:t>
            </w:r>
          </w:p>
        </w:tc>
        <w:tc>
          <w:tcPr>
            <w:tcW w:w="1134"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46</w:t>
            </w:r>
          </w:p>
        </w:tc>
        <w:tc>
          <w:tcPr>
            <w:tcW w:w="1134" w:type="dxa"/>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63</w:t>
            </w:r>
          </w:p>
        </w:tc>
      </w:tr>
      <w:tr w:rsidR="008921BF" w:rsidRPr="00311580" w:rsidTr="00031B92">
        <w:trPr>
          <w:trHeight w:val="300"/>
          <w:jc w:val="center"/>
        </w:trPr>
        <w:tc>
          <w:tcPr>
            <w:tcW w:w="3904" w:type="dxa"/>
            <w:noWrap/>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Other (18-64)</w:t>
            </w:r>
          </w:p>
        </w:tc>
        <w:tc>
          <w:tcPr>
            <w:tcW w:w="1224" w:type="dxa"/>
            <w:noWrap/>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0</w:t>
            </w:r>
          </w:p>
        </w:tc>
        <w:tc>
          <w:tcPr>
            <w:tcW w:w="1134" w:type="dxa"/>
            <w:noWrap/>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0</w:t>
            </w:r>
          </w:p>
        </w:tc>
        <w:tc>
          <w:tcPr>
            <w:tcW w:w="1134" w:type="dxa"/>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w:t>
            </w:r>
          </w:p>
        </w:tc>
      </w:tr>
      <w:tr w:rsidR="008921BF" w:rsidRPr="00311580" w:rsidTr="00031B92">
        <w:trPr>
          <w:trHeight w:val="300"/>
          <w:jc w:val="center"/>
        </w:trPr>
        <w:tc>
          <w:tcPr>
            <w:tcW w:w="3904" w:type="dxa"/>
            <w:noWrap/>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Older Adults</w:t>
            </w:r>
          </w:p>
        </w:tc>
        <w:tc>
          <w:tcPr>
            <w:tcW w:w="1224" w:type="dxa"/>
            <w:noWrap/>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402</w:t>
            </w:r>
          </w:p>
        </w:tc>
        <w:tc>
          <w:tcPr>
            <w:tcW w:w="1134" w:type="dxa"/>
            <w:noWrap/>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303</w:t>
            </w:r>
          </w:p>
        </w:tc>
        <w:tc>
          <w:tcPr>
            <w:tcW w:w="1134" w:type="dxa"/>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369</w:t>
            </w:r>
          </w:p>
        </w:tc>
      </w:tr>
      <w:tr w:rsidR="008921BF" w:rsidRPr="00311580" w:rsidTr="00031B92">
        <w:trPr>
          <w:trHeight w:val="300"/>
          <w:jc w:val="center"/>
        </w:trPr>
        <w:tc>
          <w:tcPr>
            <w:tcW w:w="3904" w:type="dxa"/>
            <w:noWrap/>
            <w:vAlign w:val="center"/>
          </w:tcPr>
          <w:p w:rsidR="008921BF" w:rsidRPr="002D4D9E" w:rsidRDefault="008921BF" w:rsidP="00031B92">
            <w:pPr>
              <w:jc w:val="center"/>
              <w:rPr>
                <w:rFonts w:ascii="Calibri" w:eastAsia="Times New Roman" w:hAnsi="Calibri" w:cs="Times New Roman"/>
                <w:b/>
                <w:color w:val="000000"/>
                <w:lang w:eastAsia="en-GB"/>
              </w:rPr>
            </w:pPr>
            <w:r w:rsidRPr="002D4D9E">
              <w:rPr>
                <w:rFonts w:ascii="Calibri" w:eastAsia="Times New Roman" w:hAnsi="Calibri" w:cs="Times New Roman"/>
                <w:b/>
                <w:color w:val="000000"/>
                <w:lang w:eastAsia="en-GB"/>
              </w:rPr>
              <w:t>Total</w:t>
            </w:r>
          </w:p>
        </w:tc>
        <w:tc>
          <w:tcPr>
            <w:tcW w:w="1224" w:type="dxa"/>
            <w:noWrap/>
            <w:vAlign w:val="center"/>
          </w:tcPr>
          <w:p w:rsidR="008921BF" w:rsidRPr="002D4D9E" w:rsidRDefault="008921BF" w:rsidP="00031B92">
            <w:pPr>
              <w:jc w:val="center"/>
              <w:rPr>
                <w:rFonts w:ascii="Calibri" w:eastAsia="Times New Roman" w:hAnsi="Calibri" w:cs="Times New Roman"/>
                <w:b/>
                <w:color w:val="000000"/>
                <w:lang w:eastAsia="en-GB"/>
              </w:rPr>
            </w:pPr>
            <w:r>
              <w:rPr>
                <w:rFonts w:ascii="Calibri" w:eastAsia="Times New Roman" w:hAnsi="Calibri" w:cs="Times New Roman"/>
                <w:b/>
                <w:color w:val="000000"/>
                <w:lang w:eastAsia="en-GB"/>
              </w:rPr>
              <w:t>606</w:t>
            </w:r>
          </w:p>
        </w:tc>
        <w:tc>
          <w:tcPr>
            <w:tcW w:w="1134" w:type="dxa"/>
            <w:noWrap/>
            <w:vAlign w:val="center"/>
          </w:tcPr>
          <w:p w:rsidR="008921BF" w:rsidRPr="002D4D9E" w:rsidRDefault="008921BF" w:rsidP="00031B92">
            <w:pPr>
              <w:jc w:val="center"/>
              <w:rPr>
                <w:rFonts w:ascii="Calibri" w:eastAsia="Times New Roman" w:hAnsi="Calibri" w:cs="Times New Roman"/>
                <w:b/>
                <w:color w:val="000000"/>
                <w:lang w:eastAsia="en-GB"/>
              </w:rPr>
            </w:pPr>
            <w:r>
              <w:rPr>
                <w:rFonts w:ascii="Calibri" w:eastAsia="Times New Roman" w:hAnsi="Calibri" w:cs="Times New Roman"/>
                <w:b/>
                <w:color w:val="000000"/>
                <w:lang w:eastAsia="en-GB"/>
              </w:rPr>
              <w:t>456</w:t>
            </w:r>
          </w:p>
        </w:tc>
        <w:tc>
          <w:tcPr>
            <w:tcW w:w="1134" w:type="dxa"/>
            <w:vAlign w:val="center"/>
          </w:tcPr>
          <w:p w:rsidR="008921BF" w:rsidRPr="002D4D9E" w:rsidRDefault="008921BF" w:rsidP="00031B92">
            <w:pPr>
              <w:jc w:val="center"/>
              <w:rPr>
                <w:rFonts w:ascii="Calibri" w:eastAsia="Times New Roman" w:hAnsi="Calibri" w:cs="Times New Roman"/>
                <w:b/>
                <w:color w:val="000000"/>
                <w:lang w:eastAsia="en-GB"/>
              </w:rPr>
            </w:pPr>
            <w:r>
              <w:rPr>
                <w:rFonts w:ascii="Calibri" w:eastAsia="Times New Roman" w:hAnsi="Calibri" w:cs="Times New Roman"/>
                <w:b/>
                <w:color w:val="000000"/>
                <w:lang w:eastAsia="en-GB"/>
              </w:rPr>
              <w:t>540</w:t>
            </w:r>
          </w:p>
        </w:tc>
      </w:tr>
      <w:tr w:rsidR="008921BF" w:rsidRPr="00311580" w:rsidTr="00031B92">
        <w:trPr>
          <w:trHeight w:val="300"/>
          <w:jc w:val="center"/>
        </w:trPr>
        <w:tc>
          <w:tcPr>
            <w:tcW w:w="7396" w:type="dxa"/>
            <w:gridSpan w:val="4"/>
            <w:noWrap/>
            <w:vAlign w:val="center"/>
          </w:tcPr>
          <w:p w:rsidR="008921BF" w:rsidRPr="00F00150" w:rsidRDefault="008921BF" w:rsidP="00031B92">
            <w:pPr>
              <w:rPr>
                <w:rFonts w:ascii="Calibri" w:eastAsia="Times New Roman" w:hAnsi="Calibri" w:cs="Times New Roman"/>
                <w:color w:val="000000"/>
                <w:sz w:val="16"/>
                <w:szCs w:val="16"/>
                <w:lang w:eastAsia="en-GB"/>
              </w:rPr>
            </w:pPr>
            <w:r w:rsidRPr="00F00150">
              <w:rPr>
                <w:rFonts w:ascii="Calibri" w:eastAsia="Times New Roman" w:hAnsi="Calibri" w:cs="Times New Roman"/>
                <w:color w:val="000000"/>
                <w:sz w:val="16"/>
                <w:szCs w:val="16"/>
                <w:lang w:eastAsia="en-GB"/>
              </w:rPr>
              <w:t>*Support services include: Training, Support Groups, Short Breaks, Counselling, Benefits Advice</w:t>
            </w:r>
          </w:p>
          <w:p w:rsidR="008921BF" w:rsidRPr="00F00150" w:rsidRDefault="008921BF" w:rsidP="00031B92">
            <w:pPr>
              <w:pStyle w:val="CommentText"/>
              <w:rPr>
                <w:rFonts w:eastAsia="Times New Roman"/>
                <w:color w:val="000000"/>
                <w:lang w:eastAsia="en-GB"/>
              </w:rPr>
            </w:pPr>
            <w:r w:rsidRPr="00F00150">
              <w:rPr>
                <w:rFonts w:eastAsia="Times New Roman"/>
                <w:color w:val="000000"/>
                <w:sz w:val="16"/>
                <w:szCs w:val="16"/>
                <w:lang w:eastAsia="en-GB"/>
              </w:rPr>
              <w:t xml:space="preserve">** Respite services may be received in addition to the above; however some respite is recorded against the adult and not the carer, and so will not have been counted. </w:t>
            </w:r>
          </w:p>
        </w:tc>
      </w:tr>
    </w:tbl>
    <w:p w:rsidR="000D6FBF" w:rsidRDefault="000D6FBF" w:rsidP="000D6FBF">
      <w:pPr>
        <w:spacing w:after="0" w:line="240" w:lineRule="auto"/>
      </w:pPr>
      <w:r>
        <w:t>Source:  SWIFT – Adult Social Care Database</w:t>
      </w:r>
    </w:p>
    <w:p w:rsidR="008921BF" w:rsidRDefault="008921BF" w:rsidP="008921BF">
      <w:pPr>
        <w:pStyle w:val="Caption"/>
      </w:pPr>
    </w:p>
    <w:p w:rsidR="008921BF" w:rsidRPr="005D7F65" w:rsidRDefault="008921BF" w:rsidP="008921BF">
      <w:pPr>
        <w:pStyle w:val="Caption"/>
        <w:rPr>
          <w:rFonts w:ascii="Calibri" w:hAnsi="Calibri" w:cs="Calibri"/>
          <w:b w:val="0"/>
          <w:i/>
        </w:rPr>
      </w:pPr>
      <w:r>
        <w:t xml:space="preserve">Table </w:t>
      </w:r>
      <w:fldSimple w:instr=" STYLEREF 1 \s ">
        <w:r w:rsidR="001663C2">
          <w:rPr>
            <w:noProof/>
          </w:rPr>
          <w:t>9</w:t>
        </w:r>
      </w:fldSimple>
      <w:r>
        <w:noBreakHyphen/>
      </w:r>
      <w:fldSimple w:instr=" SEQ Table \* ARABIC \s 1 ">
        <w:r w:rsidR="001663C2">
          <w:rPr>
            <w:noProof/>
          </w:rPr>
          <w:t>16</w:t>
        </w:r>
      </w:fldSimple>
      <w:r w:rsidRPr="00041E32">
        <w:t>: Number of Carers in receipt of information and advice only</w:t>
      </w:r>
    </w:p>
    <w:tbl>
      <w:tblPr>
        <w:tblStyle w:val="TableGrid"/>
        <w:tblW w:w="7396" w:type="dxa"/>
        <w:jc w:val="center"/>
        <w:tblInd w:w="-2622" w:type="dxa"/>
        <w:tblLook w:val="04A0" w:firstRow="1" w:lastRow="0" w:firstColumn="1" w:lastColumn="0" w:noHBand="0" w:noVBand="1"/>
      </w:tblPr>
      <w:tblGrid>
        <w:gridCol w:w="3904"/>
        <w:gridCol w:w="1224"/>
        <w:gridCol w:w="1134"/>
        <w:gridCol w:w="1134"/>
      </w:tblGrid>
      <w:tr w:rsidR="008921BF" w:rsidRPr="00311580" w:rsidTr="000D6FBF">
        <w:trPr>
          <w:trHeight w:val="364"/>
          <w:jc w:val="center"/>
        </w:trPr>
        <w:tc>
          <w:tcPr>
            <w:tcW w:w="3904" w:type="dxa"/>
            <w:shd w:val="clear" w:color="auto" w:fill="BFBFBF" w:themeFill="background1" w:themeFillShade="BF"/>
            <w:vAlign w:val="center"/>
          </w:tcPr>
          <w:p w:rsidR="008921BF" w:rsidRPr="00723C7D" w:rsidRDefault="008921BF" w:rsidP="00031B92">
            <w:pPr>
              <w:jc w:val="center"/>
              <w:rPr>
                <w:rFonts w:ascii="Calibri" w:eastAsia="Times New Roman" w:hAnsi="Calibri" w:cs="Times New Roman"/>
                <w:b/>
                <w:bCs/>
                <w:lang w:eastAsia="en-GB"/>
              </w:rPr>
            </w:pPr>
            <w:r>
              <w:rPr>
                <w:rFonts w:ascii="Calibri" w:eastAsia="Times New Roman" w:hAnsi="Calibri" w:cs="Times New Roman"/>
                <w:b/>
                <w:bCs/>
                <w:lang w:eastAsia="en-GB"/>
              </w:rPr>
              <w:t>Primary Support Need</w:t>
            </w:r>
          </w:p>
        </w:tc>
        <w:tc>
          <w:tcPr>
            <w:tcW w:w="1224" w:type="dxa"/>
            <w:shd w:val="clear" w:color="auto" w:fill="BFBFBF" w:themeFill="background1" w:themeFillShade="BF"/>
            <w:vAlign w:val="center"/>
          </w:tcPr>
          <w:p w:rsidR="008921BF" w:rsidRPr="00723C7D" w:rsidRDefault="008921BF" w:rsidP="00031B92">
            <w:pPr>
              <w:jc w:val="center"/>
              <w:rPr>
                <w:rFonts w:ascii="Calibri" w:eastAsia="Times New Roman" w:hAnsi="Calibri" w:cs="Times New Roman"/>
                <w:b/>
                <w:color w:val="000000"/>
                <w:lang w:eastAsia="en-GB"/>
              </w:rPr>
            </w:pPr>
            <w:r>
              <w:rPr>
                <w:rFonts w:ascii="Calibri" w:eastAsia="Times New Roman" w:hAnsi="Calibri" w:cs="Times New Roman"/>
                <w:b/>
                <w:color w:val="000000"/>
                <w:lang w:eastAsia="en-GB"/>
              </w:rPr>
              <w:t>2011/12</w:t>
            </w:r>
          </w:p>
        </w:tc>
        <w:tc>
          <w:tcPr>
            <w:tcW w:w="1134" w:type="dxa"/>
            <w:shd w:val="clear" w:color="auto" w:fill="BFBFBF" w:themeFill="background1" w:themeFillShade="BF"/>
            <w:vAlign w:val="center"/>
          </w:tcPr>
          <w:p w:rsidR="008921BF" w:rsidRPr="00723C7D" w:rsidRDefault="008921BF" w:rsidP="00031B92">
            <w:pPr>
              <w:jc w:val="center"/>
              <w:rPr>
                <w:rFonts w:ascii="Calibri" w:eastAsia="Times New Roman" w:hAnsi="Calibri" w:cs="Times New Roman"/>
                <w:b/>
                <w:color w:val="000000"/>
                <w:lang w:eastAsia="en-GB"/>
              </w:rPr>
            </w:pPr>
            <w:r>
              <w:rPr>
                <w:rFonts w:ascii="Calibri" w:eastAsia="Times New Roman" w:hAnsi="Calibri" w:cs="Times New Roman"/>
                <w:b/>
                <w:color w:val="000000"/>
                <w:lang w:eastAsia="en-GB"/>
              </w:rPr>
              <w:t>2012/13</w:t>
            </w:r>
          </w:p>
        </w:tc>
        <w:tc>
          <w:tcPr>
            <w:tcW w:w="1134" w:type="dxa"/>
            <w:shd w:val="clear" w:color="auto" w:fill="BFBFBF" w:themeFill="background1" w:themeFillShade="BF"/>
            <w:vAlign w:val="center"/>
          </w:tcPr>
          <w:p w:rsidR="008921BF" w:rsidRPr="00723C7D" w:rsidRDefault="008921BF" w:rsidP="00031B92">
            <w:pPr>
              <w:jc w:val="center"/>
              <w:rPr>
                <w:rFonts w:ascii="Calibri" w:eastAsia="Times New Roman" w:hAnsi="Calibri" w:cs="Times New Roman"/>
                <w:b/>
                <w:color w:val="000000"/>
                <w:lang w:eastAsia="en-GB"/>
              </w:rPr>
            </w:pPr>
            <w:r>
              <w:rPr>
                <w:rFonts w:ascii="Calibri" w:eastAsia="Times New Roman" w:hAnsi="Calibri" w:cs="Times New Roman"/>
                <w:b/>
                <w:color w:val="000000"/>
                <w:lang w:eastAsia="en-GB"/>
              </w:rPr>
              <w:t>2013/14</w:t>
            </w:r>
          </w:p>
        </w:tc>
      </w:tr>
      <w:tr w:rsidR="008921BF" w:rsidRPr="00311580" w:rsidTr="00031B92">
        <w:trPr>
          <w:trHeight w:val="315"/>
          <w:jc w:val="center"/>
        </w:trPr>
        <w:tc>
          <w:tcPr>
            <w:tcW w:w="3904" w:type="dxa"/>
            <w:noWrap/>
            <w:vAlign w:val="center"/>
            <w:hideMark/>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Physical / Sensory Impairment (18-64)</w:t>
            </w:r>
          </w:p>
        </w:tc>
        <w:tc>
          <w:tcPr>
            <w:tcW w:w="1224"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180</w:t>
            </w:r>
          </w:p>
        </w:tc>
        <w:tc>
          <w:tcPr>
            <w:tcW w:w="1134"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200</w:t>
            </w:r>
          </w:p>
        </w:tc>
        <w:tc>
          <w:tcPr>
            <w:tcW w:w="1134" w:type="dxa"/>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132</w:t>
            </w:r>
          </w:p>
        </w:tc>
      </w:tr>
      <w:tr w:rsidR="008921BF" w:rsidRPr="00311580" w:rsidTr="00031B92">
        <w:trPr>
          <w:trHeight w:val="300"/>
          <w:jc w:val="center"/>
        </w:trPr>
        <w:tc>
          <w:tcPr>
            <w:tcW w:w="3904"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Learning Disability (18-64)</w:t>
            </w:r>
          </w:p>
        </w:tc>
        <w:tc>
          <w:tcPr>
            <w:tcW w:w="1224"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135</w:t>
            </w:r>
          </w:p>
        </w:tc>
        <w:tc>
          <w:tcPr>
            <w:tcW w:w="1134"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112</w:t>
            </w:r>
          </w:p>
        </w:tc>
        <w:tc>
          <w:tcPr>
            <w:tcW w:w="1134" w:type="dxa"/>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98</w:t>
            </w:r>
          </w:p>
        </w:tc>
      </w:tr>
      <w:tr w:rsidR="008921BF" w:rsidRPr="00311580" w:rsidTr="00031B92">
        <w:trPr>
          <w:trHeight w:val="300"/>
          <w:jc w:val="center"/>
        </w:trPr>
        <w:tc>
          <w:tcPr>
            <w:tcW w:w="3904"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Mental Health (18-64)</w:t>
            </w:r>
          </w:p>
        </w:tc>
        <w:tc>
          <w:tcPr>
            <w:tcW w:w="1224"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86</w:t>
            </w:r>
          </w:p>
        </w:tc>
        <w:tc>
          <w:tcPr>
            <w:tcW w:w="1134"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40</w:t>
            </w:r>
          </w:p>
        </w:tc>
        <w:tc>
          <w:tcPr>
            <w:tcW w:w="1134" w:type="dxa"/>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63</w:t>
            </w:r>
          </w:p>
        </w:tc>
      </w:tr>
      <w:tr w:rsidR="008921BF" w:rsidRPr="00311580" w:rsidTr="00031B92">
        <w:trPr>
          <w:trHeight w:val="300"/>
          <w:jc w:val="center"/>
        </w:trPr>
        <w:tc>
          <w:tcPr>
            <w:tcW w:w="3904" w:type="dxa"/>
            <w:noWrap/>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Other (18-64)</w:t>
            </w:r>
          </w:p>
        </w:tc>
        <w:tc>
          <w:tcPr>
            <w:tcW w:w="1224" w:type="dxa"/>
            <w:noWrap/>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7</w:t>
            </w:r>
          </w:p>
        </w:tc>
        <w:tc>
          <w:tcPr>
            <w:tcW w:w="1134" w:type="dxa"/>
            <w:noWrap/>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5</w:t>
            </w:r>
          </w:p>
        </w:tc>
        <w:tc>
          <w:tcPr>
            <w:tcW w:w="1134" w:type="dxa"/>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4</w:t>
            </w:r>
          </w:p>
        </w:tc>
      </w:tr>
      <w:tr w:rsidR="008921BF" w:rsidRPr="00311580" w:rsidTr="00031B92">
        <w:trPr>
          <w:trHeight w:val="300"/>
          <w:jc w:val="center"/>
        </w:trPr>
        <w:tc>
          <w:tcPr>
            <w:tcW w:w="3904" w:type="dxa"/>
            <w:noWrap/>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Older Adults</w:t>
            </w:r>
          </w:p>
        </w:tc>
        <w:tc>
          <w:tcPr>
            <w:tcW w:w="1224" w:type="dxa"/>
            <w:noWrap/>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1,418</w:t>
            </w:r>
          </w:p>
        </w:tc>
        <w:tc>
          <w:tcPr>
            <w:tcW w:w="1134" w:type="dxa"/>
            <w:noWrap/>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1,366</w:t>
            </w:r>
          </w:p>
        </w:tc>
        <w:tc>
          <w:tcPr>
            <w:tcW w:w="1134" w:type="dxa"/>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1,111</w:t>
            </w:r>
          </w:p>
        </w:tc>
      </w:tr>
      <w:tr w:rsidR="008921BF" w:rsidRPr="00311580" w:rsidTr="00031B92">
        <w:trPr>
          <w:trHeight w:val="300"/>
          <w:jc w:val="center"/>
        </w:trPr>
        <w:tc>
          <w:tcPr>
            <w:tcW w:w="3904" w:type="dxa"/>
            <w:noWrap/>
            <w:vAlign w:val="center"/>
          </w:tcPr>
          <w:p w:rsidR="008921BF" w:rsidRPr="002D4D9E" w:rsidRDefault="008921BF" w:rsidP="00031B92">
            <w:pPr>
              <w:jc w:val="center"/>
              <w:rPr>
                <w:rFonts w:ascii="Calibri" w:eastAsia="Times New Roman" w:hAnsi="Calibri" w:cs="Times New Roman"/>
                <w:b/>
                <w:color w:val="000000"/>
                <w:lang w:eastAsia="en-GB"/>
              </w:rPr>
            </w:pPr>
            <w:r w:rsidRPr="002D4D9E">
              <w:rPr>
                <w:rFonts w:ascii="Calibri" w:eastAsia="Times New Roman" w:hAnsi="Calibri" w:cs="Times New Roman"/>
                <w:b/>
                <w:color w:val="000000"/>
                <w:lang w:eastAsia="en-GB"/>
              </w:rPr>
              <w:t>Total</w:t>
            </w:r>
          </w:p>
        </w:tc>
        <w:tc>
          <w:tcPr>
            <w:tcW w:w="1224" w:type="dxa"/>
            <w:noWrap/>
            <w:vAlign w:val="center"/>
          </w:tcPr>
          <w:p w:rsidR="008921BF" w:rsidRPr="002D4D9E" w:rsidRDefault="008921BF" w:rsidP="00031B92">
            <w:pPr>
              <w:jc w:val="center"/>
              <w:rPr>
                <w:rFonts w:ascii="Calibri" w:eastAsia="Times New Roman" w:hAnsi="Calibri" w:cs="Times New Roman"/>
                <w:b/>
                <w:color w:val="000000"/>
                <w:lang w:eastAsia="en-GB"/>
              </w:rPr>
            </w:pPr>
            <w:r>
              <w:rPr>
                <w:rFonts w:ascii="Calibri" w:eastAsia="Times New Roman" w:hAnsi="Calibri" w:cs="Times New Roman"/>
                <w:b/>
                <w:color w:val="000000"/>
                <w:lang w:eastAsia="en-GB"/>
              </w:rPr>
              <w:t>1,826</w:t>
            </w:r>
          </w:p>
        </w:tc>
        <w:tc>
          <w:tcPr>
            <w:tcW w:w="1134" w:type="dxa"/>
            <w:noWrap/>
            <w:vAlign w:val="center"/>
          </w:tcPr>
          <w:p w:rsidR="008921BF" w:rsidRPr="002D4D9E" w:rsidRDefault="008921BF" w:rsidP="00031B92">
            <w:pPr>
              <w:jc w:val="center"/>
              <w:rPr>
                <w:rFonts w:ascii="Calibri" w:eastAsia="Times New Roman" w:hAnsi="Calibri" w:cs="Times New Roman"/>
                <w:b/>
                <w:color w:val="000000"/>
                <w:lang w:eastAsia="en-GB"/>
              </w:rPr>
            </w:pPr>
            <w:r>
              <w:rPr>
                <w:rFonts w:ascii="Calibri" w:eastAsia="Times New Roman" w:hAnsi="Calibri" w:cs="Times New Roman"/>
                <w:b/>
                <w:color w:val="000000"/>
                <w:lang w:eastAsia="en-GB"/>
              </w:rPr>
              <w:t>1,723</w:t>
            </w:r>
          </w:p>
        </w:tc>
        <w:tc>
          <w:tcPr>
            <w:tcW w:w="1134" w:type="dxa"/>
            <w:vAlign w:val="center"/>
          </w:tcPr>
          <w:p w:rsidR="008921BF" w:rsidRPr="002D4D9E" w:rsidRDefault="008921BF" w:rsidP="00031B92">
            <w:pPr>
              <w:jc w:val="center"/>
              <w:rPr>
                <w:rFonts w:ascii="Calibri" w:eastAsia="Times New Roman" w:hAnsi="Calibri" w:cs="Times New Roman"/>
                <w:b/>
                <w:color w:val="000000"/>
                <w:lang w:eastAsia="en-GB"/>
              </w:rPr>
            </w:pPr>
            <w:r>
              <w:rPr>
                <w:rFonts w:ascii="Calibri" w:eastAsia="Times New Roman" w:hAnsi="Calibri" w:cs="Times New Roman"/>
                <w:b/>
                <w:color w:val="000000"/>
                <w:lang w:eastAsia="en-GB"/>
              </w:rPr>
              <w:t>1,408</w:t>
            </w:r>
          </w:p>
        </w:tc>
      </w:tr>
      <w:tr w:rsidR="008921BF" w:rsidRPr="00311580" w:rsidTr="00031B92">
        <w:trPr>
          <w:trHeight w:val="300"/>
          <w:jc w:val="center"/>
        </w:trPr>
        <w:tc>
          <w:tcPr>
            <w:tcW w:w="7396" w:type="dxa"/>
            <w:gridSpan w:val="4"/>
            <w:noWrap/>
            <w:vAlign w:val="center"/>
          </w:tcPr>
          <w:p w:rsidR="008921BF" w:rsidRPr="00F00150" w:rsidRDefault="008921BF" w:rsidP="00031B92">
            <w:pPr>
              <w:rPr>
                <w:rFonts w:ascii="Calibri" w:eastAsia="Times New Roman" w:hAnsi="Calibri" w:cs="Times New Roman"/>
                <w:color w:val="000000"/>
                <w:lang w:eastAsia="en-GB"/>
              </w:rPr>
            </w:pPr>
            <w:r w:rsidRPr="00F00150">
              <w:rPr>
                <w:rFonts w:ascii="Calibri" w:eastAsia="Times New Roman" w:hAnsi="Calibri" w:cs="Times New Roman"/>
                <w:color w:val="000000"/>
                <w:sz w:val="16"/>
                <w:szCs w:val="16"/>
                <w:lang w:eastAsia="en-GB"/>
              </w:rPr>
              <w:t>*</w:t>
            </w:r>
            <w:r>
              <w:rPr>
                <w:rFonts w:ascii="Calibri" w:eastAsia="Times New Roman" w:hAnsi="Calibri" w:cs="Times New Roman"/>
                <w:color w:val="000000"/>
                <w:sz w:val="16"/>
                <w:szCs w:val="16"/>
                <w:lang w:eastAsia="en-GB"/>
              </w:rPr>
              <w:t>Information and Advice includes referral to Carers Centre who then offer support</w:t>
            </w:r>
            <w:r w:rsidRPr="00F00150">
              <w:rPr>
                <w:rFonts w:ascii="Calibri" w:eastAsia="Times New Roman" w:hAnsi="Calibri" w:cs="Times New Roman"/>
                <w:color w:val="000000"/>
                <w:sz w:val="16"/>
                <w:szCs w:val="16"/>
                <w:lang w:eastAsia="en-GB"/>
              </w:rPr>
              <w:t xml:space="preserve"> </w:t>
            </w:r>
          </w:p>
        </w:tc>
      </w:tr>
    </w:tbl>
    <w:p w:rsidR="000D6FBF" w:rsidRDefault="000D6FBF" w:rsidP="000D6FBF">
      <w:pPr>
        <w:spacing w:after="0" w:line="240" w:lineRule="auto"/>
      </w:pPr>
      <w:r>
        <w:t>Source:  SWIFT – Adult Social Care Database</w:t>
      </w:r>
    </w:p>
    <w:p w:rsidR="008921BF" w:rsidRPr="00C822D1" w:rsidRDefault="008921BF" w:rsidP="008921BF">
      <w:pPr>
        <w:pStyle w:val="Heading3"/>
        <w:jc w:val="both"/>
      </w:pPr>
      <w:r w:rsidRPr="00C822D1">
        <w:t xml:space="preserve">The Value of Carers </w:t>
      </w:r>
    </w:p>
    <w:p w:rsidR="008921BF" w:rsidRDefault="008921BF" w:rsidP="008921BF">
      <w:pPr>
        <w:spacing w:after="0"/>
        <w:jc w:val="both"/>
      </w:pPr>
      <w:r w:rsidRPr="00C36020">
        <w:t xml:space="preserve">According to Carers UK, there are 6.4 million carers in the UK reducing the national care bill by an estimated £119bn per year, equivalent to £18,594 per carer. </w:t>
      </w:r>
      <w:r>
        <w:t>B</w:t>
      </w:r>
      <w:r w:rsidRPr="00C36020">
        <w:t>ased on</w:t>
      </w:r>
      <w:r>
        <w:t xml:space="preserve"> these figures and the 2011 </w:t>
      </w:r>
      <w:r>
        <w:lastRenderedPageBreak/>
        <w:t xml:space="preserve">Census, </w:t>
      </w:r>
      <w:r w:rsidRPr="00C36020">
        <w:t>Barnet’s informal carers have a potential to save health and social care services, up to £595m per year</w:t>
      </w:r>
      <w:r>
        <w:rPr>
          <w:rStyle w:val="FootnoteReference"/>
        </w:rPr>
        <w:footnoteReference w:id="144"/>
      </w:r>
      <w:r>
        <w:t>.</w:t>
      </w:r>
    </w:p>
    <w:p w:rsidR="008921BF" w:rsidRDefault="008921BF" w:rsidP="008921BF">
      <w:pPr>
        <w:spacing w:after="0"/>
        <w:jc w:val="both"/>
        <w:rPr>
          <w:rFonts w:ascii="Calibri" w:hAnsi="Calibri" w:cs="Calibri"/>
          <w:b/>
          <w:i/>
        </w:rPr>
      </w:pPr>
    </w:p>
    <w:p w:rsidR="008921BF" w:rsidRPr="007324BC" w:rsidRDefault="008921BF" w:rsidP="008921BF">
      <w:pPr>
        <w:pStyle w:val="Default"/>
        <w:spacing w:line="276" w:lineRule="auto"/>
        <w:jc w:val="both"/>
        <w:rPr>
          <w:rFonts w:asciiTheme="minorHAnsi" w:hAnsiTheme="minorHAnsi" w:cstheme="minorBidi"/>
          <w:color w:val="auto"/>
          <w:sz w:val="22"/>
          <w:szCs w:val="22"/>
        </w:rPr>
      </w:pPr>
      <w:r w:rsidRPr="007324BC">
        <w:rPr>
          <w:rFonts w:asciiTheme="minorHAnsi" w:hAnsiTheme="minorHAnsi" w:cstheme="minorBidi"/>
          <w:color w:val="auto"/>
          <w:sz w:val="22"/>
          <w:szCs w:val="22"/>
        </w:rPr>
        <w:t xml:space="preserve">While there are positive aspects to being a </w:t>
      </w:r>
      <w:proofErr w:type="spellStart"/>
      <w:r w:rsidRPr="007324BC">
        <w:rPr>
          <w:rFonts w:asciiTheme="minorHAnsi" w:hAnsiTheme="minorHAnsi" w:cstheme="minorBidi"/>
          <w:color w:val="auto"/>
          <w:sz w:val="22"/>
          <w:szCs w:val="22"/>
        </w:rPr>
        <w:t>carer</w:t>
      </w:r>
      <w:proofErr w:type="spellEnd"/>
      <w:r w:rsidRPr="007324BC">
        <w:rPr>
          <w:rFonts w:asciiTheme="minorHAnsi" w:hAnsiTheme="minorHAnsi" w:cstheme="minorBidi"/>
          <w:color w:val="auto"/>
          <w:sz w:val="22"/>
          <w:szCs w:val="22"/>
        </w:rPr>
        <w:t xml:space="preserve">, some carers can experience changes in their health and wellbeing. Carers can suffer from increased stress, social isolation, financial hardship, ill-health and </w:t>
      </w:r>
      <w:r>
        <w:rPr>
          <w:rFonts w:asciiTheme="minorHAnsi" w:hAnsiTheme="minorHAnsi" w:cstheme="minorBidi"/>
          <w:color w:val="auto"/>
          <w:sz w:val="22"/>
          <w:szCs w:val="22"/>
        </w:rPr>
        <w:t>reduced personal time</w:t>
      </w:r>
      <w:r w:rsidRPr="007324BC">
        <w:rPr>
          <w:rFonts w:asciiTheme="minorHAnsi" w:hAnsiTheme="minorHAnsi" w:cstheme="minorBidi"/>
          <w:color w:val="auto"/>
          <w:sz w:val="22"/>
          <w:szCs w:val="22"/>
        </w:rPr>
        <w:t xml:space="preserve">.  Being a young carer can impact on a young person’s childhood and can have a detrimental impact on educational attainment, health and emotional wellbeing, and the ability to make friends and have a social life.  </w:t>
      </w:r>
    </w:p>
    <w:p w:rsidR="008921BF" w:rsidRDefault="008921BF" w:rsidP="008921BF">
      <w:pPr>
        <w:spacing w:after="0"/>
        <w:jc w:val="both"/>
      </w:pPr>
    </w:p>
    <w:p w:rsidR="008921BF" w:rsidRDefault="008921BF" w:rsidP="008921BF">
      <w:pPr>
        <w:spacing w:after="0"/>
        <w:jc w:val="both"/>
      </w:pPr>
      <w:r>
        <w:t>On aver</w:t>
      </w:r>
      <w:r w:rsidRPr="00856B90">
        <w:t>age</w:t>
      </w:r>
      <w:r w:rsidR="004A416F">
        <w:t>,</w:t>
      </w:r>
      <w:r w:rsidRPr="00856B90">
        <w:t xml:space="preserve"> 5.2% of carers</w:t>
      </w:r>
      <w:r>
        <w:t xml:space="preserve"> in</w:t>
      </w:r>
      <w:r w:rsidRPr="00856B90">
        <w:t xml:space="preserve"> the 2011 Census r</w:t>
      </w:r>
      <w:r>
        <w:t>e</w:t>
      </w:r>
      <w:r w:rsidRPr="00856B90">
        <w:t>ported having poor health, compared to 4.2% of non-c</w:t>
      </w:r>
      <w:r>
        <w:t>arers. There also appeared to be a correlation between the amount of care provided and health, with carers who provided</w:t>
      </w:r>
      <w:r w:rsidRPr="00856B90">
        <w:t xml:space="preserve"> 50 hours or more care a week</w:t>
      </w:r>
      <w:r>
        <w:t xml:space="preserve"> being over two times more likely to report poor health than those providing 1 to19 hours of care. </w:t>
      </w:r>
    </w:p>
    <w:p w:rsidR="008921BF" w:rsidRDefault="008921BF" w:rsidP="008921BF">
      <w:pPr>
        <w:spacing w:after="0"/>
        <w:jc w:val="both"/>
      </w:pPr>
    </w:p>
    <w:p w:rsidR="008921BF" w:rsidRPr="00856B90" w:rsidRDefault="008921BF" w:rsidP="008921BF">
      <w:pPr>
        <w:spacing w:after="0"/>
        <w:jc w:val="both"/>
      </w:pPr>
      <w:r>
        <w:t>T</w:t>
      </w:r>
      <w:r w:rsidRPr="00C36020">
        <w:t>herefore, it is vital that</w:t>
      </w:r>
      <w:r w:rsidR="00EA5799">
        <w:t xml:space="preserve"> to</w:t>
      </w:r>
      <w:r>
        <w:t xml:space="preserve"> </w:t>
      </w:r>
      <w:r w:rsidRPr="00C36020">
        <w:t>identify and support carers appropriately to ensure that they can continue with their caring role without it adversely affecting the own health and wellbeing.</w:t>
      </w:r>
    </w:p>
    <w:p w:rsidR="008921BF" w:rsidRDefault="008921BF" w:rsidP="008921BF">
      <w:pPr>
        <w:spacing w:after="0" w:line="240" w:lineRule="auto"/>
        <w:ind w:right="-1180"/>
        <w:jc w:val="both"/>
        <w:rPr>
          <w:rFonts w:ascii="Calibri" w:hAnsi="Calibri" w:cs="Calibri"/>
          <w:b/>
          <w:i/>
        </w:rPr>
      </w:pPr>
    </w:p>
    <w:p w:rsidR="008921BF" w:rsidRDefault="008921BF" w:rsidP="008921BF">
      <w:pPr>
        <w:pStyle w:val="Caption"/>
        <w:rPr>
          <w:noProof/>
          <w:sz w:val="16"/>
          <w:szCs w:val="16"/>
        </w:rPr>
      </w:pPr>
      <w:r>
        <w:t xml:space="preserve">Figure </w:t>
      </w:r>
      <w:fldSimple w:instr=" STYLEREF 1 \s ">
        <w:r w:rsidR="001663C2">
          <w:rPr>
            <w:noProof/>
          </w:rPr>
          <w:t>9</w:t>
        </w:r>
      </w:fldSimple>
      <w:r w:rsidR="00943DC2">
        <w:noBreakHyphen/>
      </w:r>
      <w:fldSimple w:instr=" SEQ Figure \* ARABIC \s 1 ">
        <w:r w:rsidR="001663C2">
          <w:rPr>
            <w:noProof/>
          </w:rPr>
          <w:t>6</w:t>
        </w:r>
      </w:fldSimple>
      <w:r w:rsidRPr="00041E32">
        <w:t>: Proportion of Unpaid Carers in Barnet in Poor Health</w:t>
      </w:r>
      <w:r>
        <w:rPr>
          <w:rFonts w:ascii="Calibri" w:hAnsi="Calibri" w:cs="Calibri"/>
          <w:b w:val="0"/>
          <w:i/>
        </w:rPr>
        <w:t xml:space="preserve"> </w:t>
      </w:r>
    </w:p>
    <w:p w:rsidR="008921BF" w:rsidRDefault="008921BF" w:rsidP="008921BF">
      <w:pPr>
        <w:spacing w:after="0" w:line="240" w:lineRule="auto"/>
        <w:ind w:right="-1180"/>
        <w:rPr>
          <w:noProof/>
          <w:sz w:val="16"/>
          <w:szCs w:val="16"/>
        </w:rPr>
      </w:pPr>
      <w:r>
        <w:rPr>
          <w:noProof/>
          <w:lang w:eastAsia="en-GB"/>
        </w:rPr>
        <w:drawing>
          <wp:inline distT="0" distB="0" distL="0" distR="0" wp14:anchorId="290DB711" wp14:editId="0E34DA0D">
            <wp:extent cx="5709684" cy="1679944"/>
            <wp:effectExtent l="0" t="0" r="24765" b="15875"/>
            <wp:docPr id="77" name="Chart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205"/>
              </a:graphicData>
            </a:graphic>
          </wp:inline>
        </w:drawing>
      </w:r>
    </w:p>
    <w:p w:rsidR="008921BF" w:rsidRDefault="008921BF" w:rsidP="008921BF">
      <w:pPr>
        <w:spacing w:after="0"/>
      </w:pPr>
      <w:r>
        <w:t>Source: Census 2011</w:t>
      </w:r>
    </w:p>
    <w:p w:rsidR="008921BF" w:rsidRDefault="008921BF" w:rsidP="008921BF">
      <w:pPr>
        <w:pStyle w:val="Heading3"/>
        <w:jc w:val="both"/>
      </w:pPr>
      <w:r w:rsidRPr="00FA25BD">
        <w:t>Gaps in Current Provision</w:t>
      </w:r>
    </w:p>
    <w:p w:rsidR="008921BF" w:rsidRDefault="00EA5799" w:rsidP="008921BF">
      <w:pPr>
        <w:spacing w:after="0"/>
        <w:jc w:val="both"/>
      </w:pPr>
      <w:r>
        <w:t xml:space="preserve">The Council </w:t>
      </w:r>
      <w:r w:rsidR="008921BF" w:rsidRPr="00C36020">
        <w:t>recognise</w:t>
      </w:r>
      <w:r>
        <w:t>s the</w:t>
      </w:r>
      <w:r w:rsidR="008921BF" w:rsidRPr="00C36020">
        <w:t xml:space="preserve"> need to</w:t>
      </w:r>
      <w:r w:rsidR="008921BF">
        <w:t>:</w:t>
      </w:r>
    </w:p>
    <w:p w:rsidR="008921BF" w:rsidRDefault="00EA5799" w:rsidP="008921BF">
      <w:pPr>
        <w:pStyle w:val="ListParagraph"/>
        <w:numPr>
          <w:ilvl w:val="0"/>
          <w:numId w:val="52"/>
        </w:numPr>
        <w:spacing w:after="0"/>
        <w:jc w:val="both"/>
      </w:pPr>
      <w:r>
        <w:t>C</w:t>
      </w:r>
      <w:r w:rsidR="008921BF">
        <w:t xml:space="preserve">ontinue to </w:t>
      </w:r>
      <w:r w:rsidR="008921BF" w:rsidRPr="00C36020">
        <w:t>provide co-ordinated i</w:t>
      </w:r>
      <w:r w:rsidR="008921BF">
        <w:t xml:space="preserve">nformation and advice to carers; </w:t>
      </w:r>
    </w:p>
    <w:p w:rsidR="008921BF" w:rsidRDefault="008921BF" w:rsidP="008921BF">
      <w:pPr>
        <w:pStyle w:val="ListParagraph"/>
        <w:numPr>
          <w:ilvl w:val="0"/>
          <w:numId w:val="52"/>
        </w:numPr>
        <w:spacing w:after="0"/>
        <w:jc w:val="both"/>
      </w:pPr>
      <w:r>
        <w:t>I</w:t>
      </w:r>
      <w:r w:rsidRPr="00C36020">
        <w:t xml:space="preserve">mprove carers access to preventative services </w:t>
      </w:r>
      <w:r>
        <w:t>which may be of benefit to them;</w:t>
      </w:r>
    </w:p>
    <w:p w:rsidR="008921BF" w:rsidRDefault="008921BF" w:rsidP="008921BF">
      <w:pPr>
        <w:pStyle w:val="ListParagraph"/>
        <w:numPr>
          <w:ilvl w:val="0"/>
          <w:numId w:val="52"/>
        </w:numPr>
        <w:spacing w:after="0"/>
        <w:jc w:val="both"/>
      </w:pPr>
      <w:r>
        <w:t>F</w:t>
      </w:r>
      <w:r w:rsidRPr="00C36020">
        <w:t>urt</w:t>
      </w:r>
      <w:r w:rsidR="00702B67">
        <w:t xml:space="preserve">her embed good practise with </w:t>
      </w:r>
      <w:r w:rsidRPr="00C36020">
        <w:t xml:space="preserve">staff and increase carers awareness throughout the </w:t>
      </w:r>
      <w:r>
        <w:t>Borough;</w:t>
      </w:r>
    </w:p>
    <w:p w:rsidR="008921BF" w:rsidRDefault="008921BF" w:rsidP="008921BF">
      <w:pPr>
        <w:pStyle w:val="ListParagraph"/>
        <w:numPr>
          <w:ilvl w:val="0"/>
          <w:numId w:val="52"/>
        </w:numPr>
        <w:spacing w:after="0"/>
        <w:jc w:val="both"/>
      </w:pPr>
      <w:r>
        <w:t>S</w:t>
      </w:r>
      <w:r w:rsidRPr="00C36020">
        <w:t>trengthen partnership working with key stakeholders to ensure that referral pathways are being utilised</w:t>
      </w:r>
      <w:r>
        <w:t>;</w:t>
      </w:r>
      <w:r w:rsidRPr="00C36020">
        <w:t xml:space="preserve"> and </w:t>
      </w:r>
    </w:p>
    <w:p w:rsidR="008921BF" w:rsidRDefault="008921BF" w:rsidP="008921BF">
      <w:pPr>
        <w:pStyle w:val="ListParagraph"/>
        <w:numPr>
          <w:ilvl w:val="0"/>
          <w:numId w:val="52"/>
        </w:numPr>
        <w:spacing w:after="0"/>
        <w:jc w:val="both"/>
      </w:pPr>
      <w:r>
        <w:t>Ensure that</w:t>
      </w:r>
      <w:r w:rsidRPr="00C36020">
        <w:t xml:space="preserve"> carers are getting access to the r</w:t>
      </w:r>
      <w:r>
        <w:t>ight support when they need it.</w:t>
      </w:r>
    </w:p>
    <w:p w:rsidR="008921BF" w:rsidRDefault="008921BF" w:rsidP="008921BF">
      <w:pPr>
        <w:spacing w:after="0"/>
        <w:jc w:val="both"/>
      </w:pPr>
    </w:p>
    <w:p w:rsidR="008921BF" w:rsidRDefault="008921BF" w:rsidP="008921BF">
      <w:pPr>
        <w:spacing w:after="0"/>
        <w:jc w:val="both"/>
      </w:pPr>
      <w:r>
        <w:t>T</w:t>
      </w:r>
      <w:r w:rsidRPr="00C36020">
        <w:t>here continues to be a real need to understand and quantify the impact that dif</w:t>
      </w:r>
      <w:r>
        <w:t>ferent services and support has</w:t>
      </w:r>
      <w:r w:rsidRPr="00C36020">
        <w:t xml:space="preserve"> on</w:t>
      </w:r>
      <w:r>
        <w:t>:</w:t>
      </w:r>
    </w:p>
    <w:p w:rsidR="008921BF" w:rsidRDefault="008921BF" w:rsidP="008921BF">
      <w:pPr>
        <w:pStyle w:val="ListParagraph"/>
        <w:numPr>
          <w:ilvl w:val="0"/>
          <w:numId w:val="51"/>
        </w:numPr>
        <w:spacing w:after="0"/>
        <w:jc w:val="both"/>
      </w:pPr>
      <w:r>
        <w:t>A c</w:t>
      </w:r>
      <w:r w:rsidRPr="00C36020">
        <w:t>arers’ ability to continue in their role</w:t>
      </w:r>
      <w:r>
        <w:t>;</w:t>
      </w:r>
    </w:p>
    <w:p w:rsidR="008921BF" w:rsidRDefault="008921BF" w:rsidP="008921BF">
      <w:pPr>
        <w:pStyle w:val="ListParagraph"/>
        <w:numPr>
          <w:ilvl w:val="0"/>
          <w:numId w:val="51"/>
        </w:numPr>
        <w:spacing w:after="0"/>
        <w:jc w:val="both"/>
      </w:pPr>
      <w:r>
        <w:t>H</w:t>
      </w:r>
      <w:r w:rsidRPr="00C36020">
        <w:t>elp</w:t>
      </w:r>
      <w:r>
        <w:t>ing carers to achieve their desired outcomes;</w:t>
      </w:r>
      <w:r w:rsidRPr="00C36020">
        <w:t xml:space="preserve"> </w:t>
      </w:r>
    </w:p>
    <w:p w:rsidR="008921BF" w:rsidRDefault="008921BF" w:rsidP="008921BF">
      <w:pPr>
        <w:pStyle w:val="ListParagraph"/>
        <w:numPr>
          <w:ilvl w:val="0"/>
          <w:numId w:val="51"/>
        </w:numPr>
        <w:spacing w:after="0"/>
        <w:jc w:val="both"/>
      </w:pPr>
      <w:r>
        <w:lastRenderedPageBreak/>
        <w:t xml:space="preserve">Helping carers to look after </w:t>
      </w:r>
      <w:r w:rsidRPr="00C36020">
        <w:t>their own health and wellbeing</w:t>
      </w:r>
      <w:r>
        <w:t>;</w:t>
      </w:r>
      <w:r w:rsidRPr="00C36020">
        <w:t xml:space="preserve"> and </w:t>
      </w:r>
    </w:p>
    <w:p w:rsidR="008921BF" w:rsidRDefault="008921BF" w:rsidP="008921BF">
      <w:pPr>
        <w:pStyle w:val="ListParagraph"/>
        <w:numPr>
          <w:ilvl w:val="0"/>
          <w:numId w:val="51"/>
        </w:numPr>
        <w:spacing w:after="0"/>
        <w:jc w:val="both"/>
      </w:pPr>
      <w:r>
        <w:t>T</w:t>
      </w:r>
      <w:r w:rsidRPr="00C36020">
        <w:t>he savings that are achieved through doing this.</w:t>
      </w:r>
    </w:p>
    <w:p w:rsidR="008921BF" w:rsidRDefault="008921BF" w:rsidP="008921BF">
      <w:pPr>
        <w:spacing w:after="0"/>
        <w:jc w:val="both"/>
      </w:pPr>
    </w:p>
    <w:p w:rsidR="008921BF" w:rsidRDefault="008921BF" w:rsidP="008921BF">
      <w:pPr>
        <w:spacing w:after="0"/>
        <w:jc w:val="both"/>
      </w:pPr>
      <w:r w:rsidRPr="00C36020">
        <w:t xml:space="preserve">There is also a continued need for health and social care professionals to be aware of and take into account the mental and physical implications that caring brings.  </w:t>
      </w:r>
    </w:p>
    <w:p w:rsidR="008921BF" w:rsidRDefault="008921BF" w:rsidP="008921BF">
      <w:pPr>
        <w:spacing w:after="0"/>
        <w:jc w:val="both"/>
      </w:pPr>
    </w:p>
    <w:p w:rsidR="008921BF" w:rsidRDefault="008921BF" w:rsidP="008921BF">
      <w:pPr>
        <w:spacing w:after="0"/>
        <w:jc w:val="both"/>
      </w:pPr>
      <w:r w:rsidRPr="00C36020">
        <w:t xml:space="preserve">The demand for carers is projected to </w:t>
      </w:r>
      <w:r>
        <w:t>grow</w:t>
      </w:r>
      <w:r w:rsidRPr="00C36020">
        <w:t xml:space="preserve"> with the increase in life expectancy, the increase in people living with a disability needing care</w:t>
      </w:r>
      <w:r w:rsidR="004A416F">
        <w:t>,</w:t>
      </w:r>
      <w:r w:rsidRPr="00C36020">
        <w:t xml:space="preserve"> and with the changes to community based support services.  </w:t>
      </w:r>
    </w:p>
    <w:p w:rsidR="008921BF" w:rsidRPr="00DB1432" w:rsidRDefault="008921BF" w:rsidP="008921BF">
      <w:pPr>
        <w:spacing w:after="0"/>
        <w:jc w:val="both"/>
      </w:pPr>
    </w:p>
    <w:p w:rsidR="008921BF" w:rsidRPr="002774ED" w:rsidRDefault="008921BF" w:rsidP="008921BF">
      <w:pPr>
        <w:jc w:val="both"/>
      </w:pPr>
      <w:r>
        <w:t xml:space="preserve">In addition to increased demand from demographic pressures, the new duties being brought in by the Care Act are expected to increase the number of people contacting the council and the number of people needing to be assessed. </w:t>
      </w:r>
    </w:p>
    <w:p w:rsidR="008921BF" w:rsidRDefault="008921BF" w:rsidP="00177243">
      <w:pPr>
        <w:spacing w:after="0" w:line="240" w:lineRule="auto"/>
        <w:jc w:val="both"/>
      </w:pPr>
      <w:r>
        <w:t xml:space="preserve">Table 9-17 displays the estimated number of self-funders who are currently in residential care and use community services, as well as the number of existing care home and care agencies.  </w:t>
      </w:r>
      <w:r w:rsidRPr="00194730">
        <w:t>This illustrates that, depending on demand, the local authority will have to engage with a significant number of people and providers with whom it does not currently engage.</w:t>
      </w:r>
    </w:p>
    <w:p w:rsidR="008921BF" w:rsidRPr="004A7EA5" w:rsidRDefault="008921BF" w:rsidP="00177243">
      <w:pPr>
        <w:spacing w:after="0" w:line="240" w:lineRule="auto"/>
        <w:ind w:right="-1180"/>
        <w:rPr>
          <w:rFonts w:ascii="Calibri" w:hAnsi="Calibri" w:cs="Calibri"/>
          <w:b/>
          <w:i/>
        </w:rPr>
      </w:pPr>
    </w:p>
    <w:p w:rsidR="008921BF" w:rsidRDefault="008921BF" w:rsidP="00177243">
      <w:pPr>
        <w:pStyle w:val="Caption"/>
        <w:spacing w:after="0"/>
        <w:rPr>
          <w:rFonts w:ascii="Calibri" w:hAnsi="Calibri" w:cs="Calibri"/>
          <w:b w:val="0"/>
          <w:i/>
        </w:rPr>
      </w:pPr>
      <w:r>
        <w:t xml:space="preserve">Table </w:t>
      </w:r>
      <w:fldSimple w:instr=" STYLEREF 1 \s ">
        <w:r w:rsidR="001663C2">
          <w:rPr>
            <w:noProof/>
          </w:rPr>
          <w:t>9</w:t>
        </w:r>
      </w:fldSimple>
      <w:r>
        <w:noBreakHyphen/>
      </w:r>
      <w:fldSimple w:instr=" SEQ Table \* ARABIC \s 1 ">
        <w:r w:rsidR="001663C2">
          <w:rPr>
            <w:noProof/>
          </w:rPr>
          <w:t>17</w:t>
        </w:r>
      </w:fldSimple>
      <w:r w:rsidRPr="00041E32">
        <w:t>: Number of existing self-funding carers and services</w:t>
      </w:r>
    </w:p>
    <w:tbl>
      <w:tblPr>
        <w:tblStyle w:val="TableGrid"/>
        <w:tblW w:w="5219" w:type="dxa"/>
        <w:jc w:val="center"/>
        <w:tblInd w:w="-1363" w:type="dxa"/>
        <w:tblLook w:val="04A0" w:firstRow="1" w:lastRow="0" w:firstColumn="1" w:lastColumn="0" w:noHBand="0" w:noVBand="1"/>
      </w:tblPr>
      <w:tblGrid>
        <w:gridCol w:w="4372"/>
        <w:gridCol w:w="847"/>
      </w:tblGrid>
      <w:tr w:rsidR="008921BF" w:rsidRPr="00723C7D" w:rsidTr="00031B92">
        <w:trPr>
          <w:trHeight w:val="570"/>
          <w:jc w:val="center"/>
        </w:trPr>
        <w:tc>
          <w:tcPr>
            <w:tcW w:w="4372" w:type="dxa"/>
            <w:shd w:val="clear" w:color="auto" w:fill="BFBFBF" w:themeFill="background1" w:themeFillShade="BF"/>
            <w:vAlign w:val="center"/>
          </w:tcPr>
          <w:p w:rsidR="008921BF" w:rsidRPr="00723C7D" w:rsidRDefault="008921BF" w:rsidP="00031B92">
            <w:pPr>
              <w:jc w:val="center"/>
              <w:rPr>
                <w:rFonts w:ascii="Calibri" w:eastAsia="Times New Roman" w:hAnsi="Calibri" w:cs="Times New Roman"/>
                <w:b/>
                <w:bCs/>
                <w:lang w:eastAsia="en-GB"/>
              </w:rPr>
            </w:pPr>
            <w:r>
              <w:rPr>
                <w:rFonts w:ascii="Calibri" w:eastAsia="Times New Roman" w:hAnsi="Calibri" w:cs="Times New Roman"/>
                <w:b/>
                <w:bCs/>
                <w:lang w:eastAsia="en-GB"/>
              </w:rPr>
              <w:t>Type</w:t>
            </w:r>
          </w:p>
        </w:tc>
        <w:tc>
          <w:tcPr>
            <w:tcW w:w="847" w:type="dxa"/>
            <w:shd w:val="clear" w:color="auto" w:fill="BFBFBF" w:themeFill="background1" w:themeFillShade="BF"/>
            <w:vAlign w:val="center"/>
          </w:tcPr>
          <w:p w:rsidR="008921BF" w:rsidRPr="00723C7D" w:rsidRDefault="008921BF" w:rsidP="00031B92">
            <w:pPr>
              <w:jc w:val="center"/>
              <w:rPr>
                <w:rFonts w:ascii="Calibri" w:eastAsia="Times New Roman" w:hAnsi="Calibri" w:cs="Times New Roman"/>
                <w:b/>
                <w:color w:val="000000"/>
                <w:lang w:eastAsia="en-GB"/>
              </w:rPr>
            </w:pPr>
            <w:r>
              <w:rPr>
                <w:rFonts w:ascii="Calibri" w:eastAsia="Times New Roman" w:hAnsi="Calibri" w:cs="Times New Roman"/>
                <w:b/>
                <w:color w:val="000000"/>
                <w:lang w:eastAsia="en-GB"/>
              </w:rPr>
              <w:t>No.</w:t>
            </w:r>
          </w:p>
        </w:tc>
      </w:tr>
      <w:tr w:rsidR="008921BF" w:rsidRPr="00311580" w:rsidTr="00031B92">
        <w:trPr>
          <w:trHeight w:val="315"/>
          <w:jc w:val="center"/>
        </w:trPr>
        <w:tc>
          <w:tcPr>
            <w:tcW w:w="4372" w:type="dxa"/>
            <w:noWrap/>
            <w:vAlign w:val="center"/>
            <w:hideMark/>
          </w:tcPr>
          <w:p w:rsidR="008921BF" w:rsidRPr="008350B5" w:rsidRDefault="008921BF" w:rsidP="00031B92">
            <w:pPr>
              <w:jc w:val="center"/>
              <w:rPr>
                <w:rFonts w:eastAsia="Times New Roman" w:cs="Times New Roman"/>
                <w:lang w:eastAsia="en-GB"/>
              </w:rPr>
            </w:pPr>
            <w:r w:rsidRPr="008350B5">
              <w:rPr>
                <w:rFonts w:eastAsia="Times New Roman" w:cs="Times New Roman"/>
                <w:lang w:eastAsia="en-GB"/>
              </w:rPr>
              <w:t>Self-funders in residential care</w:t>
            </w:r>
          </w:p>
        </w:tc>
        <w:tc>
          <w:tcPr>
            <w:tcW w:w="847" w:type="dxa"/>
            <w:noWrap/>
            <w:vAlign w:val="center"/>
          </w:tcPr>
          <w:p w:rsidR="008921BF" w:rsidRPr="008350B5" w:rsidRDefault="008921BF" w:rsidP="00031B92">
            <w:pPr>
              <w:jc w:val="center"/>
              <w:rPr>
                <w:rFonts w:eastAsia="Times New Roman" w:cs="Times New Roman"/>
                <w:lang w:eastAsia="en-GB"/>
              </w:rPr>
            </w:pPr>
            <w:r w:rsidRPr="008350B5">
              <w:rPr>
                <w:rFonts w:eastAsia="Times New Roman" w:cs="Times New Roman"/>
                <w:lang w:eastAsia="en-GB"/>
              </w:rPr>
              <w:t>750</w:t>
            </w:r>
          </w:p>
        </w:tc>
      </w:tr>
      <w:tr w:rsidR="008921BF" w:rsidRPr="00311580" w:rsidTr="00031B92">
        <w:trPr>
          <w:trHeight w:val="300"/>
          <w:jc w:val="center"/>
        </w:trPr>
        <w:tc>
          <w:tcPr>
            <w:tcW w:w="4372" w:type="dxa"/>
            <w:noWrap/>
            <w:vAlign w:val="center"/>
          </w:tcPr>
          <w:p w:rsidR="008921BF" w:rsidRPr="008350B5" w:rsidRDefault="008921BF" w:rsidP="00031B92">
            <w:pPr>
              <w:jc w:val="center"/>
              <w:rPr>
                <w:rFonts w:eastAsia="Times New Roman" w:cs="Times New Roman"/>
                <w:lang w:eastAsia="en-GB"/>
              </w:rPr>
            </w:pPr>
            <w:r w:rsidRPr="008350B5">
              <w:rPr>
                <w:rFonts w:eastAsia="Times New Roman" w:cs="Times New Roman"/>
                <w:lang w:eastAsia="en-GB"/>
              </w:rPr>
              <w:t>Self-funders who use community services</w:t>
            </w:r>
          </w:p>
        </w:tc>
        <w:tc>
          <w:tcPr>
            <w:tcW w:w="847" w:type="dxa"/>
            <w:noWrap/>
            <w:vAlign w:val="center"/>
          </w:tcPr>
          <w:p w:rsidR="008921BF" w:rsidRPr="008350B5" w:rsidRDefault="008921BF" w:rsidP="00031B92">
            <w:pPr>
              <w:jc w:val="center"/>
              <w:rPr>
                <w:rFonts w:eastAsia="Times New Roman" w:cs="Times New Roman"/>
                <w:lang w:eastAsia="en-GB"/>
              </w:rPr>
            </w:pPr>
            <w:r w:rsidRPr="008350B5">
              <w:rPr>
                <w:rFonts w:eastAsia="Times New Roman" w:cs="Times New Roman"/>
                <w:lang w:eastAsia="en-GB"/>
              </w:rPr>
              <w:t>12,000</w:t>
            </w:r>
          </w:p>
        </w:tc>
      </w:tr>
      <w:tr w:rsidR="008921BF" w:rsidRPr="00311580" w:rsidTr="00031B92">
        <w:trPr>
          <w:trHeight w:val="300"/>
          <w:jc w:val="center"/>
        </w:trPr>
        <w:tc>
          <w:tcPr>
            <w:tcW w:w="4372" w:type="dxa"/>
            <w:noWrap/>
            <w:vAlign w:val="center"/>
          </w:tcPr>
          <w:p w:rsidR="008921BF" w:rsidRPr="008350B5" w:rsidRDefault="008921BF" w:rsidP="00031B92">
            <w:pPr>
              <w:jc w:val="center"/>
              <w:rPr>
                <w:rFonts w:eastAsia="Times New Roman" w:cs="Times New Roman"/>
                <w:lang w:eastAsia="en-GB"/>
              </w:rPr>
            </w:pPr>
            <w:r w:rsidRPr="008350B5">
              <w:rPr>
                <w:rFonts w:eastAsia="Times New Roman" w:cs="Times New Roman"/>
                <w:lang w:eastAsia="en-GB"/>
              </w:rPr>
              <w:t>Residential and nursing homes</w:t>
            </w:r>
          </w:p>
        </w:tc>
        <w:tc>
          <w:tcPr>
            <w:tcW w:w="847" w:type="dxa"/>
            <w:noWrap/>
            <w:vAlign w:val="center"/>
          </w:tcPr>
          <w:p w:rsidR="008921BF" w:rsidRPr="008350B5" w:rsidRDefault="008921BF" w:rsidP="00031B92">
            <w:pPr>
              <w:jc w:val="center"/>
              <w:rPr>
                <w:rFonts w:eastAsia="Times New Roman" w:cs="Times New Roman"/>
                <w:lang w:eastAsia="en-GB"/>
              </w:rPr>
            </w:pPr>
            <w:r w:rsidRPr="008350B5">
              <w:rPr>
                <w:rFonts w:eastAsia="Times New Roman" w:cs="Times New Roman"/>
                <w:lang w:eastAsia="en-GB"/>
              </w:rPr>
              <w:t>110</w:t>
            </w:r>
          </w:p>
        </w:tc>
      </w:tr>
      <w:tr w:rsidR="008921BF" w:rsidTr="00031B92">
        <w:trPr>
          <w:trHeight w:val="300"/>
          <w:jc w:val="center"/>
        </w:trPr>
        <w:tc>
          <w:tcPr>
            <w:tcW w:w="4372" w:type="dxa"/>
            <w:noWrap/>
            <w:vAlign w:val="center"/>
          </w:tcPr>
          <w:p w:rsidR="008921BF" w:rsidRPr="008350B5" w:rsidRDefault="008921BF" w:rsidP="00031B92">
            <w:pPr>
              <w:jc w:val="center"/>
              <w:rPr>
                <w:rFonts w:eastAsia="Times New Roman" w:cs="Times New Roman"/>
                <w:lang w:eastAsia="en-GB"/>
              </w:rPr>
            </w:pPr>
            <w:r w:rsidRPr="008350B5">
              <w:rPr>
                <w:rFonts w:eastAsia="Times New Roman" w:cs="Times New Roman"/>
                <w:lang w:eastAsia="en-GB"/>
              </w:rPr>
              <w:t>Home care agencies</w:t>
            </w:r>
          </w:p>
        </w:tc>
        <w:tc>
          <w:tcPr>
            <w:tcW w:w="847" w:type="dxa"/>
            <w:noWrap/>
            <w:vAlign w:val="center"/>
          </w:tcPr>
          <w:p w:rsidR="008921BF" w:rsidRPr="008350B5" w:rsidRDefault="008921BF" w:rsidP="00031B92">
            <w:pPr>
              <w:jc w:val="center"/>
              <w:rPr>
                <w:rFonts w:eastAsia="Times New Roman" w:cs="Times New Roman"/>
                <w:lang w:eastAsia="en-GB"/>
              </w:rPr>
            </w:pPr>
            <w:r w:rsidRPr="008350B5">
              <w:rPr>
                <w:rFonts w:eastAsia="Times New Roman" w:cs="Times New Roman"/>
                <w:lang w:eastAsia="en-GB"/>
              </w:rPr>
              <w:t>72</w:t>
            </w:r>
          </w:p>
        </w:tc>
      </w:tr>
    </w:tbl>
    <w:p w:rsidR="008921BF" w:rsidRDefault="008921BF" w:rsidP="008921BF">
      <w:pPr>
        <w:spacing w:after="0" w:line="240" w:lineRule="auto"/>
      </w:pPr>
    </w:p>
    <w:p w:rsidR="008921BF" w:rsidRDefault="008921BF" w:rsidP="008921BF">
      <w:pPr>
        <w:spacing w:after="0" w:line="240" w:lineRule="auto"/>
        <w:jc w:val="both"/>
      </w:pPr>
      <w:r>
        <w:t>Additional demand is also expected from people who live</w:t>
      </w:r>
      <w:r w:rsidRPr="00194730">
        <w:t xml:space="preserve"> in their own homes</w:t>
      </w:r>
      <w:r>
        <w:t>,</w:t>
      </w:r>
      <w:r w:rsidRPr="00194730">
        <w:t xml:space="preserve"> who</w:t>
      </w:r>
      <w:r>
        <w:t xml:space="preserve"> currently</w:t>
      </w:r>
      <w:r w:rsidRPr="00194730">
        <w:t xml:space="preserve"> do not re</w:t>
      </w:r>
      <w:r>
        <w:t>ceive care, coming forward. Local demand modelling, shown in Table 19</w:t>
      </w:r>
      <w:r w:rsidR="004A416F">
        <w:t>-18</w:t>
      </w:r>
      <w:r>
        <w:t xml:space="preserve">, indicates that this could have a significant impact on demand. </w:t>
      </w:r>
    </w:p>
    <w:p w:rsidR="009C19B1" w:rsidRDefault="009C19B1" w:rsidP="008921BF">
      <w:pPr>
        <w:spacing w:after="0" w:line="240" w:lineRule="auto"/>
        <w:jc w:val="both"/>
      </w:pPr>
    </w:p>
    <w:p w:rsidR="008921BF" w:rsidRDefault="008921BF" w:rsidP="008921BF">
      <w:pPr>
        <w:pStyle w:val="Caption"/>
        <w:rPr>
          <w:rFonts w:ascii="Calibri" w:hAnsi="Calibri" w:cs="Calibri"/>
          <w:b w:val="0"/>
          <w:i/>
        </w:rPr>
      </w:pPr>
      <w:r>
        <w:t xml:space="preserve">Table </w:t>
      </w:r>
      <w:fldSimple w:instr=" STYLEREF 1 \s ">
        <w:r w:rsidR="001663C2">
          <w:rPr>
            <w:noProof/>
          </w:rPr>
          <w:t>9</w:t>
        </w:r>
      </w:fldSimple>
      <w:r>
        <w:noBreakHyphen/>
      </w:r>
      <w:fldSimple w:instr=" SEQ Table \* ARABIC \s 1 ">
        <w:r w:rsidR="001663C2">
          <w:rPr>
            <w:noProof/>
          </w:rPr>
          <w:t>18</w:t>
        </w:r>
      </w:fldSimple>
      <w:r w:rsidRPr="00041E32">
        <w:t>: Additional demand from people living at home</w:t>
      </w:r>
    </w:p>
    <w:tbl>
      <w:tblPr>
        <w:tblStyle w:val="TableGrid"/>
        <w:tblW w:w="4712" w:type="dxa"/>
        <w:jc w:val="center"/>
        <w:tblInd w:w="-856" w:type="dxa"/>
        <w:tblLook w:val="04A0" w:firstRow="1" w:lastRow="0" w:firstColumn="1" w:lastColumn="0" w:noHBand="0" w:noVBand="1"/>
      </w:tblPr>
      <w:tblGrid>
        <w:gridCol w:w="3865"/>
        <w:gridCol w:w="847"/>
      </w:tblGrid>
      <w:tr w:rsidR="008921BF" w:rsidRPr="00723C7D" w:rsidTr="00031B92">
        <w:trPr>
          <w:trHeight w:val="570"/>
          <w:jc w:val="center"/>
        </w:trPr>
        <w:tc>
          <w:tcPr>
            <w:tcW w:w="3865" w:type="dxa"/>
            <w:shd w:val="clear" w:color="auto" w:fill="BFBFBF" w:themeFill="background1" w:themeFillShade="BF"/>
            <w:vAlign w:val="center"/>
          </w:tcPr>
          <w:p w:rsidR="008921BF" w:rsidRPr="00723C7D" w:rsidRDefault="008921BF" w:rsidP="00031B92">
            <w:pPr>
              <w:jc w:val="center"/>
              <w:rPr>
                <w:rFonts w:ascii="Calibri" w:eastAsia="Times New Roman" w:hAnsi="Calibri" w:cs="Times New Roman"/>
                <w:b/>
                <w:bCs/>
                <w:lang w:eastAsia="en-GB"/>
              </w:rPr>
            </w:pPr>
            <w:r>
              <w:rPr>
                <w:rFonts w:ascii="Calibri" w:eastAsia="Times New Roman" w:hAnsi="Calibri" w:cs="Times New Roman"/>
                <w:b/>
                <w:bCs/>
                <w:lang w:eastAsia="en-GB"/>
              </w:rPr>
              <w:t>Type</w:t>
            </w:r>
          </w:p>
        </w:tc>
        <w:tc>
          <w:tcPr>
            <w:tcW w:w="847" w:type="dxa"/>
            <w:shd w:val="clear" w:color="auto" w:fill="BFBFBF" w:themeFill="background1" w:themeFillShade="BF"/>
            <w:vAlign w:val="center"/>
          </w:tcPr>
          <w:p w:rsidR="008921BF" w:rsidRPr="00723C7D" w:rsidRDefault="008921BF" w:rsidP="00031B92">
            <w:pPr>
              <w:jc w:val="center"/>
              <w:rPr>
                <w:rFonts w:ascii="Calibri" w:eastAsia="Times New Roman" w:hAnsi="Calibri" w:cs="Times New Roman"/>
                <w:b/>
                <w:color w:val="000000"/>
                <w:lang w:eastAsia="en-GB"/>
              </w:rPr>
            </w:pPr>
            <w:r>
              <w:rPr>
                <w:rFonts w:ascii="Calibri" w:eastAsia="Times New Roman" w:hAnsi="Calibri" w:cs="Times New Roman"/>
                <w:b/>
                <w:color w:val="000000"/>
                <w:lang w:eastAsia="en-GB"/>
              </w:rPr>
              <w:t>No.</w:t>
            </w:r>
          </w:p>
        </w:tc>
      </w:tr>
      <w:tr w:rsidR="008921BF" w:rsidRPr="00311580" w:rsidTr="00031B92">
        <w:trPr>
          <w:trHeight w:val="315"/>
          <w:jc w:val="center"/>
        </w:trPr>
        <w:tc>
          <w:tcPr>
            <w:tcW w:w="3865" w:type="dxa"/>
            <w:noWrap/>
            <w:vAlign w:val="center"/>
            <w:hideMark/>
          </w:tcPr>
          <w:p w:rsidR="008921BF" w:rsidRPr="001D20DB" w:rsidRDefault="008921BF" w:rsidP="00031B92">
            <w:pPr>
              <w:rPr>
                <w:rFonts w:eastAsia="Times New Roman" w:cs="Times New Roman"/>
                <w:lang w:eastAsia="en-GB"/>
              </w:rPr>
            </w:pPr>
            <w:r w:rsidRPr="001D20DB">
              <w:rPr>
                <w:rFonts w:eastAsia="Times New Roman" w:cs="Times New Roman"/>
                <w:lang w:eastAsia="en-GB"/>
              </w:rPr>
              <w:t>Request  a service user assessment</w:t>
            </w:r>
          </w:p>
        </w:tc>
        <w:tc>
          <w:tcPr>
            <w:tcW w:w="847" w:type="dxa"/>
            <w:noWrap/>
            <w:vAlign w:val="center"/>
          </w:tcPr>
          <w:p w:rsidR="008921BF" w:rsidRPr="001D20DB" w:rsidRDefault="008921BF" w:rsidP="00031B92">
            <w:pPr>
              <w:rPr>
                <w:rFonts w:eastAsia="Times New Roman" w:cs="Times New Roman"/>
                <w:lang w:eastAsia="en-GB"/>
              </w:rPr>
            </w:pPr>
            <w:r w:rsidRPr="001D20DB">
              <w:rPr>
                <w:rFonts w:eastAsia="Times New Roman" w:cs="Times New Roman"/>
                <w:lang w:eastAsia="en-GB"/>
              </w:rPr>
              <w:t>6,000</w:t>
            </w:r>
          </w:p>
        </w:tc>
      </w:tr>
      <w:tr w:rsidR="008921BF" w:rsidRPr="00311580" w:rsidTr="00031B92">
        <w:trPr>
          <w:trHeight w:val="300"/>
          <w:jc w:val="center"/>
        </w:trPr>
        <w:tc>
          <w:tcPr>
            <w:tcW w:w="3865" w:type="dxa"/>
            <w:noWrap/>
            <w:vAlign w:val="center"/>
          </w:tcPr>
          <w:p w:rsidR="008921BF" w:rsidRPr="001D20DB" w:rsidRDefault="008921BF" w:rsidP="00031B92">
            <w:pPr>
              <w:rPr>
                <w:rFonts w:eastAsia="Times New Roman" w:cs="Times New Roman"/>
                <w:lang w:eastAsia="en-GB"/>
              </w:rPr>
            </w:pPr>
            <w:r>
              <w:rPr>
                <w:rFonts w:eastAsia="Times New Roman" w:cs="Times New Roman"/>
                <w:lang w:eastAsia="en-GB"/>
              </w:rPr>
              <w:t>Additional support p</w:t>
            </w:r>
            <w:r w:rsidRPr="001D20DB">
              <w:rPr>
                <w:rFonts w:eastAsia="Times New Roman" w:cs="Times New Roman"/>
                <w:lang w:eastAsia="en-GB"/>
              </w:rPr>
              <w:t>lans</w:t>
            </w:r>
          </w:p>
        </w:tc>
        <w:tc>
          <w:tcPr>
            <w:tcW w:w="847" w:type="dxa"/>
            <w:noWrap/>
            <w:vAlign w:val="center"/>
          </w:tcPr>
          <w:p w:rsidR="008921BF" w:rsidRPr="001D20DB" w:rsidRDefault="008921BF" w:rsidP="00031B92">
            <w:pPr>
              <w:rPr>
                <w:rFonts w:eastAsia="Times New Roman" w:cs="Times New Roman"/>
                <w:lang w:eastAsia="en-GB"/>
              </w:rPr>
            </w:pPr>
            <w:r w:rsidRPr="001D20DB">
              <w:rPr>
                <w:rFonts w:eastAsia="Times New Roman" w:cs="Times New Roman"/>
                <w:lang w:eastAsia="en-GB"/>
              </w:rPr>
              <w:t>4,710</w:t>
            </w:r>
          </w:p>
        </w:tc>
      </w:tr>
      <w:tr w:rsidR="008921BF" w:rsidRPr="00311580" w:rsidTr="00031B92">
        <w:trPr>
          <w:trHeight w:val="300"/>
          <w:jc w:val="center"/>
        </w:trPr>
        <w:tc>
          <w:tcPr>
            <w:tcW w:w="3865" w:type="dxa"/>
            <w:noWrap/>
            <w:vAlign w:val="center"/>
          </w:tcPr>
          <w:p w:rsidR="008921BF" w:rsidRPr="001D20DB" w:rsidRDefault="008921BF" w:rsidP="00031B92">
            <w:pPr>
              <w:rPr>
                <w:rFonts w:eastAsia="Times New Roman" w:cs="Times New Roman"/>
                <w:lang w:eastAsia="en-GB"/>
              </w:rPr>
            </w:pPr>
            <w:r w:rsidRPr="001D20DB">
              <w:rPr>
                <w:rFonts w:eastAsia="Times New Roman" w:cs="Times New Roman"/>
                <w:lang w:eastAsia="en-GB"/>
              </w:rPr>
              <w:t>Request a carers' assessment</w:t>
            </w:r>
          </w:p>
        </w:tc>
        <w:tc>
          <w:tcPr>
            <w:tcW w:w="847" w:type="dxa"/>
            <w:noWrap/>
            <w:vAlign w:val="center"/>
          </w:tcPr>
          <w:p w:rsidR="008921BF" w:rsidRPr="001D20DB" w:rsidRDefault="008921BF" w:rsidP="00031B92">
            <w:pPr>
              <w:rPr>
                <w:rFonts w:eastAsia="Times New Roman" w:cs="Times New Roman"/>
                <w:lang w:eastAsia="en-GB"/>
              </w:rPr>
            </w:pPr>
            <w:r w:rsidRPr="001D20DB">
              <w:rPr>
                <w:rFonts w:eastAsia="Times New Roman" w:cs="Times New Roman"/>
                <w:lang w:eastAsia="en-GB"/>
              </w:rPr>
              <w:t>9,620</w:t>
            </w:r>
          </w:p>
        </w:tc>
      </w:tr>
    </w:tbl>
    <w:p w:rsidR="008921BF" w:rsidRDefault="008921BF" w:rsidP="008921BF">
      <w:pPr>
        <w:spacing w:after="0" w:line="240" w:lineRule="auto"/>
      </w:pPr>
    </w:p>
    <w:p w:rsidR="008921BF" w:rsidRDefault="008921BF" w:rsidP="008921BF">
      <w:pPr>
        <w:spacing w:after="0" w:line="240" w:lineRule="auto"/>
        <w:jc w:val="both"/>
      </w:pPr>
      <w:r>
        <w:t>In addition to the demand pressures discussed above, i</w:t>
      </w:r>
      <w:r w:rsidRPr="00194730">
        <w:t>t should be noted that there will</w:t>
      </w:r>
      <w:r>
        <w:t xml:space="preserve"> be other pressures</w:t>
      </w:r>
      <w:r w:rsidRPr="00194730">
        <w:t xml:space="preserve"> relating to infrastructure and support costs</w:t>
      </w:r>
      <w:r>
        <w:t xml:space="preserve">. </w:t>
      </w:r>
    </w:p>
    <w:p w:rsidR="008921BF" w:rsidRDefault="008921BF" w:rsidP="008921BF">
      <w:pPr>
        <w:pStyle w:val="Heading2"/>
        <w:jc w:val="both"/>
      </w:pPr>
      <w:bookmarkStart w:id="947" w:name="_Toc426723399"/>
      <w:bookmarkStart w:id="948" w:name="_Toc431225226"/>
      <w:r w:rsidRPr="00460E07">
        <w:t>Primary Support Needs</w:t>
      </w:r>
      <w:bookmarkEnd w:id="947"/>
      <w:bookmarkEnd w:id="948"/>
    </w:p>
    <w:p w:rsidR="008921BF" w:rsidRPr="00254A94" w:rsidRDefault="008921BF" w:rsidP="008921BF">
      <w:pPr>
        <w:spacing w:after="0"/>
        <w:jc w:val="both"/>
      </w:pPr>
      <w:r w:rsidRPr="00254A94">
        <w:t xml:space="preserve">Barnet </w:t>
      </w:r>
      <w:r w:rsidR="00EA5799">
        <w:t>has a</w:t>
      </w:r>
      <w:r w:rsidRPr="00254A94">
        <w:t>dopted the social model of disability</w:t>
      </w:r>
      <w:r>
        <w:t>.  Disability can have significant medical consequences but the difficulties</w:t>
      </w:r>
      <w:r w:rsidR="004A416F">
        <w:t xml:space="preserve"> </w:t>
      </w:r>
      <w:r>
        <w:t xml:space="preserve">/barriers that face </w:t>
      </w:r>
      <w:r w:rsidR="00DD3A76">
        <w:t>people</w:t>
      </w:r>
      <w:r w:rsidR="004A416F">
        <w:t xml:space="preserve"> or that</w:t>
      </w:r>
      <w:r>
        <w:t xml:space="preserve"> are often encountered in everyday life largely because of attitudes and existing structures in society. </w:t>
      </w:r>
      <w:r w:rsidRPr="00254A94">
        <w:t xml:space="preserve"> Disability is a</w:t>
      </w:r>
      <w:r>
        <w:t xml:space="preserve"> social consequence of having impairment.  </w:t>
      </w:r>
      <w:r w:rsidRPr="00254A94">
        <w:t xml:space="preserve"> </w:t>
      </w:r>
    </w:p>
    <w:p w:rsidR="008921BF" w:rsidRPr="00254A94" w:rsidRDefault="008921BF" w:rsidP="008921BF">
      <w:pPr>
        <w:spacing w:after="0"/>
        <w:ind w:left="709"/>
        <w:jc w:val="both"/>
      </w:pPr>
    </w:p>
    <w:p w:rsidR="008921BF" w:rsidRDefault="008921BF" w:rsidP="008921BF">
      <w:pPr>
        <w:tabs>
          <w:tab w:val="left" w:pos="709"/>
        </w:tabs>
        <w:spacing w:after="0"/>
        <w:jc w:val="both"/>
      </w:pPr>
      <w:r w:rsidRPr="00AA0990">
        <w:lastRenderedPageBreak/>
        <w:t>According to national projections, the most common health condition</w:t>
      </w:r>
      <w:r>
        <w:t>s</w:t>
      </w:r>
      <w:r w:rsidRPr="00AA0990">
        <w:t>/disabilit</w:t>
      </w:r>
      <w:r>
        <w:t>ies</w:t>
      </w:r>
      <w:r w:rsidRPr="00AA0990">
        <w:t xml:space="preserve"> within Barnet </w:t>
      </w:r>
      <w:r>
        <w:t>relate to</w:t>
      </w:r>
      <w:r w:rsidRPr="00AA0990">
        <w:t xml:space="preserve"> mental health disorders</w:t>
      </w:r>
      <w:r>
        <w:t xml:space="preserve"> (</w:t>
      </w:r>
      <w:r w:rsidRPr="00AA0990">
        <w:t>common mental health conditions are included</w:t>
      </w:r>
      <w:r>
        <w:t xml:space="preserve"> in this calculation) and hearing impairment in those aged 65 and over.  The next largest group of people with disabilities are those with physical impairment aged between 18 and 64.</w:t>
      </w:r>
    </w:p>
    <w:p w:rsidR="008921BF" w:rsidRDefault="008921BF" w:rsidP="008921BF">
      <w:pPr>
        <w:spacing w:after="0"/>
      </w:pPr>
    </w:p>
    <w:p w:rsidR="008921BF" w:rsidRPr="00B92F4D" w:rsidRDefault="008921BF" w:rsidP="008921BF">
      <w:pPr>
        <w:pStyle w:val="Caption"/>
        <w:rPr>
          <w:b w:val="0"/>
          <w:i/>
        </w:rPr>
      </w:pPr>
      <w:r>
        <w:t xml:space="preserve">Table </w:t>
      </w:r>
      <w:fldSimple w:instr=" STYLEREF 1 \s ">
        <w:r w:rsidR="001663C2">
          <w:rPr>
            <w:noProof/>
          </w:rPr>
          <w:t>9</w:t>
        </w:r>
      </w:fldSimple>
      <w:r>
        <w:noBreakHyphen/>
      </w:r>
      <w:fldSimple w:instr=" SEQ Table \* ARABIC \s 1 ">
        <w:r w:rsidR="001663C2">
          <w:rPr>
            <w:noProof/>
          </w:rPr>
          <w:t>19</w:t>
        </w:r>
      </w:fldSimple>
      <w:r>
        <w:t xml:space="preserve">: </w:t>
      </w:r>
      <w:r w:rsidRPr="00041E32">
        <w:t>Estimated number of residents by disability, illness or impairment, Barnet</w:t>
      </w:r>
    </w:p>
    <w:tbl>
      <w:tblPr>
        <w:tblW w:w="7840" w:type="dxa"/>
        <w:jc w:val="center"/>
        <w:tblInd w:w="93" w:type="dxa"/>
        <w:tblLook w:val="04A0" w:firstRow="1" w:lastRow="0" w:firstColumn="1" w:lastColumn="0" w:noHBand="0" w:noVBand="1"/>
      </w:tblPr>
      <w:tblGrid>
        <w:gridCol w:w="6880"/>
        <w:gridCol w:w="960"/>
      </w:tblGrid>
      <w:tr w:rsidR="008921BF" w:rsidRPr="00FE4DA0" w:rsidTr="00031B92">
        <w:trPr>
          <w:trHeight w:val="300"/>
          <w:jc w:val="center"/>
        </w:trPr>
        <w:tc>
          <w:tcPr>
            <w:tcW w:w="6880"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hideMark/>
          </w:tcPr>
          <w:p w:rsidR="008921BF" w:rsidRPr="00322841" w:rsidRDefault="008921BF" w:rsidP="00031B92">
            <w:pPr>
              <w:spacing w:after="0" w:line="240" w:lineRule="auto"/>
              <w:jc w:val="center"/>
              <w:rPr>
                <w:rFonts w:ascii="Calibri" w:eastAsia="Times New Roman" w:hAnsi="Calibri" w:cs="Times New Roman"/>
                <w:b/>
                <w:color w:val="000000"/>
                <w:lang w:eastAsia="en-GB"/>
              </w:rPr>
            </w:pPr>
            <w:r w:rsidRPr="00322841">
              <w:rPr>
                <w:rFonts w:ascii="Calibri" w:eastAsia="Times New Roman" w:hAnsi="Calibri" w:cs="Times New Roman"/>
                <w:b/>
                <w:color w:val="000000"/>
                <w:lang w:eastAsia="en-GB"/>
              </w:rPr>
              <w:t>Disability, Illness or Impairment</w:t>
            </w:r>
          </w:p>
        </w:tc>
        <w:tc>
          <w:tcPr>
            <w:tcW w:w="960" w:type="dxa"/>
            <w:tcBorders>
              <w:top w:val="single" w:sz="4" w:space="0" w:color="auto"/>
              <w:left w:val="nil"/>
              <w:bottom w:val="single" w:sz="4" w:space="0" w:color="auto"/>
              <w:right w:val="single" w:sz="4" w:space="0" w:color="auto"/>
            </w:tcBorders>
            <w:shd w:val="clear" w:color="auto" w:fill="BFBFBF" w:themeFill="background1" w:themeFillShade="BF"/>
            <w:noWrap/>
            <w:vAlign w:val="bottom"/>
            <w:hideMark/>
          </w:tcPr>
          <w:p w:rsidR="008921BF" w:rsidRPr="00322841" w:rsidRDefault="008921BF" w:rsidP="00031B92">
            <w:pPr>
              <w:spacing w:after="0" w:line="240" w:lineRule="auto"/>
              <w:jc w:val="center"/>
              <w:rPr>
                <w:rFonts w:ascii="Calibri" w:eastAsia="Times New Roman" w:hAnsi="Calibri" w:cs="Times New Roman"/>
                <w:b/>
                <w:color w:val="000000"/>
                <w:lang w:eastAsia="en-GB"/>
              </w:rPr>
            </w:pPr>
            <w:r w:rsidRPr="00322841">
              <w:rPr>
                <w:rFonts w:ascii="Calibri" w:eastAsia="Times New Roman" w:hAnsi="Calibri" w:cs="Times New Roman"/>
                <w:b/>
                <w:color w:val="000000"/>
                <w:lang w:eastAsia="en-GB"/>
              </w:rPr>
              <w:t>No.</w:t>
            </w:r>
          </w:p>
        </w:tc>
      </w:tr>
      <w:tr w:rsidR="008921BF" w:rsidRPr="00FE4DA0" w:rsidTr="00031B92">
        <w:trPr>
          <w:trHeight w:val="300"/>
          <w:jc w:val="center"/>
        </w:trPr>
        <w:tc>
          <w:tcPr>
            <w:tcW w:w="6880" w:type="dxa"/>
            <w:tcBorders>
              <w:top w:val="nil"/>
              <w:left w:val="single" w:sz="4" w:space="0" w:color="auto"/>
              <w:bottom w:val="single" w:sz="4" w:space="0" w:color="auto"/>
              <w:right w:val="single" w:sz="4" w:space="0" w:color="auto"/>
            </w:tcBorders>
            <w:shd w:val="clear" w:color="auto" w:fill="auto"/>
            <w:noWrap/>
            <w:vAlign w:val="bottom"/>
            <w:hideMark/>
          </w:tcPr>
          <w:p w:rsidR="008921BF" w:rsidRPr="00FE4DA0" w:rsidRDefault="008921BF" w:rsidP="00031B92">
            <w:pPr>
              <w:spacing w:after="0" w:line="240" w:lineRule="auto"/>
              <w:jc w:val="center"/>
              <w:rPr>
                <w:rFonts w:ascii="Calibri" w:eastAsia="Times New Roman" w:hAnsi="Calibri" w:cs="Times New Roman"/>
                <w:color w:val="000000"/>
                <w:lang w:eastAsia="en-GB"/>
              </w:rPr>
            </w:pPr>
            <w:r w:rsidRPr="00FE4DA0">
              <w:rPr>
                <w:rFonts w:ascii="Calibri" w:eastAsia="Times New Roman" w:hAnsi="Calibri" w:cs="Times New Roman"/>
                <w:color w:val="000000"/>
                <w:lang w:eastAsia="en-GB"/>
              </w:rPr>
              <w:t>Aged 18 and over predicted to have a learning disability</w:t>
            </w:r>
          </w:p>
        </w:tc>
        <w:tc>
          <w:tcPr>
            <w:tcW w:w="960" w:type="dxa"/>
            <w:tcBorders>
              <w:top w:val="nil"/>
              <w:left w:val="nil"/>
              <w:bottom w:val="single" w:sz="4" w:space="0" w:color="auto"/>
              <w:right w:val="single" w:sz="4" w:space="0" w:color="auto"/>
            </w:tcBorders>
            <w:shd w:val="clear" w:color="auto" w:fill="auto"/>
            <w:noWrap/>
            <w:vAlign w:val="bottom"/>
            <w:hideMark/>
          </w:tcPr>
          <w:p w:rsidR="008921BF" w:rsidRPr="00FE4DA0" w:rsidRDefault="008921BF" w:rsidP="00031B92">
            <w:pPr>
              <w:spacing w:after="0" w:line="240" w:lineRule="auto"/>
              <w:jc w:val="center"/>
              <w:rPr>
                <w:rFonts w:ascii="Calibri" w:eastAsia="Times New Roman" w:hAnsi="Calibri" w:cs="Times New Roman"/>
                <w:color w:val="000000"/>
                <w:lang w:eastAsia="en-GB"/>
              </w:rPr>
            </w:pPr>
            <w:r w:rsidRPr="00FE4DA0">
              <w:rPr>
                <w:rFonts w:ascii="Calibri" w:eastAsia="Times New Roman" w:hAnsi="Calibri" w:cs="Times New Roman"/>
                <w:color w:val="000000"/>
                <w:lang w:eastAsia="en-GB"/>
              </w:rPr>
              <w:t>6,848</w:t>
            </w:r>
          </w:p>
        </w:tc>
      </w:tr>
      <w:tr w:rsidR="008921BF" w:rsidRPr="00FE4DA0" w:rsidTr="00031B92">
        <w:trPr>
          <w:trHeight w:val="300"/>
          <w:jc w:val="center"/>
        </w:trPr>
        <w:tc>
          <w:tcPr>
            <w:tcW w:w="6880" w:type="dxa"/>
            <w:tcBorders>
              <w:top w:val="nil"/>
              <w:left w:val="single" w:sz="4" w:space="0" w:color="auto"/>
              <w:bottom w:val="single" w:sz="4" w:space="0" w:color="auto"/>
              <w:right w:val="single" w:sz="4" w:space="0" w:color="auto"/>
            </w:tcBorders>
            <w:shd w:val="clear" w:color="auto" w:fill="auto"/>
            <w:noWrap/>
            <w:vAlign w:val="bottom"/>
            <w:hideMark/>
          </w:tcPr>
          <w:p w:rsidR="008921BF" w:rsidRPr="00FE4DA0" w:rsidRDefault="008921BF" w:rsidP="00031B92">
            <w:pPr>
              <w:spacing w:after="0" w:line="240" w:lineRule="auto"/>
              <w:jc w:val="center"/>
              <w:rPr>
                <w:rFonts w:ascii="Calibri" w:eastAsia="Times New Roman" w:hAnsi="Calibri" w:cs="Times New Roman"/>
                <w:color w:val="000000"/>
                <w:lang w:eastAsia="en-GB"/>
              </w:rPr>
            </w:pPr>
            <w:r w:rsidRPr="00FE4DA0">
              <w:rPr>
                <w:rFonts w:ascii="Calibri" w:eastAsia="Times New Roman" w:hAnsi="Calibri" w:cs="Times New Roman"/>
                <w:color w:val="000000"/>
                <w:lang w:eastAsia="en-GB"/>
              </w:rPr>
              <w:t>Aged 18-64 predicted to have a physical disability (moderate to severe)</w:t>
            </w:r>
          </w:p>
        </w:tc>
        <w:tc>
          <w:tcPr>
            <w:tcW w:w="960" w:type="dxa"/>
            <w:tcBorders>
              <w:top w:val="nil"/>
              <w:left w:val="nil"/>
              <w:bottom w:val="single" w:sz="4" w:space="0" w:color="auto"/>
              <w:right w:val="single" w:sz="4" w:space="0" w:color="auto"/>
            </w:tcBorders>
            <w:shd w:val="clear" w:color="auto" w:fill="auto"/>
            <w:noWrap/>
            <w:vAlign w:val="bottom"/>
            <w:hideMark/>
          </w:tcPr>
          <w:p w:rsidR="008921BF" w:rsidRPr="00FE4DA0" w:rsidRDefault="008921BF" w:rsidP="00031B92">
            <w:pPr>
              <w:spacing w:after="0" w:line="240" w:lineRule="auto"/>
              <w:jc w:val="center"/>
              <w:rPr>
                <w:rFonts w:ascii="Calibri" w:eastAsia="Times New Roman" w:hAnsi="Calibri" w:cs="Times New Roman"/>
                <w:color w:val="000000"/>
                <w:lang w:eastAsia="en-GB"/>
              </w:rPr>
            </w:pPr>
            <w:r w:rsidRPr="00FE4DA0">
              <w:rPr>
                <w:rFonts w:ascii="Calibri" w:eastAsia="Times New Roman" w:hAnsi="Calibri" w:cs="Times New Roman"/>
                <w:color w:val="000000"/>
                <w:lang w:eastAsia="en-GB"/>
              </w:rPr>
              <w:t>22,024</w:t>
            </w:r>
          </w:p>
        </w:tc>
      </w:tr>
      <w:tr w:rsidR="008921BF" w:rsidRPr="00FE4DA0" w:rsidTr="00031B92">
        <w:trPr>
          <w:trHeight w:val="300"/>
          <w:jc w:val="center"/>
        </w:trPr>
        <w:tc>
          <w:tcPr>
            <w:tcW w:w="6880" w:type="dxa"/>
            <w:tcBorders>
              <w:top w:val="nil"/>
              <w:left w:val="single" w:sz="4" w:space="0" w:color="auto"/>
              <w:bottom w:val="single" w:sz="4" w:space="0" w:color="auto"/>
              <w:right w:val="single" w:sz="4" w:space="0" w:color="auto"/>
            </w:tcBorders>
            <w:shd w:val="clear" w:color="auto" w:fill="auto"/>
            <w:noWrap/>
            <w:vAlign w:val="bottom"/>
            <w:hideMark/>
          </w:tcPr>
          <w:p w:rsidR="008921BF" w:rsidRPr="00FE4DA0" w:rsidRDefault="008921BF" w:rsidP="00031B92">
            <w:pPr>
              <w:spacing w:after="0" w:line="240" w:lineRule="auto"/>
              <w:jc w:val="center"/>
              <w:rPr>
                <w:rFonts w:ascii="Calibri" w:eastAsia="Times New Roman" w:hAnsi="Calibri" w:cs="Times New Roman"/>
                <w:color w:val="000000"/>
                <w:lang w:eastAsia="en-GB"/>
              </w:rPr>
            </w:pPr>
            <w:r w:rsidRPr="00FE4DA0">
              <w:rPr>
                <w:rFonts w:ascii="Calibri" w:eastAsia="Times New Roman" w:hAnsi="Calibri" w:cs="Times New Roman"/>
                <w:color w:val="000000"/>
                <w:lang w:eastAsia="en-GB"/>
              </w:rPr>
              <w:t>Aged 65+ predicted to have limited mobility</w:t>
            </w:r>
          </w:p>
        </w:tc>
        <w:tc>
          <w:tcPr>
            <w:tcW w:w="960" w:type="dxa"/>
            <w:tcBorders>
              <w:top w:val="nil"/>
              <w:left w:val="nil"/>
              <w:bottom w:val="single" w:sz="4" w:space="0" w:color="auto"/>
              <w:right w:val="single" w:sz="4" w:space="0" w:color="auto"/>
            </w:tcBorders>
            <w:shd w:val="clear" w:color="auto" w:fill="auto"/>
            <w:noWrap/>
            <w:vAlign w:val="bottom"/>
            <w:hideMark/>
          </w:tcPr>
          <w:p w:rsidR="008921BF" w:rsidRPr="00FE4DA0" w:rsidRDefault="008921BF" w:rsidP="00031B92">
            <w:pPr>
              <w:spacing w:after="0" w:line="240" w:lineRule="auto"/>
              <w:jc w:val="center"/>
              <w:rPr>
                <w:rFonts w:ascii="Calibri" w:eastAsia="Times New Roman" w:hAnsi="Calibri" w:cs="Times New Roman"/>
                <w:color w:val="000000"/>
                <w:lang w:eastAsia="en-GB"/>
              </w:rPr>
            </w:pPr>
            <w:r w:rsidRPr="00FE4DA0">
              <w:rPr>
                <w:rFonts w:ascii="Calibri" w:eastAsia="Times New Roman" w:hAnsi="Calibri" w:cs="Times New Roman"/>
                <w:color w:val="000000"/>
                <w:lang w:eastAsia="en-GB"/>
              </w:rPr>
              <w:t>10,002</w:t>
            </w:r>
          </w:p>
        </w:tc>
      </w:tr>
      <w:tr w:rsidR="008921BF" w:rsidRPr="00FE4DA0" w:rsidTr="00031B92">
        <w:trPr>
          <w:trHeight w:val="300"/>
          <w:jc w:val="center"/>
        </w:trPr>
        <w:tc>
          <w:tcPr>
            <w:tcW w:w="6880" w:type="dxa"/>
            <w:tcBorders>
              <w:top w:val="nil"/>
              <w:left w:val="single" w:sz="4" w:space="0" w:color="auto"/>
              <w:bottom w:val="single" w:sz="4" w:space="0" w:color="auto"/>
              <w:right w:val="single" w:sz="4" w:space="0" w:color="auto"/>
            </w:tcBorders>
            <w:shd w:val="clear" w:color="auto" w:fill="auto"/>
            <w:noWrap/>
            <w:vAlign w:val="bottom"/>
            <w:hideMark/>
          </w:tcPr>
          <w:p w:rsidR="008921BF" w:rsidRPr="00FE4DA0" w:rsidRDefault="008921BF" w:rsidP="00031B92">
            <w:pPr>
              <w:spacing w:after="0" w:line="240" w:lineRule="auto"/>
              <w:jc w:val="center"/>
              <w:rPr>
                <w:rFonts w:ascii="Calibri" w:eastAsia="Times New Roman" w:hAnsi="Calibri" w:cs="Times New Roman"/>
                <w:color w:val="000000"/>
                <w:lang w:eastAsia="en-GB"/>
              </w:rPr>
            </w:pPr>
            <w:r w:rsidRPr="00FE4DA0">
              <w:rPr>
                <w:rFonts w:ascii="Calibri" w:eastAsia="Times New Roman" w:hAnsi="Calibri" w:cs="Times New Roman"/>
                <w:color w:val="000000"/>
                <w:lang w:eastAsia="en-GB"/>
              </w:rPr>
              <w:t>Aged 65+ predicted to have a disabling visual impairment</w:t>
            </w:r>
          </w:p>
        </w:tc>
        <w:tc>
          <w:tcPr>
            <w:tcW w:w="960" w:type="dxa"/>
            <w:tcBorders>
              <w:top w:val="nil"/>
              <w:left w:val="nil"/>
              <w:bottom w:val="single" w:sz="4" w:space="0" w:color="auto"/>
              <w:right w:val="single" w:sz="4" w:space="0" w:color="auto"/>
            </w:tcBorders>
            <w:shd w:val="clear" w:color="auto" w:fill="auto"/>
            <w:noWrap/>
            <w:vAlign w:val="bottom"/>
            <w:hideMark/>
          </w:tcPr>
          <w:p w:rsidR="008921BF" w:rsidRPr="00FE4DA0" w:rsidRDefault="008921BF" w:rsidP="00031B92">
            <w:pPr>
              <w:spacing w:after="0" w:line="240" w:lineRule="auto"/>
              <w:jc w:val="center"/>
              <w:rPr>
                <w:rFonts w:ascii="Calibri" w:eastAsia="Times New Roman" w:hAnsi="Calibri" w:cs="Times New Roman"/>
                <w:color w:val="000000"/>
                <w:lang w:eastAsia="en-GB"/>
              </w:rPr>
            </w:pPr>
            <w:r w:rsidRPr="00FE4DA0">
              <w:rPr>
                <w:rFonts w:ascii="Calibri" w:eastAsia="Times New Roman" w:hAnsi="Calibri" w:cs="Times New Roman"/>
                <w:color w:val="000000"/>
                <w:lang w:eastAsia="en-GB"/>
              </w:rPr>
              <w:t>4,780</w:t>
            </w:r>
          </w:p>
        </w:tc>
      </w:tr>
      <w:tr w:rsidR="008921BF" w:rsidRPr="00FE4DA0" w:rsidTr="00031B92">
        <w:trPr>
          <w:trHeight w:val="300"/>
          <w:jc w:val="center"/>
        </w:trPr>
        <w:tc>
          <w:tcPr>
            <w:tcW w:w="6880" w:type="dxa"/>
            <w:tcBorders>
              <w:top w:val="nil"/>
              <w:left w:val="single" w:sz="4" w:space="0" w:color="auto"/>
              <w:bottom w:val="single" w:sz="4" w:space="0" w:color="auto"/>
              <w:right w:val="single" w:sz="4" w:space="0" w:color="auto"/>
            </w:tcBorders>
            <w:shd w:val="clear" w:color="auto" w:fill="auto"/>
            <w:noWrap/>
            <w:vAlign w:val="bottom"/>
            <w:hideMark/>
          </w:tcPr>
          <w:p w:rsidR="008921BF" w:rsidRPr="00FE4DA0" w:rsidRDefault="008921BF" w:rsidP="00031B92">
            <w:pPr>
              <w:spacing w:after="0" w:line="240" w:lineRule="auto"/>
              <w:jc w:val="center"/>
              <w:rPr>
                <w:rFonts w:ascii="Calibri" w:eastAsia="Times New Roman" w:hAnsi="Calibri" w:cs="Times New Roman"/>
                <w:color w:val="000000"/>
                <w:lang w:eastAsia="en-GB"/>
              </w:rPr>
            </w:pPr>
            <w:r w:rsidRPr="00FE4DA0">
              <w:rPr>
                <w:rFonts w:ascii="Calibri" w:eastAsia="Times New Roman" w:hAnsi="Calibri" w:cs="Times New Roman"/>
                <w:color w:val="000000"/>
                <w:lang w:eastAsia="en-GB"/>
              </w:rPr>
              <w:t>Aged 65+ predicted to have a disabling hearing impairment</w:t>
            </w:r>
          </w:p>
        </w:tc>
        <w:tc>
          <w:tcPr>
            <w:tcW w:w="960" w:type="dxa"/>
            <w:tcBorders>
              <w:top w:val="nil"/>
              <w:left w:val="nil"/>
              <w:bottom w:val="single" w:sz="4" w:space="0" w:color="auto"/>
              <w:right w:val="single" w:sz="4" w:space="0" w:color="auto"/>
            </w:tcBorders>
            <w:shd w:val="clear" w:color="auto" w:fill="auto"/>
            <w:noWrap/>
            <w:vAlign w:val="bottom"/>
            <w:hideMark/>
          </w:tcPr>
          <w:p w:rsidR="008921BF" w:rsidRPr="00FE4DA0" w:rsidRDefault="008921BF" w:rsidP="00031B92">
            <w:pPr>
              <w:spacing w:after="0" w:line="240" w:lineRule="auto"/>
              <w:jc w:val="center"/>
              <w:rPr>
                <w:rFonts w:ascii="Calibri" w:eastAsia="Times New Roman" w:hAnsi="Calibri" w:cs="Times New Roman"/>
                <w:color w:val="000000"/>
                <w:lang w:eastAsia="en-GB"/>
              </w:rPr>
            </w:pPr>
            <w:r w:rsidRPr="00FE4DA0">
              <w:rPr>
                <w:rFonts w:ascii="Calibri" w:eastAsia="Times New Roman" w:hAnsi="Calibri" w:cs="Times New Roman"/>
                <w:color w:val="000000"/>
                <w:lang w:eastAsia="en-GB"/>
              </w:rPr>
              <w:t>31,292</w:t>
            </w:r>
          </w:p>
        </w:tc>
      </w:tr>
      <w:tr w:rsidR="008921BF" w:rsidRPr="00FE4DA0" w:rsidTr="00031B92">
        <w:trPr>
          <w:trHeight w:val="300"/>
          <w:jc w:val="center"/>
        </w:trPr>
        <w:tc>
          <w:tcPr>
            <w:tcW w:w="6880" w:type="dxa"/>
            <w:tcBorders>
              <w:top w:val="nil"/>
              <w:left w:val="single" w:sz="4" w:space="0" w:color="auto"/>
              <w:bottom w:val="single" w:sz="4" w:space="0" w:color="auto"/>
              <w:right w:val="single" w:sz="4" w:space="0" w:color="auto"/>
            </w:tcBorders>
            <w:shd w:val="clear" w:color="auto" w:fill="auto"/>
            <w:noWrap/>
            <w:vAlign w:val="bottom"/>
            <w:hideMark/>
          </w:tcPr>
          <w:p w:rsidR="008921BF" w:rsidRPr="00FE4DA0" w:rsidRDefault="008921BF" w:rsidP="00031B92">
            <w:pPr>
              <w:spacing w:after="0" w:line="240" w:lineRule="auto"/>
              <w:jc w:val="center"/>
              <w:rPr>
                <w:rFonts w:ascii="Calibri" w:eastAsia="Times New Roman" w:hAnsi="Calibri" w:cs="Times New Roman"/>
                <w:color w:val="000000"/>
                <w:lang w:eastAsia="en-GB"/>
              </w:rPr>
            </w:pPr>
            <w:r w:rsidRPr="00FE4DA0">
              <w:rPr>
                <w:rFonts w:ascii="Calibri" w:eastAsia="Times New Roman" w:hAnsi="Calibri" w:cs="Times New Roman"/>
                <w:color w:val="000000"/>
                <w:lang w:eastAsia="en-GB"/>
              </w:rPr>
              <w:t>Aged 18-64 predicted to have a mental health problem</w:t>
            </w:r>
          </w:p>
        </w:tc>
        <w:tc>
          <w:tcPr>
            <w:tcW w:w="960" w:type="dxa"/>
            <w:tcBorders>
              <w:top w:val="nil"/>
              <w:left w:val="nil"/>
              <w:bottom w:val="single" w:sz="4" w:space="0" w:color="auto"/>
              <w:right w:val="single" w:sz="4" w:space="0" w:color="auto"/>
            </w:tcBorders>
            <w:shd w:val="clear" w:color="auto" w:fill="auto"/>
            <w:noWrap/>
            <w:vAlign w:val="bottom"/>
            <w:hideMark/>
          </w:tcPr>
          <w:p w:rsidR="008921BF" w:rsidRPr="00FE4DA0" w:rsidRDefault="008921BF" w:rsidP="00031B92">
            <w:pPr>
              <w:spacing w:after="0" w:line="240" w:lineRule="auto"/>
              <w:jc w:val="center"/>
              <w:rPr>
                <w:rFonts w:ascii="Calibri" w:eastAsia="Times New Roman" w:hAnsi="Calibri" w:cs="Times New Roman"/>
                <w:color w:val="000000"/>
                <w:lang w:eastAsia="en-GB"/>
              </w:rPr>
            </w:pPr>
            <w:r w:rsidRPr="00FE4DA0">
              <w:rPr>
                <w:rFonts w:ascii="Calibri" w:eastAsia="Times New Roman" w:hAnsi="Calibri" w:cs="Times New Roman"/>
                <w:color w:val="000000"/>
                <w:lang w:eastAsia="en-GB"/>
              </w:rPr>
              <w:t>58,053</w:t>
            </w:r>
          </w:p>
        </w:tc>
      </w:tr>
      <w:tr w:rsidR="008921BF" w:rsidRPr="00FE4DA0" w:rsidTr="00031B92">
        <w:trPr>
          <w:trHeight w:val="300"/>
          <w:jc w:val="center"/>
        </w:trPr>
        <w:tc>
          <w:tcPr>
            <w:tcW w:w="6880" w:type="dxa"/>
            <w:tcBorders>
              <w:top w:val="nil"/>
              <w:left w:val="single" w:sz="4" w:space="0" w:color="auto"/>
              <w:bottom w:val="single" w:sz="4" w:space="0" w:color="auto"/>
              <w:right w:val="single" w:sz="4" w:space="0" w:color="auto"/>
            </w:tcBorders>
            <w:shd w:val="clear" w:color="auto" w:fill="auto"/>
            <w:noWrap/>
            <w:vAlign w:val="bottom"/>
            <w:hideMark/>
          </w:tcPr>
          <w:p w:rsidR="008921BF" w:rsidRPr="00FE4DA0" w:rsidRDefault="008921BF" w:rsidP="00031B92">
            <w:pPr>
              <w:spacing w:after="0" w:line="240" w:lineRule="auto"/>
              <w:jc w:val="center"/>
              <w:rPr>
                <w:rFonts w:ascii="Calibri" w:eastAsia="Times New Roman" w:hAnsi="Calibri" w:cs="Times New Roman"/>
                <w:color w:val="000000"/>
                <w:lang w:eastAsia="en-GB"/>
              </w:rPr>
            </w:pPr>
            <w:r w:rsidRPr="00FE4DA0">
              <w:rPr>
                <w:rFonts w:ascii="Calibri" w:eastAsia="Times New Roman" w:hAnsi="Calibri" w:cs="Times New Roman"/>
                <w:color w:val="000000"/>
                <w:lang w:eastAsia="en-GB"/>
              </w:rPr>
              <w:t>Aged 65+ predicted to have Dementia</w:t>
            </w:r>
          </w:p>
        </w:tc>
        <w:tc>
          <w:tcPr>
            <w:tcW w:w="960" w:type="dxa"/>
            <w:tcBorders>
              <w:top w:val="nil"/>
              <w:left w:val="nil"/>
              <w:bottom w:val="single" w:sz="4" w:space="0" w:color="auto"/>
              <w:right w:val="single" w:sz="4" w:space="0" w:color="auto"/>
            </w:tcBorders>
            <w:shd w:val="clear" w:color="auto" w:fill="auto"/>
            <w:noWrap/>
            <w:vAlign w:val="bottom"/>
            <w:hideMark/>
          </w:tcPr>
          <w:p w:rsidR="008921BF" w:rsidRPr="00FE4DA0" w:rsidRDefault="008921BF" w:rsidP="00031B92">
            <w:pPr>
              <w:spacing w:after="0" w:line="240" w:lineRule="auto"/>
              <w:jc w:val="center"/>
              <w:rPr>
                <w:rFonts w:ascii="Calibri" w:eastAsia="Times New Roman" w:hAnsi="Calibri" w:cs="Times New Roman"/>
                <w:color w:val="000000"/>
                <w:lang w:eastAsia="en-GB"/>
              </w:rPr>
            </w:pPr>
            <w:r w:rsidRPr="00FE4DA0">
              <w:rPr>
                <w:rFonts w:ascii="Calibri" w:eastAsia="Times New Roman" w:hAnsi="Calibri" w:cs="Times New Roman"/>
                <w:color w:val="000000"/>
                <w:lang w:eastAsia="en-GB"/>
              </w:rPr>
              <w:t>3,978</w:t>
            </w:r>
          </w:p>
        </w:tc>
      </w:tr>
    </w:tbl>
    <w:p w:rsidR="008921BF" w:rsidRDefault="008921BF" w:rsidP="008921BF">
      <w:pPr>
        <w:spacing w:after="0"/>
      </w:pPr>
      <w:r>
        <w:t xml:space="preserve">Source: </w:t>
      </w:r>
      <w:r w:rsidR="00CB67F3" w:rsidRPr="002B07BE">
        <w:t xml:space="preserve">Projecting Older People Population Information </w:t>
      </w:r>
      <w:r w:rsidR="00CB67F3">
        <w:t>(POP</w:t>
      </w:r>
      <w:r>
        <w:t>PI</w:t>
      </w:r>
      <w:r w:rsidR="00CB67F3">
        <w:t>)</w:t>
      </w:r>
      <w:r>
        <w:t xml:space="preserve"> and</w:t>
      </w:r>
      <w:r w:rsidR="00CB67F3">
        <w:t xml:space="preserve"> </w:t>
      </w:r>
      <w:r w:rsidR="00CB67F3" w:rsidRPr="00CC38B2">
        <w:t>Projecting</w:t>
      </w:r>
      <w:r w:rsidR="00CB67F3" w:rsidRPr="002B07BE">
        <w:t xml:space="preserve"> Adult Needs and Service Information</w:t>
      </w:r>
      <w:r>
        <w:t xml:space="preserve"> </w:t>
      </w:r>
      <w:r w:rsidR="00CB67F3">
        <w:t>(</w:t>
      </w:r>
      <w:r>
        <w:t>PANSI</w:t>
      </w:r>
      <w:r w:rsidR="00CB67F3">
        <w:t>)</w:t>
      </w:r>
      <w:r>
        <w:t xml:space="preserve"> 2015</w:t>
      </w:r>
    </w:p>
    <w:p w:rsidR="008921BF" w:rsidRDefault="008921BF" w:rsidP="008921BF">
      <w:pPr>
        <w:pStyle w:val="Heading3"/>
        <w:jc w:val="both"/>
      </w:pPr>
      <w:r>
        <w:t>Mental Health</w:t>
      </w:r>
    </w:p>
    <w:p w:rsidR="008921BF" w:rsidRPr="00974D0F" w:rsidRDefault="008921BF" w:rsidP="008921BF">
      <w:pPr>
        <w:spacing w:after="0" w:line="240" w:lineRule="auto"/>
        <w:jc w:val="both"/>
      </w:pPr>
      <w:r w:rsidRPr="00974D0F">
        <w:t>Mental disorder</w:t>
      </w:r>
      <w:r w:rsidR="004A416F">
        <w:t>s are</w:t>
      </w:r>
      <w:r w:rsidRPr="00974D0F">
        <w:t xml:space="preserve"> responsible for the largest burden of disease in England – 23% of the total burden, compared to 16% for cancer and 16% for heart disease. </w:t>
      </w:r>
    </w:p>
    <w:p w:rsidR="008921BF" w:rsidRDefault="008921BF" w:rsidP="008921BF">
      <w:pPr>
        <w:spacing w:after="0" w:line="240" w:lineRule="auto"/>
        <w:jc w:val="both"/>
      </w:pPr>
    </w:p>
    <w:p w:rsidR="008921BF" w:rsidRDefault="008921BF" w:rsidP="008921BF">
      <w:pPr>
        <w:spacing w:after="0"/>
        <w:jc w:val="both"/>
        <w:rPr>
          <w:sz w:val="24"/>
          <w:szCs w:val="24"/>
        </w:rPr>
      </w:pPr>
      <w:r w:rsidRPr="00B915A3">
        <w:t>Adults with a severe and enduring mental illness face considerable social exclusion. This is evidenced through high rates of unemployment, social isolation, poorer physical health and insecure housing arrangements</w:t>
      </w:r>
      <w:r>
        <w:t xml:space="preserve"> within this group</w:t>
      </w:r>
      <w:r w:rsidRPr="00B915A3">
        <w:t>, all of which create demand on other services</w:t>
      </w:r>
      <w:r w:rsidRPr="00B915A3">
        <w:rPr>
          <w:sz w:val="24"/>
          <w:szCs w:val="24"/>
        </w:rPr>
        <w:t xml:space="preserve">. </w:t>
      </w:r>
    </w:p>
    <w:p w:rsidR="008921BF" w:rsidRDefault="008921BF" w:rsidP="008921BF">
      <w:pPr>
        <w:spacing w:after="0"/>
        <w:jc w:val="both"/>
        <w:rPr>
          <w:sz w:val="24"/>
          <w:szCs w:val="24"/>
        </w:rPr>
      </w:pPr>
    </w:p>
    <w:p w:rsidR="008921BF" w:rsidRPr="00D635AD" w:rsidRDefault="008921BF" w:rsidP="008921BF">
      <w:pPr>
        <w:spacing w:after="0"/>
        <w:jc w:val="both"/>
      </w:pPr>
      <w:r>
        <w:t xml:space="preserve">Despite an expected increase in the number of people with mental health conditions, over the period 2011-2014 the number of Adult Social Care service users with mental health conditions has marginally reduced. However, the prevalence rate of service users with mental health conditions remains relatively high, with 24.2% of all clients having some form of mental health disorder in 2013/14. </w:t>
      </w:r>
    </w:p>
    <w:p w:rsidR="008921BF" w:rsidRDefault="008921BF" w:rsidP="008921BF">
      <w:pPr>
        <w:spacing w:after="0"/>
        <w:rPr>
          <w:sz w:val="24"/>
          <w:szCs w:val="24"/>
        </w:rPr>
      </w:pPr>
    </w:p>
    <w:p w:rsidR="008921BF" w:rsidRDefault="008921BF" w:rsidP="008921BF">
      <w:pPr>
        <w:pStyle w:val="Caption"/>
        <w:rPr>
          <w:b w:val="0"/>
          <w:i/>
        </w:rPr>
      </w:pPr>
      <w:r>
        <w:t xml:space="preserve">Table </w:t>
      </w:r>
      <w:fldSimple w:instr=" STYLEREF 1 \s ">
        <w:r w:rsidR="001663C2">
          <w:rPr>
            <w:noProof/>
          </w:rPr>
          <w:t>9</w:t>
        </w:r>
      </w:fldSimple>
      <w:r>
        <w:noBreakHyphen/>
      </w:r>
      <w:fldSimple w:instr=" SEQ Table \* ARABIC \s 1 ">
        <w:r w:rsidR="001663C2">
          <w:rPr>
            <w:noProof/>
          </w:rPr>
          <w:t>20</w:t>
        </w:r>
      </w:fldSimple>
      <w:r w:rsidRPr="00041E32">
        <w:t xml:space="preserve">: Number of </w:t>
      </w:r>
      <w:r w:rsidR="00AA058C">
        <w:t>m</w:t>
      </w:r>
      <w:r w:rsidRPr="00041E32">
        <w:t xml:space="preserve">ental </w:t>
      </w:r>
      <w:r w:rsidR="00AA058C">
        <w:t>health s</w:t>
      </w:r>
      <w:r w:rsidRPr="00041E32">
        <w:t xml:space="preserve">ervice </w:t>
      </w:r>
      <w:r w:rsidR="00AA058C">
        <w:t>u</w:t>
      </w:r>
      <w:r w:rsidRPr="00041E32">
        <w:t>sers</w:t>
      </w:r>
    </w:p>
    <w:tbl>
      <w:tblPr>
        <w:tblW w:w="8746" w:type="dxa"/>
        <w:tblInd w:w="93" w:type="dxa"/>
        <w:tblLook w:val="04A0" w:firstRow="1" w:lastRow="0" w:firstColumn="1" w:lastColumn="0" w:noHBand="0" w:noVBand="1"/>
      </w:tblPr>
      <w:tblGrid>
        <w:gridCol w:w="960"/>
        <w:gridCol w:w="946"/>
        <w:gridCol w:w="2034"/>
        <w:gridCol w:w="717"/>
        <w:gridCol w:w="1669"/>
        <w:gridCol w:w="802"/>
        <w:gridCol w:w="1618"/>
      </w:tblGrid>
      <w:tr w:rsidR="008921BF" w:rsidRPr="00D635AD" w:rsidTr="00031B92">
        <w:trPr>
          <w:trHeight w:val="615"/>
        </w:trPr>
        <w:tc>
          <w:tcPr>
            <w:tcW w:w="960"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rsidR="008921BF" w:rsidRPr="00D635AD" w:rsidRDefault="008921BF" w:rsidP="00031B92">
            <w:pPr>
              <w:spacing w:after="0" w:line="240" w:lineRule="auto"/>
              <w:jc w:val="center"/>
              <w:rPr>
                <w:rFonts w:ascii="Calibri" w:eastAsia="Times New Roman" w:hAnsi="Calibri" w:cs="Times New Roman"/>
                <w:b/>
                <w:bCs/>
                <w:color w:val="000000"/>
                <w:lang w:eastAsia="en-GB"/>
              </w:rPr>
            </w:pPr>
            <w:r w:rsidRPr="00D635AD">
              <w:rPr>
                <w:rFonts w:ascii="Calibri" w:eastAsia="Times New Roman" w:hAnsi="Calibri" w:cs="Times New Roman"/>
                <w:b/>
                <w:bCs/>
                <w:color w:val="000000"/>
                <w:lang w:eastAsia="en-GB"/>
              </w:rPr>
              <w:t>Age Group</w:t>
            </w:r>
          </w:p>
        </w:tc>
        <w:tc>
          <w:tcPr>
            <w:tcW w:w="2980" w:type="dxa"/>
            <w:gridSpan w:val="2"/>
            <w:tcBorders>
              <w:top w:val="single" w:sz="4" w:space="0" w:color="auto"/>
              <w:left w:val="nil"/>
              <w:bottom w:val="single" w:sz="4" w:space="0" w:color="auto"/>
              <w:right w:val="single" w:sz="4" w:space="0" w:color="auto"/>
            </w:tcBorders>
            <w:shd w:val="clear" w:color="000000" w:fill="BFBFBF"/>
            <w:noWrap/>
            <w:vAlign w:val="center"/>
            <w:hideMark/>
          </w:tcPr>
          <w:p w:rsidR="008921BF" w:rsidRPr="00D635AD" w:rsidRDefault="008921BF" w:rsidP="00031B92">
            <w:pPr>
              <w:spacing w:after="0" w:line="240" w:lineRule="auto"/>
              <w:jc w:val="center"/>
              <w:rPr>
                <w:rFonts w:ascii="Calibri" w:eastAsia="Times New Roman" w:hAnsi="Calibri" w:cs="Times New Roman"/>
                <w:b/>
                <w:bCs/>
                <w:color w:val="000000"/>
                <w:lang w:eastAsia="en-GB"/>
              </w:rPr>
            </w:pPr>
            <w:r w:rsidRPr="00D635AD">
              <w:rPr>
                <w:rFonts w:ascii="Calibri" w:eastAsia="Times New Roman" w:hAnsi="Calibri" w:cs="Times New Roman"/>
                <w:b/>
                <w:bCs/>
                <w:color w:val="000000"/>
                <w:lang w:eastAsia="en-GB"/>
              </w:rPr>
              <w:t xml:space="preserve">2011/12 </w:t>
            </w:r>
          </w:p>
        </w:tc>
        <w:tc>
          <w:tcPr>
            <w:tcW w:w="2386" w:type="dxa"/>
            <w:gridSpan w:val="2"/>
            <w:tcBorders>
              <w:top w:val="single" w:sz="4" w:space="0" w:color="auto"/>
              <w:left w:val="nil"/>
              <w:bottom w:val="single" w:sz="4" w:space="0" w:color="auto"/>
              <w:right w:val="single" w:sz="4" w:space="0" w:color="auto"/>
            </w:tcBorders>
            <w:shd w:val="clear" w:color="000000" w:fill="BFBFBF"/>
            <w:vAlign w:val="center"/>
            <w:hideMark/>
          </w:tcPr>
          <w:p w:rsidR="008921BF" w:rsidRPr="00D635AD" w:rsidRDefault="008921BF" w:rsidP="00031B92">
            <w:pPr>
              <w:spacing w:after="0" w:line="240" w:lineRule="auto"/>
              <w:jc w:val="center"/>
              <w:rPr>
                <w:rFonts w:ascii="Calibri" w:eastAsia="Times New Roman" w:hAnsi="Calibri" w:cs="Times New Roman"/>
                <w:b/>
                <w:bCs/>
                <w:color w:val="000000"/>
                <w:lang w:eastAsia="en-GB"/>
              </w:rPr>
            </w:pPr>
            <w:r w:rsidRPr="00D635AD">
              <w:rPr>
                <w:rFonts w:ascii="Calibri" w:eastAsia="Times New Roman" w:hAnsi="Calibri" w:cs="Times New Roman"/>
                <w:b/>
                <w:bCs/>
                <w:color w:val="000000"/>
                <w:lang w:eastAsia="en-GB"/>
              </w:rPr>
              <w:t>2012/13</w:t>
            </w:r>
          </w:p>
        </w:tc>
        <w:tc>
          <w:tcPr>
            <w:tcW w:w="2420" w:type="dxa"/>
            <w:gridSpan w:val="2"/>
            <w:tcBorders>
              <w:top w:val="single" w:sz="4" w:space="0" w:color="auto"/>
              <w:left w:val="nil"/>
              <w:bottom w:val="single" w:sz="4" w:space="0" w:color="auto"/>
              <w:right w:val="single" w:sz="4" w:space="0" w:color="auto"/>
            </w:tcBorders>
            <w:shd w:val="clear" w:color="000000" w:fill="BFBFBF"/>
            <w:noWrap/>
            <w:vAlign w:val="center"/>
            <w:hideMark/>
          </w:tcPr>
          <w:p w:rsidR="008921BF" w:rsidRPr="00D635AD" w:rsidRDefault="008921BF" w:rsidP="00031B92">
            <w:pPr>
              <w:spacing w:after="0" w:line="240" w:lineRule="auto"/>
              <w:jc w:val="center"/>
              <w:rPr>
                <w:rFonts w:ascii="Calibri" w:eastAsia="Times New Roman" w:hAnsi="Calibri" w:cs="Times New Roman"/>
                <w:b/>
                <w:bCs/>
                <w:color w:val="000000"/>
                <w:lang w:eastAsia="en-GB"/>
              </w:rPr>
            </w:pPr>
            <w:r w:rsidRPr="00D635AD">
              <w:rPr>
                <w:rFonts w:ascii="Calibri" w:eastAsia="Times New Roman" w:hAnsi="Calibri" w:cs="Times New Roman"/>
                <w:b/>
                <w:bCs/>
                <w:color w:val="000000"/>
                <w:lang w:eastAsia="en-GB"/>
              </w:rPr>
              <w:t xml:space="preserve">2013/14 </w:t>
            </w:r>
          </w:p>
        </w:tc>
      </w:tr>
      <w:tr w:rsidR="008921BF" w:rsidRPr="00D635AD" w:rsidTr="00031B92">
        <w:trPr>
          <w:trHeight w:val="600"/>
        </w:trPr>
        <w:tc>
          <w:tcPr>
            <w:tcW w:w="960" w:type="dxa"/>
            <w:vMerge/>
            <w:tcBorders>
              <w:top w:val="single" w:sz="4" w:space="0" w:color="auto"/>
              <w:left w:val="single" w:sz="4" w:space="0" w:color="auto"/>
              <w:bottom w:val="single" w:sz="4" w:space="0" w:color="auto"/>
              <w:right w:val="single" w:sz="4" w:space="0" w:color="auto"/>
            </w:tcBorders>
            <w:vAlign w:val="center"/>
            <w:hideMark/>
          </w:tcPr>
          <w:p w:rsidR="008921BF" w:rsidRPr="00D635AD" w:rsidRDefault="008921BF" w:rsidP="00031B92">
            <w:pPr>
              <w:spacing w:after="0" w:line="240" w:lineRule="auto"/>
              <w:rPr>
                <w:rFonts w:ascii="Calibri" w:eastAsia="Times New Roman" w:hAnsi="Calibri" w:cs="Times New Roman"/>
                <w:b/>
                <w:bCs/>
                <w:color w:val="000000"/>
                <w:lang w:eastAsia="en-GB"/>
              </w:rPr>
            </w:pPr>
          </w:p>
        </w:tc>
        <w:tc>
          <w:tcPr>
            <w:tcW w:w="946" w:type="dxa"/>
            <w:tcBorders>
              <w:top w:val="nil"/>
              <w:left w:val="nil"/>
              <w:bottom w:val="single" w:sz="4" w:space="0" w:color="auto"/>
              <w:right w:val="single" w:sz="4" w:space="0" w:color="auto"/>
            </w:tcBorders>
            <w:shd w:val="clear" w:color="000000" w:fill="BFBFBF"/>
            <w:noWrap/>
            <w:vAlign w:val="center"/>
            <w:hideMark/>
          </w:tcPr>
          <w:p w:rsidR="008921BF" w:rsidRPr="00D635AD" w:rsidRDefault="008921BF" w:rsidP="00031B92">
            <w:pPr>
              <w:spacing w:after="0" w:line="240" w:lineRule="auto"/>
              <w:jc w:val="center"/>
              <w:rPr>
                <w:rFonts w:ascii="Calibri" w:eastAsia="Times New Roman" w:hAnsi="Calibri" w:cs="Times New Roman"/>
                <w:b/>
                <w:bCs/>
                <w:color w:val="000000"/>
                <w:lang w:eastAsia="en-GB"/>
              </w:rPr>
            </w:pPr>
            <w:r w:rsidRPr="00D635AD">
              <w:rPr>
                <w:rFonts w:ascii="Calibri" w:eastAsia="Times New Roman" w:hAnsi="Calibri" w:cs="Times New Roman"/>
                <w:b/>
                <w:bCs/>
                <w:color w:val="000000"/>
                <w:lang w:eastAsia="en-GB"/>
              </w:rPr>
              <w:t>No.</w:t>
            </w:r>
          </w:p>
        </w:tc>
        <w:tc>
          <w:tcPr>
            <w:tcW w:w="2034" w:type="dxa"/>
            <w:tcBorders>
              <w:top w:val="nil"/>
              <w:left w:val="nil"/>
              <w:bottom w:val="single" w:sz="4" w:space="0" w:color="auto"/>
              <w:right w:val="single" w:sz="4" w:space="0" w:color="auto"/>
            </w:tcBorders>
            <w:shd w:val="clear" w:color="000000" w:fill="BFBFBF"/>
            <w:vAlign w:val="center"/>
            <w:hideMark/>
          </w:tcPr>
          <w:p w:rsidR="008921BF" w:rsidRPr="00D635AD" w:rsidRDefault="008921BF" w:rsidP="00031B92">
            <w:pPr>
              <w:spacing w:after="0" w:line="240" w:lineRule="auto"/>
              <w:jc w:val="center"/>
              <w:rPr>
                <w:rFonts w:ascii="Calibri" w:eastAsia="Times New Roman" w:hAnsi="Calibri" w:cs="Times New Roman"/>
                <w:b/>
                <w:bCs/>
                <w:color w:val="000000"/>
                <w:lang w:eastAsia="en-GB"/>
              </w:rPr>
            </w:pPr>
            <w:r w:rsidRPr="00D635AD">
              <w:rPr>
                <w:rFonts w:ascii="Calibri" w:eastAsia="Times New Roman" w:hAnsi="Calibri" w:cs="Times New Roman"/>
                <w:b/>
                <w:bCs/>
                <w:color w:val="000000"/>
                <w:lang w:eastAsia="en-GB"/>
              </w:rPr>
              <w:t>% of Total Service Users</w:t>
            </w:r>
          </w:p>
        </w:tc>
        <w:tc>
          <w:tcPr>
            <w:tcW w:w="717" w:type="dxa"/>
            <w:tcBorders>
              <w:top w:val="nil"/>
              <w:left w:val="nil"/>
              <w:bottom w:val="single" w:sz="4" w:space="0" w:color="auto"/>
              <w:right w:val="single" w:sz="4" w:space="0" w:color="auto"/>
            </w:tcBorders>
            <w:shd w:val="clear" w:color="000000" w:fill="BFBFBF"/>
            <w:noWrap/>
            <w:vAlign w:val="center"/>
            <w:hideMark/>
          </w:tcPr>
          <w:p w:rsidR="008921BF" w:rsidRPr="00D635AD" w:rsidRDefault="008921BF" w:rsidP="00031B92">
            <w:pPr>
              <w:spacing w:after="0" w:line="240" w:lineRule="auto"/>
              <w:jc w:val="center"/>
              <w:rPr>
                <w:rFonts w:ascii="Calibri" w:eastAsia="Times New Roman" w:hAnsi="Calibri" w:cs="Times New Roman"/>
                <w:b/>
                <w:bCs/>
                <w:color w:val="000000"/>
                <w:lang w:eastAsia="en-GB"/>
              </w:rPr>
            </w:pPr>
            <w:r w:rsidRPr="00D635AD">
              <w:rPr>
                <w:rFonts w:ascii="Calibri" w:eastAsia="Times New Roman" w:hAnsi="Calibri" w:cs="Times New Roman"/>
                <w:b/>
                <w:bCs/>
                <w:color w:val="000000"/>
                <w:lang w:eastAsia="en-GB"/>
              </w:rPr>
              <w:t>No.</w:t>
            </w:r>
          </w:p>
        </w:tc>
        <w:tc>
          <w:tcPr>
            <w:tcW w:w="1669" w:type="dxa"/>
            <w:tcBorders>
              <w:top w:val="nil"/>
              <w:left w:val="nil"/>
              <w:bottom w:val="single" w:sz="4" w:space="0" w:color="auto"/>
              <w:right w:val="single" w:sz="4" w:space="0" w:color="auto"/>
            </w:tcBorders>
            <w:shd w:val="clear" w:color="000000" w:fill="BFBFBF"/>
            <w:vAlign w:val="center"/>
            <w:hideMark/>
          </w:tcPr>
          <w:p w:rsidR="008921BF" w:rsidRPr="00D635AD" w:rsidRDefault="008921BF" w:rsidP="00031B92">
            <w:pPr>
              <w:spacing w:after="0" w:line="240" w:lineRule="auto"/>
              <w:jc w:val="center"/>
              <w:rPr>
                <w:rFonts w:ascii="Calibri" w:eastAsia="Times New Roman" w:hAnsi="Calibri" w:cs="Times New Roman"/>
                <w:b/>
                <w:bCs/>
                <w:color w:val="000000"/>
                <w:lang w:eastAsia="en-GB"/>
              </w:rPr>
            </w:pPr>
            <w:r w:rsidRPr="00D635AD">
              <w:rPr>
                <w:rFonts w:ascii="Calibri" w:eastAsia="Times New Roman" w:hAnsi="Calibri" w:cs="Times New Roman"/>
                <w:b/>
                <w:bCs/>
                <w:color w:val="000000"/>
                <w:lang w:eastAsia="en-GB"/>
              </w:rPr>
              <w:t>% of Total Service Users</w:t>
            </w:r>
          </w:p>
        </w:tc>
        <w:tc>
          <w:tcPr>
            <w:tcW w:w="802" w:type="dxa"/>
            <w:tcBorders>
              <w:top w:val="nil"/>
              <w:left w:val="nil"/>
              <w:bottom w:val="single" w:sz="4" w:space="0" w:color="auto"/>
              <w:right w:val="single" w:sz="4" w:space="0" w:color="auto"/>
            </w:tcBorders>
            <w:shd w:val="clear" w:color="000000" w:fill="BFBFBF"/>
            <w:noWrap/>
            <w:vAlign w:val="center"/>
            <w:hideMark/>
          </w:tcPr>
          <w:p w:rsidR="008921BF" w:rsidRPr="00D635AD" w:rsidRDefault="008921BF" w:rsidP="00031B92">
            <w:pPr>
              <w:spacing w:after="0" w:line="240" w:lineRule="auto"/>
              <w:jc w:val="center"/>
              <w:rPr>
                <w:rFonts w:ascii="Calibri" w:eastAsia="Times New Roman" w:hAnsi="Calibri" w:cs="Times New Roman"/>
                <w:b/>
                <w:bCs/>
                <w:color w:val="000000"/>
                <w:lang w:eastAsia="en-GB"/>
              </w:rPr>
            </w:pPr>
            <w:r w:rsidRPr="00D635AD">
              <w:rPr>
                <w:rFonts w:ascii="Calibri" w:eastAsia="Times New Roman" w:hAnsi="Calibri" w:cs="Times New Roman"/>
                <w:b/>
                <w:bCs/>
                <w:color w:val="000000"/>
                <w:lang w:eastAsia="en-GB"/>
              </w:rPr>
              <w:t>No.</w:t>
            </w:r>
          </w:p>
        </w:tc>
        <w:tc>
          <w:tcPr>
            <w:tcW w:w="1618" w:type="dxa"/>
            <w:tcBorders>
              <w:top w:val="nil"/>
              <w:left w:val="nil"/>
              <w:bottom w:val="single" w:sz="4" w:space="0" w:color="auto"/>
              <w:right w:val="single" w:sz="4" w:space="0" w:color="auto"/>
            </w:tcBorders>
            <w:shd w:val="clear" w:color="000000" w:fill="BFBFBF"/>
            <w:vAlign w:val="center"/>
            <w:hideMark/>
          </w:tcPr>
          <w:p w:rsidR="008921BF" w:rsidRPr="00D635AD" w:rsidRDefault="008921BF" w:rsidP="00031B92">
            <w:pPr>
              <w:spacing w:after="0" w:line="240" w:lineRule="auto"/>
              <w:jc w:val="center"/>
              <w:rPr>
                <w:rFonts w:ascii="Calibri" w:eastAsia="Times New Roman" w:hAnsi="Calibri" w:cs="Times New Roman"/>
                <w:b/>
                <w:bCs/>
                <w:color w:val="000000"/>
                <w:lang w:eastAsia="en-GB"/>
              </w:rPr>
            </w:pPr>
            <w:r w:rsidRPr="00D635AD">
              <w:rPr>
                <w:rFonts w:ascii="Calibri" w:eastAsia="Times New Roman" w:hAnsi="Calibri" w:cs="Times New Roman"/>
                <w:b/>
                <w:bCs/>
                <w:color w:val="000000"/>
                <w:lang w:eastAsia="en-GB"/>
              </w:rPr>
              <w:t>% of Total Service Users</w:t>
            </w:r>
          </w:p>
        </w:tc>
      </w:tr>
      <w:tr w:rsidR="008921BF" w:rsidRPr="00D635AD" w:rsidTr="00031B92">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8921BF" w:rsidRPr="00D635AD" w:rsidRDefault="008921BF" w:rsidP="00031B92">
            <w:pPr>
              <w:spacing w:after="0" w:line="240" w:lineRule="auto"/>
              <w:jc w:val="center"/>
              <w:rPr>
                <w:rFonts w:ascii="Calibri" w:eastAsia="Times New Roman" w:hAnsi="Calibri" w:cs="Times New Roman"/>
                <w:color w:val="000000"/>
                <w:lang w:eastAsia="en-GB"/>
              </w:rPr>
            </w:pPr>
            <w:r w:rsidRPr="00D635AD">
              <w:rPr>
                <w:rFonts w:ascii="Calibri" w:eastAsia="Times New Roman" w:hAnsi="Calibri" w:cs="Times New Roman"/>
                <w:color w:val="000000"/>
                <w:lang w:eastAsia="en-GB"/>
              </w:rPr>
              <w:t>18-64</w:t>
            </w:r>
          </w:p>
        </w:tc>
        <w:tc>
          <w:tcPr>
            <w:tcW w:w="946" w:type="dxa"/>
            <w:tcBorders>
              <w:top w:val="nil"/>
              <w:left w:val="nil"/>
              <w:bottom w:val="single" w:sz="4" w:space="0" w:color="auto"/>
              <w:right w:val="single" w:sz="4" w:space="0" w:color="auto"/>
            </w:tcBorders>
            <w:shd w:val="clear" w:color="auto" w:fill="auto"/>
            <w:noWrap/>
            <w:vAlign w:val="center"/>
            <w:hideMark/>
          </w:tcPr>
          <w:p w:rsidR="008921BF" w:rsidRPr="00D635AD" w:rsidRDefault="008921BF" w:rsidP="00031B92">
            <w:pPr>
              <w:spacing w:after="0" w:line="240" w:lineRule="auto"/>
              <w:jc w:val="center"/>
              <w:rPr>
                <w:rFonts w:ascii="Calibri" w:eastAsia="Times New Roman" w:hAnsi="Calibri" w:cs="Times New Roman"/>
                <w:color w:val="000000"/>
                <w:lang w:eastAsia="en-GB"/>
              </w:rPr>
            </w:pPr>
            <w:r w:rsidRPr="00D635AD">
              <w:rPr>
                <w:rFonts w:ascii="Calibri" w:eastAsia="Times New Roman" w:hAnsi="Calibri" w:cs="Times New Roman"/>
                <w:color w:val="000000"/>
                <w:lang w:eastAsia="en-GB"/>
              </w:rPr>
              <w:t>1,059</w:t>
            </w:r>
          </w:p>
        </w:tc>
        <w:tc>
          <w:tcPr>
            <w:tcW w:w="2034" w:type="dxa"/>
            <w:tcBorders>
              <w:top w:val="nil"/>
              <w:left w:val="nil"/>
              <w:bottom w:val="single" w:sz="4" w:space="0" w:color="auto"/>
              <w:right w:val="single" w:sz="4" w:space="0" w:color="auto"/>
            </w:tcBorders>
            <w:shd w:val="clear" w:color="auto" w:fill="auto"/>
            <w:noWrap/>
            <w:vAlign w:val="bottom"/>
            <w:hideMark/>
          </w:tcPr>
          <w:p w:rsidR="008921BF" w:rsidRPr="00D635AD" w:rsidRDefault="008921BF" w:rsidP="00031B92">
            <w:pPr>
              <w:spacing w:after="0" w:line="240" w:lineRule="auto"/>
              <w:jc w:val="center"/>
              <w:rPr>
                <w:rFonts w:ascii="Calibri" w:eastAsia="Times New Roman" w:hAnsi="Calibri" w:cs="Times New Roman"/>
                <w:color w:val="000000"/>
                <w:lang w:eastAsia="en-GB"/>
              </w:rPr>
            </w:pPr>
            <w:r w:rsidRPr="00D635AD">
              <w:rPr>
                <w:rFonts w:ascii="Calibri" w:eastAsia="Times New Roman" w:hAnsi="Calibri" w:cs="Times New Roman"/>
                <w:color w:val="000000"/>
                <w:lang w:eastAsia="en-GB"/>
              </w:rPr>
              <w:t>39.8%</w:t>
            </w:r>
          </w:p>
        </w:tc>
        <w:tc>
          <w:tcPr>
            <w:tcW w:w="717" w:type="dxa"/>
            <w:tcBorders>
              <w:top w:val="nil"/>
              <w:left w:val="nil"/>
              <w:bottom w:val="single" w:sz="4" w:space="0" w:color="auto"/>
              <w:right w:val="single" w:sz="4" w:space="0" w:color="auto"/>
            </w:tcBorders>
            <w:shd w:val="clear" w:color="auto" w:fill="auto"/>
            <w:noWrap/>
            <w:vAlign w:val="center"/>
            <w:hideMark/>
          </w:tcPr>
          <w:p w:rsidR="008921BF" w:rsidRPr="00D635AD" w:rsidRDefault="008921BF" w:rsidP="00031B92">
            <w:pPr>
              <w:spacing w:after="0" w:line="240" w:lineRule="auto"/>
              <w:jc w:val="center"/>
              <w:rPr>
                <w:rFonts w:ascii="Calibri" w:eastAsia="Times New Roman" w:hAnsi="Calibri" w:cs="Times New Roman"/>
                <w:color w:val="000000"/>
                <w:lang w:eastAsia="en-GB"/>
              </w:rPr>
            </w:pPr>
            <w:r w:rsidRPr="00D635AD">
              <w:rPr>
                <w:rFonts w:ascii="Calibri" w:eastAsia="Times New Roman" w:hAnsi="Calibri" w:cs="Times New Roman"/>
                <w:color w:val="000000"/>
                <w:lang w:eastAsia="en-GB"/>
              </w:rPr>
              <w:t>1,173</w:t>
            </w:r>
          </w:p>
        </w:tc>
        <w:tc>
          <w:tcPr>
            <w:tcW w:w="1669" w:type="dxa"/>
            <w:tcBorders>
              <w:top w:val="nil"/>
              <w:left w:val="nil"/>
              <w:bottom w:val="single" w:sz="4" w:space="0" w:color="auto"/>
              <w:right w:val="single" w:sz="4" w:space="0" w:color="auto"/>
            </w:tcBorders>
            <w:shd w:val="clear" w:color="auto" w:fill="auto"/>
            <w:noWrap/>
            <w:vAlign w:val="bottom"/>
            <w:hideMark/>
          </w:tcPr>
          <w:p w:rsidR="008921BF" w:rsidRPr="00D635AD" w:rsidRDefault="008921BF" w:rsidP="00031B92">
            <w:pPr>
              <w:spacing w:after="0" w:line="240" w:lineRule="auto"/>
              <w:jc w:val="center"/>
              <w:rPr>
                <w:rFonts w:ascii="Calibri" w:eastAsia="Times New Roman" w:hAnsi="Calibri" w:cs="Times New Roman"/>
                <w:color w:val="000000"/>
                <w:lang w:eastAsia="en-GB"/>
              </w:rPr>
            </w:pPr>
            <w:r w:rsidRPr="00D635AD">
              <w:rPr>
                <w:rFonts w:ascii="Calibri" w:eastAsia="Times New Roman" w:hAnsi="Calibri" w:cs="Times New Roman"/>
                <w:color w:val="000000"/>
                <w:lang w:eastAsia="en-GB"/>
              </w:rPr>
              <w:t>42.4%</w:t>
            </w:r>
          </w:p>
        </w:tc>
        <w:tc>
          <w:tcPr>
            <w:tcW w:w="802" w:type="dxa"/>
            <w:tcBorders>
              <w:top w:val="nil"/>
              <w:left w:val="nil"/>
              <w:bottom w:val="single" w:sz="4" w:space="0" w:color="auto"/>
              <w:right w:val="single" w:sz="4" w:space="0" w:color="auto"/>
            </w:tcBorders>
            <w:shd w:val="clear" w:color="auto" w:fill="auto"/>
            <w:noWrap/>
            <w:vAlign w:val="center"/>
            <w:hideMark/>
          </w:tcPr>
          <w:p w:rsidR="008921BF" w:rsidRPr="00D635AD" w:rsidRDefault="008921BF" w:rsidP="00031B92">
            <w:pPr>
              <w:spacing w:after="0" w:line="240" w:lineRule="auto"/>
              <w:jc w:val="center"/>
              <w:rPr>
                <w:rFonts w:ascii="Calibri" w:eastAsia="Times New Roman" w:hAnsi="Calibri" w:cs="Times New Roman"/>
                <w:color w:val="000000"/>
                <w:lang w:eastAsia="en-GB"/>
              </w:rPr>
            </w:pPr>
            <w:r w:rsidRPr="00D635AD">
              <w:rPr>
                <w:rFonts w:ascii="Calibri" w:eastAsia="Times New Roman" w:hAnsi="Calibri" w:cs="Times New Roman"/>
                <w:color w:val="000000"/>
                <w:lang w:eastAsia="en-GB"/>
              </w:rPr>
              <w:t>1,127</w:t>
            </w:r>
          </w:p>
        </w:tc>
        <w:tc>
          <w:tcPr>
            <w:tcW w:w="1618" w:type="dxa"/>
            <w:tcBorders>
              <w:top w:val="nil"/>
              <w:left w:val="nil"/>
              <w:bottom w:val="single" w:sz="4" w:space="0" w:color="auto"/>
              <w:right w:val="single" w:sz="4" w:space="0" w:color="auto"/>
            </w:tcBorders>
            <w:shd w:val="clear" w:color="auto" w:fill="auto"/>
            <w:noWrap/>
            <w:vAlign w:val="bottom"/>
            <w:hideMark/>
          </w:tcPr>
          <w:p w:rsidR="008921BF" w:rsidRPr="00D635AD" w:rsidRDefault="008921BF" w:rsidP="00031B92">
            <w:pPr>
              <w:spacing w:after="0" w:line="240" w:lineRule="auto"/>
              <w:jc w:val="center"/>
              <w:rPr>
                <w:rFonts w:ascii="Calibri" w:eastAsia="Times New Roman" w:hAnsi="Calibri" w:cs="Times New Roman"/>
                <w:color w:val="000000"/>
                <w:lang w:eastAsia="en-GB"/>
              </w:rPr>
            </w:pPr>
            <w:r w:rsidRPr="00D635AD">
              <w:rPr>
                <w:rFonts w:ascii="Calibri" w:eastAsia="Times New Roman" w:hAnsi="Calibri" w:cs="Times New Roman"/>
                <w:color w:val="000000"/>
                <w:lang w:eastAsia="en-GB"/>
              </w:rPr>
              <w:t>41.8%</w:t>
            </w:r>
          </w:p>
        </w:tc>
      </w:tr>
      <w:tr w:rsidR="008921BF" w:rsidRPr="00D635AD" w:rsidTr="00031B92">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8921BF" w:rsidRPr="00D635AD" w:rsidRDefault="008921BF" w:rsidP="00031B92">
            <w:pPr>
              <w:spacing w:after="0" w:line="240" w:lineRule="auto"/>
              <w:jc w:val="center"/>
              <w:rPr>
                <w:rFonts w:ascii="Calibri" w:eastAsia="Times New Roman" w:hAnsi="Calibri" w:cs="Times New Roman"/>
                <w:color w:val="000000"/>
                <w:lang w:eastAsia="en-GB"/>
              </w:rPr>
            </w:pPr>
            <w:r w:rsidRPr="00D635AD">
              <w:rPr>
                <w:rFonts w:ascii="Calibri" w:eastAsia="Times New Roman" w:hAnsi="Calibri" w:cs="Times New Roman"/>
                <w:color w:val="000000"/>
                <w:lang w:eastAsia="en-GB"/>
              </w:rPr>
              <w:t>65+</w:t>
            </w:r>
          </w:p>
        </w:tc>
        <w:tc>
          <w:tcPr>
            <w:tcW w:w="946" w:type="dxa"/>
            <w:tcBorders>
              <w:top w:val="nil"/>
              <w:left w:val="nil"/>
              <w:bottom w:val="single" w:sz="4" w:space="0" w:color="auto"/>
              <w:right w:val="single" w:sz="4" w:space="0" w:color="auto"/>
            </w:tcBorders>
            <w:shd w:val="clear" w:color="auto" w:fill="auto"/>
            <w:noWrap/>
            <w:vAlign w:val="center"/>
            <w:hideMark/>
          </w:tcPr>
          <w:p w:rsidR="008921BF" w:rsidRPr="00D635AD" w:rsidRDefault="008921BF" w:rsidP="00031B92">
            <w:pPr>
              <w:spacing w:after="0" w:line="240" w:lineRule="auto"/>
              <w:jc w:val="center"/>
              <w:rPr>
                <w:rFonts w:ascii="Calibri" w:eastAsia="Times New Roman" w:hAnsi="Calibri" w:cs="Times New Roman"/>
                <w:color w:val="000000"/>
                <w:lang w:eastAsia="en-GB"/>
              </w:rPr>
            </w:pPr>
            <w:r w:rsidRPr="00D635AD">
              <w:rPr>
                <w:rFonts w:ascii="Calibri" w:eastAsia="Times New Roman" w:hAnsi="Calibri" w:cs="Times New Roman"/>
                <w:color w:val="000000"/>
                <w:lang w:eastAsia="en-GB"/>
              </w:rPr>
              <w:t>730</w:t>
            </w:r>
          </w:p>
        </w:tc>
        <w:tc>
          <w:tcPr>
            <w:tcW w:w="2034" w:type="dxa"/>
            <w:tcBorders>
              <w:top w:val="nil"/>
              <w:left w:val="nil"/>
              <w:bottom w:val="single" w:sz="4" w:space="0" w:color="auto"/>
              <w:right w:val="single" w:sz="4" w:space="0" w:color="auto"/>
            </w:tcBorders>
            <w:shd w:val="clear" w:color="auto" w:fill="auto"/>
            <w:noWrap/>
            <w:vAlign w:val="bottom"/>
            <w:hideMark/>
          </w:tcPr>
          <w:p w:rsidR="008921BF" w:rsidRPr="00D635AD" w:rsidRDefault="008921BF" w:rsidP="00031B92">
            <w:pPr>
              <w:spacing w:after="0" w:line="240" w:lineRule="auto"/>
              <w:jc w:val="center"/>
              <w:rPr>
                <w:rFonts w:ascii="Calibri" w:eastAsia="Times New Roman" w:hAnsi="Calibri" w:cs="Times New Roman"/>
                <w:color w:val="000000"/>
                <w:lang w:eastAsia="en-GB"/>
              </w:rPr>
            </w:pPr>
            <w:r w:rsidRPr="00D635AD">
              <w:rPr>
                <w:rFonts w:ascii="Calibri" w:eastAsia="Times New Roman" w:hAnsi="Calibri" w:cs="Times New Roman"/>
                <w:color w:val="000000"/>
                <w:lang w:eastAsia="en-GB"/>
              </w:rPr>
              <w:t>15.0%</w:t>
            </w:r>
          </w:p>
        </w:tc>
        <w:tc>
          <w:tcPr>
            <w:tcW w:w="717" w:type="dxa"/>
            <w:tcBorders>
              <w:top w:val="nil"/>
              <w:left w:val="nil"/>
              <w:bottom w:val="single" w:sz="4" w:space="0" w:color="auto"/>
              <w:right w:val="single" w:sz="4" w:space="0" w:color="auto"/>
            </w:tcBorders>
            <w:shd w:val="clear" w:color="auto" w:fill="auto"/>
            <w:noWrap/>
            <w:vAlign w:val="center"/>
            <w:hideMark/>
          </w:tcPr>
          <w:p w:rsidR="008921BF" w:rsidRPr="00D635AD" w:rsidRDefault="008921BF" w:rsidP="00031B92">
            <w:pPr>
              <w:spacing w:after="0" w:line="240" w:lineRule="auto"/>
              <w:jc w:val="center"/>
              <w:rPr>
                <w:rFonts w:ascii="Calibri" w:eastAsia="Times New Roman" w:hAnsi="Calibri" w:cs="Times New Roman"/>
                <w:color w:val="000000"/>
                <w:lang w:eastAsia="en-GB"/>
              </w:rPr>
            </w:pPr>
            <w:r w:rsidRPr="00D635AD">
              <w:rPr>
                <w:rFonts w:ascii="Calibri" w:eastAsia="Times New Roman" w:hAnsi="Calibri" w:cs="Times New Roman"/>
                <w:color w:val="000000"/>
                <w:lang w:eastAsia="en-GB"/>
              </w:rPr>
              <w:t>702</w:t>
            </w:r>
          </w:p>
        </w:tc>
        <w:tc>
          <w:tcPr>
            <w:tcW w:w="1669" w:type="dxa"/>
            <w:tcBorders>
              <w:top w:val="nil"/>
              <w:left w:val="nil"/>
              <w:bottom w:val="single" w:sz="4" w:space="0" w:color="auto"/>
              <w:right w:val="single" w:sz="4" w:space="0" w:color="auto"/>
            </w:tcBorders>
            <w:shd w:val="clear" w:color="auto" w:fill="auto"/>
            <w:noWrap/>
            <w:vAlign w:val="bottom"/>
            <w:hideMark/>
          </w:tcPr>
          <w:p w:rsidR="008921BF" w:rsidRPr="00D635AD" w:rsidRDefault="008921BF" w:rsidP="00031B92">
            <w:pPr>
              <w:spacing w:after="0" w:line="240" w:lineRule="auto"/>
              <w:jc w:val="center"/>
              <w:rPr>
                <w:rFonts w:ascii="Calibri" w:eastAsia="Times New Roman" w:hAnsi="Calibri" w:cs="Times New Roman"/>
                <w:color w:val="000000"/>
                <w:lang w:eastAsia="en-GB"/>
              </w:rPr>
            </w:pPr>
            <w:r w:rsidRPr="00D635AD">
              <w:rPr>
                <w:rFonts w:ascii="Calibri" w:eastAsia="Times New Roman" w:hAnsi="Calibri" w:cs="Times New Roman"/>
                <w:color w:val="000000"/>
                <w:lang w:eastAsia="en-GB"/>
              </w:rPr>
              <w:t>14.7%</w:t>
            </w:r>
          </w:p>
        </w:tc>
        <w:tc>
          <w:tcPr>
            <w:tcW w:w="802" w:type="dxa"/>
            <w:tcBorders>
              <w:top w:val="nil"/>
              <w:left w:val="nil"/>
              <w:bottom w:val="single" w:sz="4" w:space="0" w:color="auto"/>
              <w:right w:val="single" w:sz="4" w:space="0" w:color="auto"/>
            </w:tcBorders>
            <w:shd w:val="clear" w:color="auto" w:fill="auto"/>
            <w:noWrap/>
            <w:vAlign w:val="center"/>
            <w:hideMark/>
          </w:tcPr>
          <w:p w:rsidR="008921BF" w:rsidRPr="00D635AD" w:rsidRDefault="008921BF" w:rsidP="00031B92">
            <w:pPr>
              <w:spacing w:after="0" w:line="240" w:lineRule="auto"/>
              <w:jc w:val="center"/>
              <w:rPr>
                <w:rFonts w:ascii="Calibri" w:eastAsia="Times New Roman" w:hAnsi="Calibri" w:cs="Times New Roman"/>
                <w:color w:val="000000"/>
                <w:lang w:eastAsia="en-GB"/>
              </w:rPr>
            </w:pPr>
            <w:r w:rsidRPr="00D635AD">
              <w:rPr>
                <w:rFonts w:ascii="Calibri" w:eastAsia="Times New Roman" w:hAnsi="Calibri" w:cs="Times New Roman"/>
                <w:color w:val="000000"/>
                <w:lang w:eastAsia="en-GB"/>
              </w:rPr>
              <w:t>675</w:t>
            </w:r>
          </w:p>
        </w:tc>
        <w:tc>
          <w:tcPr>
            <w:tcW w:w="1618" w:type="dxa"/>
            <w:tcBorders>
              <w:top w:val="nil"/>
              <w:left w:val="nil"/>
              <w:bottom w:val="single" w:sz="4" w:space="0" w:color="auto"/>
              <w:right w:val="single" w:sz="4" w:space="0" w:color="auto"/>
            </w:tcBorders>
            <w:shd w:val="clear" w:color="auto" w:fill="auto"/>
            <w:noWrap/>
            <w:vAlign w:val="bottom"/>
            <w:hideMark/>
          </w:tcPr>
          <w:p w:rsidR="008921BF" w:rsidRPr="00D635AD" w:rsidRDefault="008921BF" w:rsidP="00031B92">
            <w:pPr>
              <w:spacing w:after="0" w:line="240" w:lineRule="auto"/>
              <w:jc w:val="center"/>
              <w:rPr>
                <w:rFonts w:ascii="Calibri" w:eastAsia="Times New Roman" w:hAnsi="Calibri" w:cs="Times New Roman"/>
                <w:color w:val="000000"/>
                <w:lang w:eastAsia="en-GB"/>
              </w:rPr>
            </w:pPr>
            <w:r w:rsidRPr="00D635AD">
              <w:rPr>
                <w:rFonts w:ascii="Calibri" w:eastAsia="Times New Roman" w:hAnsi="Calibri" w:cs="Times New Roman"/>
                <w:color w:val="000000"/>
                <w:lang w:eastAsia="en-GB"/>
              </w:rPr>
              <w:t>14.2%</w:t>
            </w:r>
          </w:p>
        </w:tc>
      </w:tr>
      <w:tr w:rsidR="008921BF" w:rsidRPr="00D635AD" w:rsidTr="00031B92">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8921BF" w:rsidRPr="00D635AD" w:rsidRDefault="008921BF" w:rsidP="00031B92">
            <w:pPr>
              <w:spacing w:after="0" w:line="240" w:lineRule="auto"/>
              <w:jc w:val="center"/>
              <w:rPr>
                <w:rFonts w:ascii="Calibri" w:eastAsia="Times New Roman" w:hAnsi="Calibri" w:cs="Times New Roman"/>
                <w:color w:val="000000"/>
                <w:lang w:eastAsia="en-GB"/>
              </w:rPr>
            </w:pPr>
            <w:r w:rsidRPr="00D635AD">
              <w:rPr>
                <w:rFonts w:ascii="Calibri" w:eastAsia="Times New Roman" w:hAnsi="Calibri" w:cs="Times New Roman"/>
                <w:color w:val="000000"/>
                <w:lang w:eastAsia="en-GB"/>
              </w:rPr>
              <w:t>Total</w:t>
            </w:r>
          </w:p>
        </w:tc>
        <w:tc>
          <w:tcPr>
            <w:tcW w:w="946" w:type="dxa"/>
            <w:tcBorders>
              <w:top w:val="nil"/>
              <w:left w:val="nil"/>
              <w:bottom w:val="single" w:sz="4" w:space="0" w:color="auto"/>
              <w:right w:val="single" w:sz="4" w:space="0" w:color="auto"/>
            </w:tcBorders>
            <w:shd w:val="clear" w:color="auto" w:fill="auto"/>
            <w:noWrap/>
            <w:vAlign w:val="bottom"/>
            <w:hideMark/>
          </w:tcPr>
          <w:p w:rsidR="008921BF" w:rsidRPr="00D635AD" w:rsidRDefault="008921BF" w:rsidP="00031B92">
            <w:pPr>
              <w:spacing w:after="0" w:line="240" w:lineRule="auto"/>
              <w:jc w:val="center"/>
              <w:rPr>
                <w:rFonts w:ascii="Calibri" w:eastAsia="Times New Roman" w:hAnsi="Calibri" w:cs="Times New Roman"/>
                <w:color w:val="000000"/>
                <w:lang w:eastAsia="en-GB"/>
              </w:rPr>
            </w:pPr>
            <w:r w:rsidRPr="00D635AD">
              <w:rPr>
                <w:rFonts w:ascii="Calibri" w:eastAsia="Times New Roman" w:hAnsi="Calibri" w:cs="Times New Roman"/>
                <w:color w:val="000000"/>
                <w:lang w:eastAsia="en-GB"/>
              </w:rPr>
              <w:t>1,789</w:t>
            </w:r>
          </w:p>
        </w:tc>
        <w:tc>
          <w:tcPr>
            <w:tcW w:w="2034" w:type="dxa"/>
            <w:tcBorders>
              <w:top w:val="nil"/>
              <w:left w:val="nil"/>
              <w:bottom w:val="single" w:sz="4" w:space="0" w:color="auto"/>
              <w:right w:val="single" w:sz="4" w:space="0" w:color="auto"/>
            </w:tcBorders>
            <w:shd w:val="clear" w:color="auto" w:fill="auto"/>
            <w:noWrap/>
            <w:vAlign w:val="bottom"/>
            <w:hideMark/>
          </w:tcPr>
          <w:p w:rsidR="008921BF" w:rsidRPr="00D635AD" w:rsidRDefault="008921BF" w:rsidP="00031B92">
            <w:pPr>
              <w:spacing w:after="0" w:line="240" w:lineRule="auto"/>
              <w:jc w:val="center"/>
              <w:rPr>
                <w:rFonts w:ascii="Calibri" w:eastAsia="Times New Roman" w:hAnsi="Calibri" w:cs="Times New Roman"/>
                <w:color w:val="000000"/>
                <w:lang w:eastAsia="en-GB"/>
              </w:rPr>
            </w:pPr>
            <w:r w:rsidRPr="00D635AD">
              <w:rPr>
                <w:rFonts w:ascii="Calibri" w:eastAsia="Times New Roman" w:hAnsi="Calibri" w:cs="Times New Roman"/>
                <w:color w:val="000000"/>
                <w:lang w:eastAsia="en-GB"/>
              </w:rPr>
              <w:t>23.8%</w:t>
            </w:r>
          </w:p>
        </w:tc>
        <w:tc>
          <w:tcPr>
            <w:tcW w:w="717" w:type="dxa"/>
            <w:tcBorders>
              <w:top w:val="nil"/>
              <w:left w:val="nil"/>
              <w:bottom w:val="single" w:sz="4" w:space="0" w:color="auto"/>
              <w:right w:val="single" w:sz="4" w:space="0" w:color="auto"/>
            </w:tcBorders>
            <w:shd w:val="clear" w:color="auto" w:fill="auto"/>
            <w:noWrap/>
            <w:vAlign w:val="bottom"/>
            <w:hideMark/>
          </w:tcPr>
          <w:p w:rsidR="008921BF" w:rsidRPr="00D635AD" w:rsidRDefault="008921BF" w:rsidP="00031B92">
            <w:pPr>
              <w:spacing w:after="0" w:line="240" w:lineRule="auto"/>
              <w:jc w:val="center"/>
              <w:rPr>
                <w:rFonts w:ascii="Calibri" w:eastAsia="Times New Roman" w:hAnsi="Calibri" w:cs="Times New Roman"/>
                <w:color w:val="000000"/>
                <w:lang w:eastAsia="en-GB"/>
              </w:rPr>
            </w:pPr>
            <w:r w:rsidRPr="00D635AD">
              <w:rPr>
                <w:rFonts w:ascii="Calibri" w:eastAsia="Times New Roman" w:hAnsi="Calibri" w:cs="Times New Roman"/>
                <w:color w:val="000000"/>
                <w:lang w:eastAsia="en-GB"/>
              </w:rPr>
              <w:t>1,875</w:t>
            </w:r>
          </w:p>
        </w:tc>
        <w:tc>
          <w:tcPr>
            <w:tcW w:w="1669" w:type="dxa"/>
            <w:tcBorders>
              <w:top w:val="nil"/>
              <w:left w:val="nil"/>
              <w:bottom w:val="single" w:sz="4" w:space="0" w:color="auto"/>
              <w:right w:val="single" w:sz="4" w:space="0" w:color="auto"/>
            </w:tcBorders>
            <w:shd w:val="clear" w:color="auto" w:fill="auto"/>
            <w:noWrap/>
            <w:vAlign w:val="bottom"/>
            <w:hideMark/>
          </w:tcPr>
          <w:p w:rsidR="008921BF" w:rsidRPr="00D635AD" w:rsidRDefault="008921BF" w:rsidP="00031B92">
            <w:pPr>
              <w:spacing w:after="0" w:line="240" w:lineRule="auto"/>
              <w:jc w:val="center"/>
              <w:rPr>
                <w:rFonts w:ascii="Calibri" w:eastAsia="Times New Roman" w:hAnsi="Calibri" w:cs="Times New Roman"/>
                <w:color w:val="000000"/>
                <w:lang w:eastAsia="en-GB"/>
              </w:rPr>
            </w:pPr>
            <w:r w:rsidRPr="00D635AD">
              <w:rPr>
                <w:rFonts w:ascii="Calibri" w:eastAsia="Times New Roman" w:hAnsi="Calibri" w:cs="Times New Roman"/>
                <w:color w:val="000000"/>
                <w:lang w:eastAsia="en-GB"/>
              </w:rPr>
              <w:t>24.9%</w:t>
            </w:r>
          </w:p>
        </w:tc>
        <w:tc>
          <w:tcPr>
            <w:tcW w:w="802" w:type="dxa"/>
            <w:tcBorders>
              <w:top w:val="nil"/>
              <w:left w:val="nil"/>
              <w:bottom w:val="single" w:sz="4" w:space="0" w:color="auto"/>
              <w:right w:val="single" w:sz="4" w:space="0" w:color="auto"/>
            </w:tcBorders>
            <w:shd w:val="clear" w:color="auto" w:fill="auto"/>
            <w:noWrap/>
            <w:vAlign w:val="bottom"/>
            <w:hideMark/>
          </w:tcPr>
          <w:p w:rsidR="008921BF" w:rsidRPr="00D635AD" w:rsidRDefault="008921BF" w:rsidP="00031B92">
            <w:pPr>
              <w:spacing w:after="0" w:line="240" w:lineRule="auto"/>
              <w:jc w:val="center"/>
              <w:rPr>
                <w:rFonts w:ascii="Calibri" w:eastAsia="Times New Roman" w:hAnsi="Calibri" w:cs="Times New Roman"/>
                <w:color w:val="000000"/>
                <w:lang w:eastAsia="en-GB"/>
              </w:rPr>
            </w:pPr>
            <w:r w:rsidRPr="00D635AD">
              <w:rPr>
                <w:rFonts w:ascii="Calibri" w:eastAsia="Times New Roman" w:hAnsi="Calibri" w:cs="Times New Roman"/>
                <w:color w:val="000000"/>
                <w:lang w:eastAsia="en-GB"/>
              </w:rPr>
              <w:t>1,802</w:t>
            </w:r>
          </w:p>
        </w:tc>
        <w:tc>
          <w:tcPr>
            <w:tcW w:w="1618" w:type="dxa"/>
            <w:tcBorders>
              <w:top w:val="nil"/>
              <w:left w:val="nil"/>
              <w:bottom w:val="single" w:sz="4" w:space="0" w:color="auto"/>
              <w:right w:val="single" w:sz="4" w:space="0" w:color="auto"/>
            </w:tcBorders>
            <w:shd w:val="clear" w:color="auto" w:fill="auto"/>
            <w:noWrap/>
            <w:vAlign w:val="bottom"/>
            <w:hideMark/>
          </w:tcPr>
          <w:p w:rsidR="008921BF" w:rsidRPr="00D635AD" w:rsidRDefault="008921BF" w:rsidP="00031B92">
            <w:pPr>
              <w:spacing w:after="0" w:line="240" w:lineRule="auto"/>
              <w:jc w:val="center"/>
              <w:rPr>
                <w:rFonts w:ascii="Calibri" w:eastAsia="Times New Roman" w:hAnsi="Calibri" w:cs="Times New Roman"/>
                <w:color w:val="000000"/>
                <w:lang w:eastAsia="en-GB"/>
              </w:rPr>
            </w:pPr>
            <w:r w:rsidRPr="00D635AD">
              <w:rPr>
                <w:rFonts w:ascii="Calibri" w:eastAsia="Times New Roman" w:hAnsi="Calibri" w:cs="Times New Roman"/>
                <w:color w:val="000000"/>
                <w:lang w:eastAsia="en-GB"/>
              </w:rPr>
              <w:t>24.2%</w:t>
            </w:r>
          </w:p>
        </w:tc>
      </w:tr>
    </w:tbl>
    <w:p w:rsidR="000D6FBF" w:rsidRDefault="000D6FBF" w:rsidP="000D6FBF">
      <w:pPr>
        <w:spacing w:after="0" w:line="240" w:lineRule="auto"/>
      </w:pPr>
      <w:r>
        <w:t>Source:  SWIFT – Adult Social Care Database</w:t>
      </w:r>
    </w:p>
    <w:p w:rsidR="008921BF" w:rsidRDefault="008921BF" w:rsidP="008921BF">
      <w:pPr>
        <w:spacing w:after="0" w:line="240" w:lineRule="auto"/>
      </w:pPr>
    </w:p>
    <w:p w:rsidR="008921BF" w:rsidRPr="00AE40ED" w:rsidRDefault="008921BF" w:rsidP="006F597E">
      <w:pPr>
        <w:spacing w:after="0"/>
        <w:jc w:val="both"/>
      </w:pPr>
      <w:r>
        <w:t>Where possible, Barnet would like all service users to remain at home and independent for as long as they wish to. In 2013/14 a smaller proportion of Barnet’s residents who were in contact with secondary mental health services lived independently than the London average; 71.0% and 78.7% respectively. However, this is significantly above the National average of 60.9%.</w:t>
      </w:r>
    </w:p>
    <w:p w:rsidR="008921BF" w:rsidRDefault="008921BF" w:rsidP="008921BF">
      <w:pPr>
        <w:spacing w:after="0" w:line="240" w:lineRule="auto"/>
        <w:rPr>
          <w:b/>
          <w:i/>
        </w:rPr>
      </w:pPr>
    </w:p>
    <w:p w:rsidR="008921BF" w:rsidRPr="00AE40ED" w:rsidRDefault="008921BF" w:rsidP="004A416F">
      <w:pPr>
        <w:pStyle w:val="Caption"/>
        <w:spacing w:after="0"/>
      </w:pPr>
      <w:r>
        <w:t xml:space="preserve">Figure </w:t>
      </w:r>
      <w:fldSimple w:instr=" STYLEREF 1 \s ">
        <w:r w:rsidR="001663C2">
          <w:rPr>
            <w:noProof/>
          </w:rPr>
          <w:t>9</w:t>
        </w:r>
      </w:fldSimple>
      <w:r w:rsidR="00943DC2">
        <w:noBreakHyphen/>
      </w:r>
      <w:fldSimple w:instr=" SEQ Figure \* ARABIC \s 1 ">
        <w:r w:rsidR="001663C2">
          <w:rPr>
            <w:noProof/>
          </w:rPr>
          <w:t>7</w:t>
        </w:r>
      </w:fldSimple>
      <w:r w:rsidRPr="00041E32">
        <w:t>: Proportion of adults in contact with secondary mental health services who live independently, with or without support, 2012-2014 (Barnet, London and National)</w:t>
      </w:r>
    </w:p>
    <w:p w:rsidR="008921BF" w:rsidRPr="00AE40ED" w:rsidRDefault="008921BF" w:rsidP="004A416F">
      <w:pPr>
        <w:pStyle w:val="Heading4"/>
        <w:numPr>
          <w:ilvl w:val="0"/>
          <w:numId w:val="0"/>
        </w:numPr>
        <w:spacing w:before="0" w:line="240" w:lineRule="auto"/>
        <w:ind w:left="864" w:hanging="864"/>
        <w:jc w:val="center"/>
        <w:rPr>
          <w:i w:val="0"/>
        </w:rPr>
      </w:pPr>
      <w:r>
        <w:rPr>
          <w:noProof/>
          <w:lang w:eastAsia="en-GB"/>
        </w:rPr>
        <w:drawing>
          <wp:inline distT="0" distB="0" distL="0" distR="0" wp14:anchorId="1C9DD428" wp14:editId="6DE0B52E">
            <wp:extent cx="4952011" cy="1603169"/>
            <wp:effectExtent l="0" t="0" r="20320" b="16510"/>
            <wp:docPr id="78" name="Chart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6"/>
              </a:graphicData>
            </a:graphic>
          </wp:inline>
        </w:drawing>
      </w:r>
    </w:p>
    <w:p w:rsidR="004A416F" w:rsidRDefault="004A416F" w:rsidP="004A416F">
      <w:pPr>
        <w:pStyle w:val="Heading4"/>
        <w:numPr>
          <w:ilvl w:val="0"/>
          <w:numId w:val="0"/>
        </w:numPr>
        <w:spacing w:before="0" w:line="240" w:lineRule="auto"/>
        <w:ind w:left="864"/>
        <w:jc w:val="both"/>
      </w:pPr>
    </w:p>
    <w:p w:rsidR="008921BF" w:rsidRDefault="008921BF" w:rsidP="004A416F">
      <w:pPr>
        <w:pStyle w:val="Heading4"/>
        <w:spacing w:before="0" w:line="240" w:lineRule="auto"/>
        <w:jc w:val="both"/>
      </w:pPr>
      <w:r>
        <w:t>Current Provision</w:t>
      </w:r>
    </w:p>
    <w:p w:rsidR="008921BF" w:rsidRDefault="008921BF" w:rsidP="008921BF">
      <w:pPr>
        <w:spacing w:after="0" w:line="240" w:lineRule="auto"/>
        <w:jc w:val="both"/>
      </w:pPr>
      <w:r w:rsidRPr="00363B10">
        <w:t xml:space="preserve">One in four </w:t>
      </w:r>
      <w:r>
        <w:t>people</w:t>
      </w:r>
      <w:r w:rsidRPr="00363B10">
        <w:t xml:space="preserve"> will need treatment for mental </w:t>
      </w:r>
      <w:r>
        <w:t>illnes</w:t>
      </w:r>
      <w:r w:rsidRPr="00363B10">
        <w:t xml:space="preserve">s at some time in their lifetime and the majority of these </w:t>
      </w:r>
      <w:r>
        <w:t xml:space="preserve">treatments </w:t>
      </w:r>
      <w:r w:rsidRPr="00363B10">
        <w:t xml:space="preserve">will be managed in primary care.  Mental </w:t>
      </w:r>
      <w:r>
        <w:t xml:space="preserve">illness </w:t>
      </w:r>
      <w:r w:rsidRPr="00363B10">
        <w:t>form</w:t>
      </w:r>
      <w:r>
        <w:t>s</w:t>
      </w:r>
      <w:r w:rsidRPr="00363B10">
        <w:t xml:space="preserve"> a large and growing proportio</w:t>
      </w:r>
      <w:r>
        <w:t>n of primary care presentations, with</w:t>
      </w:r>
      <w:r w:rsidRPr="006A5E7D">
        <w:t xml:space="preserve"> one in three GP appointments involv</w:t>
      </w:r>
      <w:r>
        <w:t>ing</w:t>
      </w:r>
      <w:r w:rsidRPr="006A5E7D">
        <w:t xml:space="preserve"> significant mental health issues</w:t>
      </w:r>
      <w:r>
        <w:t xml:space="preserve">.  </w:t>
      </w:r>
      <w:r w:rsidRPr="006A5E7D">
        <w:t>This puts GPs and practice nurses at the centre of providing whole person care</w:t>
      </w:r>
      <w:r w:rsidRPr="00363B10">
        <w:t>.</w:t>
      </w:r>
      <w:r>
        <w:t xml:space="preserve"> </w:t>
      </w:r>
      <w:r w:rsidRPr="00363B10">
        <w:t xml:space="preserve"> Increasingly, this also involves promoting health and engaging with social care and the wider determinants of health. </w:t>
      </w:r>
    </w:p>
    <w:p w:rsidR="008921BF" w:rsidRDefault="008921BF" w:rsidP="008921BF">
      <w:pPr>
        <w:pStyle w:val="ListParagraph"/>
        <w:spacing w:after="0" w:line="240" w:lineRule="auto"/>
        <w:ind w:left="302"/>
        <w:contextualSpacing w:val="0"/>
        <w:jc w:val="both"/>
      </w:pPr>
    </w:p>
    <w:p w:rsidR="008921BF" w:rsidRDefault="008921BF" w:rsidP="008921BF">
      <w:pPr>
        <w:spacing w:after="0" w:line="240" w:lineRule="auto"/>
        <w:jc w:val="both"/>
      </w:pPr>
      <w:r w:rsidRPr="00363B10">
        <w:t>The CCG spends 8.2% of its overall expenditure on direct mental health services. By far the most significant element of the CCG’s mental health expenditure is in secondary mental health</w:t>
      </w:r>
      <w:r>
        <w:t xml:space="preserve"> </w:t>
      </w:r>
      <w:r w:rsidRPr="006A5E7D">
        <w:t>(i.e. hospital/residential settings).</w:t>
      </w:r>
    </w:p>
    <w:p w:rsidR="008921BF" w:rsidRDefault="008921BF" w:rsidP="008921BF">
      <w:pPr>
        <w:spacing w:after="0" w:line="240" w:lineRule="auto"/>
        <w:jc w:val="both"/>
      </w:pPr>
    </w:p>
    <w:p w:rsidR="008921BF" w:rsidRDefault="008921BF" w:rsidP="008921BF">
      <w:pPr>
        <w:spacing w:after="0" w:line="240" w:lineRule="auto"/>
        <w:jc w:val="both"/>
      </w:pPr>
      <w:r>
        <w:t xml:space="preserve">Local secondary mental health services are delivered by the Barnet, Enfield and Haringey Mental Health Trust. Other NHS Trusts such as Central North West London Foundation Trust, Camden &amp; Islington Foundation Trust, Tavistock and Portman Foundation Trust and South London &amp; </w:t>
      </w:r>
      <w:proofErr w:type="spellStart"/>
      <w:r>
        <w:t>Maudsley</w:t>
      </w:r>
      <w:proofErr w:type="spellEnd"/>
      <w:r>
        <w:t xml:space="preserve"> Foundation Trust provide a range of secondary and specialist mental health services for Barnet patients, some of whom </w:t>
      </w:r>
      <w:r w:rsidRPr="006A5E7D">
        <w:t xml:space="preserve">go on to reside </w:t>
      </w:r>
      <w:r>
        <w:t xml:space="preserve">in neighbouring Boroughs.  </w:t>
      </w:r>
    </w:p>
    <w:p w:rsidR="008921BF" w:rsidRDefault="008921BF" w:rsidP="008921BF">
      <w:pPr>
        <w:spacing w:after="0" w:line="240" w:lineRule="auto"/>
        <w:jc w:val="both"/>
      </w:pPr>
    </w:p>
    <w:p w:rsidR="008921BF" w:rsidRPr="00982E93" w:rsidRDefault="008921BF" w:rsidP="008921BF">
      <w:pPr>
        <w:spacing w:after="0" w:line="240" w:lineRule="auto"/>
        <w:jc w:val="both"/>
      </w:pPr>
      <w:r>
        <w:t>There are 1,305 a</w:t>
      </w:r>
      <w:r w:rsidRPr="006A5E7D">
        <w:t>dults and older people with mental illness known to the Council</w:t>
      </w:r>
      <w:r>
        <w:t xml:space="preserve"> receiving social care services.</w:t>
      </w:r>
      <w:r w:rsidRPr="006A5E7D">
        <w:t xml:space="preserve"> </w:t>
      </w:r>
      <w:r>
        <w:t>A further 15 people are in receipt of health rehabilitation services funded by the CCG. Third sector and independent organisations such as Richmond Fellowship, MIND in Barnet and Barnet Refugee Service provide a range of support services including residential provision, housing/tenancy support, community inclusion, peer support, employment support etc.</w:t>
      </w:r>
    </w:p>
    <w:p w:rsidR="008921BF" w:rsidRDefault="008921BF" w:rsidP="008921BF">
      <w:pPr>
        <w:pStyle w:val="Heading4"/>
        <w:jc w:val="both"/>
      </w:pPr>
      <w:r>
        <w:t xml:space="preserve">Key Issues </w:t>
      </w:r>
    </w:p>
    <w:p w:rsidR="008921BF" w:rsidRDefault="008921BF" w:rsidP="008921BF">
      <w:pPr>
        <w:spacing w:after="0"/>
        <w:jc w:val="both"/>
      </w:pPr>
      <w:r w:rsidRPr="00C51E7A">
        <w:t>The number of people with Mental Health needs in Barnet is</w:t>
      </w:r>
      <w:r>
        <w:t xml:space="preserve"> expected to continue to increase</w:t>
      </w:r>
      <w:r w:rsidRPr="00C51E7A">
        <w:t xml:space="preserve">, especially in the older age patient group </w:t>
      </w:r>
      <w:r>
        <w:t>due to</w:t>
      </w:r>
      <w:r w:rsidRPr="00C51E7A">
        <w:t xml:space="preserve"> an </w:t>
      </w:r>
      <w:r>
        <w:t xml:space="preserve">above average </w:t>
      </w:r>
      <w:r w:rsidRPr="00C51E7A">
        <w:t xml:space="preserve">increase in the number of people in the local older population. </w:t>
      </w:r>
    </w:p>
    <w:p w:rsidR="008921BF" w:rsidRDefault="008921BF" w:rsidP="008921BF">
      <w:pPr>
        <w:spacing w:after="0"/>
        <w:jc w:val="both"/>
      </w:pPr>
    </w:p>
    <w:p w:rsidR="00AA058C" w:rsidRDefault="00AA058C" w:rsidP="008921BF">
      <w:pPr>
        <w:spacing w:after="0"/>
        <w:jc w:val="both"/>
      </w:pPr>
    </w:p>
    <w:p w:rsidR="00AA058C" w:rsidRDefault="00AA058C" w:rsidP="008921BF">
      <w:pPr>
        <w:spacing w:after="0"/>
        <w:jc w:val="both"/>
      </w:pPr>
    </w:p>
    <w:p w:rsidR="00AA058C" w:rsidRDefault="00AA058C" w:rsidP="008921BF">
      <w:pPr>
        <w:spacing w:after="0"/>
        <w:jc w:val="both"/>
      </w:pPr>
    </w:p>
    <w:p w:rsidR="00AA058C" w:rsidRDefault="00AA058C" w:rsidP="008921BF">
      <w:pPr>
        <w:spacing w:after="0"/>
        <w:jc w:val="both"/>
      </w:pPr>
    </w:p>
    <w:p w:rsidR="00AA058C" w:rsidRDefault="00AA058C" w:rsidP="008921BF">
      <w:pPr>
        <w:spacing w:after="0"/>
        <w:jc w:val="both"/>
      </w:pPr>
    </w:p>
    <w:p w:rsidR="00AA058C" w:rsidRDefault="00AA058C" w:rsidP="008921BF">
      <w:pPr>
        <w:spacing w:after="0"/>
        <w:jc w:val="both"/>
      </w:pPr>
    </w:p>
    <w:p w:rsidR="00AA058C" w:rsidRDefault="00AA058C" w:rsidP="008921BF">
      <w:pPr>
        <w:spacing w:after="0"/>
        <w:jc w:val="both"/>
      </w:pPr>
    </w:p>
    <w:p w:rsidR="00AA058C" w:rsidRDefault="00AA058C" w:rsidP="008921BF">
      <w:pPr>
        <w:spacing w:after="0"/>
        <w:jc w:val="both"/>
      </w:pPr>
    </w:p>
    <w:p w:rsidR="008921BF" w:rsidRDefault="008921BF" w:rsidP="008921BF">
      <w:pPr>
        <w:pStyle w:val="Caption"/>
        <w:rPr>
          <w:b w:val="0"/>
          <w:i/>
        </w:rPr>
      </w:pPr>
      <w:r>
        <w:lastRenderedPageBreak/>
        <w:t xml:space="preserve">Table </w:t>
      </w:r>
      <w:fldSimple w:instr=" STYLEREF 1 \s ">
        <w:r w:rsidR="001663C2">
          <w:rPr>
            <w:noProof/>
          </w:rPr>
          <w:t>9</w:t>
        </w:r>
      </w:fldSimple>
      <w:r>
        <w:noBreakHyphen/>
      </w:r>
      <w:fldSimple w:instr=" SEQ Table \* ARABIC \s 1 ">
        <w:r w:rsidR="001663C2">
          <w:rPr>
            <w:noProof/>
          </w:rPr>
          <w:t>21</w:t>
        </w:r>
      </w:fldSimple>
      <w:r w:rsidRPr="00041E32">
        <w:t>: Mental Health Projections for Barnet Population, 2014-2018</w:t>
      </w:r>
    </w:p>
    <w:tbl>
      <w:tblPr>
        <w:tblW w:w="96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4"/>
        <w:gridCol w:w="944"/>
        <w:gridCol w:w="944"/>
        <w:gridCol w:w="944"/>
        <w:gridCol w:w="944"/>
        <w:gridCol w:w="944"/>
      </w:tblGrid>
      <w:tr w:rsidR="008921BF" w:rsidRPr="00210BDE" w:rsidTr="00031B92">
        <w:trPr>
          <w:trHeight w:val="315"/>
        </w:trPr>
        <w:tc>
          <w:tcPr>
            <w:tcW w:w="4884" w:type="dxa"/>
            <w:shd w:val="clear" w:color="auto" w:fill="BFBFBF" w:themeFill="background1" w:themeFillShade="BF"/>
            <w:noWrap/>
            <w:vAlign w:val="bottom"/>
            <w:hideMark/>
          </w:tcPr>
          <w:p w:rsidR="008921BF" w:rsidRPr="00210BDE" w:rsidRDefault="008921BF" w:rsidP="00031B92">
            <w:pPr>
              <w:spacing w:after="0" w:line="240" w:lineRule="auto"/>
              <w:jc w:val="center"/>
              <w:rPr>
                <w:rFonts w:ascii="Calibri" w:eastAsia="Times New Roman" w:hAnsi="Calibri" w:cs="Times New Roman"/>
                <w:b/>
                <w:color w:val="000000"/>
                <w:lang w:eastAsia="en-GB"/>
              </w:rPr>
            </w:pPr>
          </w:p>
        </w:tc>
        <w:tc>
          <w:tcPr>
            <w:tcW w:w="944" w:type="dxa"/>
            <w:shd w:val="clear" w:color="auto" w:fill="BFBFBF" w:themeFill="background1" w:themeFillShade="BF"/>
            <w:noWrap/>
            <w:vAlign w:val="bottom"/>
            <w:hideMark/>
          </w:tcPr>
          <w:p w:rsidR="008921BF" w:rsidRPr="00210BDE" w:rsidRDefault="008921BF" w:rsidP="00031B92">
            <w:pPr>
              <w:spacing w:after="0" w:line="240" w:lineRule="auto"/>
              <w:jc w:val="center"/>
              <w:rPr>
                <w:rFonts w:ascii="Calibri" w:eastAsia="Times New Roman" w:hAnsi="Calibri" w:cs="Times New Roman"/>
                <w:b/>
                <w:color w:val="000000"/>
                <w:lang w:eastAsia="en-GB"/>
              </w:rPr>
            </w:pPr>
            <w:r w:rsidRPr="00210BDE">
              <w:rPr>
                <w:rFonts w:ascii="Calibri" w:eastAsia="Times New Roman" w:hAnsi="Calibri" w:cs="Times New Roman"/>
                <w:b/>
                <w:color w:val="000000"/>
                <w:lang w:eastAsia="en-GB"/>
              </w:rPr>
              <w:t>2014</w:t>
            </w:r>
          </w:p>
        </w:tc>
        <w:tc>
          <w:tcPr>
            <w:tcW w:w="944" w:type="dxa"/>
            <w:shd w:val="clear" w:color="auto" w:fill="BFBFBF" w:themeFill="background1" w:themeFillShade="BF"/>
            <w:noWrap/>
            <w:vAlign w:val="bottom"/>
            <w:hideMark/>
          </w:tcPr>
          <w:p w:rsidR="008921BF" w:rsidRPr="00210BDE" w:rsidRDefault="008921BF" w:rsidP="00031B92">
            <w:pPr>
              <w:spacing w:after="0" w:line="240" w:lineRule="auto"/>
              <w:jc w:val="center"/>
              <w:rPr>
                <w:rFonts w:ascii="Calibri" w:eastAsia="Times New Roman" w:hAnsi="Calibri" w:cs="Times New Roman"/>
                <w:b/>
                <w:color w:val="000000"/>
                <w:lang w:eastAsia="en-GB"/>
              </w:rPr>
            </w:pPr>
            <w:r w:rsidRPr="00210BDE">
              <w:rPr>
                <w:rFonts w:ascii="Calibri" w:eastAsia="Times New Roman" w:hAnsi="Calibri" w:cs="Times New Roman"/>
                <w:b/>
                <w:color w:val="000000"/>
                <w:lang w:eastAsia="en-GB"/>
              </w:rPr>
              <w:t>2015</w:t>
            </w:r>
          </w:p>
        </w:tc>
        <w:tc>
          <w:tcPr>
            <w:tcW w:w="944" w:type="dxa"/>
            <w:shd w:val="clear" w:color="auto" w:fill="BFBFBF" w:themeFill="background1" w:themeFillShade="BF"/>
            <w:noWrap/>
            <w:vAlign w:val="bottom"/>
            <w:hideMark/>
          </w:tcPr>
          <w:p w:rsidR="008921BF" w:rsidRPr="00210BDE" w:rsidRDefault="008921BF" w:rsidP="00031B92">
            <w:pPr>
              <w:spacing w:after="0" w:line="240" w:lineRule="auto"/>
              <w:jc w:val="center"/>
              <w:rPr>
                <w:rFonts w:ascii="Calibri" w:eastAsia="Times New Roman" w:hAnsi="Calibri" w:cs="Times New Roman"/>
                <w:b/>
                <w:color w:val="000000"/>
                <w:lang w:eastAsia="en-GB"/>
              </w:rPr>
            </w:pPr>
            <w:r w:rsidRPr="00210BDE">
              <w:rPr>
                <w:rFonts w:ascii="Calibri" w:eastAsia="Times New Roman" w:hAnsi="Calibri" w:cs="Times New Roman"/>
                <w:b/>
                <w:color w:val="000000"/>
                <w:lang w:eastAsia="en-GB"/>
              </w:rPr>
              <w:t>2016</w:t>
            </w:r>
          </w:p>
        </w:tc>
        <w:tc>
          <w:tcPr>
            <w:tcW w:w="944" w:type="dxa"/>
            <w:shd w:val="clear" w:color="auto" w:fill="BFBFBF" w:themeFill="background1" w:themeFillShade="BF"/>
            <w:noWrap/>
            <w:vAlign w:val="bottom"/>
            <w:hideMark/>
          </w:tcPr>
          <w:p w:rsidR="008921BF" w:rsidRPr="00210BDE" w:rsidRDefault="008921BF" w:rsidP="00031B92">
            <w:pPr>
              <w:spacing w:after="0" w:line="240" w:lineRule="auto"/>
              <w:jc w:val="center"/>
              <w:rPr>
                <w:rFonts w:ascii="Calibri" w:eastAsia="Times New Roman" w:hAnsi="Calibri" w:cs="Times New Roman"/>
                <w:b/>
                <w:color w:val="000000"/>
                <w:lang w:eastAsia="en-GB"/>
              </w:rPr>
            </w:pPr>
            <w:r w:rsidRPr="00210BDE">
              <w:rPr>
                <w:rFonts w:ascii="Calibri" w:eastAsia="Times New Roman" w:hAnsi="Calibri" w:cs="Times New Roman"/>
                <w:b/>
                <w:color w:val="000000"/>
                <w:lang w:eastAsia="en-GB"/>
              </w:rPr>
              <w:t>2017</w:t>
            </w:r>
          </w:p>
        </w:tc>
        <w:tc>
          <w:tcPr>
            <w:tcW w:w="944" w:type="dxa"/>
            <w:shd w:val="clear" w:color="auto" w:fill="BFBFBF" w:themeFill="background1" w:themeFillShade="BF"/>
            <w:noWrap/>
            <w:vAlign w:val="bottom"/>
            <w:hideMark/>
          </w:tcPr>
          <w:p w:rsidR="008921BF" w:rsidRPr="00210BDE" w:rsidRDefault="008921BF" w:rsidP="00031B92">
            <w:pPr>
              <w:spacing w:after="0" w:line="240" w:lineRule="auto"/>
              <w:jc w:val="center"/>
              <w:rPr>
                <w:rFonts w:ascii="Calibri" w:eastAsia="Times New Roman" w:hAnsi="Calibri" w:cs="Times New Roman"/>
                <w:b/>
                <w:color w:val="000000"/>
                <w:lang w:eastAsia="en-GB"/>
              </w:rPr>
            </w:pPr>
            <w:r w:rsidRPr="00210BDE">
              <w:rPr>
                <w:rFonts w:ascii="Calibri" w:eastAsia="Times New Roman" w:hAnsi="Calibri" w:cs="Times New Roman"/>
                <w:b/>
                <w:color w:val="000000"/>
                <w:lang w:eastAsia="en-GB"/>
              </w:rPr>
              <w:t>2018</w:t>
            </w:r>
          </w:p>
        </w:tc>
      </w:tr>
      <w:tr w:rsidR="008921BF" w:rsidRPr="008F0705" w:rsidTr="00031B92">
        <w:trPr>
          <w:trHeight w:val="300"/>
        </w:trPr>
        <w:tc>
          <w:tcPr>
            <w:tcW w:w="4884" w:type="dxa"/>
            <w:shd w:val="clear" w:color="auto" w:fill="auto"/>
            <w:noWrap/>
            <w:vAlign w:val="bottom"/>
            <w:hideMark/>
          </w:tcPr>
          <w:p w:rsidR="008921BF" w:rsidRPr="008F0705" w:rsidRDefault="008921BF" w:rsidP="00031B92">
            <w:pPr>
              <w:spacing w:after="0" w:line="240" w:lineRule="auto"/>
              <w:jc w:val="center"/>
              <w:rPr>
                <w:rFonts w:ascii="Calibri" w:eastAsia="Times New Roman" w:hAnsi="Calibri" w:cs="Times New Roman"/>
                <w:color w:val="000000"/>
                <w:lang w:eastAsia="en-GB"/>
              </w:rPr>
            </w:pPr>
            <w:r w:rsidRPr="008F0705">
              <w:rPr>
                <w:rFonts w:ascii="Calibri" w:eastAsia="Times New Roman" w:hAnsi="Calibri" w:cs="Times New Roman"/>
                <w:color w:val="000000"/>
                <w:lang w:eastAsia="en-GB"/>
              </w:rPr>
              <w:t>People aged 18-64 predicted to have a common mental disorder</w:t>
            </w:r>
          </w:p>
        </w:tc>
        <w:tc>
          <w:tcPr>
            <w:tcW w:w="944" w:type="dxa"/>
            <w:shd w:val="clear" w:color="auto" w:fill="auto"/>
            <w:noWrap/>
            <w:vAlign w:val="center"/>
            <w:hideMark/>
          </w:tcPr>
          <w:p w:rsidR="008921BF" w:rsidRPr="008F0705" w:rsidRDefault="008921BF" w:rsidP="00031B92">
            <w:pPr>
              <w:spacing w:after="0" w:line="240" w:lineRule="auto"/>
              <w:jc w:val="center"/>
              <w:rPr>
                <w:rFonts w:ascii="Calibri" w:eastAsia="Times New Roman" w:hAnsi="Calibri" w:cs="Times New Roman"/>
                <w:color w:val="000000"/>
                <w:lang w:eastAsia="en-GB"/>
              </w:rPr>
            </w:pPr>
            <w:r w:rsidRPr="008F0705">
              <w:rPr>
                <w:rFonts w:ascii="Calibri" w:eastAsia="Times New Roman" w:hAnsi="Calibri" w:cs="Times New Roman"/>
                <w:color w:val="000000"/>
                <w:lang w:eastAsia="en-GB"/>
              </w:rPr>
              <w:t>38,076</w:t>
            </w:r>
          </w:p>
        </w:tc>
        <w:tc>
          <w:tcPr>
            <w:tcW w:w="944" w:type="dxa"/>
            <w:shd w:val="clear" w:color="auto" w:fill="auto"/>
            <w:noWrap/>
            <w:vAlign w:val="center"/>
            <w:hideMark/>
          </w:tcPr>
          <w:p w:rsidR="008921BF" w:rsidRPr="008F0705" w:rsidRDefault="008921BF" w:rsidP="00031B92">
            <w:pPr>
              <w:spacing w:after="0" w:line="240" w:lineRule="auto"/>
              <w:jc w:val="center"/>
              <w:rPr>
                <w:rFonts w:ascii="Calibri" w:eastAsia="Times New Roman" w:hAnsi="Calibri" w:cs="Times New Roman"/>
                <w:color w:val="000000"/>
                <w:lang w:eastAsia="en-GB"/>
              </w:rPr>
            </w:pPr>
            <w:r w:rsidRPr="008F0705">
              <w:rPr>
                <w:rFonts w:ascii="Calibri" w:eastAsia="Times New Roman" w:hAnsi="Calibri" w:cs="Times New Roman"/>
                <w:color w:val="000000"/>
                <w:lang w:eastAsia="en-GB"/>
              </w:rPr>
              <w:t>38,542</w:t>
            </w:r>
          </w:p>
        </w:tc>
        <w:tc>
          <w:tcPr>
            <w:tcW w:w="944" w:type="dxa"/>
            <w:shd w:val="clear" w:color="auto" w:fill="auto"/>
            <w:noWrap/>
            <w:vAlign w:val="center"/>
            <w:hideMark/>
          </w:tcPr>
          <w:p w:rsidR="008921BF" w:rsidRPr="008F0705" w:rsidRDefault="008921BF" w:rsidP="00031B92">
            <w:pPr>
              <w:spacing w:after="0" w:line="240" w:lineRule="auto"/>
              <w:jc w:val="center"/>
              <w:rPr>
                <w:rFonts w:ascii="Calibri" w:eastAsia="Times New Roman" w:hAnsi="Calibri" w:cs="Times New Roman"/>
                <w:color w:val="000000"/>
                <w:lang w:eastAsia="en-GB"/>
              </w:rPr>
            </w:pPr>
            <w:r w:rsidRPr="008F0705">
              <w:rPr>
                <w:rFonts w:ascii="Calibri" w:eastAsia="Times New Roman" w:hAnsi="Calibri" w:cs="Times New Roman"/>
                <w:color w:val="000000"/>
                <w:lang w:eastAsia="en-GB"/>
              </w:rPr>
              <w:t>39,061</w:t>
            </w:r>
          </w:p>
        </w:tc>
        <w:tc>
          <w:tcPr>
            <w:tcW w:w="944" w:type="dxa"/>
            <w:shd w:val="clear" w:color="auto" w:fill="auto"/>
            <w:noWrap/>
            <w:vAlign w:val="center"/>
            <w:hideMark/>
          </w:tcPr>
          <w:p w:rsidR="008921BF" w:rsidRPr="008F0705" w:rsidRDefault="008921BF" w:rsidP="00031B92">
            <w:pPr>
              <w:spacing w:after="0" w:line="240" w:lineRule="auto"/>
              <w:jc w:val="center"/>
              <w:rPr>
                <w:rFonts w:ascii="Calibri" w:eastAsia="Times New Roman" w:hAnsi="Calibri" w:cs="Times New Roman"/>
                <w:color w:val="000000"/>
                <w:lang w:eastAsia="en-GB"/>
              </w:rPr>
            </w:pPr>
            <w:r w:rsidRPr="008F0705">
              <w:rPr>
                <w:rFonts w:ascii="Calibri" w:eastAsia="Times New Roman" w:hAnsi="Calibri" w:cs="Times New Roman"/>
                <w:color w:val="000000"/>
                <w:lang w:eastAsia="en-GB"/>
              </w:rPr>
              <w:t>39,572</w:t>
            </w:r>
          </w:p>
        </w:tc>
        <w:tc>
          <w:tcPr>
            <w:tcW w:w="944" w:type="dxa"/>
            <w:shd w:val="clear" w:color="auto" w:fill="auto"/>
            <w:noWrap/>
            <w:vAlign w:val="center"/>
            <w:hideMark/>
          </w:tcPr>
          <w:p w:rsidR="008921BF" w:rsidRPr="008F0705" w:rsidRDefault="008921BF" w:rsidP="00031B92">
            <w:pPr>
              <w:spacing w:after="0" w:line="240" w:lineRule="auto"/>
              <w:jc w:val="center"/>
              <w:rPr>
                <w:rFonts w:ascii="Calibri" w:eastAsia="Times New Roman" w:hAnsi="Calibri" w:cs="Times New Roman"/>
                <w:color w:val="000000"/>
                <w:lang w:eastAsia="en-GB"/>
              </w:rPr>
            </w:pPr>
            <w:r w:rsidRPr="008F0705">
              <w:rPr>
                <w:rFonts w:ascii="Calibri" w:eastAsia="Times New Roman" w:hAnsi="Calibri" w:cs="Times New Roman"/>
                <w:color w:val="000000"/>
                <w:lang w:eastAsia="en-GB"/>
              </w:rPr>
              <w:t>40,046</w:t>
            </w:r>
          </w:p>
        </w:tc>
      </w:tr>
      <w:tr w:rsidR="008921BF" w:rsidRPr="008F0705" w:rsidTr="00031B92">
        <w:trPr>
          <w:trHeight w:val="300"/>
        </w:trPr>
        <w:tc>
          <w:tcPr>
            <w:tcW w:w="4884" w:type="dxa"/>
            <w:shd w:val="clear" w:color="auto" w:fill="auto"/>
            <w:noWrap/>
            <w:vAlign w:val="bottom"/>
            <w:hideMark/>
          </w:tcPr>
          <w:p w:rsidR="008921BF" w:rsidRPr="008F0705" w:rsidRDefault="008921BF" w:rsidP="00031B92">
            <w:pPr>
              <w:spacing w:after="0" w:line="240" w:lineRule="auto"/>
              <w:jc w:val="center"/>
              <w:rPr>
                <w:rFonts w:ascii="Calibri" w:eastAsia="Times New Roman" w:hAnsi="Calibri" w:cs="Times New Roman"/>
                <w:color w:val="000000"/>
                <w:lang w:eastAsia="en-GB"/>
              </w:rPr>
            </w:pPr>
            <w:r w:rsidRPr="008F0705">
              <w:rPr>
                <w:rFonts w:ascii="Calibri" w:eastAsia="Times New Roman" w:hAnsi="Calibri" w:cs="Times New Roman"/>
                <w:color w:val="000000"/>
                <w:lang w:eastAsia="en-GB"/>
              </w:rPr>
              <w:t>People aged 18-64 predicted to have a borderline personality disorder</w:t>
            </w:r>
          </w:p>
        </w:tc>
        <w:tc>
          <w:tcPr>
            <w:tcW w:w="944" w:type="dxa"/>
            <w:shd w:val="clear" w:color="auto" w:fill="auto"/>
            <w:noWrap/>
            <w:vAlign w:val="center"/>
            <w:hideMark/>
          </w:tcPr>
          <w:p w:rsidR="008921BF" w:rsidRPr="008F0705" w:rsidRDefault="008921BF" w:rsidP="00031B92">
            <w:pPr>
              <w:spacing w:after="0" w:line="240" w:lineRule="auto"/>
              <w:jc w:val="center"/>
              <w:rPr>
                <w:rFonts w:ascii="Calibri" w:eastAsia="Times New Roman" w:hAnsi="Calibri" w:cs="Times New Roman"/>
                <w:color w:val="000000"/>
                <w:lang w:eastAsia="en-GB"/>
              </w:rPr>
            </w:pPr>
            <w:r w:rsidRPr="008F0705">
              <w:rPr>
                <w:rFonts w:ascii="Calibri" w:eastAsia="Times New Roman" w:hAnsi="Calibri" w:cs="Times New Roman"/>
                <w:color w:val="000000"/>
                <w:lang w:eastAsia="en-GB"/>
              </w:rPr>
              <w:t>1,066</w:t>
            </w:r>
          </w:p>
        </w:tc>
        <w:tc>
          <w:tcPr>
            <w:tcW w:w="944" w:type="dxa"/>
            <w:shd w:val="clear" w:color="auto" w:fill="auto"/>
            <w:noWrap/>
            <w:vAlign w:val="center"/>
            <w:hideMark/>
          </w:tcPr>
          <w:p w:rsidR="008921BF" w:rsidRPr="008F0705" w:rsidRDefault="008921BF" w:rsidP="00031B92">
            <w:pPr>
              <w:spacing w:after="0" w:line="240" w:lineRule="auto"/>
              <w:jc w:val="center"/>
              <w:rPr>
                <w:rFonts w:ascii="Calibri" w:eastAsia="Times New Roman" w:hAnsi="Calibri" w:cs="Times New Roman"/>
                <w:color w:val="000000"/>
                <w:lang w:eastAsia="en-GB"/>
              </w:rPr>
            </w:pPr>
            <w:r w:rsidRPr="008F0705">
              <w:rPr>
                <w:rFonts w:ascii="Calibri" w:eastAsia="Times New Roman" w:hAnsi="Calibri" w:cs="Times New Roman"/>
                <w:color w:val="000000"/>
                <w:lang w:eastAsia="en-GB"/>
              </w:rPr>
              <w:t>1,079</w:t>
            </w:r>
          </w:p>
        </w:tc>
        <w:tc>
          <w:tcPr>
            <w:tcW w:w="944" w:type="dxa"/>
            <w:shd w:val="clear" w:color="auto" w:fill="auto"/>
            <w:noWrap/>
            <w:vAlign w:val="center"/>
            <w:hideMark/>
          </w:tcPr>
          <w:p w:rsidR="008921BF" w:rsidRPr="008F0705" w:rsidRDefault="008921BF" w:rsidP="00031B92">
            <w:pPr>
              <w:spacing w:after="0" w:line="240" w:lineRule="auto"/>
              <w:jc w:val="center"/>
              <w:rPr>
                <w:rFonts w:ascii="Calibri" w:eastAsia="Times New Roman" w:hAnsi="Calibri" w:cs="Times New Roman"/>
                <w:color w:val="000000"/>
                <w:lang w:eastAsia="en-GB"/>
              </w:rPr>
            </w:pPr>
            <w:r w:rsidRPr="008F0705">
              <w:rPr>
                <w:rFonts w:ascii="Calibri" w:eastAsia="Times New Roman" w:hAnsi="Calibri" w:cs="Times New Roman"/>
                <w:color w:val="000000"/>
                <w:lang w:eastAsia="en-GB"/>
              </w:rPr>
              <w:t>1,093</w:t>
            </w:r>
          </w:p>
        </w:tc>
        <w:tc>
          <w:tcPr>
            <w:tcW w:w="944" w:type="dxa"/>
            <w:shd w:val="clear" w:color="auto" w:fill="auto"/>
            <w:noWrap/>
            <w:vAlign w:val="center"/>
            <w:hideMark/>
          </w:tcPr>
          <w:p w:rsidR="008921BF" w:rsidRPr="008F0705" w:rsidRDefault="008921BF" w:rsidP="00031B92">
            <w:pPr>
              <w:spacing w:after="0" w:line="240" w:lineRule="auto"/>
              <w:jc w:val="center"/>
              <w:rPr>
                <w:rFonts w:ascii="Calibri" w:eastAsia="Times New Roman" w:hAnsi="Calibri" w:cs="Times New Roman"/>
                <w:color w:val="000000"/>
                <w:lang w:eastAsia="en-GB"/>
              </w:rPr>
            </w:pPr>
            <w:r w:rsidRPr="008F0705">
              <w:rPr>
                <w:rFonts w:ascii="Calibri" w:eastAsia="Times New Roman" w:hAnsi="Calibri" w:cs="Times New Roman"/>
                <w:color w:val="000000"/>
                <w:lang w:eastAsia="en-GB"/>
              </w:rPr>
              <w:t>1,107</w:t>
            </w:r>
          </w:p>
        </w:tc>
        <w:tc>
          <w:tcPr>
            <w:tcW w:w="944" w:type="dxa"/>
            <w:shd w:val="clear" w:color="auto" w:fill="auto"/>
            <w:noWrap/>
            <w:vAlign w:val="center"/>
            <w:hideMark/>
          </w:tcPr>
          <w:p w:rsidR="008921BF" w:rsidRPr="008F0705" w:rsidRDefault="008921BF" w:rsidP="00031B92">
            <w:pPr>
              <w:spacing w:after="0" w:line="240" w:lineRule="auto"/>
              <w:jc w:val="center"/>
              <w:rPr>
                <w:rFonts w:ascii="Calibri" w:eastAsia="Times New Roman" w:hAnsi="Calibri" w:cs="Times New Roman"/>
                <w:color w:val="000000"/>
                <w:lang w:eastAsia="en-GB"/>
              </w:rPr>
            </w:pPr>
            <w:r w:rsidRPr="008F0705">
              <w:rPr>
                <w:rFonts w:ascii="Calibri" w:eastAsia="Times New Roman" w:hAnsi="Calibri" w:cs="Times New Roman"/>
                <w:color w:val="000000"/>
                <w:lang w:eastAsia="en-GB"/>
              </w:rPr>
              <w:t>1,120</w:t>
            </w:r>
          </w:p>
        </w:tc>
      </w:tr>
      <w:tr w:rsidR="008921BF" w:rsidRPr="008F0705" w:rsidTr="00031B92">
        <w:trPr>
          <w:trHeight w:val="300"/>
        </w:trPr>
        <w:tc>
          <w:tcPr>
            <w:tcW w:w="4884" w:type="dxa"/>
            <w:shd w:val="clear" w:color="auto" w:fill="auto"/>
            <w:noWrap/>
            <w:vAlign w:val="bottom"/>
            <w:hideMark/>
          </w:tcPr>
          <w:p w:rsidR="008921BF" w:rsidRPr="008F0705" w:rsidRDefault="008921BF" w:rsidP="00031B92">
            <w:pPr>
              <w:spacing w:after="0" w:line="240" w:lineRule="auto"/>
              <w:jc w:val="center"/>
              <w:rPr>
                <w:rFonts w:ascii="Calibri" w:eastAsia="Times New Roman" w:hAnsi="Calibri" w:cs="Times New Roman"/>
                <w:color w:val="000000"/>
                <w:lang w:eastAsia="en-GB"/>
              </w:rPr>
            </w:pPr>
            <w:r w:rsidRPr="008F0705">
              <w:rPr>
                <w:rFonts w:ascii="Calibri" w:eastAsia="Times New Roman" w:hAnsi="Calibri" w:cs="Times New Roman"/>
                <w:color w:val="000000"/>
                <w:lang w:eastAsia="en-GB"/>
              </w:rPr>
              <w:t>People aged 18-64 predicted to have an antisocial personality disorder</w:t>
            </w:r>
          </w:p>
        </w:tc>
        <w:tc>
          <w:tcPr>
            <w:tcW w:w="944" w:type="dxa"/>
            <w:shd w:val="clear" w:color="auto" w:fill="auto"/>
            <w:noWrap/>
            <w:vAlign w:val="center"/>
            <w:hideMark/>
          </w:tcPr>
          <w:p w:rsidR="008921BF" w:rsidRPr="008F0705" w:rsidRDefault="008921BF" w:rsidP="00031B92">
            <w:pPr>
              <w:spacing w:after="0" w:line="240" w:lineRule="auto"/>
              <w:jc w:val="center"/>
              <w:rPr>
                <w:rFonts w:ascii="Calibri" w:eastAsia="Times New Roman" w:hAnsi="Calibri" w:cs="Times New Roman"/>
                <w:color w:val="000000"/>
                <w:lang w:eastAsia="en-GB"/>
              </w:rPr>
            </w:pPr>
            <w:r w:rsidRPr="008F0705">
              <w:rPr>
                <w:rFonts w:ascii="Calibri" w:eastAsia="Times New Roman" w:hAnsi="Calibri" w:cs="Times New Roman"/>
                <w:color w:val="000000"/>
                <w:lang w:eastAsia="en-GB"/>
              </w:rPr>
              <w:t>815</w:t>
            </w:r>
          </w:p>
        </w:tc>
        <w:tc>
          <w:tcPr>
            <w:tcW w:w="944" w:type="dxa"/>
            <w:shd w:val="clear" w:color="auto" w:fill="auto"/>
            <w:noWrap/>
            <w:vAlign w:val="center"/>
            <w:hideMark/>
          </w:tcPr>
          <w:p w:rsidR="008921BF" w:rsidRPr="008F0705" w:rsidRDefault="008921BF" w:rsidP="00031B92">
            <w:pPr>
              <w:spacing w:after="0" w:line="240" w:lineRule="auto"/>
              <w:jc w:val="center"/>
              <w:rPr>
                <w:rFonts w:ascii="Calibri" w:eastAsia="Times New Roman" w:hAnsi="Calibri" w:cs="Times New Roman"/>
                <w:color w:val="000000"/>
                <w:lang w:eastAsia="en-GB"/>
              </w:rPr>
            </w:pPr>
            <w:r w:rsidRPr="008F0705">
              <w:rPr>
                <w:rFonts w:ascii="Calibri" w:eastAsia="Times New Roman" w:hAnsi="Calibri" w:cs="Times New Roman"/>
                <w:color w:val="000000"/>
                <w:lang w:eastAsia="en-GB"/>
              </w:rPr>
              <w:t>828</w:t>
            </w:r>
          </w:p>
        </w:tc>
        <w:tc>
          <w:tcPr>
            <w:tcW w:w="944" w:type="dxa"/>
            <w:shd w:val="clear" w:color="auto" w:fill="auto"/>
            <w:noWrap/>
            <w:vAlign w:val="center"/>
            <w:hideMark/>
          </w:tcPr>
          <w:p w:rsidR="008921BF" w:rsidRPr="008F0705" w:rsidRDefault="008921BF" w:rsidP="00031B92">
            <w:pPr>
              <w:spacing w:after="0" w:line="240" w:lineRule="auto"/>
              <w:jc w:val="center"/>
              <w:rPr>
                <w:rFonts w:ascii="Calibri" w:eastAsia="Times New Roman" w:hAnsi="Calibri" w:cs="Times New Roman"/>
                <w:color w:val="000000"/>
                <w:lang w:eastAsia="en-GB"/>
              </w:rPr>
            </w:pPr>
            <w:r w:rsidRPr="008F0705">
              <w:rPr>
                <w:rFonts w:ascii="Calibri" w:eastAsia="Times New Roman" w:hAnsi="Calibri" w:cs="Times New Roman"/>
                <w:color w:val="000000"/>
                <w:lang w:eastAsia="en-GB"/>
              </w:rPr>
              <w:t>842</w:t>
            </w:r>
          </w:p>
        </w:tc>
        <w:tc>
          <w:tcPr>
            <w:tcW w:w="944" w:type="dxa"/>
            <w:shd w:val="clear" w:color="auto" w:fill="auto"/>
            <w:noWrap/>
            <w:vAlign w:val="center"/>
            <w:hideMark/>
          </w:tcPr>
          <w:p w:rsidR="008921BF" w:rsidRPr="008F0705" w:rsidRDefault="008921BF" w:rsidP="00031B92">
            <w:pPr>
              <w:spacing w:after="0" w:line="240" w:lineRule="auto"/>
              <w:jc w:val="center"/>
              <w:rPr>
                <w:rFonts w:ascii="Calibri" w:eastAsia="Times New Roman" w:hAnsi="Calibri" w:cs="Times New Roman"/>
                <w:color w:val="000000"/>
                <w:lang w:eastAsia="en-GB"/>
              </w:rPr>
            </w:pPr>
            <w:r w:rsidRPr="008F0705">
              <w:rPr>
                <w:rFonts w:ascii="Calibri" w:eastAsia="Times New Roman" w:hAnsi="Calibri" w:cs="Times New Roman"/>
                <w:color w:val="000000"/>
                <w:lang w:eastAsia="en-GB"/>
              </w:rPr>
              <w:t>856</w:t>
            </w:r>
          </w:p>
        </w:tc>
        <w:tc>
          <w:tcPr>
            <w:tcW w:w="944" w:type="dxa"/>
            <w:shd w:val="clear" w:color="auto" w:fill="auto"/>
            <w:noWrap/>
            <w:vAlign w:val="center"/>
            <w:hideMark/>
          </w:tcPr>
          <w:p w:rsidR="008921BF" w:rsidRPr="008F0705" w:rsidRDefault="008921BF" w:rsidP="00031B92">
            <w:pPr>
              <w:spacing w:after="0" w:line="240" w:lineRule="auto"/>
              <w:jc w:val="center"/>
              <w:rPr>
                <w:rFonts w:ascii="Calibri" w:eastAsia="Times New Roman" w:hAnsi="Calibri" w:cs="Times New Roman"/>
                <w:color w:val="000000"/>
                <w:lang w:eastAsia="en-GB"/>
              </w:rPr>
            </w:pPr>
            <w:r w:rsidRPr="008F0705">
              <w:rPr>
                <w:rFonts w:ascii="Calibri" w:eastAsia="Times New Roman" w:hAnsi="Calibri" w:cs="Times New Roman"/>
                <w:color w:val="000000"/>
                <w:lang w:eastAsia="en-GB"/>
              </w:rPr>
              <w:t>869</w:t>
            </w:r>
          </w:p>
        </w:tc>
      </w:tr>
      <w:tr w:rsidR="008921BF" w:rsidRPr="008F0705" w:rsidTr="00031B92">
        <w:trPr>
          <w:trHeight w:val="300"/>
        </w:trPr>
        <w:tc>
          <w:tcPr>
            <w:tcW w:w="4884" w:type="dxa"/>
            <w:shd w:val="clear" w:color="auto" w:fill="auto"/>
            <w:noWrap/>
            <w:vAlign w:val="bottom"/>
            <w:hideMark/>
          </w:tcPr>
          <w:p w:rsidR="008921BF" w:rsidRPr="008F0705" w:rsidRDefault="008921BF" w:rsidP="00031B92">
            <w:pPr>
              <w:spacing w:after="0" w:line="240" w:lineRule="auto"/>
              <w:jc w:val="center"/>
              <w:rPr>
                <w:rFonts w:ascii="Calibri" w:eastAsia="Times New Roman" w:hAnsi="Calibri" w:cs="Times New Roman"/>
                <w:color w:val="000000"/>
                <w:lang w:eastAsia="en-GB"/>
              </w:rPr>
            </w:pPr>
            <w:r w:rsidRPr="008F0705">
              <w:rPr>
                <w:rFonts w:ascii="Calibri" w:eastAsia="Times New Roman" w:hAnsi="Calibri" w:cs="Times New Roman"/>
                <w:color w:val="000000"/>
                <w:lang w:eastAsia="en-GB"/>
              </w:rPr>
              <w:t>People aged 18-64 predicted to have psychotic disorder</w:t>
            </w:r>
          </w:p>
        </w:tc>
        <w:tc>
          <w:tcPr>
            <w:tcW w:w="944" w:type="dxa"/>
            <w:shd w:val="clear" w:color="auto" w:fill="auto"/>
            <w:noWrap/>
            <w:vAlign w:val="center"/>
            <w:hideMark/>
          </w:tcPr>
          <w:p w:rsidR="008921BF" w:rsidRPr="008F0705" w:rsidRDefault="008921BF" w:rsidP="00031B92">
            <w:pPr>
              <w:spacing w:after="0" w:line="240" w:lineRule="auto"/>
              <w:jc w:val="center"/>
              <w:rPr>
                <w:rFonts w:ascii="Calibri" w:eastAsia="Times New Roman" w:hAnsi="Calibri" w:cs="Times New Roman"/>
                <w:color w:val="000000"/>
                <w:lang w:eastAsia="en-GB"/>
              </w:rPr>
            </w:pPr>
            <w:r w:rsidRPr="008F0705">
              <w:rPr>
                <w:rFonts w:ascii="Calibri" w:eastAsia="Times New Roman" w:hAnsi="Calibri" w:cs="Times New Roman"/>
                <w:color w:val="000000"/>
                <w:lang w:eastAsia="en-GB"/>
              </w:rPr>
              <w:t>946</w:t>
            </w:r>
          </w:p>
        </w:tc>
        <w:tc>
          <w:tcPr>
            <w:tcW w:w="944" w:type="dxa"/>
            <w:shd w:val="clear" w:color="auto" w:fill="auto"/>
            <w:noWrap/>
            <w:vAlign w:val="center"/>
            <w:hideMark/>
          </w:tcPr>
          <w:p w:rsidR="008921BF" w:rsidRPr="008F0705" w:rsidRDefault="008921BF" w:rsidP="00031B92">
            <w:pPr>
              <w:spacing w:after="0" w:line="240" w:lineRule="auto"/>
              <w:jc w:val="center"/>
              <w:rPr>
                <w:rFonts w:ascii="Calibri" w:eastAsia="Times New Roman" w:hAnsi="Calibri" w:cs="Times New Roman"/>
                <w:color w:val="000000"/>
                <w:lang w:eastAsia="en-GB"/>
              </w:rPr>
            </w:pPr>
            <w:r w:rsidRPr="008F0705">
              <w:rPr>
                <w:rFonts w:ascii="Calibri" w:eastAsia="Times New Roman" w:hAnsi="Calibri" w:cs="Times New Roman"/>
                <w:color w:val="000000"/>
                <w:lang w:eastAsia="en-GB"/>
              </w:rPr>
              <w:t>958</w:t>
            </w:r>
          </w:p>
        </w:tc>
        <w:tc>
          <w:tcPr>
            <w:tcW w:w="944" w:type="dxa"/>
            <w:shd w:val="clear" w:color="auto" w:fill="auto"/>
            <w:noWrap/>
            <w:vAlign w:val="center"/>
            <w:hideMark/>
          </w:tcPr>
          <w:p w:rsidR="008921BF" w:rsidRPr="008F0705" w:rsidRDefault="008921BF" w:rsidP="00031B92">
            <w:pPr>
              <w:spacing w:after="0" w:line="240" w:lineRule="auto"/>
              <w:jc w:val="center"/>
              <w:rPr>
                <w:rFonts w:ascii="Calibri" w:eastAsia="Times New Roman" w:hAnsi="Calibri" w:cs="Times New Roman"/>
                <w:color w:val="000000"/>
                <w:lang w:eastAsia="en-GB"/>
              </w:rPr>
            </w:pPr>
            <w:r w:rsidRPr="008F0705">
              <w:rPr>
                <w:rFonts w:ascii="Calibri" w:eastAsia="Times New Roman" w:hAnsi="Calibri" w:cs="Times New Roman"/>
                <w:color w:val="000000"/>
                <w:lang w:eastAsia="en-GB"/>
              </w:rPr>
              <w:t>971</w:t>
            </w:r>
          </w:p>
        </w:tc>
        <w:tc>
          <w:tcPr>
            <w:tcW w:w="944" w:type="dxa"/>
            <w:shd w:val="clear" w:color="auto" w:fill="auto"/>
            <w:noWrap/>
            <w:vAlign w:val="center"/>
            <w:hideMark/>
          </w:tcPr>
          <w:p w:rsidR="008921BF" w:rsidRPr="008F0705" w:rsidRDefault="008921BF" w:rsidP="00031B92">
            <w:pPr>
              <w:spacing w:after="0" w:line="240" w:lineRule="auto"/>
              <w:jc w:val="center"/>
              <w:rPr>
                <w:rFonts w:ascii="Calibri" w:eastAsia="Times New Roman" w:hAnsi="Calibri" w:cs="Times New Roman"/>
                <w:color w:val="000000"/>
                <w:lang w:eastAsia="en-GB"/>
              </w:rPr>
            </w:pPr>
            <w:r w:rsidRPr="008F0705">
              <w:rPr>
                <w:rFonts w:ascii="Calibri" w:eastAsia="Times New Roman" w:hAnsi="Calibri" w:cs="Times New Roman"/>
                <w:color w:val="000000"/>
                <w:lang w:eastAsia="en-GB"/>
              </w:rPr>
              <w:t>983</w:t>
            </w:r>
          </w:p>
        </w:tc>
        <w:tc>
          <w:tcPr>
            <w:tcW w:w="944" w:type="dxa"/>
            <w:shd w:val="clear" w:color="auto" w:fill="auto"/>
            <w:noWrap/>
            <w:vAlign w:val="center"/>
            <w:hideMark/>
          </w:tcPr>
          <w:p w:rsidR="008921BF" w:rsidRPr="008F0705" w:rsidRDefault="008921BF" w:rsidP="00031B92">
            <w:pPr>
              <w:spacing w:after="0" w:line="240" w:lineRule="auto"/>
              <w:jc w:val="center"/>
              <w:rPr>
                <w:rFonts w:ascii="Calibri" w:eastAsia="Times New Roman" w:hAnsi="Calibri" w:cs="Times New Roman"/>
                <w:color w:val="000000"/>
                <w:lang w:eastAsia="en-GB"/>
              </w:rPr>
            </w:pPr>
            <w:r w:rsidRPr="008F0705">
              <w:rPr>
                <w:rFonts w:ascii="Calibri" w:eastAsia="Times New Roman" w:hAnsi="Calibri" w:cs="Times New Roman"/>
                <w:color w:val="000000"/>
                <w:lang w:eastAsia="en-GB"/>
              </w:rPr>
              <w:t>995</w:t>
            </w:r>
          </w:p>
        </w:tc>
      </w:tr>
      <w:tr w:rsidR="008921BF" w:rsidRPr="008F0705" w:rsidTr="00031B92">
        <w:trPr>
          <w:trHeight w:val="315"/>
        </w:trPr>
        <w:tc>
          <w:tcPr>
            <w:tcW w:w="4884" w:type="dxa"/>
            <w:shd w:val="clear" w:color="auto" w:fill="auto"/>
            <w:noWrap/>
            <w:vAlign w:val="bottom"/>
            <w:hideMark/>
          </w:tcPr>
          <w:p w:rsidR="008921BF" w:rsidRPr="008F0705" w:rsidRDefault="008921BF" w:rsidP="00031B92">
            <w:pPr>
              <w:spacing w:after="0" w:line="240" w:lineRule="auto"/>
              <w:jc w:val="center"/>
              <w:rPr>
                <w:rFonts w:ascii="Calibri" w:eastAsia="Times New Roman" w:hAnsi="Calibri" w:cs="Times New Roman"/>
                <w:color w:val="000000"/>
                <w:lang w:eastAsia="en-GB"/>
              </w:rPr>
            </w:pPr>
            <w:r w:rsidRPr="008F0705">
              <w:rPr>
                <w:rFonts w:ascii="Calibri" w:eastAsia="Times New Roman" w:hAnsi="Calibri" w:cs="Times New Roman"/>
                <w:color w:val="000000"/>
                <w:lang w:eastAsia="en-GB"/>
              </w:rPr>
              <w:t>People aged 18-64 predicted to have two or more psychiatric disorders</w:t>
            </w:r>
          </w:p>
        </w:tc>
        <w:tc>
          <w:tcPr>
            <w:tcW w:w="944" w:type="dxa"/>
            <w:shd w:val="clear" w:color="auto" w:fill="auto"/>
            <w:noWrap/>
            <w:vAlign w:val="center"/>
            <w:hideMark/>
          </w:tcPr>
          <w:p w:rsidR="008921BF" w:rsidRPr="008F0705" w:rsidRDefault="008921BF" w:rsidP="00031B92">
            <w:pPr>
              <w:spacing w:after="0" w:line="240" w:lineRule="auto"/>
              <w:jc w:val="center"/>
              <w:rPr>
                <w:rFonts w:ascii="Calibri" w:eastAsia="Times New Roman" w:hAnsi="Calibri" w:cs="Times New Roman"/>
                <w:color w:val="000000"/>
                <w:lang w:eastAsia="en-GB"/>
              </w:rPr>
            </w:pPr>
            <w:r w:rsidRPr="008F0705">
              <w:rPr>
                <w:rFonts w:ascii="Calibri" w:eastAsia="Times New Roman" w:hAnsi="Calibri" w:cs="Times New Roman"/>
                <w:color w:val="000000"/>
                <w:lang w:eastAsia="en-GB"/>
              </w:rPr>
              <w:t>16,975</w:t>
            </w:r>
          </w:p>
        </w:tc>
        <w:tc>
          <w:tcPr>
            <w:tcW w:w="944" w:type="dxa"/>
            <w:shd w:val="clear" w:color="auto" w:fill="auto"/>
            <w:noWrap/>
            <w:vAlign w:val="center"/>
            <w:hideMark/>
          </w:tcPr>
          <w:p w:rsidR="008921BF" w:rsidRPr="008F0705" w:rsidRDefault="008921BF" w:rsidP="00031B92">
            <w:pPr>
              <w:spacing w:after="0" w:line="240" w:lineRule="auto"/>
              <w:jc w:val="center"/>
              <w:rPr>
                <w:rFonts w:ascii="Calibri" w:eastAsia="Times New Roman" w:hAnsi="Calibri" w:cs="Times New Roman"/>
                <w:color w:val="000000"/>
                <w:lang w:eastAsia="en-GB"/>
              </w:rPr>
            </w:pPr>
            <w:r w:rsidRPr="008F0705">
              <w:rPr>
                <w:rFonts w:ascii="Calibri" w:eastAsia="Times New Roman" w:hAnsi="Calibri" w:cs="Times New Roman"/>
                <w:color w:val="000000"/>
                <w:lang w:eastAsia="en-GB"/>
              </w:rPr>
              <w:t>17,196</w:t>
            </w:r>
          </w:p>
        </w:tc>
        <w:tc>
          <w:tcPr>
            <w:tcW w:w="944" w:type="dxa"/>
            <w:shd w:val="clear" w:color="auto" w:fill="auto"/>
            <w:noWrap/>
            <w:vAlign w:val="center"/>
            <w:hideMark/>
          </w:tcPr>
          <w:p w:rsidR="008921BF" w:rsidRPr="008F0705" w:rsidRDefault="008921BF" w:rsidP="00031B92">
            <w:pPr>
              <w:spacing w:after="0" w:line="240" w:lineRule="auto"/>
              <w:jc w:val="center"/>
              <w:rPr>
                <w:rFonts w:ascii="Calibri" w:eastAsia="Times New Roman" w:hAnsi="Calibri" w:cs="Times New Roman"/>
                <w:color w:val="000000"/>
                <w:lang w:eastAsia="en-GB"/>
              </w:rPr>
            </w:pPr>
            <w:r w:rsidRPr="008F0705">
              <w:rPr>
                <w:rFonts w:ascii="Calibri" w:eastAsia="Times New Roman" w:hAnsi="Calibri" w:cs="Times New Roman"/>
                <w:color w:val="000000"/>
                <w:lang w:eastAsia="en-GB"/>
              </w:rPr>
              <w:t>17,438</w:t>
            </w:r>
          </w:p>
        </w:tc>
        <w:tc>
          <w:tcPr>
            <w:tcW w:w="944" w:type="dxa"/>
            <w:shd w:val="clear" w:color="auto" w:fill="auto"/>
            <w:noWrap/>
            <w:vAlign w:val="center"/>
            <w:hideMark/>
          </w:tcPr>
          <w:p w:rsidR="008921BF" w:rsidRPr="008F0705" w:rsidRDefault="008921BF" w:rsidP="00031B92">
            <w:pPr>
              <w:spacing w:after="0" w:line="240" w:lineRule="auto"/>
              <w:jc w:val="center"/>
              <w:rPr>
                <w:rFonts w:ascii="Calibri" w:eastAsia="Times New Roman" w:hAnsi="Calibri" w:cs="Times New Roman"/>
                <w:color w:val="000000"/>
                <w:lang w:eastAsia="en-GB"/>
              </w:rPr>
            </w:pPr>
            <w:r w:rsidRPr="008F0705">
              <w:rPr>
                <w:rFonts w:ascii="Calibri" w:eastAsia="Times New Roman" w:hAnsi="Calibri" w:cs="Times New Roman"/>
                <w:color w:val="000000"/>
                <w:lang w:eastAsia="en-GB"/>
              </w:rPr>
              <w:t>17,680</w:t>
            </w:r>
          </w:p>
        </w:tc>
        <w:tc>
          <w:tcPr>
            <w:tcW w:w="944" w:type="dxa"/>
            <w:shd w:val="clear" w:color="auto" w:fill="auto"/>
            <w:noWrap/>
            <w:vAlign w:val="center"/>
            <w:hideMark/>
          </w:tcPr>
          <w:p w:rsidR="008921BF" w:rsidRPr="008F0705" w:rsidRDefault="008921BF" w:rsidP="00031B92">
            <w:pPr>
              <w:spacing w:after="0" w:line="240" w:lineRule="auto"/>
              <w:jc w:val="center"/>
              <w:rPr>
                <w:rFonts w:ascii="Calibri" w:eastAsia="Times New Roman" w:hAnsi="Calibri" w:cs="Times New Roman"/>
                <w:color w:val="000000"/>
                <w:lang w:eastAsia="en-GB"/>
              </w:rPr>
            </w:pPr>
            <w:r w:rsidRPr="008F0705">
              <w:rPr>
                <w:rFonts w:ascii="Calibri" w:eastAsia="Times New Roman" w:hAnsi="Calibri" w:cs="Times New Roman"/>
                <w:color w:val="000000"/>
                <w:lang w:eastAsia="en-GB"/>
              </w:rPr>
              <w:t>17,901</w:t>
            </w:r>
          </w:p>
        </w:tc>
      </w:tr>
      <w:tr w:rsidR="008921BF" w:rsidRPr="008F0705" w:rsidTr="00031B92">
        <w:trPr>
          <w:trHeight w:val="300"/>
        </w:trPr>
        <w:tc>
          <w:tcPr>
            <w:tcW w:w="4884" w:type="dxa"/>
            <w:shd w:val="clear" w:color="auto" w:fill="auto"/>
            <w:noWrap/>
            <w:vAlign w:val="bottom"/>
            <w:hideMark/>
          </w:tcPr>
          <w:p w:rsidR="008921BF" w:rsidRPr="008F0705" w:rsidRDefault="008921BF" w:rsidP="00031B92">
            <w:pPr>
              <w:spacing w:after="0" w:line="240" w:lineRule="auto"/>
              <w:rPr>
                <w:rFonts w:ascii="Calibri" w:eastAsia="Times New Roman" w:hAnsi="Calibri" w:cs="Times New Roman"/>
                <w:color w:val="FF0000"/>
                <w:sz w:val="16"/>
                <w:szCs w:val="16"/>
                <w:lang w:eastAsia="en-GB"/>
              </w:rPr>
            </w:pPr>
            <w:r w:rsidRPr="008F0705">
              <w:rPr>
                <w:rFonts w:ascii="Calibri" w:eastAsia="Times New Roman" w:hAnsi="Calibri" w:cs="Times New Roman"/>
                <w:color w:val="FF0000"/>
                <w:sz w:val="16"/>
                <w:szCs w:val="16"/>
                <w:lang w:eastAsia="en-GB"/>
              </w:rPr>
              <w:t>* Figures may not sum due to rounding. Crown copyright 2014</w:t>
            </w:r>
          </w:p>
        </w:tc>
        <w:tc>
          <w:tcPr>
            <w:tcW w:w="944" w:type="dxa"/>
            <w:shd w:val="clear" w:color="auto" w:fill="auto"/>
            <w:noWrap/>
            <w:vAlign w:val="bottom"/>
            <w:hideMark/>
          </w:tcPr>
          <w:p w:rsidR="008921BF" w:rsidRPr="008F0705" w:rsidRDefault="008921BF" w:rsidP="00031B92">
            <w:pPr>
              <w:spacing w:after="0" w:line="240" w:lineRule="auto"/>
              <w:rPr>
                <w:rFonts w:ascii="Calibri" w:eastAsia="Times New Roman" w:hAnsi="Calibri" w:cs="Times New Roman"/>
                <w:color w:val="FF0000"/>
                <w:sz w:val="16"/>
                <w:szCs w:val="16"/>
                <w:lang w:eastAsia="en-GB"/>
              </w:rPr>
            </w:pPr>
          </w:p>
        </w:tc>
        <w:tc>
          <w:tcPr>
            <w:tcW w:w="944" w:type="dxa"/>
            <w:shd w:val="clear" w:color="auto" w:fill="auto"/>
            <w:noWrap/>
            <w:vAlign w:val="bottom"/>
            <w:hideMark/>
          </w:tcPr>
          <w:p w:rsidR="008921BF" w:rsidRPr="008F0705" w:rsidRDefault="008921BF" w:rsidP="00031B92">
            <w:pPr>
              <w:spacing w:after="0" w:line="240" w:lineRule="auto"/>
              <w:rPr>
                <w:rFonts w:ascii="Calibri" w:eastAsia="Times New Roman" w:hAnsi="Calibri" w:cs="Times New Roman"/>
                <w:color w:val="FF0000"/>
                <w:sz w:val="16"/>
                <w:szCs w:val="16"/>
                <w:lang w:eastAsia="en-GB"/>
              </w:rPr>
            </w:pPr>
          </w:p>
        </w:tc>
        <w:tc>
          <w:tcPr>
            <w:tcW w:w="944" w:type="dxa"/>
            <w:shd w:val="clear" w:color="auto" w:fill="auto"/>
            <w:noWrap/>
            <w:vAlign w:val="bottom"/>
            <w:hideMark/>
          </w:tcPr>
          <w:p w:rsidR="008921BF" w:rsidRPr="008F0705" w:rsidRDefault="008921BF" w:rsidP="00031B92">
            <w:pPr>
              <w:spacing w:after="0" w:line="240" w:lineRule="auto"/>
              <w:rPr>
                <w:rFonts w:ascii="Calibri" w:eastAsia="Times New Roman" w:hAnsi="Calibri" w:cs="Times New Roman"/>
                <w:color w:val="FF0000"/>
                <w:sz w:val="16"/>
                <w:szCs w:val="16"/>
                <w:lang w:eastAsia="en-GB"/>
              </w:rPr>
            </w:pPr>
          </w:p>
        </w:tc>
        <w:tc>
          <w:tcPr>
            <w:tcW w:w="944" w:type="dxa"/>
            <w:shd w:val="clear" w:color="auto" w:fill="auto"/>
            <w:noWrap/>
            <w:vAlign w:val="bottom"/>
            <w:hideMark/>
          </w:tcPr>
          <w:p w:rsidR="008921BF" w:rsidRPr="008F0705" w:rsidRDefault="008921BF" w:rsidP="00031B92">
            <w:pPr>
              <w:spacing w:after="0" w:line="240" w:lineRule="auto"/>
              <w:rPr>
                <w:rFonts w:ascii="Calibri" w:eastAsia="Times New Roman" w:hAnsi="Calibri" w:cs="Times New Roman"/>
                <w:color w:val="FF0000"/>
                <w:sz w:val="16"/>
                <w:szCs w:val="16"/>
                <w:lang w:eastAsia="en-GB"/>
              </w:rPr>
            </w:pPr>
          </w:p>
        </w:tc>
        <w:tc>
          <w:tcPr>
            <w:tcW w:w="944" w:type="dxa"/>
            <w:shd w:val="clear" w:color="auto" w:fill="auto"/>
            <w:noWrap/>
            <w:vAlign w:val="bottom"/>
            <w:hideMark/>
          </w:tcPr>
          <w:p w:rsidR="008921BF" w:rsidRPr="008F0705" w:rsidRDefault="008921BF" w:rsidP="00031B92">
            <w:pPr>
              <w:spacing w:after="0" w:line="240" w:lineRule="auto"/>
              <w:rPr>
                <w:rFonts w:ascii="Calibri" w:eastAsia="Times New Roman" w:hAnsi="Calibri" w:cs="Times New Roman"/>
                <w:color w:val="FF0000"/>
                <w:sz w:val="16"/>
                <w:szCs w:val="16"/>
                <w:lang w:eastAsia="en-GB"/>
              </w:rPr>
            </w:pPr>
          </w:p>
        </w:tc>
      </w:tr>
      <w:tr w:rsidR="008921BF" w:rsidRPr="008F0705" w:rsidTr="00031B92">
        <w:trPr>
          <w:trHeight w:val="300"/>
        </w:trPr>
        <w:tc>
          <w:tcPr>
            <w:tcW w:w="9604" w:type="dxa"/>
            <w:gridSpan w:val="6"/>
            <w:vMerge w:val="restart"/>
            <w:shd w:val="clear" w:color="auto" w:fill="auto"/>
            <w:hideMark/>
          </w:tcPr>
          <w:p w:rsidR="008921BF" w:rsidRPr="008F0705" w:rsidRDefault="008921BF" w:rsidP="00031B92">
            <w:pPr>
              <w:spacing w:after="0" w:line="240" w:lineRule="auto"/>
              <w:rPr>
                <w:rFonts w:ascii="Calibri" w:eastAsia="Times New Roman" w:hAnsi="Calibri" w:cs="Times New Roman"/>
                <w:color w:val="FF0000"/>
                <w:sz w:val="16"/>
                <w:szCs w:val="16"/>
                <w:lang w:eastAsia="en-GB"/>
              </w:rPr>
            </w:pPr>
            <w:r w:rsidRPr="008F0705">
              <w:rPr>
                <w:rFonts w:ascii="Calibri" w:eastAsia="Times New Roman" w:hAnsi="Calibri" w:cs="Times New Roman"/>
                <w:color w:val="FF0000"/>
                <w:sz w:val="16"/>
                <w:szCs w:val="16"/>
                <w:lang w:eastAsia="en-GB"/>
              </w:rPr>
              <w:t>** The prevalence rates have been applied to ONS population projections for the 18-64 population to give estimated numbers predicted to have a mental health problem</w:t>
            </w:r>
          </w:p>
        </w:tc>
      </w:tr>
      <w:tr w:rsidR="008921BF" w:rsidRPr="008F0705" w:rsidTr="004A416F">
        <w:trPr>
          <w:trHeight w:val="221"/>
        </w:trPr>
        <w:tc>
          <w:tcPr>
            <w:tcW w:w="9604" w:type="dxa"/>
            <w:gridSpan w:val="6"/>
            <w:vMerge/>
            <w:vAlign w:val="center"/>
            <w:hideMark/>
          </w:tcPr>
          <w:p w:rsidR="008921BF" w:rsidRPr="008F0705" w:rsidRDefault="008921BF" w:rsidP="00031B92">
            <w:pPr>
              <w:spacing w:after="0" w:line="240" w:lineRule="auto"/>
              <w:rPr>
                <w:rFonts w:ascii="Calibri" w:eastAsia="Times New Roman" w:hAnsi="Calibri" w:cs="Times New Roman"/>
                <w:color w:val="FF0000"/>
                <w:sz w:val="16"/>
                <w:szCs w:val="16"/>
                <w:lang w:eastAsia="en-GB"/>
              </w:rPr>
            </w:pPr>
          </w:p>
        </w:tc>
      </w:tr>
    </w:tbl>
    <w:p w:rsidR="008921BF" w:rsidRDefault="008921BF" w:rsidP="008921BF">
      <w:pPr>
        <w:spacing w:after="0"/>
      </w:pPr>
      <w:r>
        <w:t xml:space="preserve">Source: </w:t>
      </w:r>
      <w:r w:rsidR="00CB67F3" w:rsidRPr="002B07BE">
        <w:t xml:space="preserve">Projecting Older People Population Information </w:t>
      </w:r>
      <w:r w:rsidR="00CB67F3">
        <w:t>(</w:t>
      </w:r>
      <w:r>
        <w:t>POPPI</w:t>
      </w:r>
      <w:r w:rsidR="00CB67F3">
        <w:t>)</w:t>
      </w:r>
      <w:r>
        <w:t xml:space="preserve"> and </w:t>
      </w:r>
      <w:r w:rsidR="00CB67F3" w:rsidRPr="00CC38B2">
        <w:t>Projecting</w:t>
      </w:r>
      <w:r w:rsidR="00CB67F3" w:rsidRPr="002B07BE">
        <w:t xml:space="preserve"> Adult Needs and Service Information</w:t>
      </w:r>
      <w:r w:rsidR="00CB67F3">
        <w:t xml:space="preserve"> (</w:t>
      </w:r>
      <w:r>
        <w:t>PANSI</w:t>
      </w:r>
      <w:r w:rsidR="00CB67F3">
        <w:t>)</w:t>
      </w:r>
      <w:r>
        <w:t xml:space="preserve"> 2015</w:t>
      </w:r>
    </w:p>
    <w:p w:rsidR="008921BF" w:rsidRDefault="008921BF" w:rsidP="008921BF">
      <w:pPr>
        <w:spacing w:after="0"/>
      </w:pPr>
    </w:p>
    <w:p w:rsidR="008921BF" w:rsidRDefault="008921BF" w:rsidP="008921BF">
      <w:pPr>
        <w:spacing w:after="0"/>
        <w:jc w:val="both"/>
      </w:pPr>
      <w:r>
        <w:t xml:space="preserve">A </w:t>
      </w:r>
      <w:r w:rsidRPr="00C51E7A">
        <w:t xml:space="preserve">CCG commissioned </w:t>
      </w:r>
      <w:r>
        <w:t xml:space="preserve">review </w:t>
      </w:r>
      <w:r w:rsidRPr="00C51E7A">
        <w:t>examined the current mental health services provided by Barnet</w:t>
      </w:r>
      <w:r>
        <w:t>,</w:t>
      </w:r>
      <w:r w:rsidRPr="00C51E7A">
        <w:t xml:space="preserve"> Enfield and Haringey Mental Health Trust and advocated modernising the current secondary care services towards a community based model of care </w:t>
      </w:r>
      <w:r>
        <w:t>(</w:t>
      </w:r>
      <w:r w:rsidRPr="00C51E7A">
        <w:t>delivery within the com</w:t>
      </w:r>
      <w:r>
        <w:t>munity).</w:t>
      </w:r>
    </w:p>
    <w:p w:rsidR="008921BF" w:rsidRDefault="008921BF" w:rsidP="008921BF">
      <w:pPr>
        <w:spacing w:after="0"/>
        <w:jc w:val="both"/>
      </w:pPr>
    </w:p>
    <w:p w:rsidR="008921BF" w:rsidRDefault="008921BF" w:rsidP="008921BF">
      <w:pPr>
        <w:spacing w:after="0"/>
        <w:jc w:val="both"/>
      </w:pPr>
      <w:r w:rsidRPr="0030416F">
        <w:t>The e</w:t>
      </w:r>
      <w:r w:rsidRPr="00363B10">
        <w:t>vidence base</w:t>
      </w:r>
      <w:r>
        <w:t xml:space="preserve"> for mental health disorders</w:t>
      </w:r>
      <w:r w:rsidRPr="00363B10">
        <w:t xml:space="preserve"> overwhelmingly demonstrates the benefits of more upstream investment in primary care and community se</w:t>
      </w:r>
      <w:r>
        <w:t>rvices and one which focuses on</w:t>
      </w:r>
      <w:r w:rsidRPr="00363B10">
        <w:t xml:space="preserve"> </w:t>
      </w:r>
      <w:r>
        <w:t xml:space="preserve">prevention, </w:t>
      </w:r>
      <w:r w:rsidRPr="00363B10">
        <w:t xml:space="preserve">early intervention and </w:t>
      </w:r>
      <w:r>
        <w:t>recovery</w:t>
      </w:r>
      <w:r w:rsidRPr="00363B10">
        <w:t xml:space="preserve">, in improving patient experience, outcomes, quality, cost effectiveness and return on investment. </w:t>
      </w:r>
      <w:r>
        <w:t xml:space="preserve"> T</w:t>
      </w:r>
      <w:r w:rsidRPr="00363B10">
        <w:t>he level of mental health support and training in primary care does not often reflect this level of need and responsibility.</w:t>
      </w:r>
      <w:r>
        <w:t xml:space="preserve"> </w:t>
      </w:r>
      <w:r w:rsidRPr="00363B10">
        <w:t xml:space="preserve"> Best </w:t>
      </w:r>
      <w:r>
        <w:t>p</w:t>
      </w:r>
      <w:r w:rsidRPr="00363B10">
        <w:t>ractice sources recommend that mental health problems should be managed in primary care, with primary care mental health teams working collaboratively with other services to access specialist expertise and skills</w:t>
      </w:r>
      <w:r>
        <w:rPr>
          <w:rStyle w:val="FootnoteReference"/>
        </w:rPr>
        <w:footnoteReference w:id="145"/>
      </w:r>
      <w:r>
        <w:t>.</w:t>
      </w:r>
    </w:p>
    <w:p w:rsidR="008921BF" w:rsidRDefault="008921BF" w:rsidP="008921BF">
      <w:pPr>
        <w:pStyle w:val="Heading3"/>
        <w:jc w:val="both"/>
      </w:pPr>
      <w:r w:rsidRPr="00B25C1B">
        <w:t xml:space="preserve">Learning </w:t>
      </w:r>
      <w:r>
        <w:t>Disabilities</w:t>
      </w:r>
    </w:p>
    <w:p w:rsidR="008921BF" w:rsidRPr="00460E07" w:rsidRDefault="008921BF" w:rsidP="008921BF">
      <w:pPr>
        <w:spacing w:after="0"/>
        <w:jc w:val="both"/>
      </w:pPr>
      <w:r w:rsidRPr="00460E07">
        <w:t>The proportion of people with learning disabilities (PWLD) is under 0.5% of the overall Barnet population</w:t>
      </w:r>
      <w:r>
        <w:t>; however over 11%</w:t>
      </w:r>
      <w:r w:rsidRPr="00460E07">
        <w:t xml:space="preserve">% of Adult Social Care service users are PWLD. </w:t>
      </w:r>
      <w:r w:rsidR="00EA5799">
        <w:t>A</w:t>
      </w:r>
      <w:r w:rsidRPr="00460E07">
        <w:t xml:space="preserve"> 14% growth in the number of residents with moderate to severe learning disabilities </w:t>
      </w:r>
      <w:r w:rsidR="00EA5799">
        <w:t xml:space="preserve">is projected </w:t>
      </w:r>
      <w:r w:rsidRPr="00460E07">
        <w:t xml:space="preserve">over the next decade. </w:t>
      </w:r>
    </w:p>
    <w:p w:rsidR="008921BF" w:rsidRPr="00460E07" w:rsidRDefault="008921BF" w:rsidP="008921BF">
      <w:pPr>
        <w:spacing w:after="0"/>
        <w:ind w:left="709"/>
        <w:jc w:val="both"/>
      </w:pPr>
    </w:p>
    <w:p w:rsidR="008921BF" w:rsidRPr="00711869" w:rsidRDefault="008921BF" w:rsidP="008921BF">
      <w:pPr>
        <w:spacing w:after="0"/>
        <w:jc w:val="both"/>
      </w:pPr>
      <w:r>
        <w:t xml:space="preserve">Table 9-22 </w:t>
      </w:r>
      <w:r w:rsidRPr="00E379DA">
        <w:t>below shows the estimated number of PWLD</w:t>
      </w:r>
      <w:r>
        <w:t xml:space="preserve"> in Barnet (as at 2014)</w:t>
      </w:r>
      <w:r w:rsidRPr="00E379DA">
        <w:t>. T</w:t>
      </w:r>
      <w:r w:rsidRPr="00711869">
        <w:t>his includes people with a lower level of need who</w:t>
      </w:r>
      <w:r>
        <w:t>,</w:t>
      </w:r>
      <w:r w:rsidRPr="00711869">
        <w:t xml:space="preserve"> although unlikely to qualify for social care support</w:t>
      </w:r>
      <w:r>
        <w:t>,</w:t>
      </w:r>
      <w:r w:rsidRPr="00711869">
        <w:t xml:space="preserve"> are </w:t>
      </w:r>
      <w:r>
        <w:t xml:space="preserve">still </w:t>
      </w:r>
      <w:r w:rsidRPr="00711869">
        <w:t xml:space="preserve">supported </w:t>
      </w:r>
      <w:r w:rsidRPr="00E379DA">
        <w:t xml:space="preserve">by the learning disability nurses and other healthcare professionals within </w:t>
      </w:r>
      <w:r w:rsidRPr="00711869">
        <w:t>the integrated learning disabilities team</w:t>
      </w:r>
      <w:r w:rsidRPr="00E379DA">
        <w:t xml:space="preserve">. </w:t>
      </w:r>
      <w:r w:rsidRPr="00711869">
        <w:t xml:space="preserve"> </w:t>
      </w:r>
    </w:p>
    <w:p w:rsidR="008921BF" w:rsidRDefault="008921BF" w:rsidP="008921BF">
      <w:pPr>
        <w:pStyle w:val="ListParagraph"/>
        <w:spacing w:after="0" w:line="240" w:lineRule="auto"/>
        <w:contextualSpacing w:val="0"/>
        <w:rPr>
          <w:b/>
        </w:rPr>
      </w:pPr>
    </w:p>
    <w:p w:rsidR="00AA058C" w:rsidRDefault="00AA058C" w:rsidP="008921BF">
      <w:pPr>
        <w:pStyle w:val="ListParagraph"/>
        <w:spacing w:after="0" w:line="240" w:lineRule="auto"/>
        <w:contextualSpacing w:val="0"/>
        <w:rPr>
          <w:b/>
        </w:rPr>
      </w:pPr>
    </w:p>
    <w:p w:rsidR="00AA058C" w:rsidRDefault="00AA058C" w:rsidP="008921BF">
      <w:pPr>
        <w:pStyle w:val="ListParagraph"/>
        <w:spacing w:after="0" w:line="240" w:lineRule="auto"/>
        <w:contextualSpacing w:val="0"/>
        <w:rPr>
          <w:b/>
        </w:rPr>
      </w:pPr>
    </w:p>
    <w:p w:rsidR="00AA058C" w:rsidRDefault="00AA058C" w:rsidP="008921BF">
      <w:pPr>
        <w:pStyle w:val="ListParagraph"/>
        <w:spacing w:after="0" w:line="240" w:lineRule="auto"/>
        <w:contextualSpacing w:val="0"/>
        <w:rPr>
          <w:b/>
        </w:rPr>
      </w:pPr>
    </w:p>
    <w:p w:rsidR="00AA058C" w:rsidRDefault="00AA058C" w:rsidP="008921BF">
      <w:pPr>
        <w:pStyle w:val="ListParagraph"/>
        <w:spacing w:after="0" w:line="240" w:lineRule="auto"/>
        <w:contextualSpacing w:val="0"/>
        <w:rPr>
          <w:b/>
        </w:rPr>
      </w:pPr>
    </w:p>
    <w:p w:rsidR="00AA058C" w:rsidRDefault="00AA058C" w:rsidP="008921BF">
      <w:pPr>
        <w:pStyle w:val="ListParagraph"/>
        <w:spacing w:after="0" w:line="240" w:lineRule="auto"/>
        <w:contextualSpacing w:val="0"/>
        <w:rPr>
          <w:b/>
        </w:rPr>
      </w:pPr>
    </w:p>
    <w:p w:rsidR="00AA058C" w:rsidRDefault="00AA058C" w:rsidP="008921BF">
      <w:pPr>
        <w:pStyle w:val="ListParagraph"/>
        <w:spacing w:after="0" w:line="240" w:lineRule="auto"/>
        <w:contextualSpacing w:val="0"/>
        <w:rPr>
          <w:b/>
        </w:rPr>
      </w:pPr>
    </w:p>
    <w:p w:rsidR="008921BF" w:rsidRPr="00B92F4D" w:rsidRDefault="008921BF" w:rsidP="006F597E">
      <w:pPr>
        <w:pStyle w:val="Caption"/>
        <w:spacing w:after="0"/>
        <w:rPr>
          <w:b w:val="0"/>
          <w:i/>
        </w:rPr>
      </w:pPr>
      <w:r>
        <w:lastRenderedPageBreak/>
        <w:t xml:space="preserve">Table </w:t>
      </w:r>
      <w:fldSimple w:instr=" STYLEREF 1 \s ">
        <w:r w:rsidR="001663C2">
          <w:rPr>
            <w:noProof/>
          </w:rPr>
          <w:t>9</w:t>
        </w:r>
      </w:fldSimple>
      <w:r>
        <w:noBreakHyphen/>
      </w:r>
      <w:fldSimple w:instr=" SEQ Table \* ARABIC \s 1 ">
        <w:r w:rsidR="001663C2">
          <w:rPr>
            <w:noProof/>
          </w:rPr>
          <w:t>22</w:t>
        </w:r>
      </w:fldSimple>
      <w:r w:rsidRPr="00041E32">
        <w:t>: Estimated number of People with Learning Disability</w:t>
      </w:r>
    </w:p>
    <w:tbl>
      <w:tblPr>
        <w:tblW w:w="4395"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1701"/>
      </w:tblGrid>
      <w:tr w:rsidR="008921BF" w:rsidRPr="00191F1C" w:rsidTr="00031B92">
        <w:trPr>
          <w:trHeight w:val="288"/>
          <w:jc w:val="center"/>
        </w:trPr>
        <w:tc>
          <w:tcPr>
            <w:tcW w:w="4395" w:type="dxa"/>
            <w:gridSpan w:val="2"/>
            <w:shd w:val="clear" w:color="auto" w:fill="A6A6A6" w:themeFill="background1" w:themeFillShade="A6"/>
            <w:noWrap/>
            <w:vAlign w:val="bottom"/>
          </w:tcPr>
          <w:p w:rsidR="008921BF" w:rsidRPr="00E379DA" w:rsidRDefault="008921BF" w:rsidP="006F597E">
            <w:pPr>
              <w:spacing w:after="0" w:line="240" w:lineRule="auto"/>
              <w:jc w:val="center"/>
              <w:rPr>
                <w:rFonts w:cs="Arial"/>
                <w:b/>
                <w:bCs/>
                <w:color w:val="333333"/>
              </w:rPr>
            </w:pPr>
            <w:r w:rsidRPr="00B92F4D">
              <w:rPr>
                <w:rFonts w:ascii="Calibri" w:eastAsia="Times New Roman" w:hAnsi="Calibri" w:cs="Times New Roman"/>
                <w:b/>
                <w:bCs/>
                <w:lang w:eastAsia="en-GB"/>
              </w:rPr>
              <w:t>Estimated</w:t>
            </w:r>
            <w:r w:rsidRPr="00711869">
              <w:rPr>
                <w:rFonts w:cs="Arial"/>
                <w:b/>
                <w:bCs/>
                <w:color w:val="333333"/>
              </w:rPr>
              <w:t xml:space="preserve"> number of PWLD </w:t>
            </w:r>
            <w:r>
              <w:rPr>
                <w:rFonts w:cs="Arial"/>
                <w:b/>
                <w:bCs/>
                <w:color w:val="333333"/>
              </w:rPr>
              <w:t>- 2014</w:t>
            </w:r>
          </w:p>
        </w:tc>
      </w:tr>
      <w:tr w:rsidR="008921BF" w:rsidRPr="00191F1C" w:rsidTr="00031B92">
        <w:trPr>
          <w:trHeight w:val="288"/>
          <w:jc w:val="center"/>
        </w:trPr>
        <w:tc>
          <w:tcPr>
            <w:tcW w:w="2694" w:type="dxa"/>
            <w:shd w:val="clear" w:color="auto" w:fill="auto"/>
            <w:noWrap/>
            <w:vAlign w:val="bottom"/>
          </w:tcPr>
          <w:p w:rsidR="008921BF" w:rsidRPr="00E379DA" w:rsidRDefault="008921BF" w:rsidP="00031B92">
            <w:pPr>
              <w:spacing w:after="0" w:line="240" w:lineRule="auto"/>
              <w:jc w:val="center"/>
              <w:rPr>
                <w:rFonts w:eastAsia="Times New Roman" w:cs="Times New Roman"/>
                <w:color w:val="000000"/>
                <w:lang w:eastAsia="en-GB"/>
              </w:rPr>
            </w:pPr>
            <w:r w:rsidRPr="00E379DA">
              <w:rPr>
                <w:color w:val="000000"/>
              </w:rPr>
              <w:t>18 – 34 years</w:t>
            </w:r>
          </w:p>
        </w:tc>
        <w:tc>
          <w:tcPr>
            <w:tcW w:w="1701" w:type="dxa"/>
            <w:shd w:val="clear" w:color="auto" w:fill="auto"/>
            <w:noWrap/>
            <w:vAlign w:val="center"/>
          </w:tcPr>
          <w:p w:rsidR="008921BF" w:rsidRPr="00E379DA" w:rsidRDefault="008921BF" w:rsidP="00031B92">
            <w:pPr>
              <w:spacing w:after="0" w:line="240" w:lineRule="auto"/>
              <w:jc w:val="center"/>
              <w:rPr>
                <w:rFonts w:eastAsia="Times New Roman" w:cs="Arial"/>
                <w:bCs/>
                <w:color w:val="333333"/>
                <w:lang w:eastAsia="en-GB"/>
              </w:rPr>
            </w:pPr>
            <w:r w:rsidRPr="00E379DA">
              <w:rPr>
                <w:rFonts w:cs="Arial"/>
                <w:bCs/>
                <w:color w:val="333333"/>
              </w:rPr>
              <w:t>2</w:t>
            </w:r>
            <w:r>
              <w:rPr>
                <w:rFonts w:cs="Arial"/>
                <w:bCs/>
                <w:color w:val="333333"/>
              </w:rPr>
              <w:t>,</w:t>
            </w:r>
            <w:r w:rsidRPr="00E379DA">
              <w:rPr>
                <w:rFonts w:cs="Arial"/>
                <w:bCs/>
                <w:color w:val="333333"/>
              </w:rPr>
              <w:t>438</w:t>
            </w:r>
          </w:p>
        </w:tc>
      </w:tr>
      <w:tr w:rsidR="008921BF" w:rsidRPr="00191F1C" w:rsidTr="00031B92">
        <w:trPr>
          <w:trHeight w:val="288"/>
          <w:jc w:val="center"/>
        </w:trPr>
        <w:tc>
          <w:tcPr>
            <w:tcW w:w="2694" w:type="dxa"/>
            <w:shd w:val="clear" w:color="auto" w:fill="auto"/>
            <w:noWrap/>
            <w:vAlign w:val="bottom"/>
          </w:tcPr>
          <w:p w:rsidR="008921BF" w:rsidRPr="00711869" w:rsidRDefault="008921BF" w:rsidP="00031B92">
            <w:pPr>
              <w:spacing w:after="0" w:line="240" w:lineRule="auto"/>
              <w:jc w:val="center"/>
              <w:rPr>
                <w:rFonts w:eastAsia="Times New Roman" w:cs="Times New Roman"/>
                <w:color w:val="000000"/>
                <w:lang w:eastAsia="en-GB"/>
              </w:rPr>
            </w:pPr>
            <w:r w:rsidRPr="00711869">
              <w:rPr>
                <w:color w:val="000000"/>
              </w:rPr>
              <w:t>35 – 64 years</w:t>
            </w:r>
          </w:p>
        </w:tc>
        <w:tc>
          <w:tcPr>
            <w:tcW w:w="1701" w:type="dxa"/>
            <w:shd w:val="clear" w:color="auto" w:fill="auto"/>
            <w:noWrap/>
            <w:vAlign w:val="center"/>
          </w:tcPr>
          <w:p w:rsidR="008921BF" w:rsidRPr="00E379DA" w:rsidRDefault="008921BF" w:rsidP="00031B92">
            <w:pPr>
              <w:spacing w:after="0" w:line="240" w:lineRule="auto"/>
              <w:jc w:val="center"/>
              <w:rPr>
                <w:rFonts w:eastAsia="Times New Roman" w:cs="Arial"/>
                <w:bCs/>
                <w:color w:val="333333"/>
                <w:lang w:eastAsia="en-GB"/>
              </w:rPr>
            </w:pPr>
            <w:r w:rsidRPr="00E379DA">
              <w:rPr>
                <w:rFonts w:cs="Arial"/>
                <w:bCs/>
                <w:color w:val="333333"/>
              </w:rPr>
              <w:t>3</w:t>
            </w:r>
            <w:r>
              <w:rPr>
                <w:rFonts w:cs="Arial"/>
                <w:bCs/>
                <w:color w:val="333333"/>
              </w:rPr>
              <w:t>,</w:t>
            </w:r>
            <w:r w:rsidRPr="00E379DA">
              <w:rPr>
                <w:rFonts w:cs="Arial"/>
                <w:bCs/>
                <w:color w:val="333333"/>
              </w:rPr>
              <w:t>321</w:t>
            </w:r>
          </w:p>
        </w:tc>
      </w:tr>
      <w:tr w:rsidR="008921BF" w:rsidRPr="00191F1C" w:rsidTr="00031B92">
        <w:trPr>
          <w:trHeight w:val="288"/>
          <w:jc w:val="center"/>
        </w:trPr>
        <w:tc>
          <w:tcPr>
            <w:tcW w:w="2694" w:type="dxa"/>
            <w:shd w:val="clear" w:color="auto" w:fill="auto"/>
            <w:noWrap/>
            <w:vAlign w:val="bottom"/>
          </w:tcPr>
          <w:p w:rsidR="008921BF" w:rsidRPr="00E379DA" w:rsidRDefault="008921BF" w:rsidP="00031B92">
            <w:pPr>
              <w:spacing w:after="0" w:line="240" w:lineRule="auto"/>
              <w:jc w:val="center"/>
              <w:rPr>
                <w:rFonts w:eastAsia="Times New Roman" w:cs="Times New Roman"/>
                <w:color w:val="000000"/>
                <w:lang w:eastAsia="en-GB"/>
              </w:rPr>
            </w:pPr>
            <w:r w:rsidRPr="00E379DA">
              <w:rPr>
                <w:color w:val="000000"/>
              </w:rPr>
              <w:t>65 +</w:t>
            </w:r>
          </w:p>
        </w:tc>
        <w:tc>
          <w:tcPr>
            <w:tcW w:w="1701" w:type="dxa"/>
            <w:shd w:val="clear" w:color="auto" w:fill="auto"/>
            <w:noWrap/>
            <w:vAlign w:val="center"/>
          </w:tcPr>
          <w:p w:rsidR="008921BF" w:rsidRPr="00E379DA" w:rsidRDefault="008921BF" w:rsidP="00031B92">
            <w:pPr>
              <w:spacing w:after="0" w:line="240" w:lineRule="auto"/>
              <w:jc w:val="center"/>
              <w:rPr>
                <w:rFonts w:eastAsia="Times New Roman" w:cs="Arial"/>
                <w:bCs/>
                <w:color w:val="333333"/>
                <w:lang w:eastAsia="en-GB"/>
              </w:rPr>
            </w:pPr>
            <w:r w:rsidRPr="00E379DA">
              <w:rPr>
                <w:rFonts w:cs="Arial"/>
                <w:bCs/>
                <w:color w:val="333333"/>
              </w:rPr>
              <w:t>1</w:t>
            </w:r>
            <w:r>
              <w:rPr>
                <w:rFonts w:cs="Arial"/>
                <w:bCs/>
                <w:color w:val="333333"/>
              </w:rPr>
              <w:t>,</w:t>
            </w:r>
            <w:r w:rsidRPr="00E379DA">
              <w:rPr>
                <w:rFonts w:cs="Arial"/>
                <w:bCs/>
                <w:color w:val="333333"/>
              </w:rPr>
              <w:t>071</w:t>
            </w:r>
          </w:p>
        </w:tc>
      </w:tr>
      <w:tr w:rsidR="008921BF" w:rsidRPr="00191F1C" w:rsidTr="00031B92">
        <w:trPr>
          <w:trHeight w:val="288"/>
          <w:jc w:val="center"/>
        </w:trPr>
        <w:tc>
          <w:tcPr>
            <w:tcW w:w="2694" w:type="dxa"/>
            <w:shd w:val="clear" w:color="auto" w:fill="auto"/>
            <w:noWrap/>
            <w:vAlign w:val="bottom"/>
            <w:hideMark/>
          </w:tcPr>
          <w:p w:rsidR="008921BF" w:rsidRPr="00E379DA" w:rsidRDefault="008921BF" w:rsidP="00031B92">
            <w:pPr>
              <w:spacing w:after="0" w:line="240" w:lineRule="auto"/>
              <w:jc w:val="center"/>
              <w:rPr>
                <w:rFonts w:eastAsia="Times New Roman" w:cs="Times New Roman"/>
                <w:b/>
                <w:color w:val="000000"/>
                <w:lang w:eastAsia="en-GB"/>
              </w:rPr>
            </w:pPr>
            <w:r w:rsidRPr="00E379DA">
              <w:rPr>
                <w:rFonts w:eastAsia="Times New Roman" w:cs="Times New Roman"/>
                <w:b/>
                <w:color w:val="000000"/>
                <w:lang w:eastAsia="en-GB"/>
              </w:rPr>
              <w:t>Total</w:t>
            </w:r>
          </w:p>
        </w:tc>
        <w:tc>
          <w:tcPr>
            <w:tcW w:w="1701" w:type="dxa"/>
            <w:shd w:val="clear" w:color="auto" w:fill="auto"/>
            <w:noWrap/>
            <w:vAlign w:val="bottom"/>
            <w:hideMark/>
          </w:tcPr>
          <w:p w:rsidR="008921BF" w:rsidRPr="00E379DA" w:rsidRDefault="008921BF" w:rsidP="00031B92">
            <w:pPr>
              <w:spacing w:after="0" w:line="240" w:lineRule="auto"/>
              <w:jc w:val="center"/>
              <w:rPr>
                <w:rFonts w:eastAsia="Times New Roman" w:cs="Times New Roman"/>
                <w:b/>
                <w:color w:val="000000"/>
                <w:lang w:eastAsia="en-GB"/>
              </w:rPr>
            </w:pPr>
            <w:r w:rsidRPr="00E379DA">
              <w:rPr>
                <w:b/>
                <w:color w:val="000000"/>
              </w:rPr>
              <w:t>6</w:t>
            </w:r>
            <w:r>
              <w:rPr>
                <w:b/>
                <w:color w:val="000000"/>
              </w:rPr>
              <w:t>,</w:t>
            </w:r>
            <w:r w:rsidRPr="00E379DA">
              <w:rPr>
                <w:b/>
                <w:color w:val="000000"/>
              </w:rPr>
              <w:t>830</w:t>
            </w:r>
          </w:p>
        </w:tc>
      </w:tr>
    </w:tbl>
    <w:p w:rsidR="006F597E" w:rsidRDefault="006F597E" w:rsidP="006F597E">
      <w:pPr>
        <w:spacing w:after="0"/>
      </w:pPr>
      <w:r>
        <w:t xml:space="preserve">Source: </w:t>
      </w:r>
      <w:r w:rsidRPr="002B07BE">
        <w:t xml:space="preserve">Projecting Older People Population Information </w:t>
      </w:r>
      <w:r>
        <w:t xml:space="preserve">(POPPI) and </w:t>
      </w:r>
      <w:r w:rsidRPr="00CC38B2">
        <w:t>Projecting</w:t>
      </w:r>
      <w:r w:rsidRPr="002B07BE">
        <w:t xml:space="preserve"> Adult Needs and Service Information</w:t>
      </w:r>
      <w:r>
        <w:t xml:space="preserve"> (PANSI) 2015</w:t>
      </w:r>
    </w:p>
    <w:p w:rsidR="008921BF" w:rsidRDefault="008921BF" w:rsidP="008921BF">
      <w:pPr>
        <w:spacing w:after="0" w:line="240" w:lineRule="auto"/>
        <w:jc w:val="both"/>
      </w:pPr>
    </w:p>
    <w:p w:rsidR="008921BF" w:rsidRDefault="008921BF" w:rsidP="008921BF">
      <w:pPr>
        <w:spacing w:after="0" w:line="240" w:lineRule="auto"/>
        <w:jc w:val="both"/>
      </w:pPr>
      <w:r>
        <w:t xml:space="preserve">Table 9-23 shows the number of PWLD who are in receipt of support by adult social care, as a proportion of the total number of service users. Overall the number and proportion of service users with PWLD has remained relatively stable during the period 2011-2014. </w:t>
      </w:r>
    </w:p>
    <w:p w:rsidR="008921BF" w:rsidRDefault="008921BF" w:rsidP="008921BF">
      <w:pPr>
        <w:spacing w:after="0" w:line="240" w:lineRule="auto"/>
        <w:jc w:val="both"/>
      </w:pPr>
    </w:p>
    <w:p w:rsidR="008921BF" w:rsidRDefault="008921BF" w:rsidP="006F597E">
      <w:pPr>
        <w:pStyle w:val="Caption"/>
        <w:spacing w:after="0"/>
        <w:rPr>
          <w:b w:val="0"/>
          <w:i/>
        </w:rPr>
      </w:pPr>
      <w:r>
        <w:t xml:space="preserve">Table </w:t>
      </w:r>
      <w:fldSimple w:instr=" STYLEREF 1 \s ">
        <w:r w:rsidR="001663C2">
          <w:rPr>
            <w:noProof/>
          </w:rPr>
          <w:t>9</w:t>
        </w:r>
      </w:fldSimple>
      <w:r>
        <w:noBreakHyphen/>
      </w:r>
      <w:fldSimple w:instr=" SEQ Table \* ARABIC \s 1 ">
        <w:r w:rsidR="001663C2">
          <w:rPr>
            <w:noProof/>
          </w:rPr>
          <w:t>23</w:t>
        </w:r>
      </w:fldSimple>
      <w:r w:rsidRPr="00041E32">
        <w:t>: No. and % of Service Users with Learning Disability</w:t>
      </w:r>
    </w:p>
    <w:tbl>
      <w:tblPr>
        <w:tblW w:w="8440" w:type="dxa"/>
        <w:jc w:val="center"/>
        <w:tblInd w:w="-15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8"/>
        <w:gridCol w:w="850"/>
        <w:gridCol w:w="1701"/>
        <w:gridCol w:w="709"/>
        <w:gridCol w:w="1818"/>
        <w:gridCol w:w="733"/>
        <w:gridCol w:w="1531"/>
      </w:tblGrid>
      <w:tr w:rsidR="008921BF" w:rsidRPr="006406C6" w:rsidTr="00031B92">
        <w:trPr>
          <w:trHeight w:val="300"/>
          <w:jc w:val="center"/>
        </w:trPr>
        <w:tc>
          <w:tcPr>
            <w:tcW w:w="1098" w:type="dxa"/>
            <w:vMerge w:val="restart"/>
            <w:shd w:val="clear" w:color="auto" w:fill="BFBFBF" w:themeFill="background1" w:themeFillShade="BF"/>
            <w:vAlign w:val="center"/>
          </w:tcPr>
          <w:p w:rsidR="008921BF" w:rsidRPr="006406C6" w:rsidRDefault="008921BF" w:rsidP="006F597E">
            <w:pPr>
              <w:spacing w:after="0" w:line="240" w:lineRule="auto"/>
              <w:jc w:val="center"/>
              <w:rPr>
                <w:rFonts w:ascii="Calibri" w:eastAsia="Times New Roman" w:hAnsi="Calibri" w:cs="Times New Roman"/>
                <w:b/>
                <w:color w:val="000000"/>
                <w:lang w:eastAsia="en-GB"/>
              </w:rPr>
            </w:pPr>
            <w:r w:rsidRPr="006406C6">
              <w:rPr>
                <w:rFonts w:ascii="Calibri" w:eastAsia="Times New Roman" w:hAnsi="Calibri" w:cs="Times New Roman"/>
                <w:b/>
                <w:color w:val="000000"/>
                <w:lang w:eastAsia="en-GB"/>
              </w:rPr>
              <w:t>Age Group</w:t>
            </w:r>
          </w:p>
        </w:tc>
        <w:tc>
          <w:tcPr>
            <w:tcW w:w="2551" w:type="dxa"/>
            <w:gridSpan w:val="2"/>
            <w:shd w:val="clear" w:color="auto" w:fill="BFBFBF" w:themeFill="background1" w:themeFillShade="BF"/>
            <w:noWrap/>
            <w:vAlign w:val="center"/>
            <w:hideMark/>
          </w:tcPr>
          <w:p w:rsidR="008921BF" w:rsidRPr="006406C6" w:rsidRDefault="008921BF" w:rsidP="006F597E">
            <w:pPr>
              <w:spacing w:after="0" w:line="240" w:lineRule="auto"/>
              <w:jc w:val="center"/>
              <w:rPr>
                <w:rFonts w:ascii="Calibri" w:eastAsia="Times New Roman" w:hAnsi="Calibri" w:cs="Times New Roman"/>
                <w:b/>
                <w:color w:val="000000"/>
                <w:lang w:eastAsia="en-GB"/>
              </w:rPr>
            </w:pPr>
            <w:r w:rsidRPr="006406C6">
              <w:rPr>
                <w:rFonts w:ascii="Calibri" w:eastAsia="Times New Roman" w:hAnsi="Calibri" w:cs="Times New Roman"/>
                <w:b/>
                <w:color w:val="000000"/>
                <w:lang w:eastAsia="en-GB"/>
              </w:rPr>
              <w:t>2011/12</w:t>
            </w:r>
          </w:p>
        </w:tc>
        <w:tc>
          <w:tcPr>
            <w:tcW w:w="2527" w:type="dxa"/>
            <w:gridSpan w:val="2"/>
            <w:shd w:val="clear" w:color="auto" w:fill="BFBFBF" w:themeFill="background1" w:themeFillShade="BF"/>
            <w:noWrap/>
            <w:vAlign w:val="center"/>
            <w:hideMark/>
          </w:tcPr>
          <w:p w:rsidR="008921BF" w:rsidRPr="006406C6" w:rsidRDefault="008921BF" w:rsidP="006F597E">
            <w:pPr>
              <w:spacing w:after="0" w:line="240" w:lineRule="auto"/>
              <w:jc w:val="center"/>
              <w:rPr>
                <w:rFonts w:ascii="Calibri" w:eastAsia="Times New Roman" w:hAnsi="Calibri" w:cs="Times New Roman"/>
                <w:b/>
                <w:color w:val="000000"/>
                <w:lang w:eastAsia="en-GB"/>
              </w:rPr>
            </w:pPr>
            <w:r w:rsidRPr="006406C6">
              <w:rPr>
                <w:rFonts w:ascii="Calibri" w:eastAsia="Times New Roman" w:hAnsi="Calibri" w:cs="Times New Roman"/>
                <w:b/>
                <w:color w:val="000000"/>
                <w:lang w:eastAsia="en-GB"/>
              </w:rPr>
              <w:t>2012/13</w:t>
            </w:r>
          </w:p>
        </w:tc>
        <w:tc>
          <w:tcPr>
            <w:tcW w:w="2264" w:type="dxa"/>
            <w:gridSpan w:val="2"/>
            <w:shd w:val="clear" w:color="auto" w:fill="BFBFBF" w:themeFill="background1" w:themeFillShade="BF"/>
            <w:noWrap/>
            <w:vAlign w:val="center"/>
            <w:hideMark/>
          </w:tcPr>
          <w:p w:rsidR="008921BF" w:rsidRPr="006406C6" w:rsidRDefault="008921BF" w:rsidP="006F597E">
            <w:pPr>
              <w:spacing w:after="0" w:line="240" w:lineRule="auto"/>
              <w:jc w:val="center"/>
              <w:rPr>
                <w:rFonts w:ascii="Calibri" w:eastAsia="Times New Roman" w:hAnsi="Calibri" w:cs="Times New Roman"/>
                <w:b/>
                <w:color w:val="000000"/>
                <w:lang w:eastAsia="en-GB"/>
              </w:rPr>
            </w:pPr>
            <w:r w:rsidRPr="006406C6">
              <w:rPr>
                <w:rFonts w:ascii="Calibri" w:eastAsia="Times New Roman" w:hAnsi="Calibri" w:cs="Times New Roman"/>
                <w:b/>
                <w:color w:val="000000"/>
                <w:lang w:eastAsia="en-GB"/>
              </w:rPr>
              <w:t>2013/14</w:t>
            </w:r>
          </w:p>
        </w:tc>
      </w:tr>
      <w:tr w:rsidR="008921BF" w:rsidRPr="006406C6" w:rsidTr="00031B92">
        <w:trPr>
          <w:trHeight w:val="300"/>
          <w:jc w:val="center"/>
        </w:trPr>
        <w:tc>
          <w:tcPr>
            <w:tcW w:w="1098" w:type="dxa"/>
            <w:vMerge/>
            <w:shd w:val="clear" w:color="auto" w:fill="BFBFBF" w:themeFill="background1" w:themeFillShade="BF"/>
            <w:vAlign w:val="center"/>
          </w:tcPr>
          <w:p w:rsidR="008921BF" w:rsidRPr="0071699C" w:rsidRDefault="008921BF" w:rsidP="00031B92">
            <w:pPr>
              <w:spacing w:after="0" w:line="240" w:lineRule="auto"/>
              <w:jc w:val="center"/>
              <w:rPr>
                <w:rFonts w:ascii="Calibri" w:eastAsia="Times New Roman" w:hAnsi="Calibri" w:cs="Times New Roman"/>
                <w:b/>
                <w:i/>
                <w:iCs/>
                <w:color w:val="000000"/>
                <w:lang w:eastAsia="en-GB"/>
              </w:rPr>
            </w:pPr>
          </w:p>
        </w:tc>
        <w:tc>
          <w:tcPr>
            <w:tcW w:w="850" w:type="dxa"/>
            <w:shd w:val="clear" w:color="auto" w:fill="BFBFBF" w:themeFill="background1" w:themeFillShade="BF"/>
            <w:noWrap/>
            <w:vAlign w:val="center"/>
          </w:tcPr>
          <w:p w:rsidR="008921BF" w:rsidRPr="004A3C88" w:rsidRDefault="008921BF" w:rsidP="00031B92">
            <w:pPr>
              <w:spacing w:after="0" w:line="240" w:lineRule="auto"/>
              <w:jc w:val="center"/>
              <w:rPr>
                <w:rFonts w:ascii="Calibri" w:eastAsia="Times New Roman" w:hAnsi="Calibri" w:cs="Times New Roman"/>
                <w:b/>
                <w:bCs/>
                <w:color w:val="000000"/>
                <w:lang w:eastAsia="en-GB"/>
              </w:rPr>
            </w:pPr>
            <w:r w:rsidRPr="004A3C88">
              <w:rPr>
                <w:rFonts w:ascii="Calibri" w:eastAsia="Times New Roman" w:hAnsi="Calibri" w:cs="Times New Roman"/>
                <w:b/>
                <w:bCs/>
                <w:color w:val="000000"/>
                <w:lang w:eastAsia="en-GB"/>
              </w:rPr>
              <w:t xml:space="preserve">No. </w:t>
            </w:r>
          </w:p>
        </w:tc>
        <w:tc>
          <w:tcPr>
            <w:tcW w:w="1701" w:type="dxa"/>
            <w:shd w:val="clear" w:color="auto" w:fill="BFBFBF" w:themeFill="background1" w:themeFillShade="BF"/>
            <w:vAlign w:val="center"/>
          </w:tcPr>
          <w:p w:rsidR="008921BF" w:rsidRPr="004A3C88" w:rsidRDefault="008921BF" w:rsidP="00031B92">
            <w:pPr>
              <w:spacing w:after="0" w:line="240" w:lineRule="auto"/>
              <w:jc w:val="center"/>
              <w:rPr>
                <w:rFonts w:ascii="Calibri" w:eastAsia="Times New Roman" w:hAnsi="Calibri" w:cs="Times New Roman"/>
                <w:b/>
                <w:bCs/>
                <w:color w:val="000000"/>
                <w:lang w:eastAsia="en-GB"/>
              </w:rPr>
            </w:pPr>
            <w:r w:rsidRPr="004A3C88">
              <w:rPr>
                <w:rFonts w:ascii="Calibri" w:eastAsia="Times New Roman" w:hAnsi="Calibri" w:cs="Times New Roman"/>
                <w:b/>
                <w:bCs/>
                <w:color w:val="000000"/>
                <w:lang w:eastAsia="en-GB"/>
              </w:rPr>
              <w:t>% of Total Service Users</w:t>
            </w:r>
          </w:p>
        </w:tc>
        <w:tc>
          <w:tcPr>
            <w:tcW w:w="709" w:type="dxa"/>
            <w:shd w:val="clear" w:color="auto" w:fill="BFBFBF" w:themeFill="background1" w:themeFillShade="BF"/>
            <w:noWrap/>
            <w:vAlign w:val="center"/>
          </w:tcPr>
          <w:p w:rsidR="008921BF" w:rsidRPr="004A3C88" w:rsidRDefault="008921BF" w:rsidP="00031B92">
            <w:pPr>
              <w:spacing w:after="0" w:line="240" w:lineRule="auto"/>
              <w:jc w:val="center"/>
              <w:rPr>
                <w:rFonts w:ascii="Calibri" w:eastAsia="Times New Roman" w:hAnsi="Calibri" w:cs="Times New Roman"/>
                <w:b/>
                <w:bCs/>
                <w:color w:val="000000"/>
                <w:lang w:eastAsia="en-GB"/>
              </w:rPr>
            </w:pPr>
            <w:r w:rsidRPr="004A3C88">
              <w:rPr>
                <w:rFonts w:ascii="Calibri" w:eastAsia="Times New Roman" w:hAnsi="Calibri" w:cs="Times New Roman"/>
                <w:b/>
                <w:bCs/>
                <w:color w:val="000000"/>
                <w:lang w:eastAsia="en-GB"/>
              </w:rPr>
              <w:t xml:space="preserve">No. </w:t>
            </w:r>
          </w:p>
        </w:tc>
        <w:tc>
          <w:tcPr>
            <w:tcW w:w="1818" w:type="dxa"/>
            <w:shd w:val="clear" w:color="auto" w:fill="BFBFBF" w:themeFill="background1" w:themeFillShade="BF"/>
            <w:vAlign w:val="center"/>
          </w:tcPr>
          <w:p w:rsidR="008921BF" w:rsidRPr="004A3C88" w:rsidRDefault="008921BF" w:rsidP="00031B92">
            <w:pPr>
              <w:spacing w:after="0" w:line="240" w:lineRule="auto"/>
              <w:jc w:val="center"/>
              <w:rPr>
                <w:rFonts w:ascii="Calibri" w:eastAsia="Times New Roman" w:hAnsi="Calibri" w:cs="Times New Roman"/>
                <w:b/>
                <w:bCs/>
                <w:color w:val="000000"/>
                <w:lang w:eastAsia="en-GB"/>
              </w:rPr>
            </w:pPr>
            <w:r w:rsidRPr="004A3C88">
              <w:rPr>
                <w:rFonts w:ascii="Calibri" w:eastAsia="Times New Roman" w:hAnsi="Calibri" w:cs="Times New Roman"/>
                <w:b/>
                <w:bCs/>
                <w:color w:val="000000"/>
                <w:lang w:eastAsia="en-GB"/>
              </w:rPr>
              <w:t>% of Total Service Users</w:t>
            </w:r>
          </w:p>
        </w:tc>
        <w:tc>
          <w:tcPr>
            <w:tcW w:w="733" w:type="dxa"/>
            <w:shd w:val="clear" w:color="auto" w:fill="BFBFBF" w:themeFill="background1" w:themeFillShade="BF"/>
            <w:noWrap/>
            <w:vAlign w:val="center"/>
          </w:tcPr>
          <w:p w:rsidR="008921BF" w:rsidRPr="004A3C88" w:rsidRDefault="008921BF" w:rsidP="00031B92">
            <w:pPr>
              <w:spacing w:after="0" w:line="240" w:lineRule="auto"/>
              <w:jc w:val="center"/>
              <w:rPr>
                <w:rFonts w:ascii="Calibri" w:eastAsia="Times New Roman" w:hAnsi="Calibri" w:cs="Times New Roman"/>
                <w:b/>
                <w:bCs/>
                <w:color w:val="000000"/>
                <w:lang w:eastAsia="en-GB"/>
              </w:rPr>
            </w:pPr>
            <w:r w:rsidRPr="004A3C88">
              <w:rPr>
                <w:rFonts w:ascii="Calibri" w:eastAsia="Times New Roman" w:hAnsi="Calibri" w:cs="Times New Roman"/>
                <w:b/>
                <w:bCs/>
                <w:color w:val="000000"/>
                <w:lang w:eastAsia="en-GB"/>
              </w:rPr>
              <w:t xml:space="preserve">No. </w:t>
            </w:r>
          </w:p>
        </w:tc>
        <w:tc>
          <w:tcPr>
            <w:tcW w:w="1531" w:type="dxa"/>
            <w:shd w:val="clear" w:color="auto" w:fill="BFBFBF" w:themeFill="background1" w:themeFillShade="BF"/>
            <w:vAlign w:val="center"/>
          </w:tcPr>
          <w:p w:rsidR="008921BF" w:rsidRPr="004A3C88" w:rsidRDefault="008921BF" w:rsidP="00031B92">
            <w:pPr>
              <w:spacing w:after="0" w:line="240" w:lineRule="auto"/>
              <w:jc w:val="center"/>
              <w:rPr>
                <w:rFonts w:ascii="Calibri" w:eastAsia="Times New Roman" w:hAnsi="Calibri" w:cs="Times New Roman"/>
                <w:b/>
                <w:bCs/>
                <w:color w:val="000000"/>
                <w:lang w:eastAsia="en-GB"/>
              </w:rPr>
            </w:pPr>
            <w:r w:rsidRPr="004A3C88">
              <w:rPr>
                <w:rFonts w:ascii="Calibri" w:eastAsia="Times New Roman" w:hAnsi="Calibri" w:cs="Times New Roman"/>
                <w:b/>
                <w:bCs/>
                <w:color w:val="000000"/>
                <w:lang w:eastAsia="en-GB"/>
              </w:rPr>
              <w:t>% of Total Service Users</w:t>
            </w:r>
          </w:p>
        </w:tc>
      </w:tr>
      <w:tr w:rsidR="008921BF" w:rsidRPr="006406C6" w:rsidTr="00031B92">
        <w:trPr>
          <w:trHeight w:val="300"/>
          <w:jc w:val="center"/>
        </w:trPr>
        <w:tc>
          <w:tcPr>
            <w:tcW w:w="1098" w:type="dxa"/>
            <w:vAlign w:val="center"/>
          </w:tcPr>
          <w:p w:rsidR="008921BF" w:rsidRPr="006406C6" w:rsidRDefault="008921BF" w:rsidP="00031B92">
            <w:pPr>
              <w:spacing w:after="0" w:line="240" w:lineRule="auto"/>
              <w:jc w:val="center"/>
              <w:rPr>
                <w:rFonts w:ascii="Calibri" w:eastAsia="Times New Roman" w:hAnsi="Calibri" w:cs="Times New Roman"/>
                <w:i/>
                <w:iCs/>
                <w:color w:val="000000"/>
                <w:lang w:eastAsia="en-GB"/>
              </w:rPr>
            </w:pPr>
            <w:r w:rsidRPr="006406C6">
              <w:rPr>
                <w:rFonts w:ascii="Calibri" w:eastAsia="Times New Roman" w:hAnsi="Calibri" w:cs="Times New Roman"/>
                <w:i/>
                <w:iCs/>
                <w:color w:val="000000"/>
                <w:lang w:eastAsia="en-GB"/>
              </w:rPr>
              <w:t>18-64</w:t>
            </w:r>
          </w:p>
        </w:tc>
        <w:tc>
          <w:tcPr>
            <w:tcW w:w="850" w:type="dxa"/>
            <w:shd w:val="clear" w:color="auto" w:fill="auto"/>
            <w:noWrap/>
            <w:vAlign w:val="center"/>
            <w:hideMark/>
          </w:tcPr>
          <w:p w:rsidR="008921BF" w:rsidRPr="006406C6" w:rsidRDefault="008921BF" w:rsidP="00031B92">
            <w:pPr>
              <w:spacing w:after="0" w:line="240" w:lineRule="auto"/>
              <w:jc w:val="center"/>
              <w:rPr>
                <w:rFonts w:ascii="Calibri" w:eastAsia="Times New Roman" w:hAnsi="Calibri" w:cs="Times New Roman"/>
                <w:color w:val="000000"/>
                <w:lang w:eastAsia="en-GB"/>
              </w:rPr>
            </w:pPr>
            <w:r w:rsidRPr="006406C6">
              <w:rPr>
                <w:rFonts w:ascii="Calibri" w:eastAsia="Times New Roman" w:hAnsi="Calibri" w:cs="Times New Roman"/>
                <w:color w:val="000000"/>
                <w:lang w:eastAsia="en-GB"/>
              </w:rPr>
              <w:t>758</w:t>
            </w:r>
          </w:p>
        </w:tc>
        <w:tc>
          <w:tcPr>
            <w:tcW w:w="1701" w:type="dxa"/>
            <w:vAlign w:val="center"/>
          </w:tcPr>
          <w:p w:rsidR="008921BF" w:rsidRPr="006406C6" w:rsidRDefault="008921BF" w:rsidP="00031B92">
            <w:pPr>
              <w:spacing w:after="0" w:line="240" w:lineRule="auto"/>
              <w:jc w:val="center"/>
              <w:rPr>
                <w:rFonts w:ascii="Calibri" w:eastAsia="Times New Roman" w:hAnsi="Calibri" w:cs="Times New Roman"/>
                <w:color w:val="000000"/>
                <w:lang w:eastAsia="en-GB"/>
              </w:rPr>
            </w:pPr>
            <w:r w:rsidRPr="006406C6">
              <w:rPr>
                <w:rFonts w:ascii="Calibri" w:eastAsia="Times New Roman" w:hAnsi="Calibri" w:cs="Times New Roman"/>
                <w:color w:val="000000"/>
                <w:lang w:eastAsia="en-GB"/>
              </w:rPr>
              <w:t>28.5%</w:t>
            </w:r>
          </w:p>
        </w:tc>
        <w:tc>
          <w:tcPr>
            <w:tcW w:w="709" w:type="dxa"/>
            <w:shd w:val="clear" w:color="auto" w:fill="auto"/>
            <w:noWrap/>
            <w:vAlign w:val="center"/>
            <w:hideMark/>
          </w:tcPr>
          <w:p w:rsidR="008921BF" w:rsidRPr="006406C6" w:rsidRDefault="008921BF" w:rsidP="00031B92">
            <w:pPr>
              <w:spacing w:after="0" w:line="240" w:lineRule="auto"/>
              <w:jc w:val="center"/>
              <w:rPr>
                <w:rFonts w:ascii="Calibri" w:eastAsia="Times New Roman" w:hAnsi="Calibri" w:cs="Times New Roman"/>
                <w:color w:val="000000"/>
                <w:lang w:eastAsia="en-GB"/>
              </w:rPr>
            </w:pPr>
            <w:r w:rsidRPr="006406C6">
              <w:rPr>
                <w:rFonts w:ascii="Calibri" w:eastAsia="Times New Roman" w:hAnsi="Calibri" w:cs="Times New Roman"/>
                <w:color w:val="000000"/>
                <w:lang w:eastAsia="en-GB"/>
              </w:rPr>
              <w:t>752</w:t>
            </w:r>
          </w:p>
        </w:tc>
        <w:tc>
          <w:tcPr>
            <w:tcW w:w="1818" w:type="dxa"/>
            <w:vAlign w:val="center"/>
          </w:tcPr>
          <w:p w:rsidR="008921BF" w:rsidRPr="006406C6" w:rsidRDefault="008921BF" w:rsidP="00031B92">
            <w:pPr>
              <w:spacing w:after="0" w:line="240" w:lineRule="auto"/>
              <w:jc w:val="center"/>
              <w:rPr>
                <w:rFonts w:ascii="Calibri" w:eastAsia="Times New Roman" w:hAnsi="Calibri" w:cs="Times New Roman"/>
                <w:color w:val="000000"/>
                <w:lang w:eastAsia="en-GB"/>
              </w:rPr>
            </w:pPr>
            <w:r w:rsidRPr="006406C6">
              <w:rPr>
                <w:rFonts w:ascii="Calibri" w:eastAsia="Times New Roman" w:hAnsi="Calibri" w:cs="Times New Roman"/>
                <w:color w:val="000000"/>
                <w:lang w:eastAsia="en-GB"/>
              </w:rPr>
              <w:t>27.2%</w:t>
            </w:r>
          </w:p>
        </w:tc>
        <w:tc>
          <w:tcPr>
            <w:tcW w:w="733" w:type="dxa"/>
            <w:shd w:val="clear" w:color="auto" w:fill="auto"/>
            <w:noWrap/>
            <w:vAlign w:val="center"/>
            <w:hideMark/>
          </w:tcPr>
          <w:p w:rsidR="008921BF" w:rsidRPr="006406C6" w:rsidRDefault="008921BF" w:rsidP="00031B92">
            <w:pPr>
              <w:spacing w:after="0" w:line="240" w:lineRule="auto"/>
              <w:jc w:val="center"/>
              <w:rPr>
                <w:rFonts w:ascii="Calibri" w:eastAsia="Times New Roman" w:hAnsi="Calibri" w:cs="Times New Roman"/>
                <w:color w:val="000000"/>
                <w:lang w:eastAsia="en-GB"/>
              </w:rPr>
            </w:pPr>
            <w:r w:rsidRPr="006406C6">
              <w:rPr>
                <w:rFonts w:ascii="Calibri" w:eastAsia="Times New Roman" w:hAnsi="Calibri" w:cs="Times New Roman"/>
                <w:color w:val="000000"/>
                <w:lang w:eastAsia="en-GB"/>
              </w:rPr>
              <w:t>765</w:t>
            </w:r>
          </w:p>
        </w:tc>
        <w:tc>
          <w:tcPr>
            <w:tcW w:w="1531" w:type="dxa"/>
            <w:vAlign w:val="center"/>
          </w:tcPr>
          <w:p w:rsidR="008921BF" w:rsidRPr="006406C6" w:rsidRDefault="008921BF" w:rsidP="00031B92">
            <w:pPr>
              <w:spacing w:after="0" w:line="240" w:lineRule="auto"/>
              <w:jc w:val="center"/>
              <w:rPr>
                <w:rFonts w:ascii="Calibri" w:eastAsia="Times New Roman" w:hAnsi="Calibri" w:cs="Times New Roman"/>
                <w:color w:val="000000"/>
                <w:lang w:eastAsia="en-GB"/>
              </w:rPr>
            </w:pPr>
            <w:r w:rsidRPr="006406C6">
              <w:rPr>
                <w:rFonts w:ascii="Calibri" w:eastAsia="Times New Roman" w:hAnsi="Calibri" w:cs="Times New Roman"/>
                <w:color w:val="000000"/>
                <w:lang w:eastAsia="en-GB"/>
              </w:rPr>
              <w:t>28.4%</w:t>
            </w:r>
          </w:p>
        </w:tc>
      </w:tr>
      <w:tr w:rsidR="008921BF" w:rsidRPr="006406C6" w:rsidTr="00031B92">
        <w:trPr>
          <w:trHeight w:val="300"/>
          <w:jc w:val="center"/>
        </w:trPr>
        <w:tc>
          <w:tcPr>
            <w:tcW w:w="1098" w:type="dxa"/>
            <w:vAlign w:val="center"/>
          </w:tcPr>
          <w:p w:rsidR="008921BF" w:rsidRPr="006406C6" w:rsidRDefault="008921BF" w:rsidP="00031B92">
            <w:pPr>
              <w:spacing w:after="0" w:line="240" w:lineRule="auto"/>
              <w:jc w:val="center"/>
              <w:rPr>
                <w:rFonts w:ascii="Calibri" w:eastAsia="Times New Roman" w:hAnsi="Calibri" w:cs="Times New Roman"/>
                <w:i/>
                <w:iCs/>
                <w:color w:val="000000"/>
                <w:lang w:eastAsia="en-GB"/>
              </w:rPr>
            </w:pPr>
            <w:r w:rsidRPr="006406C6">
              <w:rPr>
                <w:rFonts w:ascii="Calibri" w:eastAsia="Times New Roman" w:hAnsi="Calibri" w:cs="Times New Roman"/>
                <w:i/>
                <w:iCs/>
                <w:color w:val="000000"/>
                <w:lang w:eastAsia="en-GB"/>
              </w:rPr>
              <w:t>65+</w:t>
            </w:r>
          </w:p>
        </w:tc>
        <w:tc>
          <w:tcPr>
            <w:tcW w:w="850" w:type="dxa"/>
            <w:shd w:val="clear" w:color="auto" w:fill="auto"/>
            <w:noWrap/>
            <w:vAlign w:val="center"/>
            <w:hideMark/>
          </w:tcPr>
          <w:p w:rsidR="008921BF" w:rsidRPr="006406C6" w:rsidRDefault="008921BF" w:rsidP="00031B92">
            <w:pPr>
              <w:spacing w:after="0" w:line="240" w:lineRule="auto"/>
              <w:jc w:val="center"/>
              <w:rPr>
                <w:rFonts w:ascii="Calibri" w:eastAsia="Times New Roman" w:hAnsi="Calibri" w:cs="Times New Roman"/>
                <w:color w:val="000000"/>
                <w:lang w:eastAsia="en-GB"/>
              </w:rPr>
            </w:pPr>
            <w:r w:rsidRPr="006406C6">
              <w:rPr>
                <w:rFonts w:ascii="Calibri" w:eastAsia="Times New Roman" w:hAnsi="Calibri" w:cs="Times New Roman"/>
                <w:color w:val="000000"/>
                <w:lang w:eastAsia="en-GB"/>
              </w:rPr>
              <w:t>94</w:t>
            </w:r>
          </w:p>
        </w:tc>
        <w:tc>
          <w:tcPr>
            <w:tcW w:w="1701" w:type="dxa"/>
            <w:vAlign w:val="center"/>
          </w:tcPr>
          <w:p w:rsidR="008921BF" w:rsidRPr="006406C6" w:rsidRDefault="008921BF" w:rsidP="00031B92">
            <w:pPr>
              <w:spacing w:after="0" w:line="240" w:lineRule="auto"/>
              <w:jc w:val="center"/>
              <w:rPr>
                <w:rFonts w:ascii="Calibri" w:eastAsia="Times New Roman" w:hAnsi="Calibri" w:cs="Times New Roman"/>
                <w:color w:val="000000"/>
                <w:lang w:eastAsia="en-GB"/>
              </w:rPr>
            </w:pPr>
            <w:r w:rsidRPr="006406C6">
              <w:rPr>
                <w:rFonts w:ascii="Calibri" w:eastAsia="Times New Roman" w:hAnsi="Calibri" w:cs="Times New Roman"/>
                <w:color w:val="000000"/>
                <w:lang w:eastAsia="en-GB"/>
              </w:rPr>
              <w:t>1.9%</w:t>
            </w:r>
          </w:p>
        </w:tc>
        <w:tc>
          <w:tcPr>
            <w:tcW w:w="709" w:type="dxa"/>
            <w:shd w:val="clear" w:color="auto" w:fill="auto"/>
            <w:noWrap/>
            <w:vAlign w:val="center"/>
            <w:hideMark/>
          </w:tcPr>
          <w:p w:rsidR="008921BF" w:rsidRPr="006406C6" w:rsidRDefault="008921BF" w:rsidP="00031B92">
            <w:pPr>
              <w:spacing w:after="0" w:line="240" w:lineRule="auto"/>
              <w:jc w:val="center"/>
              <w:rPr>
                <w:rFonts w:ascii="Calibri" w:eastAsia="Times New Roman" w:hAnsi="Calibri" w:cs="Times New Roman"/>
                <w:color w:val="000000"/>
                <w:lang w:eastAsia="en-GB"/>
              </w:rPr>
            </w:pPr>
            <w:r w:rsidRPr="006406C6">
              <w:rPr>
                <w:rFonts w:ascii="Calibri" w:eastAsia="Times New Roman" w:hAnsi="Calibri" w:cs="Times New Roman"/>
                <w:color w:val="000000"/>
                <w:lang w:eastAsia="en-GB"/>
              </w:rPr>
              <w:t>99</w:t>
            </w:r>
          </w:p>
        </w:tc>
        <w:tc>
          <w:tcPr>
            <w:tcW w:w="1818" w:type="dxa"/>
            <w:vAlign w:val="center"/>
          </w:tcPr>
          <w:p w:rsidR="008921BF" w:rsidRPr="006406C6" w:rsidRDefault="008921BF" w:rsidP="00031B92">
            <w:pPr>
              <w:spacing w:after="0" w:line="240" w:lineRule="auto"/>
              <w:jc w:val="center"/>
              <w:rPr>
                <w:rFonts w:ascii="Calibri" w:eastAsia="Times New Roman" w:hAnsi="Calibri" w:cs="Times New Roman"/>
                <w:color w:val="000000"/>
                <w:lang w:eastAsia="en-GB"/>
              </w:rPr>
            </w:pPr>
            <w:r w:rsidRPr="006406C6">
              <w:rPr>
                <w:rFonts w:ascii="Calibri" w:eastAsia="Times New Roman" w:hAnsi="Calibri" w:cs="Times New Roman"/>
                <w:color w:val="000000"/>
                <w:lang w:eastAsia="en-GB"/>
              </w:rPr>
              <w:t>2.1%</w:t>
            </w:r>
          </w:p>
        </w:tc>
        <w:tc>
          <w:tcPr>
            <w:tcW w:w="733" w:type="dxa"/>
            <w:shd w:val="clear" w:color="auto" w:fill="auto"/>
            <w:noWrap/>
            <w:vAlign w:val="center"/>
            <w:hideMark/>
          </w:tcPr>
          <w:p w:rsidR="008921BF" w:rsidRPr="006406C6" w:rsidRDefault="008921BF" w:rsidP="00031B92">
            <w:pPr>
              <w:spacing w:after="0" w:line="240" w:lineRule="auto"/>
              <w:jc w:val="center"/>
              <w:rPr>
                <w:rFonts w:ascii="Calibri" w:eastAsia="Times New Roman" w:hAnsi="Calibri" w:cs="Times New Roman"/>
                <w:color w:val="000000"/>
                <w:lang w:eastAsia="en-GB"/>
              </w:rPr>
            </w:pPr>
            <w:r w:rsidRPr="006406C6">
              <w:rPr>
                <w:rFonts w:ascii="Calibri" w:eastAsia="Times New Roman" w:hAnsi="Calibri" w:cs="Times New Roman"/>
                <w:color w:val="000000"/>
                <w:lang w:eastAsia="en-GB"/>
              </w:rPr>
              <w:t>105</w:t>
            </w:r>
          </w:p>
        </w:tc>
        <w:tc>
          <w:tcPr>
            <w:tcW w:w="1531" w:type="dxa"/>
            <w:vAlign w:val="center"/>
          </w:tcPr>
          <w:p w:rsidR="008921BF" w:rsidRPr="006406C6" w:rsidRDefault="008921BF" w:rsidP="00031B92">
            <w:pPr>
              <w:spacing w:after="0" w:line="240" w:lineRule="auto"/>
              <w:jc w:val="center"/>
              <w:rPr>
                <w:rFonts w:ascii="Calibri" w:eastAsia="Times New Roman" w:hAnsi="Calibri" w:cs="Times New Roman"/>
                <w:color w:val="000000"/>
                <w:lang w:eastAsia="en-GB"/>
              </w:rPr>
            </w:pPr>
            <w:r w:rsidRPr="006406C6">
              <w:rPr>
                <w:rFonts w:ascii="Calibri" w:eastAsia="Times New Roman" w:hAnsi="Calibri" w:cs="Times New Roman"/>
                <w:color w:val="000000"/>
                <w:lang w:eastAsia="en-GB"/>
              </w:rPr>
              <w:t>2.2%</w:t>
            </w:r>
          </w:p>
        </w:tc>
      </w:tr>
    </w:tbl>
    <w:p w:rsidR="00144313" w:rsidRDefault="00144313" w:rsidP="00144313">
      <w:pPr>
        <w:spacing w:after="0" w:line="240" w:lineRule="auto"/>
      </w:pPr>
      <w:r>
        <w:t>Source:  SWIFT – Adult Social Care Database</w:t>
      </w:r>
    </w:p>
    <w:p w:rsidR="008921BF" w:rsidRDefault="008921BF" w:rsidP="008921BF">
      <w:pPr>
        <w:spacing w:after="0"/>
      </w:pPr>
    </w:p>
    <w:p w:rsidR="008921BF" w:rsidRDefault="00EA5799" w:rsidP="008921BF">
      <w:pPr>
        <w:spacing w:after="0"/>
        <w:jc w:val="both"/>
      </w:pPr>
      <w:r>
        <w:t xml:space="preserve">However, this </w:t>
      </w:r>
      <w:r w:rsidR="008921BF">
        <w:t>current trend</w:t>
      </w:r>
      <w:r>
        <w:t xml:space="preserve"> is not expected </w:t>
      </w:r>
      <w:r w:rsidR="008921BF">
        <w:t>to continue in the future. Im</w:t>
      </w:r>
      <w:r w:rsidR="008921BF" w:rsidRPr="00460E07">
        <w:t>proved survival rates at birth, increasing life expectancy, and growth among communities at higher risk of learning disabilities (for example, the Sou</w:t>
      </w:r>
      <w:r w:rsidR="004F1B96">
        <w:t>th Asian community) mean that</w:t>
      </w:r>
      <w:r w:rsidR="008921BF" w:rsidRPr="00460E07">
        <w:t xml:space="preserve"> more PWLD and </w:t>
      </w:r>
      <w:r w:rsidR="008921BF">
        <w:t xml:space="preserve">people with </w:t>
      </w:r>
      <w:r w:rsidR="008921BF" w:rsidRPr="00460E07">
        <w:t>complex needs accessing adult services</w:t>
      </w:r>
      <w:r w:rsidR="004F1B96">
        <w:t xml:space="preserve"> are expected to access the service</w:t>
      </w:r>
      <w:r w:rsidR="008921BF">
        <w:t xml:space="preserve"> in the future</w:t>
      </w:r>
      <w:r w:rsidR="008921BF" w:rsidRPr="00460E07">
        <w:t>.</w:t>
      </w:r>
      <w:r w:rsidR="008921BF">
        <w:t xml:space="preserve"> </w:t>
      </w:r>
      <w:r w:rsidR="008921BF" w:rsidRPr="00460E07">
        <w:t>The majority of these residents will require on-going social care throughout their lives.</w:t>
      </w:r>
    </w:p>
    <w:p w:rsidR="00AA058C" w:rsidRDefault="00AA058C" w:rsidP="008921BF">
      <w:pPr>
        <w:pStyle w:val="Caption"/>
      </w:pPr>
    </w:p>
    <w:p w:rsidR="008921BF" w:rsidRDefault="008921BF" w:rsidP="006F597E">
      <w:pPr>
        <w:pStyle w:val="Caption"/>
        <w:spacing w:after="0"/>
        <w:rPr>
          <w:b w:val="0"/>
          <w:i/>
        </w:rPr>
      </w:pPr>
      <w:r>
        <w:t xml:space="preserve">Table </w:t>
      </w:r>
      <w:fldSimple w:instr=" STYLEREF 1 \s ">
        <w:r w:rsidR="001663C2">
          <w:rPr>
            <w:noProof/>
          </w:rPr>
          <w:t>9</w:t>
        </w:r>
      </w:fldSimple>
      <w:r>
        <w:noBreakHyphen/>
      </w:r>
      <w:fldSimple w:instr=" SEQ Table \* ARABIC \s 1 ">
        <w:r w:rsidR="001663C2">
          <w:rPr>
            <w:noProof/>
          </w:rPr>
          <w:t>24</w:t>
        </w:r>
      </w:fldSimple>
      <w:r w:rsidRPr="00041E32">
        <w:t>: LD Projections for Barnet Population</w:t>
      </w:r>
    </w:p>
    <w:tbl>
      <w:tblPr>
        <w:tblW w:w="4081" w:type="pct"/>
        <w:jc w:val="center"/>
        <w:tblInd w:w="14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3"/>
        <w:gridCol w:w="852"/>
        <w:gridCol w:w="849"/>
        <w:gridCol w:w="852"/>
        <w:gridCol w:w="849"/>
        <w:gridCol w:w="738"/>
      </w:tblGrid>
      <w:tr w:rsidR="006F597E" w:rsidRPr="00B37DF2" w:rsidTr="006F597E">
        <w:trPr>
          <w:trHeight w:val="300"/>
          <w:jc w:val="center"/>
        </w:trPr>
        <w:tc>
          <w:tcPr>
            <w:tcW w:w="2255" w:type="pct"/>
            <w:shd w:val="clear" w:color="auto" w:fill="BFBFBF" w:themeFill="background1" w:themeFillShade="BF"/>
            <w:noWrap/>
            <w:vAlign w:val="bottom"/>
            <w:hideMark/>
          </w:tcPr>
          <w:p w:rsidR="008921BF" w:rsidRPr="006F597E" w:rsidRDefault="006F597E" w:rsidP="006F597E">
            <w:pPr>
              <w:spacing w:after="0" w:line="240" w:lineRule="auto"/>
              <w:jc w:val="center"/>
              <w:rPr>
                <w:rFonts w:ascii="Calibri" w:eastAsia="Times New Roman" w:hAnsi="Calibri" w:cs="Times New Roman"/>
                <w:b/>
                <w:color w:val="000000"/>
                <w:lang w:eastAsia="en-GB"/>
              </w:rPr>
            </w:pPr>
            <w:r w:rsidRPr="006F597E">
              <w:rPr>
                <w:rFonts w:ascii="Calibri" w:eastAsia="Times New Roman" w:hAnsi="Calibri" w:cs="Times New Roman"/>
                <w:b/>
                <w:color w:val="000000"/>
                <w:lang w:eastAsia="en-GB"/>
              </w:rPr>
              <w:t>Predicted to have a moderate or severe learning disability</w:t>
            </w:r>
          </w:p>
        </w:tc>
        <w:tc>
          <w:tcPr>
            <w:tcW w:w="565" w:type="pct"/>
            <w:shd w:val="clear" w:color="auto" w:fill="BFBFBF" w:themeFill="background1" w:themeFillShade="BF"/>
            <w:noWrap/>
            <w:vAlign w:val="bottom"/>
            <w:hideMark/>
          </w:tcPr>
          <w:p w:rsidR="008921BF" w:rsidRPr="00FF5414" w:rsidRDefault="008921BF" w:rsidP="006F597E">
            <w:pPr>
              <w:spacing w:after="0" w:line="240" w:lineRule="auto"/>
              <w:jc w:val="center"/>
              <w:rPr>
                <w:rFonts w:ascii="Calibri" w:eastAsia="Times New Roman" w:hAnsi="Calibri" w:cs="Times New Roman"/>
                <w:b/>
                <w:color w:val="000000"/>
                <w:lang w:eastAsia="en-GB"/>
              </w:rPr>
            </w:pPr>
            <w:r w:rsidRPr="00FF5414">
              <w:rPr>
                <w:rFonts w:ascii="Calibri" w:eastAsia="Times New Roman" w:hAnsi="Calibri" w:cs="Times New Roman"/>
                <w:b/>
                <w:color w:val="000000"/>
                <w:lang w:eastAsia="en-GB"/>
              </w:rPr>
              <w:t>2014</w:t>
            </w:r>
          </w:p>
        </w:tc>
        <w:tc>
          <w:tcPr>
            <w:tcW w:w="563" w:type="pct"/>
            <w:shd w:val="clear" w:color="auto" w:fill="BFBFBF" w:themeFill="background1" w:themeFillShade="BF"/>
            <w:noWrap/>
            <w:vAlign w:val="bottom"/>
            <w:hideMark/>
          </w:tcPr>
          <w:p w:rsidR="008921BF" w:rsidRPr="00FF5414" w:rsidRDefault="008921BF" w:rsidP="006F597E">
            <w:pPr>
              <w:spacing w:after="0" w:line="240" w:lineRule="auto"/>
              <w:jc w:val="center"/>
              <w:rPr>
                <w:rFonts w:ascii="Calibri" w:eastAsia="Times New Roman" w:hAnsi="Calibri" w:cs="Times New Roman"/>
                <w:b/>
                <w:color w:val="000000"/>
                <w:lang w:eastAsia="en-GB"/>
              </w:rPr>
            </w:pPr>
            <w:r w:rsidRPr="00FF5414">
              <w:rPr>
                <w:rFonts w:ascii="Calibri" w:eastAsia="Times New Roman" w:hAnsi="Calibri" w:cs="Times New Roman"/>
                <w:b/>
                <w:color w:val="000000"/>
                <w:lang w:eastAsia="en-GB"/>
              </w:rPr>
              <w:t>2015</w:t>
            </w:r>
          </w:p>
        </w:tc>
        <w:tc>
          <w:tcPr>
            <w:tcW w:w="565" w:type="pct"/>
            <w:shd w:val="clear" w:color="auto" w:fill="BFBFBF" w:themeFill="background1" w:themeFillShade="BF"/>
            <w:noWrap/>
            <w:vAlign w:val="bottom"/>
            <w:hideMark/>
          </w:tcPr>
          <w:p w:rsidR="008921BF" w:rsidRPr="00FF5414" w:rsidRDefault="008921BF" w:rsidP="006F597E">
            <w:pPr>
              <w:spacing w:after="0" w:line="240" w:lineRule="auto"/>
              <w:jc w:val="center"/>
              <w:rPr>
                <w:rFonts w:ascii="Calibri" w:eastAsia="Times New Roman" w:hAnsi="Calibri" w:cs="Times New Roman"/>
                <w:b/>
                <w:color w:val="000000"/>
                <w:lang w:eastAsia="en-GB"/>
              </w:rPr>
            </w:pPr>
            <w:r w:rsidRPr="00FF5414">
              <w:rPr>
                <w:rFonts w:ascii="Calibri" w:eastAsia="Times New Roman" w:hAnsi="Calibri" w:cs="Times New Roman"/>
                <w:b/>
                <w:color w:val="000000"/>
                <w:lang w:eastAsia="en-GB"/>
              </w:rPr>
              <w:t>2016</w:t>
            </w:r>
          </w:p>
        </w:tc>
        <w:tc>
          <w:tcPr>
            <w:tcW w:w="563" w:type="pct"/>
            <w:shd w:val="clear" w:color="auto" w:fill="BFBFBF" w:themeFill="background1" w:themeFillShade="BF"/>
            <w:noWrap/>
            <w:vAlign w:val="bottom"/>
            <w:hideMark/>
          </w:tcPr>
          <w:p w:rsidR="008921BF" w:rsidRPr="00FF5414" w:rsidRDefault="008921BF" w:rsidP="006F597E">
            <w:pPr>
              <w:spacing w:after="0" w:line="240" w:lineRule="auto"/>
              <w:jc w:val="center"/>
              <w:rPr>
                <w:rFonts w:ascii="Calibri" w:eastAsia="Times New Roman" w:hAnsi="Calibri" w:cs="Times New Roman"/>
                <w:b/>
                <w:color w:val="000000"/>
                <w:lang w:eastAsia="en-GB"/>
              </w:rPr>
            </w:pPr>
            <w:r w:rsidRPr="00FF5414">
              <w:rPr>
                <w:rFonts w:ascii="Calibri" w:eastAsia="Times New Roman" w:hAnsi="Calibri" w:cs="Times New Roman"/>
                <w:b/>
                <w:color w:val="000000"/>
                <w:lang w:eastAsia="en-GB"/>
              </w:rPr>
              <w:t>2017</w:t>
            </w:r>
          </w:p>
        </w:tc>
        <w:tc>
          <w:tcPr>
            <w:tcW w:w="489" w:type="pct"/>
            <w:shd w:val="clear" w:color="auto" w:fill="BFBFBF" w:themeFill="background1" w:themeFillShade="BF"/>
            <w:noWrap/>
            <w:vAlign w:val="bottom"/>
            <w:hideMark/>
          </w:tcPr>
          <w:p w:rsidR="008921BF" w:rsidRPr="00FF5414" w:rsidRDefault="008921BF" w:rsidP="006F597E">
            <w:pPr>
              <w:spacing w:after="0" w:line="240" w:lineRule="auto"/>
              <w:jc w:val="center"/>
              <w:rPr>
                <w:rFonts w:ascii="Calibri" w:eastAsia="Times New Roman" w:hAnsi="Calibri" w:cs="Times New Roman"/>
                <w:b/>
                <w:color w:val="000000"/>
                <w:lang w:eastAsia="en-GB"/>
              </w:rPr>
            </w:pPr>
            <w:r w:rsidRPr="00FF5414">
              <w:rPr>
                <w:rFonts w:ascii="Calibri" w:eastAsia="Times New Roman" w:hAnsi="Calibri" w:cs="Times New Roman"/>
                <w:b/>
                <w:color w:val="000000"/>
                <w:lang w:eastAsia="en-GB"/>
              </w:rPr>
              <w:t>2018</w:t>
            </w:r>
          </w:p>
        </w:tc>
      </w:tr>
      <w:tr w:rsidR="006F597E" w:rsidRPr="00B37DF2" w:rsidTr="006F597E">
        <w:trPr>
          <w:trHeight w:val="288"/>
          <w:jc w:val="center"/>
        </w:trPr>
        <w:tc>
          <w:tcPr>
            <w:tcW w:w="2255" w:type="pct"/>
            <w:shd w:val="clear" w:color="auto" w:fill="auto"/>
            <w:noWrap/>
            <w:vAlign w:val="center"/>
            <w:hideMark/>
          </w:tcPr>
          <w:p w:rsidR="008921BF" w:rsidRPr="00FF5414" w:rsidRDefault="006F597E" w:rsidP="006F597E">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People aged 18-24</w:t>
            </w:r>
          </w:p>
        </w:tc>
        <w:tc>
          <w:tcPr>
            <w:tcW w:w="565" w:type="pct"/>
            <w:shd w:val="clear" w:color="auto" w:fill="auto"/>
            <w:noWrap/>
            <w:vAlign w:val="center"/>
            <w:hideMark/>
          </w:tcPr>
          <w:p w:rsidR="008921BF" w:rsidRPr="00FF5414" w:rsidRDefault="008921BF" w:rsidP="00031B92">
            <w:pPr>
              <w:spacing w:after="0" w:line="240" w:lineRule="auto"/>
              <w:jc w:val="center"/>
              <w:rPr>
                <w:rFonts w:ascii="Calibri" w:eastAsia="Times New Roman" w:hAnsi="Calibri" w:cs="Times New Roman"/>
                <w:color w:val="000000"/>
                <w:lang w:eastAsia="en-GB"/>
              </w:rPr>
            </w:pPr>
            <w:r w:rsidRPr="00FF5414">
              <w:rPr>
                <w:rFonts w:ascii="Calibri" w:eastAsia="Times New Roman" w:hAnsi="Calibri" w:cs="Times New Roman"/>
                <w:color w:val="000000"/>
                <w:lang w:eastAsia="en-GB"/>
              </w:rPr>
              <w:t>193</w:t>
            </w:r>
          </w:p>
        </w:tc>
        <w:tc>
          <w:tcPr>
            <w:tcW w:w="563" w:type="pct"/>
            <w:shd w:val="clear" w:color="auto" w:fill="auto"/>
            <w:noWrap/>
            <w:vAlign w:val="center"/>
            <w:hideMark/>
          </w:tcPr>
          <w:p w:rsidR="008921BF" w:rsidRPr="00FF5414" w:rsidRDefault="008921BF" w:rsidP="00031B92">
            <w:pPr>
              <w:spacing w:after="0" w:line="240" w:lineRule="auto"/>
              <w:jc w:val="center"/>
              <w:rPr>
                <w:rFonts w:ascii="Calibri" w:eastAsia="Times New Roman" w:hAnsi="Calibri" w:cs="Times New Roman"/>
                <w:color w:val="000000"/>
                <w:lang w:eastAsia="en-GB"/>
              </w:rPr>
            </w:pPr>
            <w:r w:rsidRPr="00FF5414">
              <w:rPr>
                <w:rFonts w:ascii="Calibri" w:eastAsia="Times New Roman" w:hAnsi="Calibri" w:cs="Times New Roman"/>
                <w:color w:val="000000"/>
                <w:lang w:eastAsia="en-GB"/>
              </w:rPr>
              <w:t>192</w:t>
            </w:r>
          </w:p>
        </w:tc>
        <w:tc>
          <w:tcPr>
            <w:tcW w:w="565" w:type="pct"/>
            <w:shd w:val="clear" w:color="auto" w:fill="auto"/>
            <w:noWrap/>
            <w:vAlign w:val="center"/>
            <w:hideMark/>
          </w:tcPr>
          <w:p w:rsidR="008921BF" w:rsidRPr="00FF5414" w:rsidRDefault="008921BF" w:rsidP="00031B92">
            <w:pPr>
              <w:spacing w:after="0" w:line="240" w:lineRule="auto"/>
              <w:jc w:val="center"/>
              <w:rPr>
                <w:rFonts w:ascii="Calibri" w:eastAsia="Times New Roman" w:hAnsi="Calibri" w:cs="Times New Roman"/>
                <w:color w:val="000000"/>
                <w:lang w:eastAsia="en-GB"/>
              </w:rPr>
            </w:pPr>
            <w:r w:rsidRPr="00FF5414">
              <w:rPr>
                <w:rFonts w:ascii="Calibri" w:eastAsia="Times New Roman" w:hAnsi="Calibri" w:cs="Times New Roman"/>
                <w:color w:val="000000"/>
                <w:lang w:eastAsia="en-GB"/>
              </w:rPr>
              <w:t>190</w:t>
            </w:r>
          </w:p>
        </w:tc>
        <w:tc>
          <w:tcPr>
            <w:tcW w:w="563" w:type="pct"/>
            <w:shd w:val="clear" w:color="auto" w:fill="auto"/>
            <w:noWrap/>
            <w:vAlign w:val="center"/>
            <w:hideMark/>
          </w:tcPr>
          <w:p w:rsidR="008921BF" w:rsidRPr="00FF5414" w:rsidRDefault="008921BF" w:rsidP="00031B92">
            <w:pPr>
              <w:spacing w:after="0" w:line="240" w:lineRule="auto"/>
              <w:jc w:val="center"/>
              <w:rPr>
                <w:rFonts w:ascii="Calibri" w:eastAsia="Times New Roman" w:hAnsi="Calibri" w:cs="Times New Roman"/>
                <w:color w:val="000000"/>
                <w:lang w:eastAsia="en-GB"/>
              </w:rPr>
            </w:pPr>
            <w:r w:rsidRPr="00FF5414">
              <w:rPr>
                <w:rFonts w:ascii="Calibri" w:eastAsia="Times New Roman" w:hAnsi="Calibri" w:cs="Times New Roman"/>
                <w:color w:val="000000"/>
                <w:lang w:eastAsia="en-GB"/>
              </w:rPr>
              <w:t>189</w:t>
            </w:r>
          </w:p>
        </w:tc>
        <w:tc>
          <w:tcPr>
            <w:tcW w:w="489" w:type="pct"/>
            <w:shd w:val="clear" w:color="auto" w:fill="auto"/>
            <w:noWrap/>
            <w:vAlign w:val="center"/>
            <w:hideMark/>
          </w:tcPr>
          <w:p w:rsidR="008921BF" w:rsidRPr="00FF5414" w:rsidRDefault="008921BF" w:rsidP="00031B92">
            <w:pPr>
              <w:spacing w:after="0" w:line="240" w:lineRule="auto"/>
              <w:jc w:val="center"/>
              <w:rPr>
                <w:rFonts w:ascii="Calibri" w:eastAsia="Times New Roman" w:hAnsi="Calibri" w:cs="Times New Roman"/>
                <w:color w:val="000000"/>
                <w:lang w:eastAsia="en-GB"/>
              </w:rPr>
            </w:pPr>
            <w:r w:rsidRPr="00FF5414">
              <w:rPr>
                <w:rFonts w:ascii="Calibri" w:eastAsia="Times New Roman" w:hAnsi="Calibri" w:cs="Times New Roman"/>
                <w:color w:val="000000"/>
                <w:lang w:eastAsia="en-GB"/>
              </w:rPr>
              <w:t>191</w:t>
            </w:r>
          </w:p>
        </w:tc>
      </w:tr>
      <w:tr w:rsidR="006F597E" w:rsidRPr="00B37DF2" w:rsidTr="006F597E">
        <w:trPr>
          <w:trHeight w:val="288"/>
          <w:jc w:val="center"/>
        </w:trPr>
        <w:tc>
          <w:tcPr>
            <w:tcW w:w="2255" w:type="pct"/>
            <w:shd w:val="clear" w:color="auto" w:fill="auto"/>
            <w:noWrap/>
            <w:vAlign w:val="center"/>
            <w:hideMark/>
          </w:tcPr>
          <w:p w:rsidR="008921BF" w:rsidRPr="00FF5414" w:rsidRDefault="008921BF" w:rsidP="006F597E">
            <w:pPr>
              <w:spacing w:after="0" w:line="240" w:lineRule="auto"/>
              <w:jc w:val="center"/>
              <w:rPr>
                <w:rFonts w:ascii="Calibri" w:eastAsia="Times New Roman" w:hAnsi="Calibri" w:cs="Times New Roman"/>
                <w:color w:val="000000"/>
                <w:lang w:eastAsia="en-GB"/>
              </w:rPr>
            </w:pPr>
            <w:r w:rsidRPr="00FF5414">
              <w:rPr>
                <w:rFonts w:ascii="Calibri" w:eastAsia="Times New Roman" w:hAnsi="Calibri" w:cs="Times New Roman"/>
                <w:color w:val="000000"/>
                <w:lang w:eastAsia="en-GB"/>
              </w:rPr>
              <w:t>People aged 25-34</w:t>
            </w:r>
          </w:p>
        </w:tc>
        <w:tc>
          <w:tcPr>
            <w:tcW w:w="565" w:type="pct"/>
            <w:shd w:val="clear" w:color="auto" w:fill="auto"/>
            <w:noWrap/>
            <w:vAlign w:val="center"/>
            <w:hideMark/>
          </w:tcPr>
          <w:p w:rsidR="008921BF" w:rsidRPr="00FF5414" w:rsidRDefault="008921BF" w:rsidP="00031B92">
            <w:pPr>
              <w:spacing w:after="0" w:line="240" w:lineRule="auto"/>
              <w:jc w:val="center"/>
              <w:rPr>
                <w:rFonts w:ascii="Calibri" w:eastAsia="Times New Roman" w:hAnsi="Calibri" w:cs="Times New Roman"/>
                <w:color w:val="000000"/>
                <w:lang w:eastAsia="en-GB"/>
              </w:rPr>
            </w:pPr>
            <w:r w:rsidRPr="00FF5414">
              <w:rPr>
                <w:rFonts w:ascii="Calibri" w:eastAsia="Times New Roman" w:hAnsi="Calibri" w:cs="Times New Roman"/>
                <w:color w:val="000000"/>
                <w:lang w:eastAsia="en-GB"/>
              </w:rPr>
              <w:t>343</w:t>
            </w:r>
          </w:p>
        </w:tc>
        <w:tc>
          <w:tcPr>
            <w:tcW w:w="563" w:type="pct"/>
            <w:shd w:val="clear" w:color="auto" w:fill="auto"/>
            <w:noWrap/>
            <w:vAlign w:val="center"/>
            <w:hideMark/>
          </w:tcPr>
          <w:p w:rsidR="008921BF" w:rsidRPr="00FF5414" w:rsidRDefault="008921BF" w:rsidP="00031B92">
            <w:pPr>
              <w:spacing w:after="0" w:line="240" w:lineRule="auto"/>
              <w:jc w:val="center"/>
              <w:rPr>
                <w:rFonts w:ascii="Calibri" w:eastAsia="Times New Roman" w:hAnsi="Calibri" w:cs="Times New Roman"/>
                <w:color w:val="000000"/>
                <w:lang w:eastAsia="en-GB"/>
              </w:rPr>
            </w:pPr>
            <w:r w:rsidRPr="00FF5414">
              <w:rPr>
                <w:rFonts w:ascii="Calibri" w:eastAsia="Times New Roman" w:hAnsi="Calibri" w:cs="Times New Roman"/>
                <w:color w:val="000000"/>
                <w:lang w:eastAsia="en-GB"/>
              </w:rPr>
              <w:t>346</w:t>
            </w:r>
          </w:p>
        </w:tc>
        <w:tc>
          <w:tcPr>
            <w:tcW w:w="565" w:type="pct"/>
            <w:shd w:val="clear" w:color="auto" w:fill="auto"/>
            <w:noWrap/>
            <w:vAlign w:val="center"/>
            <w:hideMark/>
          </w:tcPr>
          <w:p w:rsidR="008921BF" w:rsidRPr="00FF5414" w:rsidRDefault="008921BF" w:rsidP="00031B92">
            <w:pPr>
              <w:spacing w:after="0" w:line="240" w:lineRule="auto"/>
              <w:jc w:val="center"/>
              <w:rPr>
                <w:rFonts w:ascii="Calibri" w:eastAsia="Times New Roman" w:hAnsi="Calibri" w:cs="Times New Roman"/>
                <w:color w:val="000000"/>
                <w:lang w:eastAsia="en-GB"/>
              </w:rPr>
            </w:pPr>
            <w:r w:rsidRPr="00FF5414">
              <w:rPr>
                <w:rFonts w:ascii="Calibri" w:eastAsia="Times New Roman" w:hAnsi="Calibri" w:cs="Times New Roman"/>
                <w:color w:val="000000"/>
                <w:lang w:eastAsia="en-GB"/>
              </w:rPr>
              <w:t>349</w:t>
            </w:r>
          </w:p>
        </w:tc>
        <w:tc>
          <w:tcPr>
            <w:tcW w:w="563" w:type="pct"/>
            <w:shd w:val="clear" w:color="auto" w:fill="auto"/>
            <w:noWrap/>
            <w:vAlign w:val="center"/>
            <w:hideMark/>
          </w:tcPr>
          <w:p w:rsidR="008921BF" w:rsidRPr="00FF5414" w:rsidRDefault="008921BF" w:rsidP="00031B92">
            <w:pPr>
              <w:spacing w:after="0" w:line="240" w:lineRule="auto"/>
              <w:jc w:val="center"/>
              <w:rPr>
                <w:rFonts w:ascii="Calibri" w:eastAsia="Times New Roman" w:hAnsi="Calibri" w:cs="Times New Roman"/>
                <w:color w:val="000000"/>
                <w:lang w:eastAsia="en-GB"/>
              </w:rPr>
            </w:pPr>
            <w:r w:rsidRPr="00FF5414">
              <w:rPr>
                <w:rFonts w:ascii="Calibri" w:eastAsia="Times New Roman" w:hAnsi="Calibri" w:cs="Times New Roman"/>
                <w:color w:val="000000"/>
                <w:lang w:eastAsia="en-GB"/>
              </w:rPr>
              <w:t>351</w:t>
            </w:r>
          </w:p>
        </w:tc>
        <w:tc>
          <w:tcPr>
            <w:tcW w:w="489" w:type="pct"/>
            <w:shd w:val="clear" w:color="auto" w:fill="auto"/>
            <w:noWrap/>
            <w:vAlign w:val="center"/>
            <w:hideMark/>
          </w:tcPr>
          <w:p w:rsidR="008921BF" w:rsidRPr="00FF5414" w:rsidRDefault="008921BF" w:rsidP="00031B92">
            <w:pPr>
              <w:spacing w:after="0" w:line="240" w:lineRule="auto"/>
              <w:jc w:val="center"/>
              <w:rPr>
                <w:rFonts w:ascii="Calibri" w:eastAsia="Times New Roman" w:hAnsi="Calibri" w:cs="Times New Roman"/>
                <w:color w:val="000000"/>
                <w:lang w:eastAsia="en-GB"/>
              </w:rPr>
            </w:pPr>
            <w:r w:rsidRPr="00FF5414">
              <w:rPr>
                <w:rFonts w:ascii="Calibri" w:eastAsia="Times New Roman" w:hAnsi="Calibri" w:cs="Times New Roman"/>
                <w:color w:val="000000"/>
                <w:lang w:eastAsia="en-GB"/>
              </w:rPr>
              <w:t>352</w:t>
            </w:r>
          </w:p>
        </w:tc>
      </w:tr>
      <w:tr w:rsidR="006F597E" w:rsidRPr="00B37DF2" w:rsidTr="006F597E">
        <w:trPr>
          <w:trHeight w:val="288"/>
          <w:jc w:val="center"/>
        </w:trPr>
        <w:tc>
          <w:tcPr>
            <w:tcW w:w="2255" w:type="pct"/>
            <w:shd w:val="clear" w:color="auto" w:fill="auto"/>
            <w:noWrap/>
            <w:vAlign w:val="center"/>
            <w:hideMark/>
          </w:tcPr>
          <w:p w:rsidR="008921BF" w:rsidRPr="00FF5414" w:rsidRDefault="006F597E" w:rsidP="006F597E">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People aged 35-44</w:t>
            </w:r>
          </w:p>
        </w:tc>
        <w:tc>
          <w:tcPr>
            <w:tcW w:w="565" w:type="pct"/>
            <w:shd w:val="clear" w:color="auto" w:fill="auto"/>
            <w:noWrap/>
            <w:vAlign w:val="center"/>
            <w:hideMark/>
          </w:tcPr>
          <w:p w:rsidR="008921BF" w:rsidRPr="00FF5414" w:rsidRDefault="008921BF" w:rsidP="00031B92">
            <w:pPr>
              <w:spacing w:after="0" w:line="240" w:lineRule="auto"/>
              <w:jc w:val="center"/>
              <w:rPr>
                <w:rFonts w:ascii="Calibri" w:eastAsia="Times New Roman" w:hAnsi="Calibri" w:cs="Times New Roman"/>
                <w:color w:val="000000"/>
                <w:lang w:eastAsia="en-GB"/>
              </w:rPr>
            </w:pPr>
            <w:r w:rsidRPr="00FF5414">
              <w:rPr>
                <w:rFonts w:ascii="Calibri" w:eastAsia="Times New Roman" w:hAnsi="Calibri" w:cs="Times New Roman"/>
                <w:color w:val="000000"/>
                <w:lang w:eastAsia="en-GB"/>
              </w:rPr>
              <w:t>346</w:t>
            </w:r>
          </w:p>
        </w:tc>
        <w:tc>
          <w:tcPr>
            <w:tcW w:w="563" w:type="pct"/>
            <w:shd w:val="clear" w:color="auto" w:fill="auto"/>
            <w:noWrap/>
            <w:vAlign w:val="center"/>
            <w:hideMark/>
          </w:tcPr>
          <w:p w:rsidR="008921BF" w:rsidRPr="00FF5414" w:rsidRDefault="008921BF" w:rsidP="00031B92">
            <w:pPr>
              <w:spacing w:after="0" w:line="240" w:lineRule="auto"/>
              <w:jc w:val="center"/>
              <w:rPr>
                <w:rFonts w:ascii="Calibri" w:eastAsia="Times New Roman" w:hAnsi="Calibri" w:cs="Times New Roman"/>
                <w:color w:val="000000"/>
                <w:lang w:eastAsia="en-GB"/>
              </w:rPr>
            </w:pPr>
            <w:r w:rsidRPr="00FF5414">
              <w:rPr>
                <w:rFonts w:ascii="Calibri" w:eastAsia="Times New Roman" w:hAnsi="Calibri" w:cs="Times New Roman"/>
                <w:color w:val="000000"/>
                <w:lang w:eastAsia="en-GB"/>
              </w:rPr>
              <w:t>353</w:t>
            </w:r>
          </w:p>
        </w:tc>
        <w:tc>
          <w:tcPr>
            <w:tcW w:w="565" w:type="pct"/>
            <w:shd w:val="clear" w:color="auto" w:fill="auto"/>
            <w:noWrap/>
            <w:vAlign w:val="center"/>
            <w:hideMark/>
          </w:tcPr>
          <w:p w:rsidR="008921BF" w:rsidRPr="00FF5414" w:rsidRDefault="008921BF" w:rsidP="00031B92">
            <w:pPr>
              <w:spacing w:after="0" w:line="240" w:lineRule="auto"/>
              <w:jc w:val="center"/>
              <w:rPr>
                <w:rFonts w:ascii="Calibri" w:eastAsia="Times New Roman" w:hAnsi="Calibri" w:cs="Times New Roman"/>
                <w:color w:val="000000"/>
                <w:lang w:eastAsia="en-GB"/>
              </w:rPr>
            </w:pPr>
            <w:r w:rsidRPr="00FF5414">
              <w:rPr>
                <w:rFonts w:ascii="Calibri" w:eastAsia="Times New Roman" w:hAnsi="Calibri" w:cs="Times New Roman"/>
                <w:color w:val="000000"/>
                <w:lang w:eastAsia="en-GB"/>
              </w:rPr>
              <w:t>362</w:t>
            </w:r>
          </w:p>
        </w:tc>
        <w:tc>
          <w:tcPr>
            <w:tcW w:w="563" w:type="pct"/>
            <w:shd w:val="clear" w:color="auto" w:fill="auto"/>
            <w:noWrap/>
            <w:vAlign w:val="center"/>
            <w:hideMark/>
          </w:tcPr>
          <w:p w:rsidR="008921BF" w:rsidRPr="00FF5414" w:rsidRDefault="008921BF" w:rsidP="00031B92">
            <w:pPr>
              <w:spacing w:after="0" w:line="240" w:lineRule="auto"/>
              <w:jc w:val="center"/>
              <w:rPr>
                <w:rFonts w:ascii="Calibri" w:eastAsia="Times New Roman" w:hAnsi="Calibri" w:cs="Times New Roman"/>
                <w:color w:val="000000"/>
                <w:lang w:eastAsia="en-GB"/>
              </w:rPr>
            </w:pPr>
            <w:r w:rsidRPr="00FF5414">
              <w:rPr>
                <w:rFonts w:ascii="Calibri" w:eastAsia="Times New Roman" w:hAnsi="Calibri" w:cs="Times New Roman"/>
                <w:color w:val="000000"/>
                <w:lang w:eastAsia="en-GB"/>
              </w:rPr>
              <w:t>369</w:t>
            </w:r>
          </w:p>
        </w:tc>
        <w:tc>
          <w:tcPr>
            <w:tcW w:w="489" w:type="pct"/>
            <w:shd w:val="clear" w:color="auto" w:fill="auto"/>
            <w:noWrap/>
            <w:vAlign w:val="center"/>
            <w:hideMark/>
          </w:tcPr>
          <w:p w:rsidR="008921BF" w:rsidRPr="00FF5414" w:rsidRDefault="008921BF" w:rsidP="00031B92">
            <w:pPr>
              <w:spacing w:after="0" w:line="240" w:lineRule="auto"/>
              <w:jc w:val="center"/>
              <w:rPr>
                <w:rFonts w:ascii="Calibri" w:eastAsia="Times New Roman" w:hAnsi="Calibri" w:cs="Times New Roman"/>
                <w:color w:val="000000"/>
                <w:lang w:eastAsia="en-GB"/>
              </w:rPr>
            </w:pPr>
            <w:r w:rsidRPr="00FF5414">
              <w:rPr>
                <w:rFonts w:ascii="Calibri" w:eastAsia="Times New Roman" w:hAnsi="Calibri" w:cs="Times New Roman"/>
                <w:color w:val="000000"/>
                <w:lang w:eastAsia="en-GB"/>
              </w:rPr>
              <w:t>377</w:t>
            </w:r>
          </w:p>
        </w:tc>
      </w:tr>
      <w:tr w:rsidR="006F597E" w:rsidRPr="00B37DF2" w:rsidTr="006F597E">
        <w:trPr>
          <w:trHeight w:val="288"/>
          <w:jc w:val="center"/>
        </w:trPr>
        <w:tc>
          <w:tcPr>
            <w:tcW w:w="2255" w:type="pct"/>
            <w:shd w:val="clear" w:color="auto" w:fill="auto"/>
            <w:noWrap/>
            <w:vAlign w:val="center"/>
            <w:hideMark/>
          </w:tcPr>
          <w:p w:rsidR="008921BF" w:rsidRPr="00FF5414" w:rsidRDefault="006F597E" w:rsidP="006F597E">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People aged 45-54</w:t>
            </w:r>
          </w:p>
        </w:tc>
        <w:tc>
          <w:tcPr>
            <w:tcW w:w="565" w:type="pct"/>
            <w:shd w:val="clear" w:color="auto" w:fill="auto"/>
            <w:noWrap/>
            <w:vAlign w:val="center"/>
            <w:hideMark/>
          </w:tcPr>
          <w:p w:rsidR="008921BF" w:rsidRPr="00FF5414" w:rsidRDefault="008921BF" w:rsidP="00031B92">
            <w:pPr>
              <w:spacing w:after="0" w:line="240" w:lineRule="auto"/>
              <w:jc w:val="center"/>
              <w:rPr>
                <w:rFonts w:ascii="Calibri" w:eastAsia="Times New Roman" w:hAnsi="Calibri" w:cs="Times New Roman"/>
                <w:color w:val="000000"/>
                <w:lang w:eastAsia="en-GB"/>
              </w:rPr>
            </w:pPr>
            <w:r w:rsidRPr="00FF5414">
              <w:rPr>
                <w:rFonts w:ascii="Calibri" w:eastAsia="Times New Roman" w:hAnsi="Calibri" w:cs="Times New Roman"/>
                <w:color w:val="000000"/>
                <w:lang w:eastAsia="en-GB"/>
              </w:rPr>
              <w:t>256</w:t>
            </w:r>
          </w:p>
        </w:tc>
        <w:tc>
          <w:tcPr>
            <w:tcW w:w="563" w:type="pct"/>
            <w:shd w:val="clear" w:color="auto" w:fill="auto"/>
            <w:noWrap/>
            <w:vAlign w:val="center"/>
            <w:hideMark/>
          </w:tcPr>
          <w:p w:rsidR="008921BF" w:rsidRPr="00FF5414" w:rsidRDefault="008921BF" w:rsidP="00031B92">
            <w:pPr>
              <w:spacing w:after="0" w:line="240" w:lineRule="auto"/>
              <w:jc w:val="center"/>
              <w:rPr>
                <w:rFonts w:ascii="Calibri" w:eastAsia="Times New Roman" w:hAnsi="Calibri" w:cs="Times New Roman"/>
                <w:color w:val="000000"/>
                <w:lang w:eastAsia="en-GB"/>
              </w:rPr>
            </w:pPr>
            <w:r w:rsidRPr="00FF5414">
              <w:rPr>
                <w:rFonts w:ascii="Calibri" w:eastAsia="Times New Roman" w:hAnsi="Calibri" w:cs="Times New Roman"/>
                <w:color w:val="000000"/>
                <w:lang w:eastAsia="en-GB"/>
              </w:rPr>
              <w:t>262</w:t>
            </w:r>
          </w:p>
        </w:tc>
        <w:tc>
          <w:tcPr>
            <w:tcW w:w="565" w:type="pct"/>
            <w:shd w:val="clear" w:color="auto" w:fill="auto"/>
            <w:noWrap/>
            <w:vAlign w:val="center"/>
            <w:hideMark/>
          </w:tcPr>
          <w:p w:rsidR="008921BF" w:rsidRPr="00FF5414" w:rsidRDefault="008921BF" w:rsidP="00031B92">
            <w:pPr>
              <w:spacing w:after="0" w:line="240" w:lineRule="auto"/>
              <w:jc w:val="center"/>
              <w:rPr>
                <w:rFonts w:ascii="Calibri" w:eastAsia="Times New Roman" w:hAnsi="Calibri" w:cs="Times New Roman"/>
                <w:color w:val="000000"/>
                <w:lang w:eastAsia="en-GB"/>
              </w:rPr>
            </w:pPr>
            <w:r w:rsidRPr="00FF5414">
              <w:rPr>
                <w:rFonts w:ascii="Calibri" w:eastAsia="Times New Roman" w:hAnsi="Calibri" w:cs="Times New Roman"/>
                <w:color w:val="000000"/>
                <w:lang w:eastAsia="en-GB"/>
              </w:rPr>
              <w:t>268</w:t>
            </w:r>
          </w:p>
        </w:tc>
        <w:tc>
          <w:tcPr>
            <w:tcW w:w="563" w:type="pct"/>
            <w:shd w:val="clear" w:color="auto" w:fill="auto"/>
            <w:noWrap/>
            <w:vAlign w:val="center"/>
            <w:hideMark/>
          </w:tcPr>
          <w:p w:rsidR="008921BF" w:rsidRPr="00FF5414" w:rsidRDefault="008921BF" w:rsidP="00031B92">
            <w:pPr>
              <w:spacing w:after="0" w:line="240" w:lineRule="auto"/>
              <w:jc w:val="center"/>
              <w:rPr>
                <w:rFonts w:ascii="Calibri" w:eastAsia="Times New Roman" w:hAnsi="Calibri" w:cs="Times New Roman"/>
                <w:color w:val="000000"/>
                <w:lang w:eastAsia="en-GB"/>
              </w:rPr>
            </w:pPr>
            <w:r w:rsidRPr="00FF5414">
              <w:rPr>
                <w:rFonts w:ascii="Calibri" w:eastAsia="Times New Roman" w:hAnsi="Calibri" w:cs="Times New Roman"/>
                <w:color w:val="000000"/>
                <w:lang w:eastAsia="en-GB"/>
              </w:rPr>
              <w:t>272</w:t>
            </w:r>
          </w:p>
        </w:tc>
        <w:tc>
          <w:tcPr>
            <w:tcW w:w="489" w:type="pct"/>
            <w:shd w:val="clear" w:color="auto" w:fill="auto"/>
            <w:noWrap/>
            <w:vAlign w:val="center"/>
            <w:hideMark/>
          </w:tcPr>
          <w:p w:rsidR="008921BF" w:rsidRPr="00FF5414" w:rsidRDefault="008921BF" w:rsidP="00031B92">
            <w:pPr>
              <w:spacing w:after="0" w:line="240" w:lineRule="auto"/>
              <w:jc w:val="center"/>
              <w:rPr>
                <w:rFonts w:ascii="Calibri" w:eastAsia="Times New Roman" w:hAnsi="Calibri" w:cs="Times New Roman"/>
                <w:color w:val="000000"/>
                <w:lang w:eastAsia="en-GB"/>
              </w:rPr>
            </w:pPr>
            <w:r w:rsidRPr="00FF5414">
              <w:rPr>
                <w:rFonts w:ascii="Calibri" w:eastAsia="Times New Roman" w:hAnsi="Calibri" w:cs="Times New Roman"/>
                <w:color w:val="000000"/>
                <w:lang w:eastAsia="en-GB"/>
              </w:rPr>
              <w:t>276</w:t>
            </w:r>
          </w:p>
        </w:tc>
      </w:tr>
      <w:tr w:rsidR="006F597E" w:rsidRPr="00B37DF2" w:rsidTr="006F597E">
        <w:trPr>
          <w:trHeight w:val="288"/>
          <w:jc w:val="center"/>
        </w:trPr>
        <w:tc>
          <w:tcPr>
            <w:tcW w:w="2255" w:type="pct"/>
            <w:shd w:val="clear" w:color="auto" w:fill="auto"/>
            <w:noWrap/>
            <w:vAlign w:val="center"/>
            <w:hideMark/>
          </w:tcPr>
          <w:p w:rsidR="008921BF" w:rsidRPr="00FF5414" w:rsidRDefault="006F597E" w:rsidP="006F597E">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People aged 55-64</w:t>
            </w:r>
          </w:p>
        </w:tc>
        <w:tc>
          <w:tcPr>
            <w:tcW w:w="565" w:type="pct"/>
            <w:shd w:val="clear" w:color="auto" w:fill="auto"/>
            <w:noWrap/>
            <w:vAlign w:val="center"/>
            <w:hideMark/>
          </w:tcPr>
          <w:p w:rsidR="008921BF" w:rsidRPr="00FF5414" w:rsidRDefault="008921BF" w:rsidP="00031B92">
            <w:pPr>
              <w:spacing w:after="0" w:line="240" w:lineRule="auto"/>
              <w:jc w:val="center"/>
              <w:rPr>
                <w:rFonts w:ascii="Calibri" w:eastAsia="Times New Roman" w:hAnsi="Calibri" w:cs="Times New Roman"/>
                <w:color w:val="000000"/>
                <w:lang w:eastAsia="en-GB"/>
              </w:rPr>
            </w:pPr>
            <w:r w:rsidRPr="00FF5414">
              <w:rPr>
                <w:rFonts w:ascii="Calibri" w:eastAsia="Times New Roman" w:hAnsi="Calibri" w:cs="Times New Roman"/>
                <w:color w:val="000000"/>
                <w:lang w:eastAsia="en-GB"/>
              </w:rPr>
              <w:t>176</w:t>
            </w:r>
          </w:p>
        </w:tc>
        <w:tc>
          <w:tcPr>
            <w:tcW w:w="563" w:type="pct"/>
            <w:shd w:val="clear" w:color="auto" w:fill="auto"/>
            <w:noWrap/>
            <w:vAlign w:val="center"/>
            <w:hideMark/>
          </w:tcPr>
          <w:p w:rsidR="008921BF" w:rsidRPr="00FF5414" w:rsidRDefault="008921BF" w:rsidP="00031B92">
            <w:pPr>
              <w:spacing w:after="0" w:line="240" w:lineRule="auto"/>
              <w:jc w:val="center"/>
              <w:rPr>
                <w:rFonts w:ascii="Calibri" w:eastAsia="Times New Roman" w:hAnsi="Calibri" w:cs="Times New Roman"/>
                <w:color w:val="000000"/>
                <w:lang w:eastAsia="en-GB"/>
              </w:rPr>
            </w:pPr>
            <w:r w:rsidRPr="00FF5414">
              <w:rPr>
                <w:rFonts w:ascii="Calibri" w:eastAsia="Times New Roman" w:hAnsi="Calibri" w:cs="Times New Roman"/>
                <w:color w:val="000000"/>
                <w:lang w:eastAsia="en-GB"/>
              </w:rPr>
              <w:t>180</w:t>
            </w:r>
          </w:p>
        </w:tc>
        <w:tc>
          <w:tcPr>
            <w:tcW w:w="565" w:type="pct"/>
            <w:shd w:val="clear" w:color="auto" w:fill="auto"/>
            <w:noWrap/>
            <w:vAlign w:val="center"/>
            <w:hideMark/>
          </w:tcPr>
          <w:p w:rsidR="008921BF" w:rsidRPr="00FF5414" w:rsidRDefault="008921BF" w:rsidP="00031B92">
            <w:pPr>
              <w:spacing w:after="0" w:line="240" w:lineRule="auto"/>
              <w:jc w:val="center"/>
              <w:rPr>
                <w:rFonts w:ascii="Calibri" w:eastAsia="Times New Roman" w:hAnsi="Calibri" w:cs="Times New Roman"/>
                <w:color w:val="000000"/>
                <w:lang w:eastAsia="en-GB"/>
              </w:rPr>
            </w:pPr>
            <w:r w:rsidRPr="00FF5414">
              <w:rPr>
                <w:rFonts w:ascii="Calibri" w:eastAsia="Times New Roman" w:hAnsi="Calibri" w:cs="Times New Roman"/>
                <w:color w:val="000000"/>
                <w:lang w:eastAsia="en-GB"/>
              </w:rPr>
              <w:t>184</w:t>
            </w:r>
          </w:p>
        </w:tc>
        <w:tc>
          <w:tcPr>
            <w:tcW w:w="563" w:type="pct"/>
            <w:shd w:val="clear" w:color="auto" w:fill="auto"/>
            <w:noWrap/>
            <w:vAlign w:val="center"/>
            <w:hideMark/>
          </w:tcPr>
          <w:p w:rsidR="008921BF" w:rsidRPr="00FF5414" w:rsidRDefault="008921BF" w:rsidP="00031B92">
            <w:pPr>
              <w:spacing w:after="0" w:line="240" w:lineRule="auto"/>
              <w:jc w:val="center"/>
              <w:rPr>
                <w:rFonts w:ascii="Calibri" w:eastAsia="Times New Roman" w:hAnsi="Calibri" w:cs="Times New Roman"/>
                <w:color w:val="000000"/>
                <w:lang w:eastAsia="en-GB"/>
              </w:rPr>
            </w:pPr>
            <w:r w:rsidRPr="00FF5414">
              <w:rPr>
                <w:rFonts w:ascii="Calibri" w:eastAsia="Times New Roman" w:hAnsi="Calibri" w:cs="Times New Roman"/>
                <w:color w:val="000000"/>
                <w:lang w:eastAsia="en-GB"/>
              </w:rPr>
              <w:t>189</w:t>
            </w:r>
          </w:p>
        </w:tc>
        <w:tc>
          <w:tcPr>
            <w:tcW w:w="489" w:type="pct"/>
            <w:shd w:val="clear" w:color="auto" w:fill="auto"/>
            <w:noWrap/>
            <w:vAlign w:val="center"/>
            <w:hideMark/>
          </w:tcPr>
          <w:p w:rsidR="008921BF" w:rsidRPr="00FF5414" w:rsidRDefault="008921BF" w:rsidP="00031B92">
            <w:pPr>
              <w:spacing w:after="0" w:line="240" w:lineRule="auto"/>
              <w:jc w:val="center"/>
              <w:rPr>
                <w:rFonts w:ascii="Calibri" w:eastAsia="Times New Roman" w:hAnsi="Calibri" w:cs="Times New Roman"/>
                <w:color w:val="000000"/>
                <w:lang w:eastAsia="en-GB"/>
              </w:rPr>
            </w:pPr>
            <w:r w:rsidRPr="00FF5414">
              <w:rPr>
                <w:rFonts w:ascii="Calibri" w:eastAsia="Times New Roman" w:hAnsi="Calibri" w:cs="Times New Roman"/>
                <w:color w:val="000000"/>
                <w:lang w:eastAsia="en-GB"/>
              </w:rPr>
              <w:t>194</w:t>
            </w:r>
          </w:p>
        </w:tc>
      </w:tr>
      <w:tr w:rsidR="006F597E" w:rsidRPr="00B37DF2" w:rsidTr="006F597E">
        <w:trPr>
          <w:trHeight w:val="288"/>
          <w:jc w:val="center"/>
        </w:trPr>
        <w:tc>
          <w:tcPr>
            <w:tcW w:w="2255" w:type="pct"/>
            <w:shd w:val="clear" w:color="auto" w:fill="auto"/>
            <w:noWrap/>
            <w:vAlign w:val="center"/>
            <w:hideMark/>
          </w:tcPr>
          <w:p w:rsidR="008921BF" w:rsidRPr="00FF5414" w:rsidRDefault="006F597E" w:rsidP="006F597E">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People aged 65-74</w:t>
            </w:r>
          </w:p>
        </w:tc>
        <w:tc>
          <w:tcPr>
            <w:tcW w:w="565" w:type="pct"/>
            <w:shd w:val="clear" w:color="auto" w:fill="auto"/>
            <w:noWrap/>
            <w:vAlign w:val="center"/>
            <w:hideMark/>
          </w:tcPr>
          <w:p w:rsidR="008921BF" w:rsidRPr="00FF5414" w:rsidRDefault="008921BF" w:rsidP="00031B92">
            <w:pPr>
              <w:spacing w:after="0" w:line="240" w:lineRule="auto"/>
              <w:jc w:val="center"/>
              <w:rPr>
                <w:rFonts w:ascii="Calibri" w:eastAsia="Times New Roman" w:hAnsi="Calibri" w:cs="Times New Roman"/>
                <w:color w:val="000000"/>
                <w:lang w:eastAsia="en-GB"/>
              </w:rPr>
            </w:pPr>
            <w:r w:rsidRPr="00FF5414">
              <w:rPr>
                <w:rFonts w:ascii="Calibri" w:eastAsia="Times New Roman" w:hAnsi="Calibri" w:cs="Times New Roman"/>
                <w:color w:val="000000"/>
                <w:lang w:eastAsia="en-GB"/>
              </w:rPr>
              <w:t>95</w:t>
            </w:r>
          </w:p>
        </w:tc>
        <w:tc>
          <w:tcPr>
            <w:tcW w:w="563" w:type="pct"/>
            <w:shd w:val="clear" w:color="auto" w:fill="auto"/>
            <w:noWrap/>
            <w:vAlign w:val="center"/>
            <w:hideMark/>
          </w:tcPr>
          <w:p w:rsidR="008921BF" w:rsidRPr="00FF5414" w:rsidRDefault="008921BF" w:rsidP="00031B92">
            <w:pPr>
              <w:spacing w:after="0" w:line="240" w:lineRule="auto"/>
              <w:jc w:val="center"/>
              <w:rPr>
                <w:rFonts w:ascii="Calibri" w:eastAsia="Times New Roman" w:hAnsi="Calibri" w:cs="Times New Roman"/>
                <w:color w:val="000000"/>
                <w:lang w:eastAsia="en-GB"/>
              </w:rPr>
            </w:pPr>
            <w:r w:rsidRPr="00FF5414">
              <w:rPr>
                <w:rFonts w:ascii="Calibri" w:eastAsia="Times New Roman" w:hAnsi="Calibri" w:cs="Times New Roman"/>
                <w:color w:val="000000"/>
                <w:lang w:eastAsia="en-GB"/>
              </w:rPr>
              <w:t>98</w:t>
            </w:r>
          </w:p>
        </w:tc>
        <w:tc>
          <w:tcPr>
            <w:tcW w:w="565" w:type="pct"/>
            <w:shd w:val="clear" w:color="auto" w:fill="auto"/>
            <w:noWrap/>
            <w:vAlign w:val="center"/>
            <w:hideMark/>
          </w:tcPr>
          <w:p w:rsidR="008921BF" w:rsidRPr="00FF5414" w:rsidRDefault="008921BF" w:rsidP="00031B92">
            <w:pPr>
              <w:spacing w:after="0" w:line="240" w:lineRule="auto"/>
              <w:jc w:val="center"/>
              <w:rPr>
                <w:rFonts w:ascii="Calibri" w:eastAsia="Times New Roman" w:hAnsi="Calibri" w:cs="Times New Roman"/>
                <w:color w:val="000000"/>
                <w:lang w:eastAsia="en-GB"/>
              </w:rPr>
            </w:pPr>
            <w:r w:rsidRPr="00FF5414">
              <w:rPr>
                <w:rFonts w:ascii="Calibri" w:eastAsia="Times New Roman" w:hAnsi="Calibri" w:cs="Times New Roman"/>
                <w:color w:val="000000"/>
                <w:lang w:eastAsia="en-GB"/>
              </w:rPr>
              <w:t>101</w:t>
            </w:r>
          </w:p>
        </w:tc>
        <w:tc>
          <w:tcPr>
            <w:tcW w:w="563" w:type="pct"/>
            <w:shd w:val="clear" w:color="auto" w:fill="auto"/>
            <w:noWrap/>
            <w:vAlign w:val="center"/>
            <w:hideMark/>
          </w:tcPr>
          <w:p w:rsidR="008921BF" w:rsidRPr="00FF5414" w:rsidRDefault="008921BF" w:rsidP="00031B92">
            <w:pPr>
              <w:spacing w:after="0" w:line="240" w:lineRule="auto"/>
              <w:jc w:val="center"/>
              <w:rPr>
                <w:rFonts w:ascii="Calibri" w:eastAsia="Times New Roman" w:hAnsi="Calibri" w:cs="Times New Roman"/>
                <w:color w:val="000000"/>
                <w:lang w:eastAsia="en-GB"/>
              </w:rPr>
            </w:pPr>
            <w:r w:rsidRPr="00FF5414">
              <w:rPr>
                <w:rFonts w:ascii="Calibri" w:eastAsia="Times New Roman" w:hAnsi="Calibri" w:cs="Times New Roman"/>
                <w:color w:val="000000"/>
                <w:lang w:eastAsia="en-GB"/>
              </w:rPr>
              <w:t>103</w:t>
            </w:r>
          </w:p>
        </w:tc>
        <w:tc>
          <w:tcPr>
            <w:tcW w:w="489" w:type="pct"/>
            <w:shd w:val="clear" w:color="auto" w:fill="auto"/>
            <w:noWrap/>
            <w:vAlign w:val="center"/>
            <w:hideMark/>
          </w:tcPr>
          <w:p w:rsidR="008921BF" w:rsidRPr="00FF5414" w:rsidRDefault="008921BF" w:rsidP="00031B92">
            <w:pPr>
              <w:spacing w:after="0" w:line="240" w:lineRule="auto"/>
              <w:jc w:val="center"/>
              <w:rPr>
                <w:rFonts w:ascii="Calibri" w:eastAsia="Times New Roman" w:hAnsi="Calibri" w:cs="Times New Roman"/>
                <w:color w:val="000000"/>
                <w:lang w:eastAsia="en-GB"/>
              </w:rPr>
            </w:pPr>
            <w:r w:rsidRPr="00FF5414">
              <w:rPr>
                <w:rFonts w:ascii="Calibri" w:eastAsia="Times New Roman" w:hAnsi="Calibri" w:cs="Times New Roman"/>
                <w:color w:val="000000"/>
                <w:lang w:eastAsia="en-GB"/>
              </w:rPr>
              <w:t>104</w:t>
            </w:r>
          </w:p>
        </w:tc>
      </w:tr>
      <w:tr w:rsidR="006F597E" w:rsidRPr="00B37DF2" w:rsidTr="006F597E">
        <w:trPr>
          <w:trHeight w:val="288"/>
          <w:jc w:val="center"/>
        </w:trPr>
        <w:tc>
          <w:tcPr>
            <w:tcW w:w="2255" w:type="pct"/>
            <w:shd w:val="clear" w:color="auto" w:fill="auto"/>
            <w:noWrap/>
            <w:vAlign w:val="center"/>
            <w:hideMark/>
          </w:tcPr>
          <w:p w:rsidR="008921BF" w:rsidRPr="00FF5414" w:rsidRDefault="006F597E" w:rsidP="006F597E">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People aged 75-84</w:t>
            </w:r>
          </w:p>
        </w:tc>
        <w:tc>
          <w:tcPr>
            <w:tcW w:w="565" w:type="pct"/>
            <w:shd w:val="clear" w:color="auto" w:fill="auto"/>
            <w:noWrap/>
            <w:vAlign w:val="center"/>
            <w:hideMark/>
          </w:tcPr>
          <w:p w:rsidR="008921BF" w:rsidRPr="00FF5414" w:rsidRDefault="008921BF" w:rsidP="00031B92">
            <w:pPr>
              <w:spacing w:after="0" w:line="240" w:lineRule="auto"/>
              <w:jc w:val="center"/>
              <w:rPr>
                <w:rFonts w:ascii="Calibri" w:eastAsia="Times New Roman" w:hAnsi="Calibri" w:cs="Times New Roman"/>
                <w:color w:val="000000"/>
                <w:lang w:eastAsia="en-GB"/>
              </w:rPr>
            </w:pPr>
            <w:r w:rsidRPr="00FF5414">
              <w:rPr>
                <w:rFonts w:ascii="Calibri" w:eastAsia="Times New Roman" w:hAnsi="Calibri" w:cs="Times New Roman"/>
                <w:color w:val="000000"/>
                <w:lang w:eastAsia="en-GB"/>
              </w:rPr>
              <w:t>35</w:t>
            </w:r>
          </w:p>
        </w:tc>
        <w:tc>
          <w:tcPr>
            <w:tcW w:w="563" w:type="pct"/>
            <w:shd w:val="clear" w:color="auto" w:fill="auto"/>
            <w:noWrap/>
            <w:vAlign w:val="center"/>
            <w:hideMark/>
          </w:tcPr>
          <w:p w:rsidR="008921BF" w:rsidRPr="00FF5414" w:rsidRDefault="008921BF" w:rsidP="00031B92">
            <w:pPr>
              <w:spacing w:after="0" w:line="240" w:lineRule="auto"/>
              <w:jc w:val="center"/>
              <w:rPr>
                <w:rFonts w:ascii="Calibri" w:eastAsia="Times New Roman" w:hAnsi="Calibri" w:cs="Times New Roman"/>
                <w:color w:val="000000"/>
                <w:lang w:eastAsia="en-GB"/>
              </w:rPr>
            </w:pPr>
            <w:r w:rsidRPr="00FF5414">
              <w:rPr>
                <w:rFonts w:ascii="Calibri" w:eastAsia="Times New Roman" w:hAnsi="Calibri" w:cs="Times New Roman"/>
                <w:color w:val="000000"/>
                <w:lang w:eastAsia="en-GB"/>
              </w:rPr>
              <w:t>35</w:t>
            </w:r>
          </w:p>
        </w:tc>
        <w:tc>
          <w:tcPr>
            <w:tcW w:w="565" w:type="pct"/>
            <w:shd w:val="clear" w:color="auto" w:fill="auto"/>
            <w:noWrap/>
            <w:vAlign w:val="center"/>
            <w:hideMark/>
          </w:tcPr>
          <w:p w:rsidR="008921BF" w:rsidRPr="00FF5414" w:rsidRDefault="008921BF" w:rsidP="00031B92">
            <w:pPr>
              <w:spacing w:after="0" w:line="240" w:lineRule="auto"/>
              <w:jc w:val="center"/>
              <w:rPr>
                <w:rFonts w:ascii="Calibri" w:eastAsia="Times New Roman" w:hAnsi="Calibri" w:cs="Times New Roman"/>
                <w:color w:val="000000"/>
                <w:lang w:eastAsia="en-GB"/>
              </w:rPr>
            </w:pPr>
            <w:r w:rsidRPr="00FF5414">
              <w:rPr>
                <w:rFonts w:ascii="Calibri" w:eastAsia="Times New Roman" w:hAnsi="Calibri" w:cs="Times New Roman"/>
                <w:color w:val="000000"/>
                <w:lang w:eastAsia="en-GB"/>
              </w:rPr>
              <w:t>35</w:t>
            </w:r>
          </w:p>
        </w:tc>
        <w:tc>
          <w:tcPr>
            <w:tcW w:w="563" w:type="pct"/>
            <w:shd w:val="clear" w:color="auto" w:fill="auto"/>
            <w:noWrap/>
            <w:vAlign w:val="center"/>
            <w:hideMark/>
          </w:tcPr>
          <w:p w:rsidR="008921BF" w:rsidRPr="00FF5414" w:rsidRDefault="008921BF" w:rsidP="00031B92">
            <w:pPr>
              <w:spacing w:after="0" w:line="240" w:lineRule="auto"/>
              <w:jc w:val="center"/>
              <w:rPr>
                <w:rFonts w:ascii="Calibri" w:eastAsia="Times New Roman" w:hAnsi="Calibri" w:cs="Times New Roman"/>
                <w:color w:val="000000"/>
                <w:lang w:eastAsia="en-GB"/>
              </w:rPr>
            </w:pPr>
            <w:r w:rsidRPr="00FF5414">
              <w:rPr>
                <w:rFonts w:ascii="Calibri" w:eastAsia="Times New Roman" w:hAnsi="Calibri" w:cs="Times New Roman"/>
                <w:color w:val="000000"/>
                <w:lang w:eastAsia="en-GB"/>
              </w:rPr>
              <w:t>36</w:t>
            </w:r>
          </w:p>
        </w:tc>
        <w:tc>
          <w:tcPr>
            <w:tcW w:w="489" w:type="pct"/>
            <w:shd w:val="clear" w:color="auto" w:fill="auto"/>
            <w:noWrap/>
            <w:vAlign w:val="center"/>
            <w:hideMark/>
          </w:tcPr>
          <w:p w:rsidR="008921BF" w:rsidRPr="00FF5414" w:rsidRDefault="008921BF" w:rsidP="00031B92">
            <w:pPr>
              <w:spacing w:after="0" w:line="240" w:lineRule="auto"/>
              <w:jc w:val="center"/>
              <w:rPr>
                <w:rFonts w:ascii="Calibri" w:eastAsia="Times New Roman" w:hAnsi="Calibri" w:cs="Times New Roman"/>
                <w:color w:val="000000"/>
                <w:lang w:eastAsia="en-GB"/>
              </w:rPr>
            </w:pPr>
            <w:r w:rsidRPr="00FF5414">
              <w:rPr>
                <w:rFonts w:ascii="Calibri" w:eastAsia="Times New Roman" w:hAnsi="Calibri" w:cs="Times New Roman"/>
                <w:color w:val="000000"/>
                <w:lang w:eastAsia="en-GB"/>
              </w:rPr>
              <w:t>37</w:t>
            </w:r>
          </w:p>
        </w:tc>
      </w:tr>
      <w:tr w:rsidR="006F597E" w:rsidRPr="00B37DF2" w:rsidTr="006F597E">
        <w:trPr>
          <w:trHeight w:val="288"/>
          <w:jc w:val="center"/>
        </w:trPr>
        <w:tc>
          <w:tcPr>
            <w:tcW w:w="2255" w:type="pct"/>
            <w:shd w:val="clear" w:color="auto" w:fill="auto"/>
            <w:noWrap/>
            <w:vAlign w:val="center"/>
            <w:hideMark/>
          </w:tcPr>
          <w:p w:rsidR="006F597E" w:rsidRPr="00FF5414" w:rsidRDefault="006F597E" w:rsidP="006F597E">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People aged 85 and over</w:t>
            </w:r>
          </w:p>
        </w:tc>
        <w:tc>
          <w:tcPr>
            <w:tcW w:w="565" w:type="pct"/>
            <w:shd w:val="clear" w:color="auto" w:fill="auto"/>
            <w:noWrap/>
            <w:vAlign w:val="center"/>
            <w:hideMark/>
          </w:tcPr>
          <w:p w:rsidR="008921BF" w:rsidRPr="00FF5414" w:rsidRDefault="008921BF" w:rsidP="00031B92">
            <w:pPr>
              <w:spacing w:after="0" w:line="240" w:lineRule="auto"/>
              <w:jc w:val="center"/>
              <w:rPr>
                <w:rFonts w:ascii="Calibri" w:eastAsia="Times New Roman" w:hAnsi="Calibri" w:cs="Times New Roman"/>
                <w:color w:val="000000"/>
                <w:lang w:eastAsia="en-GB"/>
              </w:rPr>
            </w:pPr>
            <w:r w:rsidRPr="00FF5414">
              <w:rPr>
                <w:rFonts w:ascii="Calibri" w:eastAsia="Times New Roman" w:hAnsi="Calibri" w:cs="Times New Roman"/>
                <w:color w:val="000000"/>
                <w:lang w:eastAsia="en-GB"/>
              </w:rPr>
              <w:t>15</w:t>
            </w:r>
          </w:p>
        </w:tc>
        <w:tc>
          <w:tcPr>
            <w:tcW w:w="563" w:type="pct"/>
            <w:shd w:val="clear" w:color="auto" w:fill="auto"/>
            <w:noWrap/>
            <w:vAlign w:val="center"/>
            <w:hideMark/>
          </w:tcPr>
          <w:p w:rsidR="008921BF" w:rsidRPr="00FF5414" w:rsidRDefault="008921BF" w:rsidP="00031B92">
            <w:pPr>
              <w:spacing w:after="0" w:line="240" w:lineRule="auto"/>
              <w:jc w:val="center"/>
              <w:rPr>
                <w:rFonts w:ascii="Calibri" w:eastAsia="Times New Roman" w:hAnsi="Calibri" w:cs="Times New Roman"/>
                <w:color w:val="000000"/>
                <w:lang w:eastAsia="en-GB"/>
              </w:rPr>
            </w:pPr>
            <w:r w:rsidRPr="00FF5414">
              <w:rPr>
                <w:rFonts w:ascii="Calibri" w:eastAsia="Times New Roman" w:hAnsi="Calibri" w:cs="Times New Roman"/>
                <w:color w:val="000000"/>
                <w:lang w:eastAsia="en-GB"/>
              </w:rPr>
              <w:t>15</w:t>
            </w:r>
          </w:p>
        </w:tc>
        <w:tc>
          <w:tcPr>
            <w:tcW w:w="565" w:type="pct"/>
            <w:shd w:val="clear" w:color="auto" w:fill="auto"/>
            <w:noWrap/>
            <w:vAlign w:val="center"/>
            <w:hideMark/>
          </w:tcPr>
          <w:p w:rsidR="008921BF" w:rsidRPr="00FF5414" w:rsidRDefault="008921BF" w:rsidP="00031B92">
            <w:pPr>
              <w:spacing w:after="0" w:line="240" w:lineRule="auto"/>
              <w:jc w:val="center"/>
              <w:rPr>
                <w:rFonts w:ascii="Calibri" w:eastAsia="Times New Roman" w:hAnsi="Calibri" w:cs="Times New Roman"/>
                <w:color w:val="000000"/>
                <w:lang w:eastAsia="en-GB"/>
              </w:rPr>
            </w:pPr>
            <w:r w:rsidRPr="00FF5414">
              <w:rPr>
                <w:rFonts w:ascii="Calibri" w:eastAsia="Times New Roman" w:hAnsi="Calibri" w:cs="Times New Roman"/>
                <w:color w:val="000000"/>
                <w:lang w:eastAsia="en-GB"/>
              </w:rPr>
              <w:t>16</w:t>
            </w:r>
          </w:p>
        </w:tc>
        <w:tc>
          <w:tcPr>
            <w:tcW w:w="563" w:type="pct"/>
            <w:shd w:val="clear" w:color="auto" w:fill="auto"/>
            <w:noWrap/>
            <w:vAlign w:val="center"/>
            <w:hideMark/>
          </w:tcPr>
          <w:p w:rsidR="008921BF" w:rsidRPr="00FF5414" w:rsidRDefault="008921BF" w:rsidP="00031B92">
            <w:pPr>
              <w:spacing w:after="0" w:line="240" w:lineRule="auto"/>
              <w:jc w:val="center"/>
              <w:rPr>
                <w:rFonts w:ascii="Calibri" w:eastAsia="Times New Roman" w:hAnsi="Calibri" w:cs="Times New Roman"/>
                <w:color w:val="000000"/>
                <w:lang w:eastAsia="en-GB"/>
              </w:rPr>
            </w:pPr>
            <w:r w:rsidRPr="00FF5414">
              <w:rPr>
                <w:rFonts w:ascii="Calibri" w:eastAsia="Times New Roman" w:hAnsi="Calibri" w:cs="Times New Roman"/>
                <w:color w:val="000000"/>
                <w:lang w:eastAsia="en-GB"/>
              </w:rPr>
              <w:t>17</w:t>
            </w:r>
          </w:p>
        </w:tc>
        <w:tc>
          <w:tcPr>
            <w:tcW w:w="489" w:type="pct"/>
            <w:shd w:val="clear" w:color="auto" w:fill="auto"/>
            <w:noWrap/>
            <w:vAlign w:val="center"/>
            <w:hideMark/>
          </w:tcPr>
          <w:p w:rsidR="008921BF" w:rsidRPr="00FF5414" w:rsidRDefault="008921BF" w:rsidP="00031B92">
            <w:pPr>
              <w:spacing w:after="0" w:line="240" w:lineRule="auto"/>
              <w:jc w:val="center"/>
              <w:rPr>
                <w:rFonts w:ascii="Calibri" w:eastAsia="Times New Roman" w:hAnsi="Calibri" w:cs="Times New Roman"/>
                <w:color w:val="000000"/>
                <w:lang w:eastAsia="en-GB"/>
              </w:rPr>
            </w:pPr>
            <w:r w:rsidRPr="00FF5414">
              <w:rPr>
                <w:rFonts w:ascii="Calibri" w:eastAsia="Times New Roman" w:hAnsi="Calibri" w:cs="Times New Roman"/>
                <w:color w:val="000000"/>
                <w:lang w:eastAsia="en-GB"/>
              </w:rPr>
              <w:t>17</w:t>
            </w:r>
          </w:p>
        </w:tc>
      </w:tr>
      <w:tr w:rsidR="006F597E" w:rsidRPr="00B37DF2" w:rsidTr="006F597E">
        <w:trPr>
          <w:trHeight w:val="300"/>
          <w:jc w:val="center"/>
        </w:trPr>
        <w:tc>
          <w:tcPr>
            <w:tcW w:w="2255" w:type="pct"/>
            <w:shd w:val="clear" w:color="auto" w:fill="auto"/>
            <w:noWrap/>
            <w:vAlign w:val="center"/>
            <w:hideMark/>
          </w:tcPr>
          <w:p w:rsidR="008921BF" w:rsidRPr="00FF5414" w:rsidRDefault="008921BF" w:rsidP="006F597E">
            <w:pPr>
              <w:spacing w:after="0" w:line="240" w:lineRule="auto"/>
              <w:jc w:val="center"/>
              <w:rPr>
                <w:rFonts w:ascii="Calibri" w:eastAsia="Times New Roman" w:hAnsi="Calibri" w:cs="Times New Roman"/>
                <w:color w:val="000000"/>
                <w:lang w:eastAsia="en-GB"/>
              </w:rPr>
            </w:pPr>
            <w:r w:rsidRPr="00FF5414">
              <w:rPr>
                <w:rFonts w:ascii="Calibri" w:eastAsia="Times New Roman" w:hAnsi="Calibri" w:cs="Times New Roman"/>
                <w:color w:val="000000"/>
                <w:lang w:eastAsia="en-GB"/>
              </w:rPr>
              <w:t>To</w:t>
            </w:r>
            <w:r w:rsidR="006F597E">
              <w:rPr>
                <w:rFonts w:ascii="Calibri" w:eastAsia="Times New Roman" w:hAnsi="Calibri" w:cs="Times New Roman"/>
                <w:color w:val="000000"/>
                <w:lang w:eastAsia="en-GB"/>
              </w:rPr>
              <w:t>tal population aged 18 and over</w:t>
            </w:r>
          </w:p>
        </w:tc>
        <w:tc>
          <w:tcPr>
            <w:tcW w:w="565" w:type="pct"/>
            <w:shd w:val="clear" w:color="auto" w:fill="auto"/>
            <w:noWrap/>
            <w:vAlign w:val="center"/>
            <w:hideMark/>
          </w:tcPr>
          <w:p w:rsidR="008921BF" w:rsidRPr="00FF5414" w:rsidRDefault="008921BF" w:rsidP="00031B92">
            <w:pPr>
              <w:spacing w:after="0" w:line="240" w:lineRule="auto"/>
              <w:jc w:val="center"/>
              <w:rPr>
                <w:rFonts w:ascii="Calibri" w:eastAsia="Times New Roman" w:hAnsi="Calibri" w:cs="Times New Roman"/>
                <w:color w:val="000000"/>
                <w:lang w:eastAsia="en-GB"/>
              </w:rPr>
            </w:pPr>
            <w:r w:rsidRPr="00FF5414">
              <w:rPr>
                <w:rFonts w:ascii="Calibri" w:eastAsia="Times New Roman" w:hAnsi="Calibri" w:cs="Times New Roman"/>
                <w:color w:val="000000"/>
                <w:lang w:eastAsia="en-GB"/>
              </w:rPr>
              <w:t>1,459</w:t>
            </w:r>
          </w:p>
        </w:tc>
        <w:tc>
          <w:tcPr>
            <w:tcW w:w="563" w:type="pct"/>
            <w:shd w:val="clear" w:color="auto" w:fill="auto"/>
            <w:noWrap/>
            <w:vAlign w:val="center"/>
            <w:hideMark/>
          </w:tcPr>
          <w:p w:rsidR="008921BF" w:rsidRPr="00FF5414" w:rsidRDefault="008921BF" w:rsidP="00031B92">
            <w:pPr>
              <w:spacing w:after="0" w:line="240" w:lineRule="auto"/>
              <w:jc w:val="center"/>
              <w:rPr>
                <w:rFonts w:ascii="Calibri" w:eastAsia="Times New Roman" w:hAnsi="Calibri" w:cs="Times New Roman"/>
                <w:color w:val="000000"/>
                <w:lang w:eastAsia="en-GB"/>
              </w:rPr>
            </w:pPr>
            <w:r w:rsidRPr="00FF5414">
              <w:rPr>
                <w:rFonts w:ascii="Calibri" w:eastAsia="Times New Roman" w:hAnsi="Calibri" w:cs="Times New Roman"/>
                <w:color w:val="000000"/>
                <w:lang w:eastAsia="en-GB"/>
              </w:rPr>
              <w:t>1,481</w:t>
            </w:r>
          </w:p>
        </w:tc>
        <w:tc>
          <w:tcPr>
            <w:tcW w:w="565" w:type="pct"/>
            <w:shd w:val="clear" w:color="auto" w:fill="auto"/>
            <w:noWrap/>
            <w:vAlign w:val="center"/>
            <w:hideMark/>
          </w:tcPr>
          <w:p w:rsidR="008921BF" w:rsidRPr="00FF5414" w:rsidRDefault="008921BF" w:rsidP="00031B92">
            <w:pPr>
              <w:spacing w:after="0" w:line="240" w:lineRule="auto"/>
              <w:jc w:val="center"/>
              <w:rPr>
                <w:rFonts w:ascii="Calibri" w:eastAsia="Times New Roman" w:hAnsi="Calibri" w:cs="Times New Roman"/>
                <w:color w:val="000000"/>
                <w:lang w:eastAsia="en-GB"/>
              </w:rPr>
            </w:pPr>
            <w:r w:rsidRPr="00FF5414">
              <w:rPr>
                <w:rFonts w:ascii="Calibri" w:eastAsia="Times New Roman" w:hAnsi="Calibri" w:cs="Times New Roman"/>
                <w:color w:val="000000"/>
                <w:lang w:eastAsia="en-GB"/>
              </w:rPr>
              <w:t>1,504</w:t>
            </w:r>
          </w:p>
        </w:tc>
        <w:tc>
          <w:tcPr>
            <w:tcW w:w="563" w:type="pct"/>
            <w:shd w:val="clear" w:color="auto" w:fill="auto"/>
            <w:noWrap/>
            <w:vAlign w:val="center"/>
            <w:hideMark/>
          </w:tcPr>
          <w:p w:rsidR="008921BF" w:rsidRPr="00FF5414" w:rsidRDefault="008921BF" w:rsidP="00031B92">
            <w:pPr>
              <w:spacing w:after="0" w:line="240" w:lineRule="auto"/>
              <w:jc w:val="center"/>
              <w:rPr>
                <w:rFonts w:ascii="Calibri" w:eastAsia="Times New Roman" w:hAnsi="Calibri" w:cs="Times New Roman"/>
                <w:color w:val="000000"/>
                <w:lang w:eastAsia="en-GB"/>
              </w:rPr>
            </w:pPr>
            <w:r w:rsidRPr="00FF5414">
              <w:rPr>
                <w:rFonts w:ascii="Calibri" w:eastAsia="Times New Roman" w:hAnsi="Calibri" w:cs="Times New Roman"/>
                <w:color w:val="000000"/>
                <w:lang w:eastAsia="en-GB"/>
              </w:rPr>
              <w:t>1,526</w:t>
            </w:r>
          </w:p>
        </w:tc>
        <w:tc>
          <w:tcPr>
            <w:tcW w:w="489" w:type="pct"/>
            <w:shd w:val="clear" w:color="auto" w:fill="auto"/>
            <w:noWrap/>
            <w:vAlign w:val="center"/>
            <w:hideMark/>
          </w:tcPr>
          <w:p w:rsidR="008921BF" w:rsidRPr="00FF5414" w:rsidRDefault="008921BF" w:rsidP="00031B92">
            <w:pPr>
              <w:spacing w:after="0" w:line="240" w:lineRule="auto"/>
              <w:jc w:val="center"/>
              <w:rPr>
                <w:rFonts w:ascii="Calibri" w:eastAsia="Times New Roman" w:hAnsi="Calibri" w:cs="Times New Roman"/>
                <w:color w:val="000000"/>
                <w:lang w:eastAsia="en-GB"/>
              </w:rPr>
            </w:pPr>
            <w:r w:rsidRPr="00FF5414">
              <w:rPr>
                <w:rFonts w:ascii="Calibri" w:eastAsia="Times New Roman" w:hAnsi="Calibri" w:cs="Times New Roman"/>
                <w:color w:val="000000"/>
                <w:lang w:eastAsia="en-GB"/>
              </w:rPr>
              <w:t>1,548</w:t>
            </w:r>
          </w:p>
        </w:tc>
      </w:tr>
      <w:tr w:rsidR="006F597E" w:rsidRPr="00B37DF2" w:rsidTr="006F597E">
        <w:trPr>
          <w:trHeight w:val="141"/>
          <w:jc w:val="center"/>
        </w:trPr>
        <w:tc>
          <w:tcPr>
            <w:tcW w:w="3383" w:type="pct"/>
            <w:gridSpan w:val="3"/>
            <w:shd w:val="clear" w:color="auto" w:fill="auto"/>
            <w:noWrap/>
            <w:vAlign w:val="bottom"/>
            <w:hideMark/>
          </w:tcPr>
          <w:p w:rsidR="008921BF" w:rsidRPr="00FF5414" w:rsidRDefault="008921BF" w:rsidP="00031B92">
            <w:pPr>
              <w:spacing w:after="0" w:line="240" w:lineRule="auto"/>
              <w:rPr>
                <w:rFonts w:ascii="Calibri" w:eastAsia="Times New Roman" w:hAnsi="Calibri" w:cs="Times New Roman"/>
                <w:color w:val="FF0000"/>
                <w:sz w:val="16"/>
                <w:szCs w:val="16"/>
                <w:lang w:eastAsia="en-GB"/>
              </w:rPr>
            </w:pPr>
            <w:r w:rsidRPr="00FF5414">
              <w:rPr>
                <w:rFonts w:ascii="Calibri" w:eastAsia="Times New Roman" w:hAnsi="Calibri" w:cs="Times New Roman"/>
                <w:color w:val="FF0000"/>
                <w:sz w:val="16"/>
                <w:szCs w:val="16"/>
                <w:lang w:eastAsia="en-GB"/>
              </w:rPr>
              <w:t>* Figures may not sum due to rounding. Crown copyright 2014</w:t>
            </w:r>
          </w:p>
        </w:tc>
        <w:tc>
          <w:tcPr>
            <w:tcW w:w="565" w:type="pct"/>
            <w:shd w:val="clear" w:color="auto" w:fill="auto"/>
            <w:noWrap/>
            <w:vAlign w:val="bottom"/>
            <w:hideMark/>
          </w:tcPr>
          <w:p w:rsidR="008921BF" w:rsidRPr="00FF5414" w:rsidRDefault="008921BF" w:rsidP="00031B92">
            <w:pPr>
              <w:spacing w:after="0" w:line="240" w:lineRule="auto"/>
              <w:rPr>
                <w:rFonts w:ascii="Calibri" w:eastAsia="Times New Roman" w:hAnsi="Calibri" w:cs="Times New Roman"/>
                <w:color w:val="FF0000"/>
                <w:sz w:val="16"/>
                <w:szCs w:val="16"/>
                <w:lang w:eastAsia="en-GB"/>
              </w:rPr>
            </w:pPr>
          </w:p>
        </w:tc>
        <w:tc>
          <w:tcPr>
            <w:tcW w:w="563" w:type="pct"/>
            <w:shd w:val="clear" w:color="auto" w:fill="auto"/>
            <w:noWrap/>
            <w:vAlign w:val="bottom"/>
            <w:hideMark/>
          </w:tcPr>
          <w:p w:rsidR="008921BF" w:rsidRPr="00FF5414" w:rsidRDefault="008921BF" w:rsidP="00031B92">
            <w:pPr>
              <w:spacing w:after="0" w:line="240" w:lineRule="auto"/>
              <w:rPr>
                <w:rFonts w:ascii="Calibri" w:eastAsia="Times New Roman" w:hAnsi="Calibri" w:cs="Times New Roman"/>
                <w:color w:val="FF0000"/>
                <w:sz w:val="16"/>
                <w:szCs w:val="16"/>
                <w:lang w:eastAsia="en-GB"/>
              </w:rPr>
            </w:pPr>
          </w:p>
        </w:tc>
        <w:tc>
          <w:tcPr>
            <w:tcW w:w="489" w:type="pct"/>
            <w:shd w:val="clear" w:color="auto" w:fill="auto"/>
            <w:noWrap/>
            <w:vAlign w:val="bottom"/>
            <w:hideMark/>
          </w:tcPr>
          <w:p w:rsidR="008921BF" w:rsidRPr="00FF5414" w:rsidRDefault="008921BF" w:rsidP="00031B92">
            <w:pPr>
              <w:spacing w:after="0" w:line="240" w:lineRule="auto"/>
              <w:rPr>
                <w:rFonts w:ascii="Calibri" w:eastAsia="Times New Roman" w:hAnsi="Calibri" w:cs="Times New Roman"/>
                <w:color w:val="FF0000"/>
                <w:sz w:val="16"/>
                <w:szCs w:val="16"/>
                <w:lang w:eastAsia="en-GB"/>
              </w:rPr>
            </w:pPr>
          </w:p>
        </w:tc>
      </w:tr>
    </w:tbl>
    <w:p w:rsidR="008921BF" w:rsidRDefault="008921BF" w:rsidP="008921BF">
      <w:pPr>
        <w:spacing w:after="0"/>
      </w:pPr>
      <w:r>
        <w:t xml:space="preserve">Source: </w:t>
      </w:r>
      <w:r w:rsidR="00CB67F3" w:rsidRPr="002B07BE">
        <w:t xml:space="preserve">Projecting Older People Population Information </w:t>
      </w:r>
      <w:r w:rsidR="00CB67F3">
        <w:t>(</w:t>
      </w:r>
      <w:r>
        <w:t>POPPI</w:t>
      </w:r>
      <w:r w:rsidR="00CB67F3">
        <w:t>)</w:t>
      </w:r>
      <w:r>
        <w:t xml:space="preserve"> and </w:t>
      </w:r>
      <w:r w:rsidR="00CB67F3" w:rsidRPr="00CC38B2">
        <w:t>Projecting</w:t>
      </w:r>
      <w:r w:rsidR="00CB67F3" w:rsidRPr="002B07BE">
        <w:t xml:space="preserve"> Adult Needs and Service Information</w:t>
      </w:r>
      <w:r w:rsidR="00CB67F3">
        <w:t xml:space="preserve"> (</w:t>
      </w:r>
      <w:r>
        <w:t>PANSI</w:t>
      </w:r>
      <w:r w:rsidR="00CB67F3">
        <w:t>)</w:t>
      </w:r>
      <w:r>
        <w:t xml:space="preserve"> 2015</w:t>
      </w:r>
    </w:p>
    <w:p w:rsidR="008921BF" w:rsidRDefault="008921BF" w:rsidP="008921BF">
      <w:pPr>
        <w:spacing w:after="0"/>
      </w:pPr>
    </w:p>
    <w:p w:rsidR="008921BF" w:rsidRDefault="008921BF" w:rsidP="008921BF">
      <w:pPr>
        <w:spacing w:after="0"/>
        <w:jc w:val="both"/>
      </w:pPr>
      <w:r>
        <w:t>An</w:t>
      </w:r>
      <w:r w:rsidRPr="00127562">
        <w:t xml:space="preserve"> enquiry into abuse of people </w:t>
      </w:r>
      <w:r w:rsidR="004A416F">
        <w:t>with Learning Disabilities and a</w:t>
      </w:r>
      <w:r w:rsidRPr="00127562">
        <w:t xml:space="preserve">utism at Winterbourne View </w:t>
      </w:r>
      <w:r>
        <w:t xml:space="preserve">identified that </w:t>
      </w:r>
      <w:r w:rsidRPr="00F60205">
        <w:t xml:space="preserve">many people with learning disabilities and/or autism </w:t>
      </w:r>
      <w:r>
        <w:t xml:space="preserve">remain </w:t>
      </w:r>
      <w:r w:rsidR="00DD3A76">
        <w:t xml:space="preserve">in </w:t>
      </w:r>
      <w:r w:rsidR="00DD3A76" w:rsidRPr="00F60205">
        <w:t>hospital</w:t>
      </w:r>
      <w:r w:rsidRPr="00F60205">
        <w:t xml:space="preserve"> or resi</w:t>
      </w:r>
      <w:r>
        <w:t xml:space="preserve">dential homes for too </w:t>
      </w:r>
      <w:r w:rsidR="00DD3A76">
        <w:t xml:space="preserve">long. </w:t>
      </w:r>
      <w:r>
        <w:t>E</w:t>
      </w:r>
      <w:r w:rsidRPr="00F60205">
        <w:t>ven though many are receiving good care in these setting</w:t>
      </w:r>
      <w:r>
        <w:t xml:space="preserve">s, many </w:t>
      </w:r>
      <w:r w:rsidRPr="00F60205">
        <w:t>co</w:t>
      </w:r>
      <w:r>
        <w:t>uld lead happier lives living at home in the</w:t>
      </w:r>
      <w:r w:rsidRPr="00F60205">
        <w:t xml:space="preserve"> community.</w:t>
      </w:r>
      <w:r>
        <w:t xml:space="preserve"> </w:t>
      </w:r>
    </w:p>
    <w:p w:rsidR="008921BF" w:rsidRDefault="008921BF" w:rsidP="008921BF">
      <w:pPr>
        <w:spacing w:after="0"/>
        <w:jc w:val="both"/>
      </w:pPr>
    </w:p>
    <w:p w:rsidR="008921BF" w:rsidRDefault="008921BF" w:rsidP="008921BF">
      <w:pPr>
        <w:spacing w:after="0"/>
        <w:jc w:val="both"/>
      </w:pPr>
      <w:r>
        <w:t>The proportion of people in 2014 living independently (in their own home or with their family) in Barnet is significantly below the London and National averages. Furthermore, there was a slight decrease between 2012/13 (61.70%) and 2013/14 (58.10%).</w:t>
      </w:r>
    </w:p>
    <w:p w:rsidR="008921BF" w:rsidRDefault="008921BF" w:rsidP="008921BF">
      <w:pPr>
        <w:spacing w:after="0"/>
      </w:pPr>
    </w:p>
    <w:p w:rsidR="008921BF" w:rsidRPr="00AE40ED" w:rsidRDefault="008921BF" w:rsidP="008921BF">
      <w:pPr>
        <w:pStyle w:val="Caption"/>
      </w:pPr>
      <w:r>
        <w:t xml:space="preserve">Figure </w:t>
      </w:r>
      <w:fldSimple w:instr=" STYLEREF 1 \s ">
        <w:r w:rsidR="001663C2">
          <w:rPr>
            <w:noProof/>
          </w:rPr>
          <w:t>9</w:t>
        </w:r>
      </w:fldSimple>
      <w:r w:rsidR="00943DC2">
        <w:noBreakHyphen/>
      </w:r>
      <w:fldSimple w:instr=" SEQ Figure \* ARABIC \s 1 ">
        <w:r w:rsidR="001663C2">
          <w:rPr>
            <w:noProof/>
          </w:rPr>
          <w:t>8</w:t>
        </w:r>
      </w:fldSimple>
      <w:r w:rsidRPr="00041E32">
        <w:t xml:space="preserve">: Proportion of adults in contact with </w:t>
      </w:r>
      <w:r w:rsidR="00B262D2">
        <w:t xml:space="preserve">Adult Social Care with </w:t>
      </w:r>
      <w:r w:rsidRPr="00041E32">
        <w:t>learning disabilities who live independently, with or without support, 2011-2014 (Barnet, London and National)</w:t>
      </w:r>
    </w:p>
    <w:p w:rsidR="008921BF" w:rsidRDefault="008921BF" w:rsidP="008921BF">
      <w:pPr>
        <w:spacing w:after="0"/>
        <w:jc w:val="center"/>
      </w:pPr>
      <w:r>
        <w:rPr>
          <w:noProof/>
          <w:lang w:eastAsia="en-GB"/>
        </w:rPr>
        <w:drawing>
          <wp:inline distT="0" distB="0" distL="0" distR="0" wp14:anchorId="60939DD2" wp14:editId="1A1A61B9">
            <wp:extent cx="5156790" cy="1828800"/>
            <wp:effectExtent l="0" t="0" r="25400" b="19050"/>
            <wp:docPr id="79" name="Chart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7"/>
              </a:graphicData>
            </a:graphic>
          </wp:inline>
        </w:drawing>
      </w:r>
    </w:p>
    <w:p w:rsidR="00B262D2" w:rsidRDefault="00B262D2" w:rsidP="00B262D2">
      <w:pPr>
        <w:spacing w:after="0" w:line="240" w:lineRule="auto"/>
      </w:pPr>
      <w:r>
        <w:t>Source:  SWIFT – Adult Social Care Database</w:t>
      </w:r>
    </w:p>
    <w:p w:rsidR="008921BF" w:rsidRPr="00F60205" w:rsidRDefault="008921BF" w:rsidP="008921BF">
      <w:pPr>
        <w:spacing w:after="0"/>
        <w:jc w:val="both"/>
      </w:pPr>
    </w:p>
    <w:p w:rsidR="008921BF" w:rsidRDefault="008921BF" w:rsidP="008921BF">
      <w:pPr>
        <w:spacing w:after="0"/>
        <w:jc w:val="both"/>
      </w:pPr>
      <w:r>
        <w:t>The Government’s Green Paper</w:t>
      </w:r>
      <w:r w:rsidRPr="000F378F">
        <w:rPr>
          <w:rStyle w:val="FootnoteReference"/>
        </w:rPr>
        <w:footnoteReference w:id="146"/>
      </w:r>
      <w:r w:rsidRPr="00F60205">
        <w:t xml:space="preserve"> sets out proposals to give people with learning disabilities, </w:t>
      </w:r>
      <w:r w:rsidR="004A416F">
        <w:t>a</w:t>
      </w:r>
      <w:r w:rsidRPr="00F60205">
        <w:t xml:space="preserve">utism and mental health conditions more rights around the care they receive. </w:t>
      </w:r>
      <w:r>
        <w:t xml:space="preserve"> Whilst this is s</w:t>
      </w:r>
      <w:r w:rsidRPr="00F60205">
        <w:t>ubject to consultation and a programme of legislation</w:t>
      </w:r>
      <w:r>
        <w:t>, it</w:t>
      </w:r>
      <w:r w:rsidRPr="00F60205">
        <w:t xml:space="preserve"> </w:t>
      </w:r>
      <w:r>
        <w:t xml:space="preserve">is a significant policy shift which </w:t>
      </w:r>
      <w:r w:rsidRPr="00F60205">
        <w:t xml:space="preserve">will mean that PWLD and </w:t>
      </w:r>
      <w:r w:rsidR="004C1136">
        <w:t>a</w:t>
      </w:r>
      <w:r w:rsidRPr="00F60205">
        <w:t xml:space="preserve">utism will have a right to be treated near their home and family and wherever possible in community settings. </w:t>
      </w:r>
      <w:r>
        <w:t xml:space="preserve"> There will also be a reduction in the number of beds available in hospital assessment and treatment units. </w:t>
      </w:r>
    </w:p>
    <w:p w:rsidR="008921BF" w:rsidRDefault="008921BF" w:rsidP="008921BF">
      <w:pPr>
        <w:spacing w:after="0"/>
        <w:ind w:left="709"/>
        <w:jc w:val="both"/>
      </w:pPr>
    </w:p>
    <w:p w:rsidR="008921BF" w:rsidRDefault="008921BF" w:rsidP="008921BF">
      <w:pPr>
        <w:spacing w:after="0"/>
        <w:jc w:val="both"/>
      </w:pPr>
      <w:r>
        <w:t xml:space="preserve">This change will be in addition to the increase in numbers of people with complex needs who will be accommodated in community settings.  It is therefore expected </w:t>
      </w:r>
      <w:r w:rsidR="00B41273">
        <w:t>that the trend shown in Table 9-</w:t>
      </w:r>
      <w:r>
        <w:t xml:space="preserve">25, towards increased community based provision and decreasing residential care will continue in the future.  </w:t>
      </w:r>
    </w:p>
    <w:p w:rsidR="008921BF" w:rsidRDefault="008921BF" w:rsidP="008921BF">
      <w:pPr>
        <w:spacing w:after="0"/>
      </w:pPr>
      <w:r>
        <w:t xml:space="preserve">   </w:t>
      </w:r>
    </w:p>
    <w:p w:rsidR="008921BF" w:rsidRDefault="008921BF" w:rsidP="008921BF">
      <w:pPr>
        <w:pStyle w:val="Caption"/>
        <w:rPr>
          <w:b w:val="0"/>
          <w:i/>
        </w:rPr>
      </w:pPr>
      <w:r>
        <w:t xml:space="preserve">Table </w:t>
      </w:r>
      <w:fldSimple w:instr=" STYLEREF 1 \s ">
        <w:r w:rsidR="001663C2">
          <w:rPr>
            <w:noProof/>
          </w:rPr>
          <w:t>9</w:t>
        </w:r>
      </w:fldSimple>
      <w:r>
        <w:noBreakHyphen/>
      </w:r>
      <w:fldSimple w:instr=" SEQ Table \* ARABIC \s 1 ">
        <w:r w:rsidR="001663C2">
          <w:rPr>
            <w:noProof/>
          </w:rPr>
          <w:t>25</w:t>
        </w:r>
      </w:fldSimple>
      <w:r w:rsidRPr="00041E32">
        <w:t>: People with Learning Disabilities accessing social care</w:t>
      </w:r>
    </w:p>
    <w:tbl>
      <w:tblPr>
        <w:tblStyle w:val="TableGrid"/>
        <w:tblW w:w="5720" w:type="dxa"/>
        <w:jc w:val="center"/>
        <w:tblInd w:w="-865" w:type="dxa"/>
        <w:tblLook w:val="04A0" w:firstRow="1" w:lastRow="0" w:firstColumn="1" w:lastColumn="0" w:noHBand="0" w:noVBand="1"/>
      </w:tblPr>
      <w:tblGrid>
        <w:gridCol w:w="2768"/>
        <w:gridCol w:w="980"/>
        <w:gridCol w:w="980"/>
        <w:gridCol w:w="992"/>
      </w:tblGrid>
      <w:tr w:rsidR="008921BF" w:rsidRPr="00311580" w:rsidTr="00031B92">
        <w:trPr>
          <w:trHeight w:val="570"/>
          <w:jc w:val="center"/>
        </w:trPr>
        <w:tc>
          <w:tcPr>
            <w:tcW w:w="2768" w:type="dxa"/>
            <w:shd w:val="clear" w:color="auto" w:fill="BFBFBF" w:themeFill="background1" w:themeFillShade="BF"/>
            <w:vAlign w:val="center"/>
          </w:tcPr>
          <w:p w:rsidR="008921BF" w:rsidRPr="00723C7D" w:rsidRDefault="008921BF" w:rsidP="00031B92">
            <w:pPr>
              <w:jc w:val="center"/>
              <w:rPr>
                <w:rFonts w:ascii="Calibri" w:eastAsia="Times New Roman" w:hAnsi="Calibri" w:cs="Times New Roman"/>
                <w:b/>
                <w:bCs/>
                <w:lang w:eastAsia="en-GB"/>
              </w:rPr>
            </w:pPr>
            <w:r>
              <w:rPr>
                <w:rFonts w:ascii="Calibri" w:eastAsia="Times New Roman" w:hAnsi="Calibri" w:cs="Times New Roman"/>
                <w:b/>
                <w:bCs/>
                <w:lang w:eastAsia="en-GB"/>
              </w:rPr>
              <w:t>Number of Unpaid Carers</w:t>
            </w:r>
          </w:p>
        </w:tc>
        <w:tc>
          <w:tcPr>
            <w:tcW w:w="980" w:type="dxa"/>
            <w:shd w:val="clear" w:color="auto" w:fill="BFBFBF" w:themeFill="background1" w:themeFillShade="BF"/>
            <w:vAlign w:val="center"/>
          </w:tcPr>
          <w:p w:rsidR="008921BF" w:rsidRDefault="008921BF" w:rsidP="00031B92">
            <w:pPr>
              <w:jc w:val="center"/>
              <w:rPr>
                <w:rFonts w:ascii="Calibri" w:eastAsia="Times New Roman" w:hAnsi="Calibri" w:cs="Times New Roman"/>
                <w:b/>
                <w:color w:val="000000"/>
                <w:lang w:eastAsia="en-GB"/>
              </w:rPr>
            </w:pPr>
            <w:r>
              <w:rPr>
                <w:rFonts w:ascii="Calibri" w:eastAsia="Times New Roman" w:hAnsi="Calibri" w:cs="Times New Roman"/>
                <w:b/>
                <w:color w:val="000000"/>
                <w:lang w:eastAsia="en-GB"/>
              </w:rPr>
              <w:t>2011/12</w:t>
            </w:r>
          </w:p>
        </w:tc>
        <w:tc>
          <w:tcPr>
            <w:tcW w:w="980" w:type="dxa"/>
            <w:shd w:val="clear" w:color="auto" w:fill="BFBFBF" w:themeFill="background1" w:themeFillShade="BF"/>
            <w:vAlign w:val="center"/>
          </w:tcPr>
          <w:p w:rsidR="008921BF" w:rsidRDefault="008921BF" w:rsidP="00031B92">
            <w:pPr>
              <w:jc w:val="center"/>
              <w:rPr>
                <w:rFonts w:ascii="Calibri" w:eastAsia="Times New Roman" w:hAnsi="Calibri" w:cs="Times New Roman"/>
                <w:b/>
                <w:color w:val="000000"/>
                <w:lang w:eastAsia="en-GB"/>
              </w:rPr>
            </w:pPr>
            <w:r>
              <w:rPr>
                <w:rFonts w:ascii="Calibri" w:eastAsia="Times New Roman" w:hAnsi="Calibri" w:cs="Times New Roman"/>
                <w:b/>
                <w:color w:val="000000"/>
                <w:lang w:eastAsia="en-GB"/>
              </w:rPr>
              <w:t>2012/13</w:t>
            </w:r>
          </w:p>
        </w:tc>
        <w:tc>
          <w:tcPr>
            <w:tcW w:w="992" w:type="dxa"/>
            <w:shd w:val="clear" w:color="auto" w:fill="BFBFBF" w:themeFill="background1" w:themeFillShade="BF"/>
            <w:vAlign w:val="center"/>
          </w:tcPr>
          <w:p w:rsidR="008921BF" w:rsidRPr="00723C7D" w:rsidRDefault="008921BF" w:rsidP="00031B92">
            <w:pPr>
              <w:jc w:val="center"/>
              <w:rPr>
                <w:rFonts w:ascii="Calibri" w:eastAsia="Times New Roman" w:hAnsi="Calibri" w:cs="Times New Roman"/>
                <w:b/>
                <w:color w:val="000000"/>
                <w:lang w:eastAsia="en-GB"/>
              </w:rPr>
            </w:pPr>
            <w:r>
              <w:rPr>
                <w:rFonts w:ascii="Calibri" w:eastAsia="Times New Roman" w:hAnsi="Calibri" w:cs="Times New Roman"/>
                <w:b/>
                <w:color w:val="000000"/>
                <w:lang w:eastAsia="en-GB"/>
              </w:rPr>
              <w:t>2013/14</w:t>
            </w:r>
          </w:p>
        </w:tc>
      </w:tr>
      <w:tr w:rsidR="008921BF" w:rsidRPr="00311580" w:rsidTr="00031B92">
        <w:trPr>
          <w:trHeight w:val="315"/>
          <w:jc w:val="center"/>
        </w:trPr>
        <w:tc>
          <w:tcPr>
            <w:tcW w:w="2768"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Residential Care</w:t>
            </w:r>
          </w:p>
        </w:tc>
        <w:tc>
          <w:tcPr>
            <w:tcW w:w="980" w:type="dxa"/>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296</w:t>
            </w:r>
          </w:p>
        </w:tc>
        <w:tc>
          <w:tcPr>
            <w:tcW w:w="980" w:type="dxa"/>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272</w:t>
            </w:r>
          </w:p>
        </w:tc>
        <w:tc>
          <w:tcPr>
            <w:tcW w:w="992"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238</w:t>
            </w:r>
          </w:p>
        </w:tc>
      </w:tr>
      <w:tr w:rsidR="008921BF" w:rsidRPr="00311580" w:rsidTr="00031B92">
        <w:trPr>
          <w:trHeight w:val="300"/>
          <w:jc w:val="center"/>
        </w:trPr>
        <w:tc>
          <w:tcPr>
            <w:tcW w:w="2768"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Community Care (settings)</w:t>
            </w:r>
          </w:p>
        </w:tc>
        <w:tc>
          <w:tcPr>
            <w:tcW w:w="980" w:type="dxa"/>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580</w:t>
            </w:r>
          </w:p>
        </w:tc>
        <w:tc>
          <w:tcPr>
            <w:tcW w:w="980" w:type="dxa"/>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609</w:t>
            </w:r>
          </w:p>
        </w:tc>
        <w:tc>
          <w:tcPr>
            <w:tcW w:w="992"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632</w:t>
            </w:r>
          </w:p>
        </w:tc>
      </w:tr>
    </w:tbl>
    <w:p w:rsidR="00144313" w:rsidRDefault="00144313" w:rsidP="00144313">
      <w:pPr>
        <w:spacing w:after="0" w:line="240" w:lineRule="auto"/>
      </w:pPr>
      <w:r>
        <w:t>Source:  SWIFT – Adult Social Care Database</w:t>
      </w:r>
    </w:p>
    <w:p w:rsidR="008921BF" w:rsidRDefault="008921BF" w:rsidP="008921BF">
      <w:pPr>
        <w:spacing w:after="0"/>
        <w:jc w:val="both"/>
        <w:rPr>
          <w:b/>
          <w:i/>
        </w:rPr>
      </w:pPr>
    </w:p>
    <w:p w:rsidR="008921BF" w:rsidRDefault="008921BF" w:rsidP="008921BF">
      <w:pPr>
        <w:jc w:val="both"/>
      </w:pPr>
      <w:r w:rsidRPr="0073193C">
        <w:t>In order to respond to the shift in growing community provision, mo</w:t>
      </w:r>
      <w:r>
        <w:t>re work is needed to</w:t>
      </w:r>
      <w:r w:rsidRPr="0073193C">
        <w:t xml:space="preserve"> develop a better understanding of the level</w:t>
      </w:r>
      <w:r w:rsidR="004C1136">
        <w:t xml:space="preserve"> and type of needs of PWLD and a</w:t>
      </w:r>
      <w:r w:rsidRPr="0073193C">
        <w:t>utism.</w:t>
      </w:r>
    </w:p>
    <w:p w:rsidR="008921BF" w:rsidRPr="00460E07" w:rsidRDefault="008921BF" w:rsidP="00FD3CDD">
      <w:pPr>
        <w:pStyle w:val="Heading4"/>
      </w:pPr>
      <w:r>
        <w:lastRenderedPageBreak/>
        <w:t>C</w:t>
      </w:r>
      <w:r w:rsidRPr="00460E07">
        <w:t xml:space="preserve">onfidential </w:t>
      </w:r>
      <w:r w:rsidR="00FD3CDD">
        <w:t>E</w:t>
      </w:r>
      <w:r w:rsidRPr="00460E07">
        <w:t>nq</w:t>
      </w:r>
      <w:r w:rsidR="00FD3CDD">
        <w:t>uiry into the Premature D</w:t>
      </w:r>
      <w:r w:rsidRPr="00460E07">
        <w:t xml:space="preserve">eaths of </w:t>
      </w:r>
      <w:r w:rsidR="00FD3CDD">
        <w:t>P</w:t>
      </w:r>
      <w:r w:rsidRPr="00460E07">
        <w:t xml:space="preserve">eople with </w:t>
      </w:r>
      <w:r w:rsidR="00FD3CDD">
        <w:t>L</w:t>
      </w:r>
      <w:r w:rsidRPr="00460E07">
        <w:t xml:space="preserve">earning </w:t>
      </w:r>
      <w:r w:rsidR="00FD3CDD">
        <w:t>D</w:t>
      </w:r>
      <w:r w:rsidRPr="00460E07">
        <w:t xml:space="preserve">isabilities </w:t>
      </w:r>
    </w:p>
    <w:p w:rsidR="008921BF" w:rsidRPr="00460E07" w:rsidRDefault="008921BF" w:rsidP="008921BF">
      <w:pPr>
        <w:spacing w:after="0"/>
        <w:jc w:val="both"/>
      </w:pPr>
      <w:r w:rsidRPr="00460E07">
        <w:t xml:space="preserve">The </w:t>
      </w:r>
      <w:r>
        <w:t>c</w:t>
      </w:r>
      <w:r w:rsidRPr="00460E07">
        <w:t xml:space="preserve">onfidential enquiry into the premature deaths of people with learning disabilities </w:t>
      </w:r>
      <w:r>
        <w:t>(</w:t>
      </w:r>
      <w:r w:rsidRPr="00460E07">
        <w:t>CIPOLD</w:t>
      </w:r>
      <w:r>
        <w:t>)</w:t>
      </w:r>
      <w:r w:rsidRPr="004C19D8">
        <w:rPr>
          <w:vertAlign w:val="superscript"/>
        </w:rPr>
        <w:footnoteReference w:id="147"/>
      </w:r>
      <w:r>
        <w:t xml:space="preserve"> identified that p</w:t>
      </w:r>
      <w:r w:rsidRPr="00460E07">
        <w:t xml:space="preserve">eople with learning disabilities die 16 years sooner on average than the general population and more than a third of these deaths are </w:t>
      </w:r>
      <w:r>
        <w:t>attributable</w:t>
      </w:r>
      <w:r w:rsidRPr="00460E07">
        <w:t xml:space="preserve"> to people not getting the right healthcare</w:t>
      </w:r>
      <w:r>
        <w:t>.</w:t>
      </w:r>
    </w:p>
    <w:p w:rsidR="008921BF" w:rsidRPr="00460E07" w:rsidRDefault="008921BF" w:rsidP="008921BF">
      <w:pPr>
        <w:spacing w:after="0"/>
        <w:ind w:left="709"/>
        <w:jc w:val="both"/>
      </w:pPr>
    </w:p>
    <w:p w:rsidR="008921BF" w:rsidRPr="002A4FA5" w:rsidRDefault="008921BF" w:rsidP="008921BF">
      <w:pPr>
        <w:spacing w:after="0"/>
        <w:jc w:val="both"/>
        <w:rPr>
          <w:vertAlign w:val="superscript"/>
        </w:rPr>
      </w:pPr>
      <w:r w:rsidRPr="00460E07">
        <w:t xml:space="preserve">The enquiry found that there was not enough routine collection of data to provide information about the age and cause of death of people with learning disabilities.  The </w:t>
      </w:r>
      <w:r w:rsidR="00CB67F3">
        <w:rPr>
          <w:rFonts w:eastAsia="Calibri" w:cs="Arial"/>
        </w:rPr>
        <w:t>Department of Health</w:t>
      </w:r>
      <w:r w:rsidR="00CB67F3" w:rsidRPr="00915363">
        <w:rPr>
          <w:rFonts w:eastAsia="Calibri" w:cs="Arial"/>
        </w:rPr>
        <w:t xml:space="preserve"> </w:t>
      </w:r>
      <w:r w:rsidRPr="00460E07">
        <w:t>response include</w:t>
      </w:r>
      <w:r>
        <w:t>d</w:t>
      </w:r>
      <w:r w:rsidRPr="00460E07">
        <w:t xml:space="preserve"> a recommendation that systems should be in place to ensure that local learning disability data should be analysed and published with populati</w:t>
      </w:r>
      <w:r>
        <w:t>on profiles and within the JSNA</w:t>
      </w:r>
      <w:r w:rsidRPr="002A4FA5">
        <w:rPr>
          <w:vertAlign w:val="superscript"/>
        </w:rPr>
        <w:footnoteReference w:id="148"/>
      </w:r>
      <w:r>
        <w:t>.</w:t>
      </w:r>
    </w:p>
    <w:p w:rsidR="008921BF" w:rsidRPr="00460E07" w:rsidRDefault="008921BF" w:rsidP="008921BF">
      <w:pPr>
        <w:spacing w:after="0"/>
        <w:ind w:left="709"/>
        <w:jc w:val="both"/>
      </w:pPr>
    </w:p>
    <w:p w:rsidR="008921BF" w:rsidRDefault="008921BF" w:rsidP="008921BF">
      <w:pPr>
        <w:spacing w:after="0"/>
        <w:jc w:val="both"/>
      </w:pPr>
      <w:r>
        <w:t>Specific</w:t>
      </w:r>
      <w:r w:rsidRPr="009D64D0">
        <w:t xml:space="preserve"> c</w:t>
      </w:r>
      <w:r w:rsidRPr="00460E07">
        <w:t>ompa</w:t>
      </w:r>
      <w:r w:rsidRPr="009D64D0">
        <w:t>rati</w:t>
      </w:r>
      <w:r w:rsidRPr="00460E07">
        <w:t>v</w:t>
      </w:r>
      <w:r w:rsidRPr="009D64D0">
        <w:t>e</w:t>
      </w:r>
      <w:r w:rsidRPr="00460E07">
        <w:t xml:space="preserve"> da</w:t>
      </w:r>
      <w:r w:rsidRPr="009D64D0">
        <w:t>ta</w:t>
      </w:r>
      <w:r>
        <w:t xml:space="preserve"> is also required</w:t>
      </w:r>
      <w:r w:rsidRPr="00460E07">
        <w:t xml:space="preserve"> be</w:t>
      </w:r>
      <w:r w:rsidRPr="009D64D0">
        <w:t>t</w:t>
      </w:r>
      <w:r w:rsidRPr="00460E07">
        <w:t>wee</w:t>
      </w:r>
      <w:r w:rsidRPr="009D64D0">
        <w:t>n</w:t>
      </w:r>
      <w:r w:rsidRPr="00460E07">
        <w:t xml:space="preserve"> </w:t>
      </w:r>
      <w:r w:rsidRPr="006B1282">
        <w:t>t</w:t>
      </w:r>
      <w:r w:rsidRPr="00460E07">
        <w:t>h</w:t>
      </w:r>
      <w:r w:rsidRPr="006B1282">
        <w:t>e</w:t>
      </w:r>
      <w:r w:rsidRPr="00460E07">
        <w:t xml:space="preserve"> hea</w:t>
      </w:r>
      <w:r w:rsidRPr="006B1282">
        <w:t>lth</w:t>
      </w:r>
      <w:r w:rsidRPr="00460E07">
        <w:t xml:space="preserve"> o</w:t>
      </w:r>
      <w:r w:rsidRPr="006B1282">
        <w:t>f</w:t>
      </w:r>
      <w:r w:rsidRPr="00460E07">
        <w:t xml:space="preserve"> peop</w:t>
      </w:r>
      <w:r w:rsidRPr="006B1282">
        <w:t>le</w:t>
      </w:r>
      <w:r w:rsidRPr="00460E07">
        <w:t xml:space="preserve"> w</w:t>
      </w:r>
      <w:r w:rsidRPr="006B1282">
        <w:t>ith le</w:t>
      </w:r>
      <w:r w:rsidRPr="00460E07">
        <w:t>a</w:t>
      </w:r>
      <w:r w:rsidRPr="006B1282">
        <w:t>rning</w:t>
      </w:r>
      <w:r w:rsidRPr="00460E07">
        <w:t xml:space="preserve"> d</w:t>
      </w:r>
      <w:r w:rsidRPr="006B1282">
        <w:t>isa</w:t>
      </w:r>
      <w:r w:rsidRPr="00460E07">
        <w:t>b</w:t>
      </w:r>
      <w:r w:rsidRPr="00F00B5B">
        <w:t>i</w:t>
      </w:r>
      <w:r w:rsidRPr="00460E07">
        <w:t>l</w:t>
      </w:r>
      <w:r w:rsidRPr="00F00B5B">
        <w:t>ities</w:t>
      </w:r>
      <w:r w:rsidRPr="00460E07">
        <w:t xml:space="preserve"> an</w:t>
      </w:r>
      <w:r w:rsidRPr="00387128">
        <w:t>d</w:t>
      </w:r>
      <w:r w:rsidRPr="00460E07">
        <w:t xml:space="preserve"> th</w:t>
      </w:r>
      <w:r w:rsidRPr="0028201F">
        <w:t>e</w:t>
      </w:r>
      <w:r w:rsidRPr="00460E07">
        <w:t xml:space="preserve"> </w:t>
      </w:r>
      <w:r>
        <w:t>general</w:t>
      </w:r>
      <w:r w:rsidRPr="00460E07">
        <w:t xml:space="preserve"> popu</w:t>
      </w:r>
      <w:r w:rsidRPr="00332BA0">
        <w:t>la</w:t>
      </w:r>
      <w:r w:rsidRPr="00460E07">
        <w:t>t</w:t>
      </w:r>
      <w:r w:rsidRPr="00332BA0">
        <w:t>i</w:t>
      </w:r>
      <w:r w:rsidRPr="00460E07">
        <w:t>on</w:t>
      </w:r>
      <w:r>
        <w:t xml:space="preserve">. </w:t>
      </w:r>
      <w:r w:rsidR="004F1B96">
        <w:t>On average, p</w:t>
      </w:r>
      <w:r w:rsidRPr="00460E07">
        <w:t>eop</w:t>
      </w:r>
      <w:r w:rsidRPr="00332BA0">
        <w:t xml:space="preserve">le </w:t>
      </w:r>
      <w:r w:rsidRPr="00460E07">
        <w:t>w</w:t>
      </w:r>
      <w:r w:rsidRPr="00332BA0">
        <w:t>ith</w:t>
      </w:r>
      <w:r w:rsidRPr="00460E07">
        <w:t xml:space="preserve"> </w:t>
      </w:r>
      <w:r w:rsidRPr="00332BA0">
        <w:t>l</w:t>
      </w:r>
      <w:r w:rsidRPr="00460E07">
        <w:t>ea</w:t>
      </w:r>
      <w:r w:rsidRPr="00332BA0">
        <w:t>rning</w:t>
      </w:r>
      <w:r w:rsidRPr="00460E07">
        <w:t xml:space="preserve"> d</w:t>
      </w:r>
      <w:r w:rsidRPr="00332BA0">
        <w:t>isa</w:t>
      </w:r>
      <w:r w:rsidRPr="00460E07">
        <w:t>b</w:t>
      </w:r>
      <w:r w:rsidRPr="00332BA0">
        <w:t>i</w:t>
      </w:r>
      <w:r w:rsidRPr="00460E07">
        <w:t>l</w:t>
      </w:r>
      <w:r w:rsidRPr="00332BA0">
        <w:t>ities</w:t>
      </w:r>
      <w:r w:rsidRPr="00460E07">
        <w:t xml:space="preserve"> hav</w:t>
      </w:r>
      <w:r w:rsidRPr="00332BA0">
        <w:t>e</w:t>
      </w:r>
      <w:r w:rsidRPr="00460E07">
        <w:t xml:space="preserve"> poo</w:t>
      </w:r>
      <w:r w:rsidRPr="00332BA0">
        <w:t xml:space="preserve">rer </w:t>
      </w:r>
      <w:r w:rsidRPr="00460E07">
        <w:t>a</w:t>
      </w:r>
      <w:r w:rsidRPr="0059124A">
        <w:t>cc</w:t>
      </w:r>
      <w:r w:rsidRPr="00460E07">
        <w:t>e</w:t>
      </w:r>
      <w:r w:rsidRPr="0059124A">
        <w:t>ss</w:t>
      </w:r>
      <w:r w:rsidRPr="00460E07">
        <w:t xml:space="preserve"> t</w:t>
      </w:r>
      <w:r w:rsidRPr="0059124A">
        <w:t>o</w:t>
      </w:r>
      <w:r w:rsidRPr="00460E07">
        <w:t xml:space="preserve"> hea</w:t>
      </w:r>
      <w:r w:rsidRPr="0059124A">
        <w:t>lt</w:t>
      </w:r>
      <w:r w:rsidRPr="00460E07">
        <w:t>h</w:t>
      </w:r>
      <w:r w:rsidRPr="0059124A">
        <w:t>c</w:t>
      </w:r>
      <w:r w:rsidRPr="00460E07">
        <w:t>ar</w:t>
      </w:r>
      <w:r w:rsidRPr="0059124A">
        <w:t>e</w:t>
      </w:r>
      <w:r w:rsidRPr="00460E07">
        <w:t xml:space="preserve"> an</w:t>
      </w:r>
      <w:r w:rsidRPr="0059124A">
        <w:t>d</w:t>
      </w:r>
      <w:r w:rsidRPr="00460E07">
        <w:t xml:space="preserve"> d</w:t>
      </w:r>
      <w:r w:rsidRPr="0059124A">
        <w:t>ie</w:t>
      </w:r>
      <w:r w:rsidRPr="00460E07">
        <w:t xml:space="preserve"> younge</w:t>
      </w:r>
      <w:r w:rsidRPr="0028353A">
        <w:t>r t</w:t>
      </w:r>
      <w:r w:rsidRPr="00460E07">
        <w:t>ha</w:t>
      </w:r>
      <w:r w:rsidRPr="0028353A">
        <w:t>n</w:t>
      </w:r>
      <w:r w:rsidRPr="00460E07">
        <w:t xml:space="preserve"> the</w:t>
      </w:r>
      <w:r w:rsidRPr="00C52E31">
        <w:t>ir</w:t>
      </w:r>
      <w:r w:rsidRPr="00460E07">
        <w:t xml:space="preserve"> non-</w:t>
      </w:r>
      <w:r w:rsidRPr="00AB174A">
        <w:t>le</w:t>
      </w:r>
      <w:r w:rsidRPr="00460E07">
        <w:t>a</w:t>
      </w:r>
      <w:r w:rsidRPr="003C7D10">
        <w:t>rn</w:t>
      </w:r>
      <w:r w:rsidRPr="00460E07">
        <w:t>in</w:t>
      </w:r>
      <w:r w:rsidRPr="00ED4F13">
        <w:t>g</w:t>
      </w:r>
      <w:r w:rsidRPr="00460E07">
        <w:t xml:space="preserve"> d</w:t>
      </w:r>
      <w:r w:rsidRPr="00F94B3E">
        <w:t>isa</w:t>
      </w:r>
      <w:r w:rsidRPr="00460E07">
        <w:t>b</w:t>
      </w:r>
      <w:r w:rsidRPr="00F94B3E">
        <w:t>l</w:t>
      </w:r>
      <w:r w:rsidRPr="00460E07">
        <w:t>e</w:t>
      </w:r>
      <w:r w:rsidRPr="00F94B3E">
        <w:t>d</w:t>
      </w:r>
      <w:r w:rsidRPr="00460E07">
        <w:t xml:space="preserve"> pee</w:t>
      </w:r>
      <w:r>
        <w:t>rs; however t</w:t>
      </w:r>
      <w:r w:rsidRPr="00F94B3E">
        <w:t>h</w:t>
      </w:r>
      <w:r w:rsidRPr="00460E07">
        <w:t>e</w:t>
      </w:r>
      <w:r w:rsidRPr="00F94B3E">
        <w:t>re is</w:t>
      </w:r>
      <w:r w:rsidRPr="00460E07">
        <w:t xml:space="preserve"> </w:t>
      </w:r>
      <w:r w:rsidRPr="00F94B3E">
        <w:t>a</w:t>
      </w:r>
      <w:r w:rsidRPr="00460E07">
        <w:t xml:space="preserve"> </w:t>
      </w:r>
      <w:r w:rsidRPr="00F94B3E">
        <w:t>l</w:t>
      </w:r>
      <w:r w:rsidRPr="00460E07">
        <w:t>a</w:t>
      </w:r>
      <w:r w:rsidRPr="00F94B3E">
        <w:t>ck</w:t>
      </w:r>
      <w:r w:rsidRPr="00460E07">
        <w:t xml:space="preserve"> o</w:t>
      </w:r>
      <w:r w:rsidRPr="00F94B3E">
        <w:t>f</w:t>
      </w:r>
      <w:r w:rsidRPr="00460E07">
        <w:t xml:space="preserve"> </w:t>
      </w:r>
      <w:r w:rsidRPr="00F94B3E">
        <w:t>ro</w:t>
      </w:r>
      <w:r w:rsidRPr="00460E07">
        <w:t>bu</w:t>
      </w:r>
      <w:r w:rsidRPr="00F94B3E">
        <w:t>st</w:t>
      </w:r>
      <w:r w:rsidRPr="00460E07">
        <w:t xml:space="preserve"> da</w:t>
      </w:r>
      <w:r w:rsidRPr="00F94B3E">
        <w:t>ta</w:t>
      </w:r>
      <w:r w:rsidRPr="00460E07">
        <w:t xml:space="preserve"> f</w:t>
      </w:r>
      <w:r w:rsidRPr="00F94B3E">
        <w:t>r</w:t>
      </w:r>
      <w:r w:rsidRPr="00460E07">
        <w:t>o</w:t>
      </w:r>
      <w:r w:rsidRPr="00F94B3E">
        <w:t>m</w:t>
      </w:r>
      <w:r w:rsidRPr="00460E07">
        <w:t xml:space="preserve"> wh</w:t>
      </w:r>
      <w:r w:rsidRPr="00F94B3E">
        <w:t>ich</w:t>
      </w:r>
      <w:r w:rsidRPr="00460E07">
        <w:t xml:space="preserve"> </w:t>
      </w:r>
      <w:r w:rsidRPr="00F94B3E">
        <w:t>t</w:t>
      </w:r>
      <w:r w:rsidRPr="00460E07">
        <w:t>h</w:t>
      </w:r>
      <w:r w:rsidRPr="00F94B3E">
        <w:t>e</w:t>
      </w:r>
      <w:r w:rsidRPr="00460E07">
        <w:t xml:space="preserve"> </w:t>
      </w:r>
      <w:r w:rsidRPr="00F94B3E">
        <w:t>J</w:t>
      </w:r>
      <w:r w:rsidRPr="00460E07">
        <w:t>S</w:t>
      </w:r>
      <w:r w:rsidRPr="00F94B3E">
        <w:t>NA</w:t>
      </w:r>
      <w:r w:rsidRPr="00460E07">
        <w:t xml:space="preserve"> an</w:t>
      </w:r>
      <w:r w:rsidRPr="00F94B3E">
        <w:t>d H</w:t>
      </w:r>
      <w:r w:rsidRPr="00460E07">
        <w:t>e</w:t>
      </w:r>
      <w:r w:rsidRPr="00F94B3E">
        <w:t>alth</w:t>
      </w:r>
      <w:r w:rsidRPr="00460E07">
        <w:t xml:space="preserve"> an</w:t>
      </w:r>
      <w:r w:rsidRPr="00F94B3E">
        <w:t>d</w:t>
      </w:r>
      <w:r w:rsidRPr="00460E07">
        <w:t xml:space="preserve"> </w:t>
      </w:r>
      <w:r>
        <w:t>Wellbeing</w:t>
      </w:r>
      <w:r w:rsidRPr="00460E07">
        <w:t xml:space="preserve"> S</w:t>
      </w:r>
      <w:r w:rsidRPr="00F94B3E">
        <w:t>tra</w:t>
      </w:r>
      <w:r w:rsidRPr="00460E07">
        <w:t>teg</w:t>
      </w:r>
      <w:r w:rsidRPr="00F94B3E">
        <w:t>y</w:t>
      </w:r>
      <w:r w:rsidRPr="00460E07">
        <w:t xml:space="preserve"> </w:t>
      </w:r>
      <w:r w:rsidRPr="00F94B3E">
        <w:t>c</w:t>
      </w:r>
      <w:r w:rsidRPr="00460E07">
        <w:t>a</w:t>
      </w:r>
      <w:r w:rsidRPr="00F94B3E">
        <w:t>n</w:t>
      </w:r>
      <w:r w:rsidRPr="00460E07">
        <w:t xml:space="preserve"> b</w:t>
      </w:r>
      <w:r w:rsidRPr="00F94B3E">
        <w:t>e</w:t>
      </w:r>
      <w:r w:rsidRPr="00460E07">
        <w:t xml:space="preserve"> </w:t>
      </w:r>
      <w:r w:rsidRPr="00F94B3E">
        <w:t>i</w:t>
      </w:r>
      <w:r w:rsidRPr="00460E07">
        <w:t>nformed</w:t>
      </w:r>
      <w:r w:rsidRPr="00F94B3E">
        <w:t>.</w:t>
      </w:r>
      <w:r w:rsidRPr="00460E07">
        <w:t xml:space="preserve"> </w:t>
      </w:r>
      <w:r w:rsidR="00DD3A76">
        <w:t>Additional</w:t>
      </w:r>
      <w:r w:rsidR="009C19B1">
        <w:t xml:space="preserve"> data is need</w:t>
      </w:r>
      <w:r w:rsidR="000C1D81">
        <w:t>ed around</w:t>
      </w:r>
      <w:r w:rsidR="009C19B1">
        <w:t xml:space="preserve"> </w:t>
      </w:r>
      <w:r w:rsidRPr="00F94B3E">
        <w:t>f</w:t>
      </w:r>
      <w:r w:rsidRPr="00460E07">
        <w:t>ou</w:t>
      </w:r>
      <w:r w:rsidRPr="00F94B3E">
        <w:t>r</w:t>
      </w:r>
      <w:r w:rsidRPr="00460E07">
        <w:t xml:space="preserve"> ma</w:t>
      </w:r>
      <w:r w:rsidRPr="00F94B3E">
        <w:t>jor l</w:t>
      </w:r>
      <w:r w:rsidRPr="00460E07">
        <w:t>on</w:t>
      </w:r>
      <w:r w:rsidRPr="00F94B3E">
        <w:t>g t</w:t>
      </w:r>
      <w:r w:rsidRPr="00460E07">
        <w:t>e</w:t>
      </w:r>
      <w:r w:rsidRPr="00F94B3E">
        <w:t>rm</w:t>
      </w:r>
      <w:r w:rsidRPr="00460E07">
        <w:t xml:space="preserve"> hea</w:t>
      </w:r>
      <w:r w:rsidRPr="00F94B3E">
        <w:t>l</w:t>
      </w:r>
      <w:r w:rsidRPr="00460E07">
        <w:t>t</w:t>
      </w:r>
      <w:r w:rsidRPr="00F94B3E">
        <w:t>h</w:t>
      </w:r>
      <w:r w:rsidRPr="00460E07">
        <w:t xml:space="preserve"> </w:t>
      </w:r>
      <w:r w:rsidRPr="00F94B3E">
        <w:t>c</w:t>
      </w:r>
      <w:r w:rsidRPr="00460E07">
        <w:t>ond</w:t>
      </w:r>
      <w:r w:rsidRPr="00F94B3E">
        <w:t>iti</w:t>
      </w:r>
      <w:r w:rsidRPr="00460E07">
        <w:t>on</w:t>
      </w:r>
      <w:r w:rsidRPr="00F94B3E">
        <w:t>s</w:t>
      </w:r>
      <w:r w:rsidRPr="00460E07">
        <w:t xml:space="preserve"> </w:t>
      </w:r>
      <w:r w:rsidRPr="00F94B3E">
        <w:t>(o</w:t>
      </w:r>
      <w:r w:rsidRPr="00460E07">
        <w:t>be</w:t>
      </w:r>
      <w:r w:rsidRPr="00F94B3E">
        <w:t>sit</w:t>
      </w:r>
      <w:r w:rsidRPr="00460E07">
        <w:t>y</w:t>
      </w:r>
      <w:r w:rsidRPr="00F94B3E">
        <w:t>,</w:t>
      </w:r>
      <w:r w:rsidRPr="00460E07">
        <w:t xml:space="preserve"> d</w:t>
      </w:r>
      <w:r w:rsidRPr="00F94B3E">
        <w:t>ia</w:t>
      </w:r>
      <w:r w:rsidRPr="00460E07">
        <w:t>be</w:t>
      </w:r>
      <w:r w:rsidRPr="00F94B3E">
        <w:t>t</w:t>
      </w:r>
      <w:r w:rsidRPr="00460E07">
        <w:t>e</w:t>
      </w:r>
      <w:r w:rsidRPr="00F94B3E">
        <w:t>s,</w:t>
      </w:r>
      <w:r w:rsidRPr="00460E07">
        <w:t xml:space="preserve"> </w:t>
      </w:r>
      <w:r w:rsidRPr="00F94B3E">
        <w:t>c</w:t>
      </w:r>
      <w:r w:rsidRPr="00460E07">
        <w:t>ard</w:t>
      </w:r>
      <w:r w:rsidRPr="00F94B3E">
        <w:t>io</w:t>
      </w:r>
      <w:r w:rsidRPr="00460E07">
        <w:t>va</w:t>
      </w:r>
      <w:r w:rsidRPr="00F94B3E">
        <w:t>sc</w:t>
      </w:r>
      <w:r w:rsidRPr="00460E07">
        <w:t>u</w:t>
      </w:r>
      <w:r w:rsidRPr="00F94B3E">
        <w:t xml:space="preserve">lar </w:t>
      </w:r>
      <w:r w:rsidRPr="00460E07">
        <w:t>d</w:t>
      </w:r>
      <w:r w:rsidRPr="00F94B3E">
        <w:t>ise</w:t>
      </w:r>
      <w:r w:rsidRPr="00460E07">
        <w:t>as</w:t>
      </w:r>
      <w:r w:rsidRPr="00F94B3E">
        <w:t>e</w:t>
      </w:r>
      <w:r w:rsidRPr="00460E07">
        <w:t xml:space="preserve"> an</w:t>
      </w:r>
      <w:r w:rsidRPr="00F94B3E">
        <w:t>d</w:t>
      </w:r>
      <w:r w:rsidRPr="00460E07">
        <w:t xml:space="preserve"> ep</w:t>
      </w:r>
      <w:r w:rsidRPr="00F94B3E">
        <w:t>i</w:t>
      </w:r>
      <w:r w:rsidRPr="00460E07">
        <w:t>lep</w:t>
      </w:r>
      <w:r w:rsidRPr="00F94B3E">
        <w:t>s</w:t>
      </w:r>
      <w:r w:rsidRPr="00460E07">
        <w:t>y</w:t>
      </w:r>
      <w:r w:rsidRPr="00F94B3E">
        <w:t>)</w:t>
      </w:r>
      <w:r w:rsidRPr="00460E07">
        <w:t xml:space="preserve"> </w:t>
      </w:r>
      <w:r w:rsidRPr="00F94B3E">
        <w:t>to</w:t>
      </w:r>
      <w:r w:rsidRPr="00460E07">
        <w:t xml:space="preserve"> enab</w:t>
      </w:r>
      <w:r>
        <w:t>le a more</w:t>
      </w:r>
      <w:r w:rsidRPr="00F94B3E">
        <w:t xml:space="preserve"> </w:t>
      </w:r>
      <w:r w:rsidRPr="00460E07">
        <w:t>e</w:t>
      </w:r>
      <w:r w:rsidRPr="00F94B3E">
        <w:t>f</w:t>
      </w:r>
      <w:r w:rsidRPr="00460E07">
        <w:t>fe</w:t>
      </w:r>
      <w:r w:rsidRPr="00F94B3E">
        <w:t>cti</w:t>
      </w:r>
      <w:r>
        <w:t xml:space="preserve">ve response </w:t>
      </w:r>
      <w:r w:rsidRPr="00460E07">
        <w:t>t</w:t>
      </w:r>
      <w:r w:rsidRPr="00F94B3E">
        <w:t>o</w:t>
      </w:r>
      <w:r w:rsidRPr="00460E07">
        <w:t xml:space="preserve"> </w:t>
      </w:r>
      <w:r w:rsidRPr="00F94B3E">
        <w:t>clinic</w:t>
      </w:r>
      <w:r w:rsidRPr="00460E07">
        <w:t>a</w:t>
      </w:r>
      <w:r w:rsidRPr="00F94B3E">
        <w:t xml:space="preserve">l </w:t>
      </w:r>
      <w:r w:rsidRPr="00460E07">
        <w:t>need</w:t>
      </w:r>
      <w:r w:rsidRPr="00F94B3E">
        <w:t xml:space="preserve">s </w:t>
      </w:r>
      <w:r w:rsidRPr="00460E07">
        <w:t>an</w:t>
      </w:r>
      <w:r w:rsidRPr="00F94B3E">
        <w:t>d</w:t>
      </w:r>
      <w:r w:rsidRPr="00460E07">
        <w:t xml:space="preserve"> b</w:t>
      </w:r>
      <w:r w:rsidRPr="00F94B3E">
        <w:t>e</w:t>
      </w:r>
      <w:r w:rsidRPr="00460E07">
        <w:t xml:space="preserve"> </w:t>
      </w:r>
      <w:r w:rsidRPr="00F94B3E">
        <w:t>in</w:t>
      </w:r>
      <w:r>
        <w:t xml:space="preserve"> better </w:t>
      </w:r>
      <w:r w:rsidRPr="00460E07">
        <w:t>po</w:t>
      </w:r>
      <w:r w:rsidRPr="00F94B3E">
        <w:t>sition</w:t>
      </w:r>
      <w:r w:rsidRPr="00460E07">
        <w:t xml:space="preserve"> </w:t>
      </w:r>
      <w:r w:rsidRPr="00F94B3E">
        <w:t>f</w:t>
      </w:r>
      <w:r w:rsidRPr="00460E07">
        <w:t>o</w:t>
      </w:r>
      <w:r w:rsidRPr="00F94B3E">
        <w:t>r</w:t>
      </w:r>
      <w:r w:rsidRPr="00460E07">
        <w:t xml:space="preserve"> </w:t>
      </w:r>
      <w:r w:rsidRPr="00F94B3E">
        <w:t>f</w:t>
      </w:r>
      <w:r w:rsidRPr="00460E07">
        <w:t>u</w:t>
      </w:r>
      <w:r w:rsidRPr="00F94B3E">
        <w:t>t</w:t>
      </w:r>
      <w:r w:rsidRPr="00460E07">
        <w:t>u</w:t>
      </w:r>
      <w:r w:rsidRPr="00F94B3E">
        <w:t xml:space="preserve">re </w:t>
      </w:r>
      <w:r w:rsidRPr="00460E07">
        <w:t>p</w:t>
      </w:r>
      <w:r w:rsidRPr="00F94B3E">
        <w:t>la</w:t>
      </w:r>
      <w:r w:rsidRPr="00460E07">
        <w:t>nn</w:t>
      </w:r>
      <w:r w:rsidRPr="00F94B3E">
        <w:t>ing</w:t>
      </w:r>
      <w:r w:rsidRPr="00460E07">
        <w:t xml:space="preserve"> o</w:t>
      </w:r>
      <w:r w:rsidRPr="00F94B3E">
        <w:t>f</w:t>
      </w:r>
      <w:r w:rsidRPr="00460E07">
        <w:t xml:space="preserve"> </w:t>
      </w:r>
      <w:r w:rsidRPr="00F94B3E">
        <w:t>re</w:t>
      </w:r>
      <w:r w:rsidRPr="00460E07">
        <w:t>asonab</w:t>
      </w:r>
      <w:r w:rsidRPr="00F94B3E">
        <w:t>ly</w:t>
      </w:r>
      <w:r w:rsidRPr="00460E07">
        <w:t xml:space="preserve"> ad</w:t>
      </w:r>
      <w:r w:rsidRPr="00F94B3E">
        <w:t>jus</w:t>
      </w:r>
      <w:r w:rsidRPr="00460E07">
        <w:t>te</w:t>
      </w:r>
      <w:r w:rsidRPr="00F94B3E">
        <w:t>d</w:t>
      </w:r>
      <w:r w:rsidRPr="00460E07">
        <w:t xml:space="preserve"> hea</w:t>
      </w:r>
      <w:r w:rsidRPr="00F94B3E">
        <w:t>l</w:t>
      </w:r>
      <w:r w:rsidRPr="00460E07">
        <w:t>t</w:t>
      </w:r>
      <w:r w:rsidRPr="00F94B3E">
        <w:t>h</w:t>
      </w:r>
      <w:r w:rsidRPr="00460E07">
        <w:t xml:space="preserve"> </w:t>
      </w:r>
      <w:r w:rsidRPr="00F94B3E">
        <w:t>s</w:t>
      </w:r>
      <w:r w:rsidRPr="00460E07">
        <w:t>e</w:t>
      </w:r>
      <w:r w:rsidRPr="00F94B3E">
        <w:t>r</w:t>
      </w:r>
      <w:r w:rsidRPr="00460E07">
        <w:t>v</w:t>
      </w:r>
      <w:r w:rsidRPr="00F94B3E">
        <w:t>ices</w:t>
      </w:r>
      <w:r w:rsidRPr="00460E07">
        <w:t xml:space="preserve"> fo</w:t>
      </w:r>
      <w:r w:rsidRPr="00F94B3E">
        <w:t xml:space="preserve">r </w:t>
      </w:r>
      <w:r w:rsidRPr="00460E07">
        <w:t>peop</w:t>
      </w:r>
      <w:r w:rsidRPr="00F94B3E">
        <w:t>le</w:t>
      </w:r>
      <w:r w:rsidRPr="00460E07">
        <w:t xml:space="preserve"> w</w:t>
      </w:r>
      <w:r w:rsidRPr="00F94B3E">
        <w:t>ith</w:t>
      </w:r>
      <w:r w:rsidRPr="00460E07">
        <w:t xml:space="preserve"> </w:t>
      </w:r>
      <w:r w:rsidRPr="00F94B3E">
        <w:t>l</w:t>
      </w:r>
      <w:r w:rsidRPr="00460E07">
        <w:t>earn</w:t>
      </w:r>
      <w:r w:rsidRPr="00F94B3E">
        <w:t>ing</w:t>
      </w:r>
      <w:r w:rsidRPr="00460E07">
        <w:t xml:space="preserve"> d</w:t>
      </w:r>
      <w:r w:rsidRPr="00F94B3E">
        <w:t>isa</w:t>
      </w:r>
      <w:r w:rsidRPr="00460E07">
        <w:t>b</w:t>
      </w:r>
      <w:r w:rsidRPr="00F94B3E">
        <w:t>i</w:t>
      </w:r>
      <w:r w:rsidRPr="00460E07">
        <w:t>l</w:t>
      </w:r>
      <w:r w:rsidRPr="00F94B3E">
        <w:t>ities.</w:t>
      </w:r>
    </w:p>
    <w:p w:rsidR="008921BF" w:rsidRDefault="008921BF" w:rsidP="008921BF">
      <w:pPr>
        <w:spacing w:after="0"/>
        <w:jc w:val="both"/>
      </w:pPr>
    </w:p>
    <w:p w:rsidR="008921BF" w:rsidRDefault="008921BF" w:rsidP="008921BF">
      <w:pPr>
        <w:spacing w:after="0"/>
        <w:jc w:val="both"/>
      </w:pPr>
      <w:r>
        <w:t xml:space="preserve">Health screening data will help to develop a better understanding of whether more PWLD are accessing such services, for the annual LD self-assessment </w:t>
      </w:r>
      <w:r w:rsidR="004F1B96">
        <w:t xml:space="preserve">it was </w:t>
      </w:r>
      <w:r>
        <w:t>found that 51 women with LD aged between 25 – 64 years had acc</w:t>
      </w:r>
      <w:r w:rsidR="00C35D6A">
        <w:t>essed cervical cancer screening and</w:t>
      </w:r>
      <w:r>
        <w:t xml:space="preserve"> six PWLD aged 60 – 69 years had received bowel cancer screening. </w:t>
      </w:r>
    </w:p>
    <w:p w:rsidR="008921BF" w:rsidRDefault="008921BF" w:rsidP="008921BF">
      <w:pPr>
        <w:pStyle w:val="Heading3"/>
        <w:jc w:val="both"/>
      </w:pPr>
      <w:r>
        <w:t>Older Adults</w:t>
      </w:r>
    </w:p>
    <w:p w:rsidR="008921BF" w:rsidRDefault="008921BF" w:rsidP="008921BF">
      <w:pPr>
        <w:jc w:val="both"/>
      </w:pPr>
      <w:r>
        <w:t xml:space="preserve">People aged 65 and over account for the largest client group within adult social </w:t>
      </w:r>
      <w:r w:rsidR="00DD3A76">
        <w:t>care. With</w:t>
      </w:r>
      <w:r>
        <w:t xml:space="preserve"> the projected population within this age group, there is likely to be an increased need for services, during a time of more limited resources. </w:t>
      </w:r>
    </w:p>
    <w:p w:rsidR="008921BF" w:rsidRDefault="008921BF" w:rsidP="008921BF">
      <w:pPr>
        <w:pStyle w:val="Heading4"/>
        <w:jc w:val="both"/>
      </w:pPr>
      <w:r>
        <w:t>Social Isolation</w:t>
      </w:r>
    </w:p>
    <w:p w:rsidR="008921BF" w:rsidRDefault="008921BF" w:rsidP="008921BF">
      <w:pPr>
        <w:jc w:val="both"/>
      </w:pPr>
      <w:r w:rsidRPr="00C63EE4">
        <w:t>Feelings of social isolation and loneliness are detrimental to a person’s health and wellbeing</w:t>
      </w:r>
      <w:r w:rsidRPr="00C63EE4">
        <w:rPr>
          <w:rStyle w:val="FootnoteReference"/>
        </w:rPr>
        <w:footnoteReference w:id="149"/>
      </w:r>
      <w:r w:rsidRPr="00C63EE4">
        <w:t>.</w:t>
      </w:r>
      <w:r>
        <w:t xml:space="preserve"> </w:t>
      </w:r>
      <w:r w:rsidRPr="00B503C0">
        <w:rPr>
          <w:rFonts w:eastAsia="Times New Roman" w:cs="Times New Roman"/>
          <w:lang w:eastAsia="en-GB"/>
        </w:rPr>
        <w:t>In the 2013</w:t>
      </w:r>
      <w:r w:rsidRPr="00FD3389">
        <w:t xml:space="preserve"> </w:t>
      </w:r>
      <w:hyperlink r:id="rId208" w:history="1">
        <w:r w:rsidRPr="00FD3389">
          <w:rPr>
            <w:rStyle w:val="Hyperlink"/>
          </w:rPr>
          <w:t>Annual User Experience Survey</w:t>
        </w:r>
        <w:r w:rsidRPr="00FD3389">
          <w:rPr>
            <w:rStyle w:val="CommentReference"/>
          </w:rPr>
          <w:t> </w:t>
        </w:r>
      </w:hyperlink>
      <w:r w:rsidRPr="00FD3389">
        <w:t xml:space="preserve"> </w:t>
      </w:r>
      <w:r w:rsidRPr="00B503C0">
        <w:rPr>
          <w:rFonts w:eastAsia="Times New Roman" w:cs="Times New Roman"/>
          <w:lang w:eastAsia="en-GB"/>
        </w:rPr>
        <w:t>24% of respondents said they either had some but not</w:t>
      </w:r>
      <w:r w:rsidRPr="00FD3389">
        <w:t xml:space="preserve"> </w:t>
      </w:r>
      <w:r w:rsidRPr="00B503C0">
        <w:t xml:space="preserve">enough social contact, or felt socially isolated. In Barnet there are an estimated 18,300 older adults living alone, making up 38% of the elderly population in the </w:t>
      </w:r>
      <w:r>
        <w:t>Borough</w:t>
      </w:r>
      <w:r w:rsidRPr="00B503C0">
        <w:t>.</w:t>
      </w:r>
    </w:p>
    <w:p w:rsidR="008921BF" w:rsidRDefault="008921BF" w:rsidP="008921BF">
      <w:pPr>
        <w:jc w:val="both"/>
      </w:pPr>
      <w:r w:rsidRPr="00C63EE4">
        <w:t>In 2014</w:t>
      </w:r>
      <w:r w:rsidR="00C35D6A">
        <w:t>,</w:t>
      </w:r>
      <w:r w:rsidRPr="00C63EE4">
        <w:t xml:space="preserve"> the Barnet Customer Support Group Insight team carried out a piece of analysis to develop a profile of the types of people within Barnet that were likely to experience some level of social isolation.</w:t>
      </w:r>
      <w:r>
        <w:t xml:space="preserve"> The analysis </w:t>
      </w:r>
      <w:r w:rsidRPr="00C63EE4">
        <w:t xml:space="preserve">found that social isolation was most common amongst </w:t>
      </w:r>
      <w:r w:rsidRPr="00C63EE4">
        <w:rPr>
          <w:i/>
        </w:rPr>
        <w:t>women,</w:t>
      </w:r>
      <w:r w:rsidRPr="00C63EE4">
        <w:t xml:space="preserve"> </w:t>
      </w:r>
      <w:r w:rsidRPr="00C63EE4">
        <w:rPr>
          <w:i/>
        </w:rPr>
        <w:t>aged 75 and over</w:t>
      </w:r>
      <w:r w:rsidRPr="00C63EE4">
        <w:t xml:space="preserve"> who were </w:t>
      </w:r>
      <w:r w:rsidRPr="00C63EE4">
        <w:rPr>
          <w:i/>
        </w:rPr>
        <w:t>living alone</w:t>
      </w:r>
      <w:r w:rsidRPr="00C63EE4">
        <w:t xml:space="preserve">. </w:t>
      </w:r>
    </w:p>
    <w:p w:rsidR="008921BF" w:rsidRDefault="008921BF" w:rsidP="008921BF">
      <w:pPr>
        <w:jc w:val="both"/>
        <w:rPr>
          <w:sz w:val="24"/>
          <w:szCs w:val="24"/>
        </w:rPr>
      </w:pPr>
      <w:r w:rsidRPr="006A33E2">
        <w:rPr>
          <w:noProof/>
          <w:sz w:val="24"/>
          <w:szCs w:val="24"/>
          <w:lang w:eastAsia="en-GB"/>
        </w:rPr>
        <mc:AlternateContent>
          <mc:Choice Requires="wps">
            <w:drawing>
              <wp:anchor distT="0" distB="0" distL="114300" distR="114300" simplePos="0" relativeHeight="251859968" behindDoc="0" locked="0" layoutInCell="1" allowOverlap="1" wp14:anchorId="0123C749" wp14:editId="54A0DD29">
                <wp:simplePos x="0" y="0"/>
                <wp:positionH relativeFrom="column">
                  <wp:posOffset>-2632075</wp:posOffset>
                </wp:positionH>
                <wp:positionV relativeFrom="paragraph">
                  <wp:posOffset>32385</wp:posOffset>
                </wp:positionV>
                <wp:extent cx="1175385" cy="621665"/>
                <wp:effectExtent l="0" t="0" r="0" b="0"/>
                <wp:wrapNone/>
                <wp:docPr id="430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5385" cy="621665"/>
                        </a:xfrm>
                        <a:prstGeom prst="rect">
                          <a:avLst/>
                        </a:prstGeom>
                        <a:noFill/>
                        <a:ln w="9525">
                          <a:noFill/>
                          <a:miter lim="800000"/>
                          <a:headEnd/>
                          <a:tailEnd/>
                        </a:ln>
                      </wps:spPr>
                      <wps:txbx>
                        <w:txbxContent>
                          <w:p w:rsidR="00890277" w:rsidRPr="006A33E2" w:rsidRDefault="00890277" w:rsidP="008921BF">
                            <w:pPr>
                              <w:spacing w:after="0" w:line="240" w:lineRule="auto"/>
                              <w:rPr>
                                <w:sz w:val="16"/>
                                <w:szCs w:val="16"/>
                              </w:rPr>
                            </w:pPr>
                            <w:r w:rsidRPr="006A33E2">
                              <w:rPr>
                                <w:sz w:val="16"/>
                                <w:szCs w:val="16"/>
                              </w:rPr>
                              <w:t>Source: CSG Insight Team 2014</w:t>
                            </w:r>
                          </w:p>
                          <w:p w:rsidR="00890277" w:rsidRDefault="00890277" w:rsidP="008921B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207.25pt;margin-top:2.55pt;width:92.55pt;height:48.9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" filled="f" stroked="f">
                <v:textbox>
                  <w:txbxContent>
                    <w:p w:rsidR="00D7687B" w:rsidRPr="006A33E2" w:rsidRDefault="00D7687B" w:rsidP="008921BF">
                      <w:pPr>
                        <w:spacing w:after="0" w:line="240" w:lineRule="auto"/>
                        <w:rPr>
                          <w:sz w:val="16"/>
                          <w:szCs w:val="16"/>
                        </w:rPr>
                      </w:pPr>
                      <w:r w:rsidRPr="006A33E2">
                        <w:rPr>
                          <w:sz w:val="16"/>
                          <w:szCs w:val="16"/>
                        </w:rPr>
                        <w:t>Source: CSG Insight Team 2014</w:t>
                      </w:r>
                    </w:p>
                    <w:p w:rsidR="00D7687B" w:rsidRDefault="00D7687B" w:rsidP="008921BF"/>
                  </w:txbxContent>
                </v:textbox>
              </v:shape>
            </w:pict>
          </mc:Fallback>
        </mc:AlternateContent>
      </w:r>
      <w:r>
        <w:t>Figure 9</w:t>
      </w:r>
      <w:r w:rsidR="006F597E">
        <w:t>-9</w:t>
      </w:r>
      <w:r w:rsidRPr="006A33E2">
        <w:t xml:space="preserve"> shows a map of socially isolated people in Barnet </w:t>
      </w:r>
      <w:r w:rsidRPr="006A33E2">
        <w:rPr>
          <w:sz w:val="24"/>
          <w:szCs w:val="24"/>
        </w:rPr>
        <w:t>in 2014.</w:t>
      </w:r>
    </w:p>
    <w:p w:rsidR="006F597E" w:rsidRPr="006A33E2" w:rsidRDefault="008921BF" w:rsidP="008921BF">
      <w:pPr>
        <w:jc w:val="both"/>
      </w:pPr>
      <w:r w:rsidRPr="006A33E2">
        <w:lastRenderedPageBreak/>
        <w:t xml:space="preserve">The issue of social isolation is </w:t>
      </w:r>
      <w:r>
        <w:t>Borough</w:t>
      </w:r>
      <w:r w:rsidRPr="006A33E2">
        <w:t xml:space="preserve">-wide. However, Burnt Oak, Colindale and West Hendon have the lowest number of people likely to be socially isolated. Older people in these areas tend to be long-term residents having </w:t>
      </w:r>
      <w:r w:rsidR="006F597E">
        <w:t>strong ties with the community.</w:t>
      </w:r>
    </w:p>
    <w:p w:rsidR="008921BF" w:rsidRDefault="008921BF" w:rsidP="008921BF">
      <w:pPr>
        <w:spacing w:after="0" w:line="240" w:lineRule="auto"/>
        <w:jc w:val="both"/>
      </w:pPr>
      <w:r>
        <w:t>L</w:t>
      </w:r>
      <w:r w:rsidRPr="006A33E2">
        <w:t xml:space="preserve">ess densely populated, more affluent areas in the north of the </w:t>
      </w:r>
      <w:r>
        <w:t>Borough</w:t>
      </w:r>
      <w:r w:rsidRPr="006A33E2">
        <w:t xml:space="preserve"> were identified as possible hotspots for social isolation.</w:t>
      </w:r>
      <w:r>
        <w:rPr>
          <w:highlight w:val="yellow"/>
        </w:rPr>
        <w:t xml:space="preserve"> </w:t>
      </w:r>
      <w:r>
        <w:t xml:space="preserve"> </w:t>
      </w:r>
    </w:p>
    <w:p w:rsidR="008921BF" w:rsidRDefault="008921BF" w:rsidP="008921BF">
      <w:pPr>
        <w:spacing w:after="0"/>
        <w:jc w:val="both"/>
      </w:pPr>
    </w:p>
    <w:p w:rsidR="008921BF" w:rsidRDefault="008921BF" w:rsidP="008921BF">
      <w:pPr>
        <w:pStyle w:val="Caption"/>
        <w:rPr>
          <w:b w:val="0"/>
          <w:i/>
        </w:rPr>
      </w:pPr>
      <w:r>
        <w:t xml:space="preserve">Figure </w:t>
      </w:r>
      <w:fldSimple w:instr=" STYLEREF 1 \s ">
        <w:r w:rsidR="001663C2">
          <w:rPr>
            <w:noProof/>
          </w:rPr>
          <w:t>9</w:t>
        </w:r>
      </w:fldSimple>
      <w:r w:rsidR="00943DC2">
        <w:noBreakHyphen/>
      </w:r>
      <w:fldSimple w:instr=" SEQ Figure \* ARABIC \s 1 ">
        <w:r w:rsidR="001663C2">
          <w:rPr>
            <w:noProof/>
          </w:rPr>
          <w:t>9</w:t>
        </w:r>
      </w:fldSimple>
      <w:r w:rsidRPr="00041E32">
        <w:t>: Socially Isolated People in Barnet (2014)</w:t>
      </w:r>
    </w:p>
    <w:p w:rsidR="008921BF" w:rsidRDefault="008921BF" w:rsidP="008921BF">
      <w:pPr>
        <w:jc w:val="center"/>
      </w:pPr>
      <w:r w:rsidRPr="006A33E2">
        <w:rPr>
          <w:b/>
          <w:i/>
          <w:noProof/>
          <w:lang w:eastAsia="en-GB"/>
        </w:rPr>
        <w:drawing>
          <wp:inline distT="0" distB="0" distL="0" distR="0" wp14:anchorId="3A515D17" wp14:editId="5E6D0F93">
            <wp:extent cx="4486939" cy="4527156"/>
            <wp:effectExtent l="0" t="0" r="8890" b="698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4502264" cy="4542619"/>
                    </a:xfrm>
                    <a:prstGeom prst="rect">
                      <a:avLst/>
                    </a:prstGeom>
                    <a:noFill/>
                  </pic:spPr>
                </pic:pic>
              </a:graphicData>
            </a:graphic>
          </wp:inline>
        </w:drawing>
      </w:r>
    </w:p>
    <w:p w:rsidR="00047215" w:rsidRDefault="00047215" w:rsidP="00047215">
      <w:pPr>
        <w:pStyle w:val="Heading5"/>
        <w:numPr>
          <w:ilvl w:val="0"/>
          <w:numId w:val="0"/>
        </w:numPr>
        <w:spacing w:before="0" w:line="240" w:lineRule="auto"/>
        <w:ind w:left="1008"/>
        <w:jc w:val="both"/>
      </w:pPr>
    </w:p>
    <w:p w:rsidR="00047215" w:rsidRDefault="00047215" w:rsidP="00047215"/>
    <w:p w:rsidR="00047215" w:rsidRDefault="00047215" w:rsidP="00047215"/>
    <w:p w:rsidR="00047215" w:rsidRDefault="00047215" w:rsidP="00047215"/>
    <w:p w:rsidR="00047215" w:rsidRDefault="00047215" w:rsidP="00047215"/>
    <w:p w:rsidR="00047215" w:rsidRDefault="00047215" w:rsidP="00047215"/>
    <w:p w:rsidR="00047215" w:rsidRDefault="00047215" w:rsidP="00047215"/>
    <w:p w:rsidR="00047215" w:rsidRPr="00047215" w:rsidRDefault="00047215" w:rsidP="00047215"/>
    <w:p w:rsidR="008921BF" w:rsidRDefault="008921BF" w:rsidP="008921BF">
      <w:pPr>
        <w:pStyle w:val="Heading5"/>
        <w:spacing w:before="0" w:line="240" w:lineRule="auto"/>
        <w:jc w:val="both"/>
      </w:pPr>
      <w:r w:rsidRPr="008508BD">
        <w:lastRenderedPageBreak/>
        <w:t>Possible Future Hotspots of Social Isolation</w:t>
      </w:r>
    </w:p>
    <w:p w:rsidR="008921BF" w:rsidRPr="00546324" w:rsidRDefault="008921BF" w:rsidP="008921BF">
      <w:pPr>
        <w:spacing w:after="0" w:line="240" w:lineRule="auto"/>
      </w:pPr>
    </w:p>
    <w:p w:rsidR="008921BF" w:rsidRDefault="008921BF" w:rsidP="008921BF">
      <w:pPr>
        <w:pStyle w:val="Caption"/>
        <w:spacing w:after="0"/>
        <w:rPr>
          <w:b w:val="0"/>
          <w:i/>
        </w:rPr>
      </w:pPr>
      <w:r>
        <w:t xml:space="preserve">Figure </w:t>
      </w:r>
      <w:fldSimple w:instr=" STYLEREF 1 \s ">
        <w:r w:rsidR="001663C2">
          <w:rPr>
            <w:noProof/>
          </w:rPr>
          <w:t>9</w:t>
        </w:r>
      </w:fldSimple>
      <w:r w:rsidR="00943DC2">
        <w:noBreakHyphen/>
      </w:r>
      <w:fldSimple w:instr=" SEQ Figure \* ARABIC \s 1 ">
        <w:r w:rsidR="001663C2">
          <w:rPr>
            <w:noProof/>
          </w:rPr>
          <w:t>10</w:t>
        </w:r>
      </w:fldSimple>
      <w:r w:rsidRPr="00041E32">
        <w:t>: Change in over 75 year old female population by ward, 2014 – 2025</w:t>
      </w:r>
    </w:p>
    <w:p w:rsidR="008921BF" w:rsidRDefault="008921BF" w:rsidP="008921BF">
      <w:pPr>
        <w:spacing w:after="0" w:line="240" w:lineRule="auto"/>
        <w:jc w:val="center"/>
      </w:pPr>
      <w:r w:rsidRPr="008508BD">
        <w:rPr>
          <w:b/>
          <w:i/>
          <w:noProof/>
          <w:lang w:eastAsia="en-GB"/>
        </w:rPr>
        <w:drawing>
          <wp:inline distT="0" distB="0" distL="0" distR="0" wp14:anchorId="18FB5A8A" wp14:editId="7DCD1554">
            <wp:extent cx="3914775" cy="3795562"/>
            <wp:effectExtent l="0" t="0" r="0" b="0"/>
            <wp:docPr id="8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210" cstate="print">
                      <a:extLst>
                        <a:ext uri="{28A0092B-C50C-407E-A947-70E740481C1C}">
                          <a14:useLocalDpi xmlns:a14="http://schemas.microsoft.com/office/drawing/2010/main" val="0"/>
                        </a:ext>
                      </a:extLst>
                    </a:blip>
                    <a:srcRect l="5970" t="15699" r="8955" b="25962"/>
                    <a:stretch/>
                  </pic:blipFill>
                  <pic:spPr bwMode="auto">
                    <a:xfrm>
                      <a:off x="0" y="0"/>
                      <a:ext cx="3920075" cy="3800701"/>
                    </a:xfrm>
                    <a:prstGeom prst="rect">
                      <a:avLst/>
                    </a:prstGeom>
                    <a:ln>
                      <a:noFill/>
                    </a:ln>
                    <a:extLst>
                      <a:ext uri="{53640926-AAD7-44D8-BBD7-CCE9431645EC}">
                        <a14:shadowObscured xmlns:a14="http://schemas.microsoft.com/office/drawing/2010/main"/>
                      </a:ext>
                    </a:extLst>
                  </pic:spPr>
                </pic:pic>
              </a:graphicData>
            </a:graphic>
          </wp:inline>
        </w:drawing>
      </w:r>
    </w:p>
    <w:p w:rsidR="008921BF" w:rsidRDefault="008921BF" w:rsidP="008921BF">
      <w:pPr>
        <w:spacing w:after="0" w:line="240" w:lineRule="auto"/>
        <w:jc w:val="both"/>
      </w:pPr>
      <w:r>
        <w:t>Source: GLA 2013 Population Projections (Borough Preferred Option)</w:t>
      </w:r>
    </w:p>
    <w:p w:rsidR="00047215" w:rsidRDefault="00047215" w:rsidP="008921BF">
      <w:pPr>
        <w:spacing w:after="0" w:line="240" w:lineRule="auto"/>
        <w:jc w:val="both"/>
      </w:pPr>
    </w:p>
    <w:p w:rsidR="008921BF" w:rsidRDefault="008921BF" w:rsidP="008921BF">
      <w:pPr>
        <w:spacing w:after="0" w:line="240" w:lineRule="auto"/>
        <w:jc w:val="both"/>
      </w:pPr>
      <w:r w:rsidRPr="008508BD">
        <w:t>There will be an estimated 5,300 more f</w:t>
      </w:r>
      <w:r>
        <w:t xml:space="preserve">emales aged 75 and over by 2025, </w:t>
      </w:r>
      <w:r w:rsidRPr="008508BD">
        <w:t>an increase of 37%.</w:t>
      </w:r>
    </w:p>
    <w:p w:rsidR="008921BF" w:rsidRPr="008508BD" w:rsidRDefault="008921BF" w:rsidP="008921BF">
      <w:pPr>
        <w:spacing w:after="0" w:line="240" w:lineRule="auto"/>
        <w:jc w:val="both"/>
      </w:pPr>
    </w:p>
    <w:p w:rsidR="008921BF" w:rsidRDefault="008921BF" w:rsidP="008921BF">
      <w:pPr>
        <w:tabs>
          <w:tab w:val="num" w:pos="720"/>
        </w:tabs>
        <w:spacing w:after="0"/>
        <w:jc w:val="both"/>
      </w:pPr>
      <w:r w:rsidRPr="008508BD">
        <w:t xml:space="preserve">The largest increases are in Edgware, Mill Hill and Garden Suburb. Garden Suburb and Mill Hill both have large isolated populations </w:t>
      </w:r>
      <w:r>
        <w:t>at present</w:t>
      </w:r>
      <w:r w:rsidRPr="008508BD">
        <w:t>.</w:t>
      </w:r>
    </w:p>
    <w:p w:rsidR="008921BF" w:rsidRPr="008508BD" w:rsidRDefault="008921BF" w:rsidP="008921BF">
      <w:pPr>
        <w:tabs>
          <w:tab w:val="num" w:pos="720"/>
        </w:tabs>
        <w:spacing w:after="0"/>
        <w:jc w:val="both"/>
      </w:pPr>
    </w:p>
    <w:p w:rsidR="008921BF" w:rsidRDefault="008921BF" w:rsidP="008921BF">
      <w:pPr>
        <w:tabs>
          <w:tab w:val="num" w:pos="720"/>
        </w:tabs>
        <w:spacing w:after="0"/>
        <w:jc w:val="both"/>
      </w:pPr>
      <w:r w:rsidRPr="00834A8D">
        <w:rPr>
          <w:noProof/>
          <w:sz w:val="24"/>
          <w:szCs w:val="24"/>
          <w:lang w:eastAsia="en-GB"/>
        </w:rPr>
        <mc:AlternateContent>
          <mc:Choice Requires="wps">
            <w:drawing>
              <wp:anchor distT="0" distB="0" distL="114300" distR="114300" simplePos="0" relativeHeight="251857920" behindDoc="0" locked="0" layoutInCell="1" allowOverlap="1" wp14:anchorId="3FB8365F" wp14:editId="190AA1EC">
                <wp:simplePos x="0" y="0"/>
                <wp:positionH relativeFrom="column">
                  <wp:posOffset>-4012565</wp:posOffset>
                </wp:positionH>
                <wp:positionV relativeFrom="paragraph">
                  <wp:posOffset>873760</wp:posOffset>
                </wp:positionV>
                <wp:extent cx="1531620" cy="474980"/>
                <wp:effectExtent l="0" t="0" r="0" b="1270"/>
                <wp:wrapNone/>
                <wp:docPr id="3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1620" cy="474980"/>
                        </a:xfrm>
                        <a:prstGeom prst="rect">
                          <a:avLst/>
                        </a:prstGeom>
                        <a:noFill/>
                        <a:ln w="9525">
                          <a:noFill/>
                          <a:miter lim="800000"/>
                          <a:headEnd/>
                          <a:tailEnd/>
                        </a:ln>
                      </wps:spPr>
                      <wps:txbx>
                        <w:txbxContent>
                          <w:p w:rsidR="00890277" w:rsidRPr="00BE62D0" w:rsidRDefault="00890277" w:rsidP="008921BF">
                            <w:pPr>
                              <w:spacing w:after="0" w:line="240" w:lineRule="auto"/>
                              <w:rPr>
                                <w:sz w:val="16"/>
                                <w:szCs w:val="16"/>
                              </w:rPr>
                            </w:pPr>
                            <w:r w:rsidRPr="00BE62D0">
                              <w:rPr>
                                <w:sz w:val="16"/>
                                <w:szCs w:val="16"/>
                              </w:rPr>
                              <w:t>Source: GLA Population Projections 2013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315.95pt;margin-top:68.8pt;width:120.6pt;height:37.4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" filled="f" stroked="f">
                <v:textbox>
                  <w:txbxContent>
                    <w:p w:rsidR="00D7687B" w:rsidRPr="00BE62D0" w:rsidRDefault="00D7687B" w:rsidP="008921BF">
                      <w:pPr>
                        <w:spacing w:after="0" w:line="240" w:lineRule="auto"/>
                        <w:rPr>
                          <w:sz w:val="16"/>
                          <w:szCs w:val="16"/>
                        </w:rPr>
                      </w:pPr>
                      <w:r w:rsidRPr="00BE62D0">
                        <w:rPr>
                          <w:sz w:val="16"/>
                          <w:szCs w:val="16"/>
                        </w:rPr>
                        <w:t>Source: GLA Population Projections 2013</w:t>
                      </w:r>
                    </w:p>
                  </w:txbxContent>
                </v:textbox>
              </v:shape>
            </w:pict>
          </mc:Fallback>
        </mc:AlternateContent>
      </w:r>
      <w:r w:rsidRPr="008508BD">
        <w:t xml:space="preserve">Colindale </w:t>
      </w:r>
      <w:r>
        <w:t xml:space="preserve">currently </w:t>
      </w:r>
      <w:r w:rsidRPr="008508BD">
        <w:t xml:space="preserve">has relatively few isolated </w:t>
      </w:r>
      <w:r w:rsidR="00DD3A76" w:rsidRPr="008508BD">
        <w:t>people</w:t>
      </w:r>
      <w:r w:rsidR="00DD3A76">
        <w:t>.</w:t>
      </w:r>
      <w:r w:rsidRPr="008508BD">
        <w:t xml:space="preserve"> </w:t>
      </w:r>
      <w:r>
        <w:t xml:space="preserve">However, </w:t>
      </w:r>
      <w:r w:rsidRPr="008508BD">
        <w:t xml:space="preserve">as the population grows with regeneration, the number of people </w:t>
      </w:r>
      <w:r>
        <w:t xml:space="preserve">at risk of </w:t>
      </w:r>
      <w:r w:rsidRPr="008508BD">
        <w:t>isolation</w:t>
      </w:r>
      <w:r>
        <w:t xml:space="preserve"> will also increase</w:t>
      </w:r>
      <w:r w:rsidRPr="008508BD">
        <w:t>.</w:t>
      </w:r>
    </w:p>
    <w:p w:rsidR="008921BF" w:rsidRPr="008508BD" w:rsidRDefault="008921BF" w:rsidP="008921BF">
      <w:pPr>
        <w:spacing w:after="0" w:line="240" w:lineRule="auto"/>
        <w:jc w:val="center"/>
        <w:rPr>
          <w:b/>
          <w:i/>
        </w:rPr>
      </w:pPr>
    </w:p>
    <w:p w:rsidR="008921BF" w:rsidRDefault="008921BF" w:rsidP="008921BF">
      <w:pPr>
        <w:spacing w:after="0"/>
        <w:jc w:val="both"/>
      </w:pPr>
      <w:r w:rsidRPr="00B503C0">
        <w:t xml:space="preserve">As more older and frail residents </w:t>
      </w:r>
      <w:r w:rsidR="00C35D6A">
        <w:t xml:space="preserve">opt </w:t>
      </w:r>
      <w:r w:rsidRPr="00B503C0">
        <w:t>to stay at home for longer, there is an increased risk of people becoming socially isolated, driving up the need for local social groups and community health care facilities</w:t>
      </w:r>
      <w:r w:rsidRPr="00FD3389">
        <w:t>.</w:t>
      </w:r>
    </w:p>
    <w:p w:rsidR="008921BF" w:rsidRDefault="008921BF" w:rsidP="008921BF">
      <w:pPr>
        <w:pStyle w:val="Heading4"/>
        <w:jc w:val="both"/>
      </w:pPr>
      <w:r>
        <w:t>Dementia</w:t>
      </w:r>
    </w:p>
    <w:p w:rsidR="008921BF" w:rsidRPr="00BF18CE" w:rsidRDefault="008921BF" w:rsidP="008921BF">
      <w:pPr>
        <w:jc w:val="both"/>
      </w:pPr>
      <w:r w:rsidRPr="00BF18CE">
        <w:rPr>
          <w:rFonts w:eastAsia="Times New Roman" w:cs="Times New Roman"/>
          <w:lang w:eastAsia="en-GB"/>
        </w:rPr>
        <w:t xml:space="preserve">Barnet Council follows the principles and practice of the </w:t>
      </w:r>
      <w:hyperlink r:id="rId211" w:history="1">
        <w:r w:rsidRPr="00BF18CE">
          <w:rPr>
            <w:rStyle w:val="Hyperlink"/>
          </w:rPr>
          <w:t>National Dementia Strategy</w:t>
        </w:r>
      </w:hyperlink>
      <w:r w:rsidRPr="00BF18CE">
        <w:t xml:space="preserve"> </w:t>
      </w:r>
      <w:r w:rsidRPr="00BF18CE">
        <w:rPr>
          <w:rFonts w:eastAsia="Times New Roman" w:cs="Times New Roman"/>
          <w:lang w:eastAsia="en-GB"/>
        </w:rPr>
        <w:t xml:space="preserve">and the </w:t>
      </w:r>
      <w:hyperlink r:id="rId212" w:history="1">
        <w:r w:rsidRPr="00BF18CE">
          <w:rPr>
            <w:rStyle w:val="Hyperlink"/>
          </w:rPr>
          <w:t>Prime Minister’s Challenge on Dementia</w:t>
        </w:r>
      </w:hyperlink>
      <w:r w:rsidRPr="00BF18CE">
        <w:t xml:space="preserve"> </w:t>
      </w:r>
      <w:r>
        <w:t>and this will</w:t>
      </w:r>
      <w:r w:rsidRPr="00BF18CE">
        <w:rPr>
          <w:rFonts w:eastAsia="Times New Roman" w:cs="Times New Roman"/>
          <w:lang w:eastAsia="en-GB"/>
        </w:rPr>
        <w:t xml:space="preserve"> inform </w:t>
      </w:r>
      <w:r w:rsidR="00487CD4">
        <w:rPr>
          <w:rFonts w:eastAsia="Times New Roman" w:cs="Times New Roman"/>
          <w:lang w:eastAsia="en-GB"/>
        </w:rPr>
        <w:t>the C</w:t>
      </w:r>
      <w:r>
        <w:rPr>
          <w:rFonts w:eastAsia="Times New Roman" w:cs="Times New Roman"/>
          <w:lang w:eastAsia="en-GB"/>
        </w:rPr>
        <w:t>ouncil’s</w:t>
      </w:r>
      <w:r w:rsidRPr="00BF18CE">
        <w:rPr>
          <w:rFonts w:eastAsia="Times New Roman" w:cs="Times New Roman"/>
          <w:lang w:eastAsia="en-GB"/>
        </w:rPr>
        <w:t xml:space="preserve"> </w:t>
      </w:r>
      <w:r w:rsidR="00DD3A76">
        <w:rPr>
          <w:rFonts w:eastAsia="Times New Roman" w:cs="Times New Roman"/>
          <w:lang w:eastAsia="en-GB"/>
        </w:rPr>
        <w:t>approach</w:t>
      </w:r>
      <w:r w:rsidRPr="00BF18CE">
        <w:rPr>
          <w:rFonts w:eastAsia="Times New Roman" w:cs="Times New Roman"/>
          <w:lang w:eastAsia="en-GB"/>
        </w:rPr>
        <w:t xml:space="preserve"> over the next five years.</w:t>
      </w:r>
    </w:p>
    <w:p w:rsidR="008921BF" w:rsidRPr="00BF18CE" w:rsidRDefault="008921BF" w:rsidP="008921BF">
      <w:pPr>
        <w:spacing w:after="0"/>
        <w:jc w:val="both"/>
      </w:pPr>
      <w:r w:rsidRPr="00BF18CE">
        <w:t xml:space="preserve">Barnet has a higher population of people with dementia than many London </w:t>
      </w:r>
      <w:r>
        <w:t>Borough</w:t>
      </w:r>
      <w:r w:rsidRPr="00BF18CE">
        <w:t xml:space="preserve">s and the highest number of care home places registered for dementia per 100 population aged 65 and over in London. By 2021 the number of people with dementia in Barnet is expected to increase by 24% compared with </w:t>
      </w:r>
      <w:r>
        <w:t>the</w:t>
      </w:r>
      <w:r w:rsidR="00C35D6A">
        <w:t xml:space="preserve"> London-</w:t>
      </w:r>
      <w:r w:rsidRPr="00BF18CE">
        <w:t>wide figure of 19%.</w:t>
      </w:r>
    </w:p>
    <w:p w:rsidR="008921BF" w:rsidRPr="00B503C0" w:rsidRDefault="008921BF" w:rsidP="008921BF">
      <w:pPr>
        <w:spacing w:after="0"/>
      </w:pPr>
    </w:p>
    <w:p w:rsidR="00FD3CDD" w:rsidRDefault="00FD3CDD" w:rsidP="008921BF">
      <w:pPr>
        <w:pStyle w:val="Caption"/>
      </w:pPr>
    </w:p>
    <w:p w:rsidR="008921BF" w:rsidRPr="00FD3389" w:rsidRDefault="008921BF" w:rsidP="008921BF">
      <w:pPr>
        <w:pStyle w:val="Caption"/>
        <w:rPr>
          <w:b w:val="0"/>
          <w:i/>
        </w:rPr>
      </w:pPr>
      <w:r>
        <w:t xml:space="preserve">Table </w:t>
      </w:r>
      <w:fldSimple w:instr=" STYLEREF 1 \s ">
        <w:r w:rsidR="001663C2">
          <w:rPr>
            <w:noProof/>
          </w:rPr>
          <w:t>9</w:t>
        </w:r>
      </w:fldSimple>
      <w:r>
        <w:noBreakHyphen/>
      </w:r>
      <w:fldSimple w:instr=" SEQ Table \* ARABIC \s 1 ">
        <w:r w:rsidR="001663C2">
          <w:rPr>
            <w:noProof/>
          </w:rPr>
          <w:t>26</w:t>
        </w:r>
      </w:fldSimple>
      <w:r w:rsidRPr="00041E32">
        <w:t>: Population of people in Barnet over 65 with dementia, 2015-25</w:t>
      </w:r>
    </w:p>
    <w:tbl>
      <w:tblPr>
        <w:tblStyle w:val="TableGrid"/>
        <w:tblW w:w="6393" w:type="dxa"/>
        <w:jc w:val="center"/>
        <w:tblLook w:val="04A0" w:firstRow="1" w:lastRow="0" w:firstColumn="1" w:lastColumn="0" w:noHBand="0" w:noVBand="1"/>
      </w:tblPr>
      <w:tblGrid>
        <w:gridCol w:w="1257"/>
        <w:gridCol w:w="3544"/>
        <w:gridCol w:w="1592"/>
      </w:tblGrid>
      <w:tr w:rsidR="008921BF" w:rsidRPr="00FD3389" w:rsidTr="00031B92">
        <w:trPr>
          <w:trHeight w:val="582"/>
          <w:jc w:val="center"/>
        </w:trPr>
        <w:tc>
          <w:tcPr>
            <w:tcW w:w="1257" w:type="dxa"/>
            <w:shd w:val="clear" w:color="auto" w:fill="BFBFBF" w:themeFill="background1" w:themeFillShade="BF"/>
            <w:vAlign w:val="center"/>
            <w:hideMark/>
          </w:tcPr>
          <w:p w:rsidR="008921BF" w:rsidRPr="00D95E67" w:rsidRDefault="008921BF" w:rsidP="00031B92">
            <w:pPr>
              <w:jc w:val="center"/>
              <w:rPr>
                <w:rFonts w:ascii="Calibri" w:eastAsia="Times New Roman" w:hAnsi="Calibri" w:cs="Times New Roman"/>
                <w:b/>
                <w:color w:val="000000"/>
                <w:lang w:eastAsia="en-GB"/>
              </w:rPr>
            </w:pPr>
            <w:r w:rsidRPr="00D95E67">
              <w:rPr>
                <w:rFonts w:ascii="Calibri" w:eastAsia="Times New Roman" w:hAnsi="Calibri" w:cs="Times New Roman"/>
                <w:b/>
                <w:color w:val="000000"/>
                <w:lang w:eastAsia="en-GB"/>
              </w:rPr>
              <w:t>Year</w:t>
            </w:r>
          </w:p>
        </w:tc>
        <w:tc>
          <w:tcPr>
            <w:tcW w:w="3544" w:type="dxa"/>
            <w:shd w:val="clear" w:color="auto" w:fill="BFBFBF" w:themeFill="background1" w:themeFillShade="BF"/>
            <w:vAlign w:val="center"/>
            <w:hideMark/>
          </w:tcPr>
          <w:p w:rsidR="008921BF" w:rsidRPr="00D95E67" w:rsidRDefault="008921BF" w:rsidP="00031B92">
            <w:pPr>
              <w:jc w:val="center"/>
              <w:rPr>
                <w:rFonts w:ascii="Calibri" w:eastAsia="Times New Roman" w:hAnsi="Calibri" w:cs="Times New Roman"/>
                <w:b/>
                <w:color w:val="000000"/>
                <w:lang w:eastAsia="en-GB"/>
              </w:rPr>
            </w:pPr>
            <w:r w:rsidRPr="00D95E67">
              <w:rPr>
                <w:rFonts w:ascii="Calibri" w:eastAsia="Times New Roman" w:hAnsi="Calibri" w:cs="Times New Roman"/>
                <w:b/>
                <w:color w:val="000000"/>
                <w:lang w:eastAsia="en-GB"/>
              </w:rPr>
              <w:t>Projected Population (65+) in Barnet with Dementia</w:t>
            </w:r>
          </w:p>
        </w:tc>
        <w:tc>
          <w:tcPr>
            <w:tcW w:w="1592" w:type="dxa"/>
            <w:shd w:val="clear" w:color="auto" w:fill="BFBFBF" w:themeFill="background1" w:themeFillShade="BF"/>
            <w:vAlign w:val="center"/>
            <w:hideMark/>
          </w:tcPr>
          <w:p w:rsidR="008921BF" w:rsidRPr="00D95E67" w:rsidRDefault="008921BF" w:rsidP="00031B92">
            <w:pPr>
              <w:jc w:val="center"/>
              <w:rPr>
                <w:rFonts w:ascii="Calibri" w:eastAsia="Times New Roman" w:hAnsi="Calibri" w:cs="Times New Roman"/>
                <w:b/>
                <w:color w:val="000000"/>
                <w:lang w:eastAsia="en-GB"/>
              </w:rPr>
            </w:pPr>
            <w:r w:rsidRPr="00D95E67">
              <w:rPr>
                <w:rFonts w:ascii="Calibri" w:eastAsia="Times New Roman" w:hAnsi="Calibri" w:cs="Times New Roman"/>
                <w:b/>
                <w:color w:val="000000"/>
                <w:lang w:eastAsia="en-GB"/>
              </w:rPr>
              <w:t>% change from 2015</w:t>
            </w:r>
          </w:p>
        </w:tc>
      </w:tr>
      <w:tr w:rsidR="008921BF" w:rsidRPr="00FD3389" w:rsidTr="00031B92">
        <w:trPr>
          <w:trHeight w:val="315"/>
          <w:jc w:val="center"/>
        </w:trPr>
        <w:tc>
          <w:tcPr>
            <w:tcW w:w="1257" w:type="dxa"/>
            <w:noWrap/>
            <w:vAlign w:val="center"/>
            <w:hideMark/>
          </w:tcPr>
          <w:p w:rsidR="008921BF" w:rsidRPr="00FD3389" w:rsidRDefault="008921BF" w:rsidP="00031B92">
            <w:pPr>
              <w:jc w:val="center"/>
              <w:rPr>
                <w:rFonts w:ascii="Calibri" w:eastAsia="Times New Roman" w:hAnsi="Calibri" w:cs="Times New Roman"/>
                <w:color w:val="000000"/>
                <w:lang w:eastAsia="en-GB"/>
              </w:rPr>
            </w:pPr>
            <w:r w:rsidRPr="00FD3389">
              <w:rPr>
                <w:rFonts w:ascii="Calibri" w:eastAsia="Times New Roman" w:hAnsi="Calibri" w:cs="Times New Roman"/>
                <w:color w:val="000000"/>
                <w:lang w:eastAsia="en-GB"/>
              </w:rPr>
              <w:t>2015</w:t>
            </w:r>
          </w:p>
        </w:tc>
        <w:tc>
          <w:tcPr>
            <w:tcW w:w="3544" w:type="dxa"/>
            <w:noWrap/>
            <w:vAlign w:val="center"/>
            <w:hideMark/>
          </w:tcPr>
          <w:p w:rsidR="008921BF" w:rsidRPr="00FD3389" w:rsidRDefault="008921BF" w:rsidP="00031B92">
            <w:pPr>
              <w:jc w:val="center"/>
              <w:rPr>
                <w:rFonts w:ascii="Calibri" w:eastAsia="Times New Roman" w:hAnsi="Calibri" w:cs="Times New Roman"/>
                <w:color w:val="000000"/>
                <w:lang w:eastAsia="en-GB"/>
              </w:rPr>
            </w:pPr>
            <w:r w:rsidRPr="00FD3389">
              <w:rPr>
                <w:rFonts w:ascii="Calibri" w:eastAsia="Times New Roman" w:hAnsi="Calibri" w:cs="Times New Roman"/>
                <w:color w:val="000000"/>
                <w:lang w:eastAsia="en-GB"/>
              </w:rPr>
              <w:t>4,044</w:t>
            </w:r>
          </w:p>
        </w:tc>
        <w:tc>
          <w:tcPr>
            <w:tcW w:w="1592" w:type="dxa"/>
            <w:noWrap/>
            <w:vAlign w:val="center"/>
            <w:hideMark/>
          </w:tcPr>
          <w:p w:rsidR="008921BF" w:rsidRPr="00FD3389" w:rsidRDefault="008921BF" w:rsidP="00031B92">
            <w:pPr>
              <w:jc w:val="center"/>
              <w:rPr>
                <w:rFonts w:ascii="Calibri" w:eastAsia="Times New Roman" w:hAnsi="Calibri" w:cs="Times New Roman"/>
                <w:color w:val="000000"/>
                <w:lang w:eastAsia="en-GB"/>
              </w:rPr>
            </w:pPr>
          </w:p>
        </w:tc>
      </w:tr>
      <w:tr w:rsidR="008921BF" w:rsidRPr="00FD3389" w:rsidTr="00031B92">
        <w:trPr>
          <w:trHeight w:val="303"/>
          <w:jc w:val="center"/>
        </w:trPr>
        <w:tc>
          <w:tcPr>
            <w:tcW w:w="1257" w:type="dxa"/>
            <w:noWrap/>
            <w:vAlign w:val="center"/>
            <w:hideMark/>
          </w:tcPr>
          <w:p w:rsidR="008921BF" w:rsidRPr="00FD3389" w:rsidRDefault="008921BF" w:rsidP="00031B92">
            <w:pPr>
              <w:jc w:val="center"/>
              <w:rPr>
                <w:rFonts w:ascii="Calibri" w:eastAsia="Times New Roman" w:hAnsi="Calibri" w:cs="Times New Roman"/>
                <w:color w:val="000000"/>
                <w:lang w:eastAsia="en-GB"/>
              </w:rPr>
            </w:pPr>
            <w:r w:rsidRPr="00FD3389">
              <w:rPr>
                <w:rFonts w:ascii="Calibri" w:eastAsia="Times New Roman" w:hAnsi="Calibri" w:cs="Times New Roman"/>
                <w:color w:val="000000"/>
                <w:lang w:eastAsia="en-GB"/>
              </w:rPr>
              <w:t>2020</w:t>
            </w:r>
          </w:p>
        </w:tc>
        <w:tc>
          <w:tcPr>
            <w:tcW w:w="3544" w:type="dxa"/>
            <w:noWrap/>
            <w:vAlign w:val="center"/>
            <w:hideMark/>
          </w:tcPr>
          <w:p w:rsidR="008921BF" w:rsidRPr="00FD3389" w:rsidRDefault="008921BF" w:rsidP="00031B92">
            <w:pPr>
              <w:jc w:val="center"/>
              <w:rPr>
                <w:rFonts w:ascii="Calibri" w:eastAsia="Times New Roman" w:hAnsi="Calibri" w:cs="Times New Roman"/>
                <w:color w:val="000000"/>
                <w:lang w:eastAsia="en-GB"/>
              </w:rPr>
            </w:pPr>
            <w:r w:rsidRPr="00FD3389">
              <w:rPr>
                <w:rFonts w:ascii="Calibri" w:eastAsia="Times New Roman" w:hAnsi="Calibri" w:cs="Times New Roman"/>
                <w:color w:val="000000"/>
                <w:lang w:eastAsia="en-GB"/>
              </w:rPr>
              <w:t>4,693</w:t>
            </w:r>
          </w:p>
        </w:tc>
        <w:tc>
          <w:tcPr>
            <w:tcW w:w="1592" w:type="dxa"/>
            <w:noWrap/>
            <w:vAlign w:val="center"/>
            <w:hideMark/>
          </w:tcPr>
          <w:p w:rsidR="008921BF" w:rsidRPr="00FD3389" w:rsidRDefault="008921BF" w:rsidP="00031B92">
            <w:pPr>
              <w:jc w:val="center"/>
              <w:rPr>
                <w:rFonts w:ascii="Calibri" w:eastAsia="Times New Roman" w:hAnsi="Calibri" w:cs="Times New Roman"/>
                <w:color w:val="000000"/>
                <w:lang w:eastAsia="en-GB"/>
              </w:rPr>
            </w:pPr>
            <w:r w:rsidRPr="00FD3389">
              <w:rPr>
                <w:rFonts w:ascii="Calibri" w:eastAsia="Times New Roman" w:hAnsi="Calibri" w:cs="Times New Roman"/>
                <w:color w:val="000000"/>
                <w:lang w:eastAsia="en-GB"/>
              </w:rPr>
              <w:t>16.05%</w:t>
            </w:r>
          </w:p>
        </w:tc>
      </w:tr>
      <w:tr w:rsidR="008921BF" w:rsidRPr="00FD3389" w:rsidTr="00031B92">
        <w:trPr>
          <w:trHeight w:val="300"/>
          <w:jc w:val="center"/>
        </w:trPr>
        <w:tc>
          <w:tcPr>
            <w:tcW w:w="1257" w:type="dxa"/>
            <w:noWrap/>
            <w:vAlign w:val="center"/>
            <w:hideMark/>
          </w:tcPr>
          <w:p w:rsidR="008921BF" w:rsidRPr="00FD3389" w:rsidRDefault="008921BF" w:rsidP="00031B92">
            <w:pPr>
              <w:jc w:val="center"/>
              <w:rPr>
                <w:rFonts w:ascii="Calibri" w:eastAsia="Times New Roman" w:hAnsi="Calibri" w:cs="Times New Roman"/>
                <w:color w:val="000000"/>
                <w:lang w:eastAsia="en-GB"/>
              </w:rPr>
            </w:pPr>
            <w:r w:rsidRPr="00FD3389">
              <w:rPr>
                <w:rFonts w:ascii="Calibri" w:eastAsia="Times New Roman" w:hAnsi="Calibri" w:cs="Times New Roman"/>
                <w:color w:val="000000"/>
                <w:lang w:eastAsia="en-GB"/>
              </w:rPr>
              <w:t>2025</w:t>
            </w:r>
          </w:p>
        </w:tc>
        <w:tc>
          <w:tcPr>
            <w:tcW w:w="3544" w:type="dxa"/>
            <w:noWrap/>
            <w:vAlign w:val="center"/>
            <w:hideMark/>
          </w:tcPr>
          <w:p w:rsidR="008921BF" w:rsidRPr="00FD3389" w:rsidRDefault="008921BF" w:rsidP="00031B92">
            <w:pPr>
              <w:jc w:val="center"/>
              <w:rPr>
                <w:rFonts w:ascii="Calibri" w:eastAsia="Times New Roman" w:hAnsi="Calibri" w:cs="Times New Roman"/>
                <w:color w:val="000000"/>
                <w:lang w:eastAsia="en-GB"/>
              </w:rPr>
            </w:pPr>
            <w:r w:rsidRPr="00FD3389">
              <w:rPr>
                <w:rFonts w:ascii="Calibri" w:eastAsia="Times New Roman" w:hAnsi="Calibri" w:cs="Times New Roman"/>
                <w:color w:val="000000"/>
                <w:lang w:eastAsia="en-GB"/>
              </w:rPr>
              <w:t>5,536</w:t>
            </w:r>
          </w:p>
        </w:tc>
        <w:tc>
          <w:tcPr>
            <w:tcW w:w="1592" w:type="dxa"/>
            <w:noWrap/>
            <w:vAlign w:val="center"/>
            <w:hideMark/>
          </w:tcPr>
          <w:p w:rsidR="008921BF" w:rsidRPr="00FD3389" w:rsidRDefault="008921BF" w:rsidP="00031B92">
            <w:pPr>
              <w:jc w:val="center"/>
              <w:rPr>
                <w:rFonts w:ascii="Calibri" w:eastAsia="Times New Roman" w:hAnsi="Calibri" w:cs="Times New Roman"/>
                <w:color w:val="000000"/>
                <w:lang w:eastAsia="en-GB"/>
              </w:rPr>
            </w:pPr>
            <w:r w:rsidRPr="00FD3389">
              <w:rPr>
                <w:rFonts w:ascii="Calibri" w:eastAsia="Times New Roman" w:hAnsi="Calibri" w:cs="Times New Roman"/>
                <w:color w:val="000000"/>
                <w:lang w:eastAsia="en-GB"/>
              </w:rPr>
              <w:t>36.89%</w:t>
            </w:r>
          </w:p>
        </w:tc>
      </w:tr>
    </w:tbl>
    <w:p w:rsidR="008921BF" w:rsidRPr="00D95E67" w:rsidRDefault="008921BF" w:rsidP="008921BF">
      <w:pPr>
        <w:pStyle w:val="NoSpacing"/>
        <w:rPr>
          <w:b/>
        </w:rPr>
      </w:pPr>
      <w:r>
        <w:t>Source: NHSE Data</w:t>
      </w:r>
    </w:p>
    <w:p w:rsidR="008921BF" w:rsidRDefault="008921BF" w:rsidP="008921BF">
      <w:pPr>
        <w:spacing w:after="0" w:line="240" w:lineRule="auto"/>
      </w:pPr>
    </w:p>
    <w:p w:rsidR="008921BF" w:rsidRPr="00D95E67" w:rsidRDefault="008921BF" w:rsidP="008921BF">
      <w:pPr>
        <w:spacing w:after="0"/>
        <w:jc w:val="both"/>
      </w:pPr>
      <w:r w:rsidRPr="00D95E67">
        <w:t>Th</w:t>
      </w:r>
      <w:r>
        <w:t>e</w:t>
      </w:r>
      <w:r w:rsidRPr="00D95E67">
        <w:t xml:space="preserve"> significant increase in the number of people with dementia will require appropriate support</w:t>
      </w:r>
      <w:r>
        <w:t xml:space="preserve"> </w:t>
      </w:r>
      <w:r w:rsidR="00C35D6A">
        <w:t>for</w:t>
      </w:r>
      <w:r w:rsidRPr="00D95E67">
        <w:t xml:space="preserve"> people with dementia and their family /carers. Services and communities are seen as key to this, and so there is a need to develop support from dementia friendly communities.   </w:t>
      </w:r>
    </w:p>
    <w:p w:rsidR="008921BF" w:rsidRDefault="008921BF" w:rsidP="008921BF">
      <w:pPr>
        <w:pStyle w:val="Heading3"/>
        <w:jc w:val="both"/>
      </w:pPr>
      <w:r>
        <w:t>Autism</w:t>
      </w:r>
    </w:p>
    <w:p w:rsidR="008921BF" w:rsidRDefault="008921BF" w:rsidP="008921BF">
      <w:pPr>
        <w:spacing w:after="0"/>
        <w:jc w:val="both"/>
      </w:pPr>
      <w:r w:rsidRPr="00B503C0">
        <w:rPr>
          <w:rFonts w:eastAsia="Times New Roman" w:cs="Times New Roman"/>
          <w:lang w:eastAsia="en-GB"/>
        </w:rPr>
        <w:t xml:space="preserve">Approximately 1% of the adult population have an Autistic Spectrum Conditions (ASC) which equates to about 2,600 people in </w:t>
      </w:r>
      <w:r w:rsidRPr="00B503C0">
        <w:t xml:space="preserve">Barnet.  In 2012/13, autism was recorded as a care need for 170 social care service users.  National forecasts indicate that the number of young adults with </w:t>
      </w:r>
      <w:r w:rsidR="00C35D6A">
        <w:t>a</w:t>
      </w:r>
      <w:r w:rsidRPr="00B503C0">
        <w:t xml:space="preserve">utism will increase by 2.7% over the next 5 years, in Barnet this will mean a 9% increase. These figures show that there are more cases of ASC being diagnosed. </w:t>
      </w:r>
    </w:p>
    <w:p w:rsidR="008921BF" w:rsidRPr="00B503C0" w:rsidRDefault="008921BF" w:rsidP="008921BF">
      <w:pPr>
        <w:spacing w:after="0"/>
        <w:jc w:val="both"/>
      </w:pPr>
    </w:p>
    <w:p w:rsidR="008921BF" w:rsidRPr="00B503C0" w:rsidRDefault="008921BF" w:rsidP="008921BF">
      <w:pPr>
        <w:spacing w:after="0"/>
        <w:jc w:val="both"/>
        <w:rPr>
          <w:rFonts w:eastAsia="Times New Roman" w:cs="Times New Roman"/>
          <w:lang w:eastAsia="en-GB"/>
        </w:rPr>
      </w:pPr>
      <w:r w:rsidRPr="00B503C0">
        <w:t xml:space="preserve">A comprehensive assessment of the needs of people with </w:t>
      </w:r>
      <w:r w:rsidR="00C35D6A">
        <w:t>a</w:t>
      </w:r>
      <w:r w:rsidRPr="00B503C0">
        <w:t>utism was undertaken by Public Health (PH) in November 2014. It was completed in collaboration</w:t>
      </w:r>
      <w:r w:rsidRPr="00B71378">
        <w:t xml:space="preserve"> with the </w:t>
      </w:r>
      <w:r w:rsidRPr="00B503C0">
        <w:rPr>
          <w:rFonts w:eastAsia="Times New Roman" w:cs="Times New Roman"/>
          <w:lang w:eastAsia="en-GB"/>
        </w:rPr>
        <w:t>with the purpose of informing the Autism Strategy.</w:t>
      </w:r>
    </w:p>
    <w:p w:rsidR="008921BF" w:rsidRDefault="008921BF" w:rsidP="008921BF">
      <w:pPr>
        <w:spacing w:after="0" w:line="240" w:lineRule="auto"/>
        <w:jc w:val="both"/>
        <w:rPr>
          <w:rFonts w:eastAsia="Times New Roman" w:cs="Times New Roman"/>
          <w:b/>
          <w:lang w:eastAsia="en-GB"/>
        </w:rPr>
      </w:pPr>
    </w:p>
    <w:p w:rsidR="008921BF" w:rsidRPr="00E379DA" w:rsidRDefault="008921BF" w:rsidP="008921BF">
      <w:pPr>
        <w:spacing w:after="0" w:line="240" w:lineRule="auto"/>
        <w:jc w:val="both"/>
        <w:rPr>
          <w:rFonts w:eastAsia="Times New Roman" w:cs="Times New Roman"/>
          <w:b/>
          <w:lang w:eastAsia="en-GB"/>
        </w:rPr>
      </w:pPr>
      <w:r w:rsidRPr="00E379DA">
        <w:rPr>
          <w:rFonts w:eastAsia="Times New Roman" w:cs="Times New Roman"/>
          <w:b/>
          <w:lang w:eastAsia="en-GB"/>
        </w:rPr>
        <w:t>The key areas covered by the needs assessment were:</w:t>
      </w:r>
    </w:p>
    <w:p w:rsidR="008921BF" w:rsidRPr="00E379DA" w:rsidRDefault="008921BF" w:rsidP="008921BF">
      <w:pPr>
        <w:numPr>
          <w:ilvl w:val="0"/>
          <w:numId w:val="45"/>
        </w:numPr>
        <w:spacing w:after="0" w:line="240" w:lineRule="auto"/>
        <w:jc w:val="both"/>
        <w:rPr>
          <w:rFonts w:eastAsia="Times New Roman" w:cs="Times New Roman"/>
          <w:lang w:eastAsia="en-GB"/>
        </w:rPr>
      </w:pPr>
      <w:r w:rsidRPr="00E379DA">
        <w:rPr>
          <w:rFonts w:eastAsia="Times New Roman" w:cs="Times New Roman"/>
          <w:lang w:eastAsia="en-GB"/>
        </w:rPr>
        <w:t xml:space="preserve">Prevalence of </w:t>
      </w:r>
      <w:r w:rsidR="00C35D6A">
        <w:rPr>
          <w:rFonts w:eastAsia="Times New Roman" w:cs="Times New Roman"/>
          <w:lang w:eastAsia="en-GB"/>
        </w:rPr>
        <w:t>a</w:t>
      </w:r>
      <w:r w:rsidRPr="00E379DA">
        <w:rPr>
          <w:rFonts w:eastAsia="Times New Roman" w:cs="Times New Roman"/>
          <w:lang w:eastAsia="en-GB"/>
        </w:rPr>
        <w:t>utism in Barnet</w:t>
      </w:r>
    </w:p>
    <w:p w:rsidR="008921BF" w:rsidRPr="00E379DA" w:rsidRDefault="008921BF" w:rsidP="008921BF">
      <w:pPr>
        <w:numPr>
          <w:ilvl w:val="0"/>
          <w:numId w:val="45"/>
        </w:numPr>
        <w:spacing w:after="0" w:line="240" w:lineRule="auto"/>
        <w:jc w:val="both"/>
        <w:rPr>
          <w:rFonts w:eastAsia="Times New Roman" w:cs="Times New Roman"/>
          <w:lang w:eastAsia="en-GB"/>
        </w:rPr>
      </w:pPr>
      <w:r w:rsidRPr="00E379DA">
        <w:rPr>
          <w:rFonts w:eastAsia="Times New Roman" w:cs="Times New Roman"/>
          <w:lang w:eastAsia="en-GB"/>
        </w:rPr>
        <w:t>Identifying services available in Barnet</w:t>
      </w:r>
    </w:p>
    <w:p w:rsidR="008921BF" w:rsidRPr="00E379DA" w:rsidRDefault="008921BF" w:rsidP="008921BF">
      <w:pPr>
        <w:numPr>
          <w:ilvl w:val="0"/>
          <w:numId w:val="45"/>
        </w:numPr>
        <w:spacing w:after="0" w:line="240" w:lineRule="auto"/>
        <w:jc w:val="both"/>
        <w:rPr>
          <w:rFonts w:eastAsia="Times New Roman" w:cs="Times New Roman"/>
          <w:lang w:eastAsia="en-GB"/>
        </w:rPr>
      </w:pPr>
      <w:r w:rsidRPr="00E379DA">
        <w:rPr>
          <w:rFonts w:eastAsia="Times New Roman" w:cs="Times New Roman"/>
          <w:lang w:eastAsia="en-GB"/>
        </w:rPr>
        <w:t xml:space="preserve">Comparison of service </w:t>
      </w:r>
      <w:r>
        <w:rPr>
          <w:rFonts w:eastAsia="Times New Roman" w:cs="Times New Roman"/>
          <w:lang w:eastAsia="en-GB"/>
        </w:rPr>
        <w:t xml:space="preserve">provision with </w:t>
      </w:r>
      <w:r w:rsidRPr="00E379DA">
        <w:rPr>
          <w:rFonts w:eastAsia="Times New Roman" w:cs="Times New Roman"/>
          <w:lang w:eastAsia="en-GB"/>
        </w:rPr>
        <w:t xml:space="preserve"> national guidance</w:t>
      </w:r>
    </w:p>
    <w:p w:rsidR="008921BF" w:rsidRPr="00E379DA" w:rsidRDefault="008921BF" w:rsidP="008921BF">
      <w:pPr>
        <w:spacing w:after="0" w:line="240" w:lineRule="auto"/>
        <w:jc w:val="both"/>
        <w:rPr>
          <w:rFonts w:eastAsia="Times New Roman" w:cs="Times New Roman"/>
          <w:b/>
          <w:u w:val="single"/>
          <w:lang w:eastAsia="en-GB"/>
        </w:rPr>
      </w:pPr>
    </w:p>
    <w:p w:rsidR="008921BF" w:rsidRPr="00B503C0" w:rsidRDefault="008921BF" w:rsidP="008921BF">
      <w:pPr>
        <w:spacing w:after="0"/>
        <w:jc w:val="both"/>
      </w:pPr>
      <w:r w:rsidRPr="00B503C0">
        <w:t xml:space="preserve">The estimated prevalence of autism amongst children aged 5-9 years old is 300, using the current population. This figure is similar to that produced using the Baron-Cohen et al study in 2012. </w:t>
      </w:r>
    </w:p>
    <w:p w:rsidR="008921BF" w:rsidRPr="00B503C0" w:rsidRDefault="008921BF" w:rsidP="008921BF">
      <w:pPr>
        <w:spacing w:after="0"/>
        <w:jc w:val="both"/>
      </w:pPr>
    </w:p>
    <w:p w:rsidR="008921BF" w:rsidRPr="00B503C0" w:rsidRDefault="008921BF" w:rsidP="008921BF">
      <w:pPr>
        <w:spacing w:after="0"/>
        <w:jc w:val="both"/>
      </w:pPr>
      <w:r w:rsidRPr="00B503C0">
        <w:t xml:space="preserve">Unfortunately </w:t>
      </w:r>
      <w:r>
        <w:t xml:space="preserve">there is </w:t>
      </w:r>
      <w:r w:rsidR="00DD3A76">
        <w:t>no</w:t>
      </w:r>
      <w:r w:rsidR="00DD3A76" w:rsidRPr="00B503C0">
        <w:t xml:space="preserve"> robust</w:t>
      </w:r>
      <w:r w:rsidRPr="00B503C0">
        <w:t xml:space="preserve"> data on the actual numbers of adults with autism, although estimates indicate that there are an approximately 2,324 people with autism </w:t>
      </w:r>
      <w:r>
        <w:t>with</w:t>
      </w:r>
      <w:r w:rsidRPr="00B503C0">
        <w:t xml:space="preserve">in those aged 18-64. This number is expected to increase to 2,550 by 2020. </w:t>
      </w:r>
    </w:p>
    <w:p w:rsidR="008921BF" w:rsidRPr="00B503C0" w:rsidRDefault="008921BF" w:rsidP="008921BF">
      <w:pPr>
        <w:spacing w:after="0"/>
        <w:jc w:val="both"/>
      </w:pPr>
    </w:p>
    <w:p w:rsidR="008921BF" w:rsidRDefault="008921BF" w:rsidP="008921BF">
      <w:pPr>
        <w:spacing w:after="0"/>
        <w:jc w:val="both"/>
      </w:pPr>
      <w:r w:rsidRPr="00B503C0">
        <w:t xml:space="preserve">The current lack of comprehensive data on the numbers of adults with ASC in Barnet impacts on the ability to accurately plan and deliver the services that are needed for people with ASC and their </w:t>
      </w:r>
      <w:proofErr w:type="spellStart"/>
      <w:r w:rsidRPr="00B503C0">
        <w:t>carers</w:t>
      </w:r>
      <w:proofErr w:type="spellEnd"/>
      <w:r w:rsidRPr="00B503C0">
        <w:t xml:space="preserve">, although prevalence estimates, which give an indication of the total number of people with ASC in the </w:t>
      </w:r>
      <w:r>
        <w:t>Borough</w:t>
      </w:r>
      <w:r w:rsidRPr="00B503C0">
        <w:t xml:space="preserve">, can be useful. </w:t>
      </w:r>
    </w:p>
    <w:p w:rsidR="008921BF" w:rsidRPr="00B503C0" w:rsidRDefault="008921BF" w:rsidP="008921BF">
      <w:pPr>
        <w:spacing w:after="0"/>
        <w:jc w:val="both"/>
      </w:pPr>
    </w:p>
    <w:p w:rsidR="008921BF" w:rsidRPr="00C35D6A" w:rsidRDefault="008921BF" w:rsidP="008921BF">
      <w:pPr>
        <w:spacing w:after="0" w:line="240" w:lineRule="auto"/>
        <w:jc w:val="both"/>
        <w:rPr>
          <w:rFonts w:eastAsia="Times New Roman" w:cs="Times New Roman"/>
          <w:lang w:eastAsia="en-GB"/>
        </w:rPr>
      </w:pPr>
      <w:r w:rsidRPr="00C35D6A">
        <w:rPr>
          <w:rFonts w:eastAsia="Times New Roman" w:cs="Times New Roman"/>
          <w:lang w:eastAsia="en-GB"/>
        </w:rPr>
        <w:t>The study acknowledged the following limitations</w:t>
      </w:r>
      <w:r w:rsidR="00C35D6A" w:rsidRPr="00C35D6A">
        <w:rPr>
          <w:rFonts w:eastAsia="Times New Roman" w:cs="Times New Roman"/>
          <w:lang w:eastAsia="en-GB"/>
        </w:rPr>
        <w:t>:</w:t>
      </w:r>
    </w:p>
    <w:p w:rsidR="00C35D6A" w:rsidRPr="00E379DA" w:rsidRDefault="00C35D6A" w:rsidP="008921BF">
      <w:pPr>
        <w:spacing w:after="0" w:line="240" w:lineRule="auto"/>
        <w:jc w:val="both"/>
        <w:rPr>
          <w:rFonts w:eastAsia="Times New Roman" w:cs="Times New Roman"/>
          <w:b/>
          <w:lang w:eastAsia="en-GB"/>
        </w:rPr>
      </w:pPr>
    </w:p>
    <w:p w:rsidR="008921BF" w:rsidRPr="00E379DA" w:rsidRDefault="008921BF" w:rsidP="008921BF">
      <w:pPr>
        <w:numPr>
          <w:ilvl w:val="0"/>
          <w:numId w:val="44"/>
        </w:numPr>
        <w:autoSpaceDE w:val="0"/>
        <w:autoSpaceDN w:val="0"/>
        <w:adjustRightInd w:val="0"/>
        <w:spacing w:after="21" w:line="240" w:lineRule="auto"/>
        <w:jc w:val="both"/>
        <w:rPr>
          <w:rFonts w:eastAsia="Calibri" w:cs="Arial"/>
          <w:color w:val="000000"/>
          <w:lang w:eastAsia="en-GB"/>
        </w:rPr>
      </w:pPr>
      <w:r w:rsidRPr="00E379DA">
        <w:rPr>
          <w:rFonts w:eastAsia="Calibri" w:cs="Arial"/>
          <w:color w:val="000000"/>
          <w:lang w:eastAsia="en-GB"/>
        </w:rPr>
        <w:t xml:space="preserve"> Services do not routinely collect data on the number of clients with autism. </w:t>
      </w:r>
    </w:p>
    <w:p w:rsidR="008921BF" w:rsidRPr="00E379DA" w:rsidRDefault="008921BF" w:rsidP="008921BF">
      <w:pPr>
        <w:numPr>
          <w:ilvl w:val="0"/>
          <w:numId w:val="44"/>
        </w:numPr>
        <w:autoSpaceDE w:val="0"/>
        <w:autoSpaceDN w:val="0"/>
        <w:adjustRightInd w:val="0"/>
        <w:spacing w:after="21" w:line="240" w:lineRule="auto"/>
        <w:jc w:val="both"/>
        <w:rPr>
          <w:rFonts w:eastAsia="Calibri" w:cs="Arial"/>
          <w:color w:val="000000"/>
          <w:lang w:eastAsia="en-GB"/>
        </w:rPr>
      </w:pPr>
      <w:r w:rsidRPr="00E379DA">
        <w:rPr>
          <w:rFonts w:eastAsia="Calibri" w:cs="Arial"/>
          <w:color w:val="000000"/>
          <w:lang w:eastAsia="en-GB"/>
        </w:rPr>
        <w:lastRenderedPageBreak/>
        <w:t xml:space="preserve">“Diagnostic overshadowing‟ means that some clients with learning disabilities or mental health problems accessing services may also be suspected of having ASC, but are not diagnosed. </w:t>
      </w:r>
    </w:p>
    <w:p w:rsidR="008921BF" w:rsidRPr="00E379DA" w:rsidRDefault="008921BF" w:rsidP="008921BF">
      <w:pPr>
        <w:numPr>
          <w:ilvl w:val="0"/>
          <w:numId w:val="44"/>
        </w:numPr>
        <w:autoSpaceDE w:val="0"/>
        <w:autoSpaceDN w:val="0"/>
        <w:adjustRightInd w:val="0"/>
        <w:spacing w:after="21" w:line="240" w:lineRule="auto"/>
        <w:jc w:val="both"/>
        <w:rPr>
          <w:rFonts w:eastAsia="Calibri" w:cs="Arial"/>
          <w:color w:val="000000"/>
          <w:lang w:eastAsia="en-GB"/>
        </w:rPr>
      </w:pPr>
      <w:r w:rsidRPr="00E379DA">
        <w:rPr>
          <w:rFonts w:eastAsia="Calibri" w:cs="Arial"/>
          <w:color w:val="000000"/>
          <w:lang w:eastAsia="en-GB"/>
        </w:rPr>
        <w:t xml:space="preserve">Clients with Asperger’s may not be accessing statutory services or </w:t>
      </w:r>
      <w:r>
        <w:rPr>
          <w:rFonts w:eastAsia="Calibri" w:cs="Arial"/>
          <w:color w:val="000000"/>
          <w:lang w:eastAsia="en-GB"/>
        </w:rPr>
        <w:t xml:space="preserve">be </w:t>
      </w:r>
      <w:r w:rsidRPr="00E379DA">
        <w:rPr>
          <w:rFonts w:eastAsia="Calibri" w:cs="Arial"/>
          <w:color w:val="000000"/>
          <w:lang w:eastAsia="en-GB"/>
        </w:rPr>
        <w:t xml:space="preserve">eligible to receive support. It is likely that there are more people with ASC than those known to statutory agencies. </w:t>
      </w:r>
    </w:p>
    <w:p w:rsidR="008921BF" w:rsidRPr="00E379DA" w:rsidRDefault="008921BF" w:rsidP="008921BF">
      <w:pPr>
        <w:numPr>
          <w:ilvl w:val="0"/>
          <w:numId w:val="44"/>
        </w:numPr>
        <w:autoSpaceDE w:val="0"/>
        <w:autoSpaceDN w:val="0"/>
        <w:adjustRightInd w:val="0"/>
        <w:spacing w:after="0" w:line="240" w:lineRule="auto"/>
        <w:jc w:val="both"/>
        <w:rPr>
          <w:rFonts w:eastAsia="Calibri" w:cs="Arial"/>
          <w:color w:val="000000"/>
          <w:lang w:eastAsia="en-GB"/>
        </w:rPr>
      </w:pPr>
      <w:r w:rsidRPr="00E379DA">
        <w:rPr>
          <w:rFonts w:eastAsia="Calibri" w:cs="Arial"/>
          <w:color w:val="000000"/>
          <w:lang w:eastAsia="en-GB"/>
        </w:rPr>
        <w:t xml:space="preserve">Individuals can access diagnostic services from a range of private providers and may, therefore, not be known to local NHS providers. </w:t>
      </w:r>
    </w:p>
    <w:p w:rsidR="008921BF" w:rsidRDefault="008921BF" w:rsidP="008921BF">
      <w:pPr>
        <w:spacing w:after="0" w:line="240" w:lineRule="auto"/>
        <w:jc w:val="both"/>
        <w:rPr>
          <w:rFonts w:eastAsia="Times New Roman" w:cs="Times New Roman"/>
          <w:lang w:eastAsia="en-GB"/>
        </w:rPr>
      </w:pPr>
    </w:p>
    <w:p w:rsidR="008921BF" w:rsidRDefault="008921BF" w:rsidP="008921BF">
      <w:pPr>
        <w:spacing w:after="0" w:line="240" w:lineRule="auto"/>
        <w:jc w:val="both"/>
        <w:rPr>
          <w:rFonts w:eastAsia="Times New Roman" w:cs="Times New Roman"/>
          <w:lang w:eastAsia="en-GB"/>
        </w:rPr>
      </w:pPr>
      <w:r w:rsidRPr="00E379DA">
        <w:rPr>
          <w:rFonts w:eastAsia="Times New Roman" w:cs="Times New Roman"/>
          <w:lang w:eastAsia="en-GB"/>
        </w:rPr>
        <w:t xml:space="preserve">A key priority is to enable the development of the systems to accurately capture and record the numbers of adults with ASC.  The focus should be on those areas where data is lacking and where a </w:t>
      </w:r>
      <w:r>
        <w:rPr>
          <w:rFonts w:eastAsia="Times New Roman" w:cs="Times New Roman"/>
          <w:lang w:eastAsia="en-GB"/>
        </w:rPr>
        <w:t>need has been identified</w:t>
      </w:r>
      <w:r w:rsidRPr="00E379DA">
        <w:rPr>
          <w:rFonts w:eastAsia="Times New Roman" w:cs="Times New Roman"/>
          <w:lang w:eastAsia="en-GB"/>
        </w:rPr>
        <w:t>:</w:t>
      </w:r>
    </w:p>
    <w:p w:rsidR="00C35D6A" w:rsidRPr="00E379DA" w:rsidRDefault="00C35D6A" w:rsidP="008921BF">
      <w:pPr>
        <w:spacing w:after="0" w:line="240" w:lineRule="auto"/>
        <w:jc w:val="both"/>
        <w:rPr>
          <w:rFonts w:eastAsia="Times New Roman" w:cs="Times New Roman"/>
          <w:lang w:eastAsia="en-GB"/>
        </w:rPr>
      </w:pPr>
    </w:p>
    <w:p w:rsidR="008921BF" w:rsidRPr="009C5F7B" w:rsidRDefault="008921BF" w:rsidP="008921BF">
      <w:pPr>
        <w:numPr>
          <w:ilvl w:val="0"/>
          <w:numId w:val="44"/>
        </w:numPr>
        <w:autoSpaceDE w:val="0"/>
        <w:autoSpaceDN w:val="0"/>
        <w:adjustRightInd w:val="0"/>
        <w:spacing w:after="21" w:line="240" w:lineRule="auto"/>
        <w:jc w:val="both"/>
        <w:rPr>
          <w:rFonts w:eastAsia="Calibri" w:cs="Arial"/>
          <w:color w:val="000000"/>
          <w:lang w:eastAsia="en-GB"/>
        </w:rPr>
      </w:pPr>
      <w:r w:rsidRPr="009C5F7B">
        <w:rPr>
          <w:rFonts w:eastAsia="Calibri" w:cs="Arial"/>
          <w:color w:val="000000"/>
          <w:lang w:eastAsia="en-GB"/>
        </w:rPr>
        <w:t xml:space="preserve">The range of need for support to live independently </w:t>
      </w:r>
    </w:p>
    <w:p w:rsidR="008921BF" w:rsidRPr="009C5F7B" w:rsidRDefault="008921BF" w:rsidP="008921BF">
      <w:pPr>
        <w:numPr>
          <w:ilvl w:val="0"/>
          <w:numId w:val="44"/>
        </w:numPr>
        <w:autoSpaceDE w:val="0"/>
        <w:autoSpaceDN w:val="0"/>
        <w:adjustRightInd w:val="0"/>
        <w:spacing w:after="21" w:line="240" w:lineRule="auto"/>
        <w:jc w:val="both"/>
        <w:rPr>
          <w:rFonts w:eastAsia="Calibri" w:cs="Arial"/>
          <w:color w:val="000000"/>
          <w:lang w:eastAsia="en-GB"/>
        </w:rPr>
      </w:pPr>
      <w:r w:rsidRPr="009C5F7B">
        <w:rPr>
          <w:rFonts w:eastAsia="Calibri" w:cs="Arial"/>
          <w:color w:val="000000"/>
          <w:lang w:eastAsia="en-GB"/>
        </w:rPr>
        <w:t xml:space="preserve">The number of adults with ASC who are likely to need employment support in order to work </w:t>
      </w:r>
    </w:p>
    <w:p w:rsidR="008921BF" w:rsidRPr="009C5F7B" w:rsidRDefault="008921BF" w:rsidP="008921BF">
      <w:pPr>
        <w:numPr>
          <w:ilvl w:val="0"/>
          <w:numId w:val="44"/>
        </w:numPr>
        <w:autoSpaceDE w:val="0"/>
        <w:autoSpaceDN w:val="0"/>
        <w:adjustRightInd w:val="0"/>
        <w:spacing w:after="21" w:line="240" w:lineRule="auto"/>
        <w:jc w:val="both"/>
        <w:rPr>
          <w:rFonts w:eastAsia="Calibri" w:cs="Arial"/>
          <w:color w:val="000000"/>
          <w:lang w:eastAsia="en-GB"/>
        </w:rPr>
      </w:pPr>
      <w:r w:rsidRPr="009C5F7B">
        <w:rPr>
          <w:rFonts w:eastAsia="Calibri" w:cs="Arial"/>
          <w:color w:val="000000"/>
          <w:lang w:eastAsia="en-GB"/>
        </w:rPr>
        <w:t>The number living at home on their own or with family members and not receiving health or social care services</w:t>
      </w:r>
      <w:r w:rsidR="00C35D6A">
        <w:rPr>
          <w:rFonts w:eastAsia="Calibri" w:cs="Arial"/>
          <w:color w:val="000000"/>
          <w:lang w:eastAsia="en-GB"/>
        </w:rPr>
        <w:t>,</w:t>
      </w:r>
      <w:r w:rsidRPr="009C5F7B">
        <w:rPr>
          <w:rFonts w:eastAsia="Calibri" w:cs="Arial"/>
          <w:color w:val="000000"/>
          <w:lang w:eastAsia="en-GB"/>
        </w:rPr>
        <w:t xml:space="preserve"> and</w:t>
      </w:r>
    </w:p>
    <w:p w:rsidR="008921BF" w:rsidRPr="00206A28" w:rsidRDefault="008921BF" w:rsidP="008921BF">
      <w:pPr>
        <w:numPr>
          <w:ilvl w:val="0"/>
          <w:numId w:val="44"/>
        </w:numPr>
        <w:autoSpaceDE w:val="0"/>
        <w:autoSpaceDN w:val="0"/>
        <w:adjustRightInd w:val="0"/>
        <w:spacing w:after="21" w:line="240" w:lineRule="auto"/>
        <w:jc w:val="both"/>
        <w:rPr>
          <w:rFonts w:eastAsia="Calibri" w:cs="Arial"/>
          <w:color w:val="000000"/>
          <w:lang w:eastAsia="en-GB"/>
        </w:rPr>
      </w:pPr>
      <w:r w:rsidRPr="009C5F7B">
        <w:rPr>
          <w:rFonts w:eastAsia="Calibri" w:cs="Arial"/>
          <w:color w:val="000000"/>
          <w:lang w:eastAsia="en-GB"/>
        </w:rPr>
        <w:t>The number living with older family carers.</w:t>
      </w:r>
    </w:p>
    <w:p w:rsidR="008921BF" w:rsidRDefault="008921BF" w:rsidP="008921BF">
      <w:pPr>
        <w:pStyle w:val="Heading3"/>
        <w:jc w:val="both"/>
      </w:pPr>
      <w:r>
        <w:t>Physical and Sensory Impairment</w:t>
      </w:r>
    </w:p>
    <w:p w:rsidR="008921BF" w:rsidRDefault="008921BF" w:rsidP="008921BF">
      <w:pPr>
        <w:spacing w:after="0"/>
        <w:jc w:val="both"/>
      </w:pPr>
      <w:r>
        <w:t>Over 50% of Adult Social Care service users have a physical or learning disability, and for people aged 65 and over this rate this is significantly higher; 72.20% in 2013/14.</w:t>
      </w:r>
    </w:p>
    <w:p w:rsidR="008921BF" w:rsidRDefault="008921BF" w:rsidP="008921BF">
      <w:pPr>
        <w:spacing w:after="0"/>
        <w:jc w:val="both"/>
      </w:pPr>
    </w:p>
    <w:p w:rsidR="008921BF" w:rsidRPr="00A15CE2" w:rsidRDefault="008921BF" w:rsidP="008921BF">
      <w:pPr>
        <w:pStyle w:val="Caption"/>
        <w:rPr>
          <w:b w:val="0"/>
          <w:i/>
        </w:rPr>
      </w:pPr>
      <w:r>
        <w:t xml:space="preserve">Table </w:t>
      </w:r>
      <w:fldSimple w:instr=" STYLEREF 1 \s ">
        <w:r w:rsidR="001663C2">
          <w:rPr>
            <w:noProof/>
          </w:rPr>
          <w:t>9</w:t>
        </w:r>
      </w:fldSimple>
      <w:r>
        <w:noBreakHyphen/>
      </w:r>
      <w:fldSimple w:instr=" SEQ Table \* ARABIC \s 1 ">
        <w:r w:rsidR="001663C2">
          <w:rPr>
            <w:noProof/>
          </w:rPr>
          <w:t>27</w:t>
        </w:r>
      </w:fldSimple>
      <w:r w:rsidRPr="00041E32">
        <w:t>: No. and % of Adult Social Care categorised as Physical Disability and Sensory Impaired</w:t>
      </w:r>
    </w:p>
    <w:tbl>
      <w:tblPr>
        <w:tblW w:w="8600" w:type="dxa"/>
        <w:tblInd w:w="93" w:type="dxa"/>
        <w:tblLook w:val="04A0" w:firstRow="1" w:lastRow="0" w:firstColumn="1" w:lastColumn="0" w:noHBand="0" w:noVBand="1"/>
      </w:tblPr>
      <w:tblGrid>
        <w:gridCol w:w="960"/>
        <w:gridCol w:w="811"/>
        <w:gridCol w:w="1749"/>
        <w:gridCol w:w="810"/>
        <w:gridCol w:w="1730"/>
        <w:gridCol w:w="810"/>
        <w:gridCol w:w="1730"/>
      </w:tblGrid>
      <w:tr w:rsidR="008921BF" w:rsidRPr="004A3C88" w:rsidTr="00031B92">
        <w:trPr>
          <w:trHeight w:val="369"/>
        </w:trPr>
        <w:tc>
          <w:tcPr>
            <w:tcW w:w="960" w:type="dxa"/>
            <w:vMerge w:val="restart"/>
            <w:tcBorders>
              <w:top w:val="single" w:sz="4" w:space="0" w:color="auto"/>
              <w:left w:val="single" w:sz="4" w:space="0" w:color="auto"/>
              <w:bottom w:val="single" w:sz="4" w:space="0" w:color="000000"/>
              <w:right w:val="single" w:sz="4" w:space="0" w:color="auto"/>
            </w:tcBorders>
            <w:shd w:val="clear" w:color="000000" w:fill="BFBFBF"/>
            <w:vAlign w:val="center"/>
            <w:hideMark/>
          </w:tcPr>
          <w:p w:rsidR="008921BF" w:rsidRPr="004A3C88" w:rsidRDefault="008921BF" w:rsidP="00031B92">
            <w:pPr>
              <w:spacing w:after="0" w:line="240" w:lineRule="auto"/>
              <w:jc w:val="center"/>
              <w:rPr>
                <w:rFonts w:ascii="Calibri" w:eastAsia="Times New Roman" w:hAnsi="Calibri" w:cs="Times New Roman"/>
                <w:b/>
                <w:bCs/>
                <w:color w:val="000000"/>
                <w:lang w:eastAsia="en-GB"/>
              </w:rPr>
            </w:pPr>
            <w:r w:rsidRPr="004A3C88">
              <w:rPr>
                <w:rFonts w:ascii="Calibri" w:eastAsia="Times New Roman" w:hAnsi="Calibri" w:cs="Times New Roman"/>
                <w:b/>
                <w:bCs/>
                <w:color w:val="000000"/>
                <w:lang w:eastAsia="en-GB"/>
              </w:rPr>
              <w:t>Age Group</w:t>
            </w:r>
          </w:p>
        </w:tc>
        <w:tc>
          <w:tcPr>
            <w:tcW w:w="2560" w:type="dxa"/>
            <w:gridSpan w:val="2"/>
            <w:tcBorders>
              <w:top w:val="single" w:sz="4" w:space="0" w:color="auto"/>
              <w:left w:val="nil"/>
              <w:bottom w:val="single" w:sz="4" w:space="0" w:color="auto"/>
              <w:right w:val="single" w:sz="4" w:space="0" w:color="auto"/>
            </w:tcBorders>
            <w:shd w:val="clear" w:color="000000" w:fill="BFBFBF"/>
            <w:noWrap/>
            <w:vAlign w:val="center"/>
            <w:hideMark/>
          </w:tcPr>
          <w:p w:rsidR="008921BF" w:rsidRPr="004A3C88" w:rsidRDefault="008921BF" w:rsidP="00031B92">
            <w:pPr>
              <w:spacing w:after="0" w:line="240" w:lineRule="auto"/>
              <w:jc w:val="center"/>
              <w:rPr>
                <w:rFonts w:ascii="Calibri" w:eastAsia="Times New Roman" w:hAnsi="Calibri" w:cs="Times New Roman"/>
                <w:b/>
                <w:bCs/>
                <w:color w:val="000000"/>
                <w:lang w:eastAsia="en-GB"/>
              </w:rPr>
            </w:pPr>
            <w:r w:rsidRPr="004A3C88">
              <w:rPr>
                <w:rFonts w:ascii="Calibri" w:eastAsia="Times New Roman" w:hAnsi="Calibri" w:cs="Times New Roman"/>
                <w:b/>
                <w:bCs/>
                <w:color w:val="000000"/>
                <w:lang w:eastAsia="en-GB"/>
              </w:rPr>
              <w:t>2011/12</w:t>
            </w:r>
          </w:p>
        </w:tc>
        <w:tc>
          <w:tcPr>
            <w:tcW w:w="2540" w:type="dxa"/>
            <w:gridSpan w:val="2"/>
            <w:tcBorders>
              <w:top w:val="single" w:sz="4" w:space="0" w:color="auto"/>
              <w:left w:val="nil"/>
              <w:bottom w:val="single" w:sz="4" w:space="0" w:color="auto"/>
              <w:right w:val="single" w:sz="4" w:space="0" w:color="auto"/>
            </w:tcBorders>
            <w:shd w:val="clear" w:color="000000" w:fill="BFBFBF"/>
            <w:noWrap/>
            <w:vAlign w:val="center"/>
            <w:hideMark/>
          </w:tcPr>
          <w:p w:rsidR="008921BF" w:rsidRPr="004A3C88" w:rsidRDefault="008921BF" w:rsidP="00031B92">
            <w:pPr>
              <w:spacing w:after="0" w:line="240" w:lineRule="auto"/>
              <w:jc w:val="center"/>
              <w:rPr>
                <w:rFonts w:ascii="Calibri" w:eastAsia="Times New Roman" w:hAnsi="Calibri" w:cs="Times New Roman"/>
                <w:b/>
                <w:bCs/>
                <w:color w:val="000000"/>
                <w:lang w:eastAsia="en-GB"/>
              </w:rPr>
            </w:pPr>
            <w:r w:rsidRPr="004A3C88">
              <w:rPr>
                <w:rFonts w:ascii="Calibri" w:eastAsia="Times New Roman" w:hAnsi="Calibri" w:cs="Times New Roman"/>
                <w:b/>
                <w:bCs/>
                <w:color w:val="000000"/>
                <w:lang w:eastAsia="en-GB"/>
              </w:rPr>
              <w:t>2012/13</w:t>
            </w:r>
          </w:p>
        </w:tc>
        <w:tc>
          <w:tcPr>
            <w:tcW w:w="2540" w:type="dxa"/>
            <w:gridSpan w:val="2"/>
            <w:tcBorders>
              <w:top w:val="single" w:sz="4" w:space="0" w:color="auto"/>
              <w:left w:val="nil"/>
              <w:bottom w:val="single" w:sz="4" w:space="0" w:color="auto"/>
              <w:right w:val="single" w:sz="4" w:space="0" w:color="auto"/>
            </w:tcBorders>
            <w:shd w:val="clear" w:color="000000" w:fill="BFBFBF"/>
            <w:noWrap/>
            <w:vAlign w:val="center"/>
            <w:hideMark/>
          </w:tcPr>
          <w:p w:rsidR="008921BF" w:rsidRPr="004A3C88" w:rsidRDefault="008921BF" w:rsidP="00031B92">
            <w:pPr>
              <w:spacing w:after="0" w:line="240" w:lineRule="auto"/>
              <w:jc w:val="center"/>
              <w:rPr>
                <w:rFonts w:ascii="Calibri" w:eastAsia="Times New Roman" w:hAnsi="Calibri" w:cs="Times New Roman"/>
                <w:b/>
                <w:bCs/>
                <w:color w:val="000000"/>
                <w:lang w:eastAsia="en-GB"/>
              </w:rPr>
            </w:pPr>
            <w:r w:rsidRPr="004A3C88">
              <w:rPr>
                <w:rFonts w:ascii="Calibri" w:eastAsia="Times New Roman" w:hAnsi="Calibri" w:cs="Times New Roman"/>
                <w:b/>
                <w:bCs/>
                <w:color w:val="000000"/>
                <w:lang w:eastAsia="en-GB"/>
              </w:rPr>
              <w:t>2013/14</w:t>
            </w:r>
          </w:p>
        </w:tc>
      </w:tr>
      <w:tr w:rsidR="008921BF" w:rsidRPr="004A3C88" w:rsidTr="00031B92">
        <w:trPr>
          <w:trHeight w:val="615"/>
        </w:trPr>
        <w:tc>
          <w:tcPr>
            <w:tcW w:w="960" w:type="dxa"/>
            <w:vMerge/>
            <w:tcBorders>
              <w:top w:val="single" w:sz="4" w:space="0" w:color="auto"/>
              <w:left w:val="single" w:sz="4" w:space="0" w:color="auto"/>
              <w:bottom w:val="single" w:sz="4" w:space="0" w:color="000000"/>
              <w:right w:val="single" w:sz="4" w:space="0" w:color="auto"/>
            </w:tcBorders>
            <w:vAlign w:val="center"/>
            <w:hideMark/>
          </w:tcPr>
          <w:p w:rsidR="008921BF" w:rsidRPr="004A3C88" w:rsidRDefault="008921BF" w:rsidP="00031B92">
            <w:pPr>
              <w:spacing w:after="0" w:line="240" w:lineRule="auto"/>
              <w:rPr>
                <w:rFonts w:ascii="Calibri" w:eastAsia="Times New Roman" w:hAnsi="Calibri" w:cs="Times New Roman"/>
                <w:b/>
                <w:bCs/>
                <w:color w:val="000000"/>
                <w:lang w:eastAsia="en-GB"/>
              </w:rPr>
            </w:pPr>
          </w:p>
        </w:tc>
        <w:tc>
          <w:tcPr>
            <w:tcW w:w="811" w:type="dxa"/>
            <w:tcBorders>
              <w:top w:val="nil"/>
              <w:left w:val="nil"/>
              <w:bottom w:val="single" w:sz="4" w:space="0" w:color="auto"/>
              <w:right w:val="single" w:sz="4" w:space="0" w:color="auto"/>
            </w:tcBorders>
            <w:shd w:val="clear" w:color="000000" w:fill="BFBFBF"/>
            <w:noWrap/>
            <w:vAlign w:val="center"/>
            <w:hideMark/>
          </w:tcPr>
          <w:p w:rsidR="008921BF" w:rsidRPr="004A3C88" w:rsidRDefault="008921BF" w:rsidP="00031B92">
            <w:pPr>
              <w:spacing w:after="0" w:line="240" w:lineRule="auto"/>
              <w:jc w:val="center"/>
              <w:rPr>
                <w:rFonts w:ascii="Calibri" w:eastAsia="Times New Roman" w:hAnsi="Calibri" w:cs="Times New Roman"/>
                <w:b/>
                <w:bCs/>
                <w:color w:val="000000"/>
                <w:lang w:eastAsia="en-GB"/>
              </w:rPr>
            </w:pPr>
            <w:r w:rsidRPr="004A3C88">
              <w:rPr>
                <w:rFonts w:ascii="Calibri" w:eastAsia="Times New Roman" w:hAnsi="Calibri" w:cs="Times New Roman"/>
                <w:b/>
                <w:bCs/>
                <w:color w:val="000000"/>
                <w:lang w:eastAsia="en-GB"/>
              </w:rPr>
              <w:t xml:space="preserve">No. </w:t>
            </w:r>
          </w:p>
        </w:tc>
        <w:tc>
          <w:tcPr>
            <w:tcW w:w="1749" w:type="dxa"/>
            <w:tcBorders>
              <w:top w:val="nil"/>
              <w:left w:val="nil"/>
              <w:bottom w:val="single" w:sz="4" w:space="0" w:color="auto"/>
              <w:right w:val="single" w:sz="4" w:space="0" w:color="auto"/>
            </w:tcBorders>
            <w:shd w:val="clear" w:color="000000" w:fill="BFBFBF"/>
            <w:vAlign w:val="center"/>
            <w:hideMark/>
          </w:tcPr>
          <w:p w:rsidR="008921BF" w:rsidRPr="004A3C88" w:rsidRDefault="008921BF" w:rsidP="00031B92">
            <w:pPr>
              <w:spacing w:after="0" w:line="240" w:lineRule="auto"/>
              <w:jc w:val="center"/>
              <w:rPr>
                <w:rFonts w:ascii="Calibri" w:eastAsia="Times New Roman" w:hAnsi="Calibri" w:cs="Times New Roman"/>
                <w:b/>
                <w:bCs/>
                <w:color w:val="000000"/>
                <w:lang w:eastAsia="en-GB"/>
              </w:rPr>
            </w:pPr>
            <w:r w:rsidRPr="004A3C88">
              <w:rPr>
                <w:rFonts w:ascii="Calibri" w:eastAsia="Times New Roman" w:hAnsi="Calibri" w:cs="Times New Roman"/>
                <w:b/>
                <w:bCs/>
                <w:color w:val="000000"/>
                <w:lang w:eastAsia="en-GB"/>
              </w:rPr>
              <w:t>% of Total Service Users</w:t>
            </w:r>
          </w:p>
        </w:tc>
        <w:tc>
          <w:tcPr>
            <w:tcW w:w="810" w:type="dxa"/>
            <w:tcBorders>
              <w:top w:val="nil"/>
              <w:left w:val="nil"/>
              <w:bottom w:val="single" w:sz="4" w:space="0" w:color="auto"/>
              <w:right w:val="single" w:sz="4" w:space="0" w:color="auto"/>
            </w:tcBorders>
            <w:shd w:val="clear" w:color="000000" w:fill="BFBFBF"/>
            <w:noWrap/>
            <w:vAlign w:val="center"/>
            <w:hideMark/>
          </w:tcPr>
          <w:p w:rsidR="008921BF" w:rsidRPr="004A3C88" w:rsidRDefault="008921BF" w:rsidP="00031B92">
            <w:pPr>
              <w:spacing w:after="0" w:line="240" w:lineRule="auto"/>
              <w:jc w:val="center"/>
              <w:rPr>
                <w:rFonts w:ascii="Calibri" w:eastAsia="Times New Roman" w:hAnsi="Calibri" w:cs="Times New Roman"/>
                <w:b/>
                <w:bCs/>
                <w:color w:val="000000"/>
                <w:lang w:eastAsia="en-GB"/>
              </w:rPr>
            </w:pPr>
            <w:r w:rsidRPr="004A3C88">
              <w:rPr>
                <w:rFonts w:ascii="Calibri" w:eastAsia="Times New Roman" w:hAnsi="Calibri" w:cs="Times New Roman"/>
                <w:b/>
                <w:bCs/>
                <w:color w:val="000000"/>
                <w:lang w:eastAsia="en-GB"/>
              </w:rPr>
              <w:t xml:space="preserve">No. </w:t>
            </w:r>
          </w:p>
        </w:tc>
        <w:tc>
          <w:tcPr>
            <w:tcW w:w="1730" w:type="dxa"/>
            <w:tcBorders>
              <w:top w:val="nil"/>
              <w:left w:val="nil"/>
              <w:bottom w:val="single" w:sz="4" w:space="0" w:color="auto"/>
              <w:right w:val="single" w:sz="4" w:space="0" w:color="auto"/>
            </w:tcBorders>
            <w:shd w:val="clear" w:color="000000" w:fill="BFBFBF"/>
            <w:vAlign w:val="center"/>
            <w:hideMark/>
          </w:tcPr>
          <w:p w:rsidR="008921BF" w:rsidRPr="004A3C88" w:rsidRDefault="008921BF" w:rsidP="00031B92">
            <w:pPr>
              <w:spacing w:after="0" w:line="240" w:lineRule="auto"/>
              <w:jc w:val="center"/>
              <w:rPr>
                <w:rFonts w:ascii="Calibri" w:eastAsia="Times New Roman" w:hAnsi="Calibri" w:cs="Times New Roman"/>
                <w:b/>
                <w:bCs/>
                <w:color w:val="000000"/>
                <w:lang w:eastAsia="en-GB"/>
              </w:rPr>
            </w:pPr>
            <w:r w:rsidRPr="004A3C88">
              <w:rPr>
                <w:rFonts w:ascii="Calibri" w:eastAsia="Times New Roman" w:hAnsi="Calibri" w:cs="Times New Roman"/>
                <w:b/>
                <w:bCs/>
                <w:color w:val="000000"/>
                <w:lang w:eastAsia="en-GB"/>
              </w:rPr>
              <w:t>% of Total Service Users</w:t>
            </w:r>
          </w:p>
        </w:tc>
        <w:tc>
          <w:tcPr>
            <w:tcW w:w="810" w:type="dxa"/>
            <w:tcBorders>
              <w:top w:val="nil"/>
              <w:left w:val="nil"/>
              <w:bottom w:val="single" w:sz="4" w:space="0" w:color="auto"/>
              <w:right w:val="single" w:sz="4" w:space="0" w:color="auto"/>
            </w:tcBorders>
            <w:shd w:val="clear" w:color="000000" w:fill="BFBFBF"/>
            <w:noWrap/>
            <w:vAlign w:val="center"/>
            <w:hideMark/>
          </w:tcPr>
          <w:p w:rsidR="008921BF" w:rsidRPr="004A3C88" w:rsidRDefault="008921BF" w:rsidP="00031B92">
            <w:pPr>
              <w:spacing w:after="0" w:line="240" w:lineRule="auto"/>
              <w:jc w:val="center"/>
              <w:rPr>
                <w:rFonts w:ascii="Calibri" w:eastAsia="Times New Roman" w:hAnsi="Calibri" w:cs="Times New Roman"/>
                <w:b/>
                <w:bCs/>
                <w:color w:val="000000"/>
                <w:lang w:eastAsia="en-GB"/>
              </w:rPr>
            </w:pPr>
            <w:r w:rsidRPr="004A3C88">
              <w:rPr>
                <w:rFonts w:ascii="Calibri" w:eastAsia="Times New Roman" w:hAnsi="Calibri" w:cs="Times New Roman"/>
                <w:b/>
                <w:bCs/>
                <w:color w:val="000000"/>
                <w:lang w:eastAsia="en-GB"/>
              </w:rPr>
              <w:t xml:space="preserve">No. </w:t>
            </w:r>
          </w:p>
        </w:tc>
        <w:tc>
          <w:tcPr>
            <w:tcW w:w="1730" w:type="dxa"/>
            <w:tcBorders>
              <w:top w:val="nil"/>
              <w:left w:val="nil"/>
              <w:bottom w:val="single" w:sz="4" w:space="0" w:color="auto"/>
              <w:right w:val="single" w:sz="4" w:space="0" w:color="auto"/>
            </w:tcBorders>
            <w:shd w:val="clear" w:color="000000" w:fill="BFBFBF"/>
            <w:vAlign w:val="center"/>
            <w:hideMark/>
          </w:tcPr>
          <w:p w:rsidR="008921BF" w:rsidRPr="004A3C88" w:rsidRDefault="008921BF" w:rsidP="00031B92">
            <w:pPr>
              <w:spacing w:after="0" w:line="240" w:lineRule="auto"/>
              <w:jc w:val="center"/>
              <w:rPr>
                <w:rFonts w:ascii="Calibri" w:eastAsia="Times New Roman" w:hAnsi="Calibri" w:cs="Times New Roman"/>
                <w:b/>
                <w:bCs/>
                <w:color w:val="000000"/>
                <w:lang w:eastAsia="en-GB"/>
              </w:rPr>
            </w:pPr>
            <w:r w:rsidRPr="004A3C88">
              <w:rPr>
                <w:rFonts w:ascii="Calibri" w:eastAsia="Times New Roman" w:hAnsi="Calibri" w:cs="Times New Roman"/>
                <w:b/>
                <w:bCs/>
                <w:color w:val="000000"/>
                <w:lang w:eastAsia="en-GB"/>
              </w:rPr>
              <w:t>% of Total Service Users</w:t>
            </w:r>
          </w:p>
        </w:tc>
      </w:tr>
      <w:tr w:rsidR="008921BF" w:rsidRPr="004A3C88" w:rsidTr="00031B92">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8921BF" w:rsidRPr="004A3C88" w:rsidRDefault="008921BF" w:rsidP="00031B92">
            <w:pPr>
              <w:spacing w:after="0" w:line="240" w:lineRule="auto"/>
              <w:jc w:val="center"/>
              <w:rPr>
                <w:rFonts w:ascii="Calibri" w:eastAsia="Times New Roman" w:hAnsi="Calibri" w:cs="Times New Roman"/>
                <w:color w:val="000000"/>
                <w:lang w:eastAsia="en-GB"/>
              </w:rPr>
            </w:pPr>
            <w:r w:rsidRPr="004A3C88">
              <w:rPr>
                <w:rFonts w:ascii="Calibri" w:eastAsia="Times New Roman" w:hAnsi="Calibri" w:cs="Times New Roman"/>
                <w:color w:val="000000"/>
                <w:lang w:eastAsia="en-GB"/>
              </w:rPr>
              <w:t>18-64</w:t>
            </w:r>
          </w:p>
        </w:tc>
        <w:tc>
          <w:tcPr>
            <w:tcW w:w="811" w:type="dxa"/>
            <w:tcBorders>
              <w:top w:val="nil"/>
              <w:left w:val="nil"/>
              <w:bottom w:val="single" w:sz="4" w:space="0" w:color="auto"/>
              <w:right w:val="single" w:sz="4" w:space="0" w:color="auto"/>
            </w:tcBorders>
            <w:shd w:val="clear" w:color="auto" w:fill="auto"/>
            <w:noWrap/>
            <w:vAlign w:val="center"/>
            <w:hideMark/>
          </w:tcPr>
          <w:p w:rsidR="008921BF" w:rsidRPr="004A3C88" w:rsidRDefault="008921BF" w:rsidP="00031B92">
            <w:pPr>
              <w:spacing w:after="0" w:line="240" w:lineRule="auto"/>
              <w:jc w:val="center"/>
              <w:rPr>
                <w:rFonts w:ascii="Calibri" w:eastAsia="Times New Roman" w:hAnsi="Calibri" w:cs="Times New Roman"/>
                <w:color w:val="000000"/>
                <w:lang w:eastAsia="en-GB"/>
              </w:rPr>
            </w:pPr>
            <w:r w:rsidRPr="004A3C88">
              <w:rPr>
                <w:rFonts w:ascii="Calibri" w:eastAsia="Times New Roman" w:hAnsi="Calibri" w:cs="Times New Roman"/>
                <w:color w:val="000000"/>
                <w:lang w:eastAsia="en-GB"/>
              </w:rPr>
              <w:t>701</w:t>
            </w:r>
          </w:p>
        </w:tc>
        <w:tc>
          <w:tcPr>
            <w:tcW w:w="1749" w:type="dxa"/>
            <w:tcBorders>
              <w:top w:val="nil"/>
              <w:left w:val="nil"/>
              <w:bottom w:val="single" w:sz="4" w:space="0" w:color="auto"/>
              <w:right w:val="single" w:sz="4" w:space="0" w:color="auto"/>
            </w:tcBorders>
            <w:shd w:val="clear" w:color="auto" w:fill="auto"/>
            <w:noWrap/>
            <w:vAlign w:val="center"/>
            <w:hideMark/>
          </w:tcPr>
          <w:p w:rsidR="008921BF" w:rsidRPr="004A3C88" w:rsidRDefault="008921BF" w:rsidP="00031B92">
            <w:pPr>
              <w:spacing w:after="0" w:line="240" w:lineRule="auto"/>
              <w:jc w:val="center"/>
              <w:rPr>
                <w:rFonts w:ascii="Calibri" w:eastAsia="Times New Roman" w:hAnsi="Calibri" w:cs="Times New Roman"/>
                <w:color w:val="000000"/>
                <w:lang w:eastAsia="en-GB"/>
              </w:rPr>
            </w:pPr>
            <w:r w:rsidRPr="004A3C88">
              <w:rPr>
                <w:rFonts w:ascii="Calibri" w:eastAsia="Times New Roman" w:hAnsi="Calibri" w:cs="Times New Roman"/>
                <w:color w:val="000000"/>
                <w:lang w:eastAsia="en-GB"/>
              </w:rPr>
              <w:t>26.30%</w:t>
            </w:r>
          </w:p>
        </w:tc>
        <w:tc>
          <w:tcPr>
            <w:tcW w:w="810" w:type="dxa"/>
            <w:tcBorders>
              <w:top w:val="nil"/>
              <w:left w:val="nil"/>
              <w:bottom w:val="single" w:sz="4" w:space="0" w:color="auto"/>
              <w:right w:val="single" w:sz="4" w:space="0" w:color="auto"/>
            </w:tcBorders>
            <w:shd w:val="clear" w:color="auto" w:fill="auto"/>
            <w:noWrap/>
            <w:vAlign w:val="center"/>
            <w:hideMark/>
          </w:tcPr>
          <w:p w:rsidR="008921BF" w:rsidRPr="004A3C88" w:rsidRDefault="008921BF" w:rsidP="00031B92">
            <w:pPr>
              <w:spacing w:after="0" w:line="240" w:lineRule="auto"/>
              <w:jc w:val="center"/>
              <w:rPr>
                <w:rFonts w:ascii="Calibri" w:eastAsia="Times New Roman" w:hAnsi="Calibri" w:cs="Times New Roman"/>
                <w:color w:val="000000"/>
                <w:lang w:eastAsia="en-GB"/>
              </w:rPr>
            </w:pPr>
            <w:r w:rsidRPr="004A3C88">
              <w:rPr>
                <w:rFonts w:ascii="Calibri" w:eastAsia="Times New Roman" w:hAnsi="Calibri" w:cs="Times New Roman"/>
                <w:color w:val="000000"/>
                <w:lang w:eastAsia="en-GB"/>
              </w:rPr>
              <w:t>689</w:t>
            </w:r>
          </w:p>
        </w:tc>
        <w:tc>
          <w:tcPr>
            <w:tcW w:w="1730" w:type="dxa"/>
            <w:tcBorders>
              <w:top w:val="nil"/>
              <w:left w:val="nil"/>
              <w:bottom w:val="single" w:sz="4" w:space="0" w:color="auto"/>
              <w:right w:val="single" w:sz="4" w:space="0" w:color="auto"/>
            </w:tcBorders>
            <w:shd w:val="clear" w:color="auto" w:fill="auto"/>
            <w:noWrap/>
            <w:vAlign w:val="center"/>
            <w:hideMark/>
          </w:tcPr>
          <w:p w:rsidR="008921BF" w:rsidRPr="004A3C88" w:rsidRDefault="008921BF" w:rsidP="00031B92">
            <w:pPr>
              <w:spacing w:after="0" w:line="240" w:lineRule="auto"/>
              <w:jc w:val="center"/>
              <w:rPr>
                <w:rFonts w:ascii="Calibri" w:eastAsia="Times New Roman" w:hAnsi="Calibri" w:cs="Times New Roman"/>
                <w:color w:val="000000"/>
                <w:lang w:eastAsia="en-GB"/>
              </w:rPr>
            </w:pPr>
            <w:r w:rsidRPr="004A3C88">
              <w:rPr>
                <w:rFonts w:ascii="Calibri" w:eastAsia="Times New Roman" w:hAnsi="Calibri" w:cs="Times New Roman"/>
                <w:color w:val="000000"/>
                <w:lang w:eastAsia="en-GB"/>
              </w:rPr>
              <w:t>24.90%</w:t>
            </w:r>
          </w:p>
        </w:tc>
        <w:tc>
          <w:tcPr>
            <w:tcW w:w="810" w:type="dxa"/>
            <w:tcBorders>
              <w:top w:val="nil"/>
              <w:left w:val="nil"/>
              <w:bottom w:val="single" w:sz="4" w:space="0" w:color="auto"/>
              <w:right w:val="single" w:sz="4" w:space="0" w:color="auto"/>
            </w:tcBorders>
            <w:shd w:val="clear" w:color="auto" w:fill="auto"/>
            <w:noWrap/>
            <w:vAlign w:val="center"/>
            <w:hideMark/>
          </w:tcPr>
          <w:p w:rsidR="008921BF" w:rsidRPr="004A3C88" w:rsidRDefault="008921BF" w:rsidP="00031B92">
            <w:pPr>
              <w:spacing w:after="0" w:line="240" w:lineRule="auto"/>
              <w:jc w:val="center"/>
              <w:rPr>
                <w:rFonts w:ascii="Calibri" w:eastAsia="Times New Roman" w:hAnsi="Calibri" w:cs="Times New Roman"/>
                <w:color w:val="000000"/>
                <w:lang w:eastAsia="en-GB"/>
              </w:rPr>
            </w:pPr>
            <w:r w:rsidRPr="004A3C88">
              <w:rPr>
                <w:rFonts w:ascii="Calibri" w:eastAsia="Times New Roman" w:hAnsi="Calibri" w:cs="Times New Roman"/>
                <w:color w:val="000000"/>
                <w:lang w:eastAsia="en-GB"/>
              </w:rPr>
              <w:t>656</w:t>
            </w:r>
          </w:p>
        </w:tc>
        <w:tc>
          <w:tcPr>
            <w:tcW w:w="1730" w:type="dxa"/>
            <w:tcBorders>
              <w:top w:val="nil"/>
              <w:left w:val="nil"/>
              <w:bottom w:val="single" w:sz="4" w:space="0" w:color="auto"/>
              <w:right w:val="single" w:sz="4" w:space="0" w:color="auto"/>
            </w:tcBorders>
            <w:shd w:val="clear" w:color="auto" w:fill="auto"/>
            <w:noWrap/>
            <w:vAlign w:val="center"/>
            <w:hideMark/>
          </w:tcPr>
          <w:p w:rsidR="008921BF" w:rsidRPr="004A3C88" w:rsidRDefault="008921BF" w:rsidP="00031B92">
            <w:pPr>
              <w:spacing w:after="0" w:line="240" w:lineRule="auto"/>
              <w:jc w:val="center"/>
              <w:rPr>
                <w:rFonts w:ascii="Calibri" w:eastAsia="Times New Roman" w:hAnsi="Calibri" w:cs="Times New Roman"/>
                <w:color w:val="000000"/>
                <w:lang w:eastAsia="en-GB"/>
              </w:rPr>
            </w:pPr>
            <w:r w:rsidRPr="004A3C88">
              <w:rPr>
                <w:rFonts w:ascii="Calibri" w:eastAsia="Times New Roman" w:hAnsi="Calibri" w:cs="Times New Roman"/>
                <w:color w:val="000000"/>
                <w:lang w:eastAsia="en-GB"/>
              </w:rPr>
              <w:t>24.30%</w:t>
            </w:r>
          </w:p>
        </w:tc>
      </w:tr>
      <w:tr w:rsidR="008921BF" w:rsidRPr="004A3C88" w:rsidTr="00031B92">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8921BF" w:rsidRPr="004A3C88" w:rsidRDefault="008921BF" w:rsidP="00031B92">
            <w:pPr>
              <w:spacing w:after="0" w:line="240" w:lineRule="auto"/>
              <w:jc w:val="center"/>
              <w:rPr>
                <w:rFonts w:ascii="Calibri" w:eastAsia="Times New Roman" w:hAnsi="Calibri" w:cs="Times New Roman"/>
                <w:color w:val="000000"/>
                <w:lang w:eastAsia="en-GB"/>
              </w:rPr>
            </w:pPr>
            <w:r w:rsidRPr="004A3C88">
              <w:rPr>
                <w:rFonts w:ascii="Calibri" w:eastAsia="Times New Roman" w:hAnsi="Calibri" w:cs="Times New Roman"/>
                <w:color w:val="000000"/>
                <w:lang w:eastAsia="en-GB"/>
              </w:rPr>
              <w:t>65+</w:t>
            </w:r>
          </w:p>
        </w:tc>
        <w:tc>
          <w:tcPr>
            <w:tcW w:w="811" w:type="dxa"/>
            <w:tcBorders>
              <w:top w:val="nil"/>
              <w:left w:val="nil"/>
              <w:bottom w:val="single" w:sz="4" w:space="0" w:color="auto"/>
              <w:right w:val="single" w:sz="4" w:space="0" w:color="auto"/>
            </w:tcBorders>
            <w:shd w:val="clear" w:color="auto" w:fill="auto"/>
            <w:noWrap/>
            <w:vAlign w:val="center"/>
            <w:hideMark/>
          </w:tcPr>
          <w:p w:rsidR="008921BF" w:rsidRPr="004A3C88" w:rsidRDefault="008921BF" w:rsidP="00031B92">
            <w:pPr>
              <w:spacing w:after="0" w:line="240" w:lineRule="auto"/>
              <w:jc w:val="center"/>
              <w:rPr>
                <w:rFonts w:ascii="Calibri" w:eastAsia="Times New Roman" w:hAnsi="Calibri" w:cs="Times New Roman"/>
                <w:color w:val="000000"/>
                <w:lang w:eastAsia="en-GB"/>
              </w:rPr>
            </w:pPr>
            <w:r w:rsidRPr="004A3C88">
              <w:rPr>
                <w:rFonts w:ascii="Calibri" w:eastAsia="Times New Roman" w:hAnsi="Calibri" w:cs="Times New Roman"/>
                <w:color w:val="000000"/>
                <w:lang w:eastAsia="en-GB"/>
              </w:rPr>
              <w:t>3,352</w:t>
            </w:r>
          </w:p>
        </w:tc>
        <w:tc>
          <w:tcPr>
            <w:tcW w:w="1749" w:type="dxa"/>
            <w:tcBorders>
              <w:top w:val="nil"/>
              <w:left w:val="nil"/>
              <w:bottom w:val="single" w:sz="4" w:space="0" w:color="auto"/>
              <w:right w:val="single" w:sz="4" w:space="0" w:color="auto"/>
            </w:tcBorders>
            <w:shd w:val="clear" w:color="auto" w:fill="auto"/>
            <w:noWrap/>
            <w:vAlign w:val="center"/>
            <w:hideMark/>
          </w:tcPr>
          <w:p w:rsidR="008921BF" w:rsidRPr="004A3C88" w:rsidRDefault="008921BF" w:rsidP="00031B92">
            <w:pPr>
              <w:spacing w:after="0" w:line="240" w:lineRule="auto"/>
              <w:jc w:val="center"/>
              <w:rPr>
                <w:rFonts w:ascii="Calibri" w:eastAsia="Times New Roman" w:hAnsi="Calibri" w:cs="Times New Roman"/>
                <w:color w:val="000000"/>
                <w:lang w:eastAsia="en-GB"/>
              </w:rPr>
            </w:pPr>
            <w:r w:rsidRPr="004A3C88">
              <w:rPr>
                <w:rFonts w:ascii="Calibri" w:eastAsia="Times New Roman" w:hAnsi="Calibri" w:cs="Times New Roman"/>
                <w:color w:val="000000"/>
                <w:lang w:eastAsia="en-GB"/>
              </w:rPr>
              <w:t>68.90%</w:t>
            </w:r>
          </w:p>
        </w:tc>
        <w:tc>
          <w:tcPr>
            <w:tcW w:w="810" w:type="dxa"/>
            <w:tcBorders>
              <w:top w:val="nil"/>
              <w:left w:val="nil"/>
              <w:bottom w:val="single" w:sz="4" w:space="0" w:color="auto"/>
              <w:right w:val="single" w:sz="4" w:space="0" w:color="auto"/>
            </w:tcBorders>
            <w:shd w:val="clear" w:color="auto" w:fill="auto"/>
            <w:noWrap/>
            <w:vAlign w:val="center"/>
            <w:hideMark/>
          </w:tcPr>
          <w:p w:rsidR="008921BF" w:rsidRPr="004A3C88" w:rsidRDefault="008921BF" w:rsidP="00031B92">
            <w:pPr>
              <w:spacing w:after="0" w:line="240" w:lineRule="auto"/>
              <w:jc w:val="center"/>
              <w:rPr>
                <w:rFonts w:ascii="Calibri" w:eastAsia="Times New Roman" w:hAnsi="Calibri" w:cs="Times New Roman"/>
                <w:color w:val="000000"/>
                <w:lang w:eastAsia="en-GB"/>
              </w:rPr>
            </w:pPr>
            <w:r w:rsidRPr="004A3C88">
              <w:rPr>
                <w:rFonts w:ascii="Calibri" w:eastAsia="Times New Roman" w:hAnsi="Calibri" w:cs="Times New Roman"/>
                <w:color w:val="000000"/>
                <w:lang w:eastAsia="en-GB"/>
              </w:rPr>
              <w:t>3,353</w:t>
            </w:r>
          </w:p>
        </w:tc>
        <w:tc>
          <w:tcPr>
            <w:tcW w:w="1730" w:type="dxa"/>
            <w:tcBorders>
              <w:top w:val="nil"/>
              <w:left w:val="nil"/>
              <w:bottom w:val="single" w:sz="4" w:space="0" w:color="auto"/>
              <w:right w:val="single" w:sz="4" w:space="0" w:color="auto"/>
            </w:tcBorders>
            <w:shd w:val="clear" w:color="auto" w:fill="auto"/>
            <w:noWrap/>
            <w:vAlign w:val="center"/>
            <w:hideMark/>
          </w:tcPr>
          <w:p w:rsidR="008921BF" w:rsidRPr="004A3C88" w:rsidRDefault="008921BF" w:rsidP="00031B92">
            <w:pPr>
              <w:spacing w:after="0" w:line="240" w:lineRule="auto"/>
              <w:jc w:val="center"/>
              <w:rPr>
                <w:rFonts w:ascii="Calibri" w:eastAsia="Times New Roman" w:hAnsi="Calibri" w:cs="Times New Roman"/>
                <w:color w:val="000000"/>
                <w:lang w:eastAsia="en-GB"/>
              </w:rPr>
            </w:pPr>
            <w:r w:rsidRPr="004A3C88">
              <w:rPr>
                <w:rFonts w:ascii="Calibri" w:eastAsia="Times New Roman" w:hAnsi="Calibri" w:cs="Times New Roman"/>
                <w:color w:val="000000"/>
                <w:lang w:eastAsia="en-GB"/>
              </w:rPr>
              <w:t>70.30%</w:t>
            </w:r>
          </w:p>
        </w:tc>
        <w:tc>
          <w:tcPr>
            <w:tcW w:w="810" w:type="dxa"/>
            <w:tcBorders>
              <w:top w:val="nil"/>
              <w:left w:val="nil"/>
              <w:bottom w:val="single" w:sz="4" w:space="0" w:color="auto"/>
              <w:right w:val="single" w:sz="4" w:space="0" w:color="auto"/>
            </w:tcBorders>
            <w:shd w:val="clear" w:color="auto" w:fill="auto"/>
            <w:noWrap/>
            <w:vAlign w:val="center"/>
            <w:hideMark/>
          </w:tcPr>
          <w:p w:rsidR="008921BF" w:rsidRPr="004A3C88" w:rsidRDefault="008921BF" w:rsidP="00031B92">
            <w:pPr>
              <w:spacing w:after="0" w:line="240" w:lineRule="auto"/>
              <w:jc w:val="center"/>
              <w:rPr>
                <w:rFonts w:ascii="Calibri" w:eastAsia="Times New Roman" w:hAnsi="Calibri" w:cs="Times New Roman"/>
                <w:color w:val="000000"/>
                <w:lang w:eastAsia="en-GB"/>
              </w:rPr>
            </w:pPr>
            <w:r w:rsidRPr="004A3C88">
              <w:rPr>
                <w:rFonts w:ascii="Calibri" w:eastAsia="Times New Roman" w:hAnsi="Calibri" w:cs="Times New Roman"/>
                <w:color w:val="000000"/>
                <w:lang w:eastAsia="en-GB"/>
              </w:rPr>
              <w:t>3,427</w:t>
            </w:r>
          </w:p>
        </w:tc>
        <w:tc>
          <w:tcPr>
            <w:tcW w:w="1730" w:type="dxa"/>
            <w:tcBorders>
              <w:top w:val="nil"/>
              <w:left w:val="nil"/>
              <w:bottom w:val="single" w:sz="4" w:space="0" w:color="auto"/>
              <w:right w:val="single" w:sz="4" w:space="0" w:color="auto"/>
            </w:tcBorders>
            <w:shd w:val="clear" w:color="auto" w:fill="auto"/>
            <w:noWrap/>
            <w:vAlign w:val="center"/>
            <w:hideMark/>
          </w:tcPr>
          <w:p w:rsidR="008921BF" w:rsidRPr="004A3C88" w:rsidRDefault="008921BF" w:rsidP="00031B92">
            <w:pPr>
              <w:spacing w:after="0" w:line="240" w:lineRule="auto"/>
              <w:jc w:val="center"/>
              <w:rPr>
                <w:rFonts w:ascii="Calibri" w:eastAsia="Times New Roman" w:hAnsi="Calibri" w:cs="Times New Roman"/>
                <w:color w:val="000000"/>
                <w:lang w:eastAsia="en-GB"/>
              </w:rPr>
            </w:pPr>
            <w:r w:rsidRPr="004A3C88">
              <w:rPr>
                <w:rFonts w:ascii="Calibri" w:eastAsia="Times New Roman" w:hAnsi="Calibri" w:cs="Times New Roman"/>
                <w:color w:val="000000"/>
                <w:lang w:eastAsia="en-GB"/>
              </w:rPr>
              <w:t>72.20%</w:t>
            </w:r>
          </w:p>
        </w:tc>
      </w:tr>
    </w:tbl>
    <w:p w:rsidR="00144313" w:rsidRDefault="00144313" w:rsidP="00144313">
      <w:pPr>
        <w:spacing w:after="0" w:line="240" w:lineRule="auto"/>
      </w:pPr>
      <w:r>
        <w:t>Source:  SWIFT – Adult Social Care Database</w:t>
      </w:r>
    </w:p>
    <w:p w:rsidR="008921BF" w:rsidRDefault="008921BF" w:rsidP="008921BF">
      <w:pPr>
        <w:spacing w:after="0"/>
      </w:pPr>
    </w:p>
    <w:p w:rsidR="008921BF" w:rsidRDefault="008921BF" w:rsidP="008921BF">
      <w:pPr>
        <w:spacing w:after="0"/>
        <w:jc w:val="both"/>
        <w:rPr>
          <w:rFonts w:ascii="Calibri" w:hAnsi="Calibri" w:cs="Calibri"/>
        </w:rPr>
      </w:pPr>
      <w:r>
        <w:t>As shown in Figure 9-1</w:t>
      </w:r>
      <w:r w:rsidR="006F597E">
        <w:t>1</w:t>
      </w:r>
      <w:r>
        <w:t>, across both age categories there are more females with physical or sensory impairments than male.  And within the 65 and over age group</w:t>
      </w:r>
      <w:r w:rsidR="00C35D6A">
        <w:t>,</w:t>
      </w:r>
      <w:r>
        <w:t xml:space="preserve"> there are </w:t>
      </w:r>
      <w:r w:rsidR="00C35D6A">
        <w:t xml:space="preserve">more than </w:t>
      </w:r>
      <w:r>
        <w:t xml:space="preserve">twice as many women with physical or sensory impairments as men. However, within the 65 and over age group, </w:t>
      </w:r>
      <w:r w:rsidRPr="00273688">
        <w:rPr>
          <w:rFonts w:ascii="Calibri" w:hAnsi="Calibri" w:cs="Calibri"/>
        </w:rPr>
        <w:t xml:space="preserve">women account for 56.5% of the population (29,152) compared to men who account </w:t>
      </w:r>
      <w:r w:rsidR="00C35D6A">
        <w:rPr>
          <w:rFonts w:ascii="Calibri" w:hAnsi="Calibri" w:cs="Calibri"/>
        </w:rPr>
        <w:t>for 43.5% (22,423).</w:t>
      </w:r>
    </w:p>
    <w:p w:rsidR="00FD3CDD" w:rsidRDefault="00FD3CDD" w:rsidP="008921BF">
      <w:pPr>
        <w:spacing w:after="0"/>
        <w:jc w:val="both"/>
      </w:pPr>
    </w:p>
    <w:p w:rsidR="006F597E" w:rsidRDefault="006F597E" w:rsidP="008921BF">
      <w:pPr>
        <w:pStyle w:val="Caption"/>
      </w:pPr>
    </w:p>
    <w:p w:rsidR="006F597E" w:rsidRDefault="006F597E" w:rsidP="008921BF">
      <w:pPr>
        <w:pStyle w:val="Caption"/>
      </w:pPr>
    </w:p>
    <w:p w:rsidR="006F597E" w:rsidRDefault="006F597E" w:rsidP="008921BF">
      <w:pPr>
        <w:pStyle w:val="Caption"/>
      </w:pPr>
    </w:p>
    <w:p w:rsidR="006F597E" w:rsidRDefault="006F597E" w:rsidP="008921BF">
      <w:pPr>
        <w:pStyle w:val="Caption"/>
      </w:pPr>
    </w:p>
    <w:p w:rsidR="006F597E" w:rsidRDefault="006F597E" w:rsidP="008921BF">
      <w:pPr>
        <w:pStyle w:val="Caption"/>
      </w:pPr>
    </w:p>
    <w:p w:rsidR="006F597E" w:rsidRDefault="006F597E" w:rsidP="008921BF">
      <w:pPr>
        <w:pStyle w:val="Caption"/>
      </w:pPr>
    </w:p>
    <w:p w:rsidR="006F597E" w:rsidRDefault="006F597E" w:rsidP="008921BF">
      <w:pPr>
        <w:pStyle w:val="Caption"/>
      </w:pPr>
    </w:p>
    <w:p w:rsidR="006F597E" w:rsidRDefault="006F597E" w:rsidP="008921BF">
      <w:pPr>
        <w:pStyle w:val="Caption"/>
      </w:pPr>
    </w:p>
    <w:p w:rsidR="006F597E" w:rsidRDefault="006F597E" w:rsidP="008921BF">
      <w:pPr>
        <w:pStyle w:val="Caption"/>
      </w:pPr>
    </w:p>
    <w:p w:rsidR="008921BF" w:rsidRPr="00007AE5" w:rsidRDefault="008921BF" w:rsidP="008921BF">
      <w:pPr>
        <w:pStyle w:val="Caption"/>
        <w:rPr>
          <w:b w:val="0"/>
          <w:i/>
        </w:rPr>
      </w:pPr>
      <w:r>
        <w:lastRenderedPageBreak/>
        <w:t xml:space="preserve">Figure </w:t>
      </w:r>
      <w:fldSimple w:instr=" STYLEREF 1 \s ">
        <w:r w:rsidR="001663C2">
          <w:rPr>
            <w:noProof/>
          </w:rPr>
          <w:t>9</w:t>
        </w:r>
      </w:fldSimple>
      <w:r w:rsidR="00943DC2">
        <w:noBreakHyphen/>
      </w:r>
      <w:fldSimple w:instr=" SEQ Figure \* ARABIC \s 1 ">
        <w:r w:rsidR="001663C2">
          <w:rPr>
            <w:noProof/>
          </w:rPr>
          <w:t>11</w:t>
        </w:r>
      </w:fldSimple>
      <w:r w:rsidRPr="00041E32">
        <w:t>:  Gender of Physical Disability &amp; Sensory Impaired Service Users</w:t>
      </w:r>
    </w:p>
    <w:p w:rsidR="008921BF" w:rsidRDefault="008921BF" w:rsidP="008921BF">
      <w:pPr>
        <w:spacing w:after="0"/>
      </w:pPr>
      <w:r>
        <w:rPr>
          <w:noProof/>
          <w:lang w:eastAsia="en-GB"/>
        </w:rPr>
        <w:drawing>
          <wp:inline distT="0" distB="0" distL="0" distR="0" wp14:anchorId="47F2922E" wp14:editId="3FDED86F">
            <wp:extent cx="5613991" cy="1945758"/>
            <wp:effectExtent l="0" t="0" r="25400" b="16510"/>
            <wp:docPr id="86" name="Chart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213"/>
              </a:graphicData>
            </a:graphic>
          </wp:inline>
        </w:drawing>
      </w:r>
    </w:p>
    <w:p w:rsidR="00144313" w:rsidRDefault="00144313" w:rsidP="00144313">
      <w:pPr>
        <w:spacing w:after="0" w:line="240" w:lineRule="auto"/>
      </w:pPr>
      <w:r>
        <w:t>Source:  SWIFT – Adult Social Care Database</w:t>
      </w:r>
    </w:p>
    <w:p w:rsidR="00144313" w:rsidRDefault="00144313" w:rsidP="00144313">
      <w:pPr>
        <w:spacing w:after="0" w:line="240" w:lineRule="auto"/>
      </w:pPr>
    </w:p>
    <w:p w:rsidR="008921BF" w:rsidRDefault="008921BF" w:rsidP="008921BF">
      <w:pPr>
        <w:spacing w:after="0"/>
        <w:jc w:val="both"/>
      </w:pPr>
      <w:r>
        <w:t xml:space="preserve">The high rates of service users with physical or sensory impairments may mean that enabling people to remain in their own home could require them to have access to resources and support from prevention services and / or statutory services. </w:t>
      </w:r>
    </w:p>
    <w:p w:rsidR="008921BF" w:rsidRDefault="008921BF" w:rsidP="008921BF">
      <w:pPr>
        <w:pStyle w:val="Heading4"/>
        <w:jc w:val="both"/>
      </w:pPr>
      <w:r>
        <w:t>Key Issues</w:t>
      </w:r>
    </w:p>
    <w:p w:rsidR="008921BF" w:rsidRDefault="008921BF" w:rsidP="008921BF">
      <w:pPr>
        <w:pStyle w:val="ListParagraph"/>
        <w:numPr>
          <w:ilvl w:val="0"/>
          <w:numId w:val="50"/>
        </w:numPr>
        <w:spacing w:after="0" w:line="240" w:lineRule="auto"/>
        <w:ind w:left="709" w:hanging="283"/>
        <w:contextualSpacing w:val="0"/>
        <w:jc w:val="both"/>
      </w:pPr>
      <w:r w:rsidRPr="006F70A0">
        <w:t xml:space="preserve">The number of </w:t>
      </w:r>
      <w:r>
        <w:t xml:space="preserve">people </w:t>
      </w:r>
      <w:r w:rsidRPr="006F70A0">
        <w:t>with a Physical and /or sensory impairment is increasing.</w:t>
      </w:r>
    </w:p>
    <w:p w:rsidR="008921BF" w:rsidRDefault="008921BF" w:rsidP="008921BF">
      <w:pPr>
        <w:pStyle w:val="ListParagraph"/>
        <w:numPr>
          <w:ilvl w:val="0"/>
          <w:numId w:val="50"/>
        </w:numPr>
        <w:spacing w:after="0" w:line="240" w:lineRule="auto"/>
        <w:ind w:left="709" w:hanging="283"/>
        <w:contextualSpacing w:val="0"/>
        <w:jc w:val="both"/>
      </w:pPr>
      <w:r w:rsidRPr="006F70A0">
        <w:t>This will have an impact on the demand for services such as appropriate housing</w:t>
      </w:r>
      <w:r w:rsidR="00047215">
        <w:t xml:space="preserve"> /</w:t>
      </w:r>
      <w:r w:rsidRPr="006F70A0">
        <w:t xml:space="preserve">support needs. </w:t>
      </w:r>
    </w:p>
    <w:p w:rsidR="008921BF" w:rsidRDefault="008921BF" w:rsidP="008921BF">
      <w:pPr>
        <w:pStyle w:val="ListParagraph"/>
        <w:numPr>
          <w:ilvl w:val="0"/>
          <w:numId w:val="50"/>
        </w:numPr>
        <w:spacing w:after="0" w:line="240" w:lineRule="auto"/>
        <w:ind w:left="709" w:hanging="283"/>
        <w:contextualSpacing w:val="0"/>
        <w:jc w:val="both"/>
      </w:pPr>
      <w:r w:rsidRPr="006F70A0">
        <w:t>Due to me</w:t>
      </w:r>
      <w:r>
        <w:t>dical improvements people with p</w:t>
      </w:r>
      <w:r w:rsidRPr="006F70A0">
        <w:t>hysical and /or sensory impairment are living longer and therefore resources are required for a longer period of time to support them.</w:t>
      </w:r>
    </w:p>
    <w:p w:rsidR="008921BF" w:rsidRPr="00460E07" w:rsidRDefault="008921BF" w:rsidP="008921BF">
      <w:pPr>
        <w:pStyle w:val="ListParagraph"/>
        <w:numPr>
          <w:ilvl w:val="0"/>
          <w:numId w:val="50"/>
        </w:numPr>
        <w:spacing w:after="0" w:line="240" w:lineRule="auto"/>
        <w:ind w:left="709" w:hanging="283"/>
        <w:contextualSpacing w:val="0"/>
        <w:jc w:val="both"/>
      </w:pPr>
      <w:r w:rsidRPr="006F70A0">
        <w:t>There is a need for improvements in the provision of health and social care needs</w:t>
      </w:r>
      <w:r>
        <w:t>.</w:t>
      </w:r>
    </w:p>
    <w:p w:rsidR="008921BF" w:rsidRDefault="008921BF" w:rsidP="008921BF">
      <w:pPr>
        <w:pStyle w:val="Heading2"/>
        <w:jc w:val="both"/>
      </w:pPr>
      <w:bookmarkStart w:id="949" w:name="_Toc426723400"/>
      <w:bookmarkStart w:id="950" w:name="_Toc431225227"/>
      <w:r>
        <w:t>Safeguarding</w:t>
      </w:r>
      <w:bookmarkEnd w:id="949"/>
      <w:bookmarkEnd w:id="950"/>
    </w:p>
    <w:p w:rsidR="008921BF" w:rsidRPr="00B70286" w:rsidRDefault="008921BF" w:rsidP="008921BF">
      <w:pPr>
        <w:spacing w:after="0"/>
        <w:jc w:val="both"/>
      </w:pPr>
      <w:r w:rsidRPr="00B70286">
        <w:t>Barnet’s Safeguarding Adults Board was established in July 2001. It is made up of senior</w:t>
      </w:r>
      <w:r>
        <w:t xml:space="preserve"> </w:t>
      </w:r>
      <w:r w:rsidRPr="00B70286">
        <w:t>officers from the different public services who work with vulnerable adults in Barnet. The</w:t>
      </w:r>
    </w:p>
    <w:p w:rsidR="008921BF" w:rsidRDefault="008921BF" w:rsidP="008921BF">
      <w:pPr>
        <w:spacing w:after="0"/>
        <w:jc w:val="both"/>
      </w:pPr>
      <w:r w:rsidRPr="00B70286">
        <w:t>Board has four main aims:-</w:t>
      </w:r>
    </w:p>
    <w:p w:rsidR="008921BF" w:rsidRPr="00B70286" w:rsidRDefault="008921BF" w:rsidP="008921BF">
      <w:pPr>
        <w:pStyle w:val="ListParagraph"/>
        <w:autoSpaceDE w:val="0"/>
        <w:autoSpaceDN w:val="0"/>
        <w:adjustRightInd w:val="0"/>
        <w:spacing w:after="0" w:line="240" w:lineRule="auto"/>
        <w:jc w:val="both"/>
      </w:pPr>
    </w:p>
    <w:p w:rsidR="008921BF" w:rsidRPr="00B70286" w:rsidRDefault="008921BF" w:rsidP="008921BF">
      <w:pPr>
        <w:pStyle w:val="ListParagraph"/>
        <w:numPr>
          <w:ilvl w:val="0"/>
          <w:numId w:val="42"/>
        </w:numPr>
        <w:autoSpaceDE w:val="0"/>
        <w:autoSpaceDN w:val="0"/>
        <w:adjustRightInd w:val="0"/>
        <w:spacing w:after="0" w:line="240" w:lineRule="auto"/>
        <w:jc w:val="both"/>
      </w:pPr>
      <w:r>
        <w:t>T</w:t>
      </w:r>
      <w:r w:rsidRPr="00B70286">
        <w:t>o promote the welfare of vulnerable adults and to develop good practice in health and</w:t>
      </w:r>
      <w:r>
        <w:t xml:space="preserve">    </w:t>
      </w:r>
      <w:r w:rsidR="00047215">
        <w:t>social care services;</w:t>
      </w:r>
    </w:p>
    <w:p w:rsidR="008921BF" w:rsidRPr="00B70286" w:rsidRDefault="008921BF" w:rsidP="008921BF">
      <w:pPr>
        <w:pStyle w:val="ListParagraph"/>
        <w:numPr>
          <w:ilvl w:val="0"/>
          <w:numId w:val="42"/>
        </w:numPr>
        <w:autoSpaceDE w:val="0"/>
        <w:autoSpaceDN w:val="0"/>
        <w:adjustRightInd w:val="0"/>
        <w:spacing w:after="0" w:line="240" w:lineRule="auto"/>
        <w:jc w:val="both"/>
      </w:pPr>
      <w:r>
        <w:t>T</w:t>
      </w:r>
      <w:r w:rsidRPr="00B70286">
        <w:t>o raise awareness of abuse wherever it occur</w:t>
      </w:r>
      <w:r>
        <w:t>s</w:t>
      </w:r>
      <w:r w:rsidRPr="00B70286">
        <w:t xml:space="preserve"> and </w:t>
      </w:r>
      <w:r>
        <w:t xml:space="preserve">to </w:t>
      </w:r>
      <w:r w:rsidRPr="00B70286">
        <w:t>encourage people to report it</w:t>
      </w:r>
      <w:r>
        <w:t xml:space="preserve"> </w:t>
      </w:r>
      <w:r w:rsidRPr="00B70286">
        <w:t>if it happens</w:t>
      </w:r>
      <w:r w:rsidR="00047215">
        <w:t>;</w:t>
      </w:r>
    </w:p>
    <w:p w:rsidR="008921BF" w:rsidRPr="00B70286" w:rsidRDefault="008921BF" w:rsidP="008921BF">
      <w:pPr>
        <w:pStyle w:val="ListParagraph"/>
        <w:numPr>
          <w:ilvl w:val="0"/>
          <w:numId w:val="42"/>
        </w:numPr>
        <w:autoSpaceDE w:val="0"/>
        <w:autoSpaceDN w:val="0"/>
        <w:adjustRightInd w:val="0"/>
        <w:spacing w:after="0" w:line="240" w:lineRule="auto"/>
        <w:jc w:val="both"/>
      </w:pPr>
      <w:r w:rsidRPr="00B70286">
        <w:t>To ensure that agencies work effectively together to ensure abuse is investigated</w:t>
      </w:r>
      <w:r>
        <w:t xml:space="preserve"> </w:t>
      </w:r>
      <w:r w:rsidRPr="00B70286">
        <w:t xml:space="preserve">and that people are helped to </w:t>
      </w:r>
      <w:r>
        <w:t>remain</w:t>
      </w:r>
      <w:r w:rsidR="00047215">
        <w:t xml:space="preserve"> safe;</w:t>
      </w:r>
    </w:p>
    <w:p w:rsidR="008921BF" w:rsidRDefault="008921BF" w:rsidP="008921BF">
      <w:pPr>
        <w:pStyle w:val="ListParagraph"/>
        <w:numPr>
          <w:ilvl w:val="0"/>
          <w:numId w:val="42"/>
        </w:numPr>
        <w:spacing w:after="0" w:line="240" w:lineRule="auto"/>
        <w:jc w:val="both"/>
      </w:pPr>
      <w:r w:rsidRPr="00B70286">
        <w:t>To learn lessons where people hav</w:t>
      </w:r>
      <w:r>
        <w:t>e not been adequately protected.</w:t>
      </w:r>
    </w:p>
    <w:p w:rsidR="008921BF" w:rsidRDefault="008921BF" w:rsidP="008921BF">
      <w:pPr>
        <w:pStyle w:val="Default"/>
        <w:spacing w:line="276" w:lineRule="auto"/>
        <w:jc w:val="both"/>
        <w:rPr>
          <w:rFonts w:asciiTheme="minorHAnsi" w:hAnsiTheme="minorHAnsi" w:cstheme="minorBidi"/>
          <w:color w:val="auto"/>
          <w:sz w:val="22"/>
          <w:szCs w:val="22"/>
        </w:rPr>
      </w:pPr>
    </w:p>
    <w:p w:rsidR="008921BF" w:rsidRDefault="008921BF" w:rsidP="008921BF">
      <w:pPr>
        <w:pStyle w:val="Default"/>
        <w:spacing w:line="276" w:lineRule="auto"/>
        <w:jc w:val="both"/>
        <w:rPr>
          <w:rFonts w:asciiTheme="minorHAnsi" w:hAnsiTheme="minorHAnsi" w:cstheme="minorBidi"/>
          <w:color w:val="auto"/>
          <w:sz w:val="22"/>
          <w:szCs w:val="22"/>
        </w:rPr>
      </w:pPr>
      <w:r>
        <w:rPr>
          <w:rFonts w:asciiTheme="minorHAnsi" w:hAnsiTheme="minorHAnsi" w:cstheme="minorBidi"/>
          <w:color w:val="auto"/>
          <w:sz w:val="22"/>
          <w:szCs w:val="22"/>
        </w:rPr>
        <w:t>In 2013/14 Barnet Council</w:t>
      </w:r>
      <w:r w:rsidRPr="00B70286">
        <w:rPr>
          <w:rFonts w:asciiTheme="minorHAnsi" w:hAnsiTheme="minorHAnsi" w:cstheme="minorBidi"/>
          <w:color w:val="auto"/>
          <w:sz w:val="22"/>
          <w:szCs w:val="22"/>
        </w:rPr>
        <w:t xml:space="preserve"> received a total of 565 alerts</w:t>
      </w:r>
      <w:r>
        <w:rPr>
          <w:rFonts w:asciiTheme="minorHAnsi" w:hAnsiTheme="minorHAnsi" w:cstheme="minorBidi"/>
          <w:color w:val="auto"/>
          <w:sz w:val="22"/>
          <w:szCs w:val="22"/>
        </w:rPr>
        <w:t>, an</w:t>
      </w:r>
      <w:r w:rsidRPr="00B70286">
        <w:rPr>
          <w:rFonts w:asciiTheme="minorHAnsi" w:hAnsiTheme="minorHAnsi" w:cstheme="minorBidi"/>
          <w:color w:val="auto"/>
          <w:sz w:val="22"/>
          <w:szCs w:val="22"/>
        </w:rPr>
        <w:t xml:space="preserve"> 8% decrease </w:t>
      </w:r>
      <w:r>
        <w:rPr>
          <w:rFonts w:asciiTheme="minorHAnsi" w:hAnsiTheme="minorHAnsi" w:cstheme="minorBidi"/>
          <w:color w:val="auto"/>
          <w:sz w:val="22"/>
          <w:szCs w:val="22"/>
        </w:rPr>
        <w:t>from</w:t>
      </w:r>
      <w:r w:rsidRPr="00B70286">
        <w:rPr>
          <w:rFonts w:asciiTheme="minorHAnsi" w:hAnsiTheme="minorHAnsi" w:cstheme="minorBidi"/>
          <w:color w:val="auto"/>
          <w:sz w:val="22"/>
          <w:szCs w:val="22"/>
        </w:rPr>
        <w:t xml:space="preserve"> the previous year. Th</w:t>
      </w:r>
      <w:r>
        <w:rPr>
          <w:rFonts w:asciiTheme="minorHAnsi" w:hAnsiTheme="minorHAnsi" w:cstheme="minorBidi"/>
          <w:color w:val="auto"/>
          <w:sz w:val="22"/>
          <w:szCs w:val="22"/>
        </w:rPr>
        <w:t xml:space="preserve">is was the first drop in alerts </w:t>
      </w:r>
      <w:r w:rsidRPr="00B70286">
        <w:rPr>
          <w:rFonts w:asciiTheme="minorHAnsi" w:hAnsiTheme="minorHAnsi" w:cstheme="minorBidi"/>
          <w:color w:val="auto"/>
          <w:sz w:val="22"/>
          <w:szCs w:val="22"/>
        </w:rPr>
        <w:t>received in 7 years.</w:t>
      </w:r>
    </w:p>
    <w:p w:rsidR="00FD3CDD" w:rsidRDefault="00FD3CDD" w:rsidP="008921BF">
      <w:pPr>
        <w:pStyle w:val="Caption"/>
      </w:pPr>
    </w:p>
    <w:p w:rsidR="006F597E" w:rsidRDefault="006F597E" w:rsidP="008921BF">
      <w:pPr>
        <w:pStyle w:val="Caption"/>
      </w:pPr>
    </w:p>
    <w:p w:rsidR="006F597E" w:rsidRDefault="006F597E" w:rsidP="008921BF">
      <w:pPr>
        <w:pStyle w:val="Caption"/>
      </w:pPr>
    </w:p>
    <w:p w:rsidR="006F597E" w:rsidRDefault="006F597E" w:rsidP="008921BF">
      <w:pPr>
        <w:pStyle w:val="Caption"/>
      </w:pPr>
    </w:p>
    <w:p w:rsidR="006F597E" w:rsidRDefault="006F597E" w:rsidP="008921BF">
      <w:pPr>
        <w:pStyle w:val="Caption"/>
      </w:pPr>
    </w:p>
    <w:p w:rsidR="006F597E" w:rsidRDefault="006F597E" w:rsidP="008921BF">
      <w:pPr>
        <w:pStyle w:val="Caption"/>
      </w:pPr>
    </w:p>
    <w:p w:rsidR="006F597E" w:rsidRDefault="006F597E" w:rsidP="008921BF">
      <w:pPr>
        <w:pStyle w:val="Caption"/>
      </w:pPr>
    </w:p>
    <w:p w:rsidR="008921BF" w:rsidRDefault="008921BF" w:rsidP="008921BF">
      <w:pPr>
        <w:pStyle w:val="Caption"/>
        <w:rPr>
          <w:rFonts w:ascii="Calibri" w:hAnsi="Calibri" w:cs="Calibri"/>
          <w:b w:val="0"/>
          <w:i/>
        </w:rPr>
      </w:pPr>
      <w:r>
        <w:lastRenderedPageBreak/>
        <w:t xml:space="preserve">Figure </w:t>
      </w:r>
      <w:fldSimple w:instr=" STYLEREF 1 \s ">
        <w:r w:rsidR="001663C2">
          <w:rPr>
            <w:noProof/>
          </w:rPr>
          <w:t>9</w:t>
        </w:r>
      </w:fldSimple>
      <w:r w:rsidR="00943DC2">
        <w:noBreakHyphen/>
      </w:r>
      <w:fldSimple w:instr=" SEQ Figure \* ARABIC \s 1 ">
        <w:r w:rsidR="001663C2">
          <w:rPr>
            <w:noProof/>
          </w:rPr>
          <w:t>12</w:t>
        </w:r>
      </w:fldSimple>
      <w:r w:rsidRPr="00041E32">
        <w:t>: Safeguarding Alert</w:t>
      </w:r>
      <w:r w:rsidR="00144313">
        <w:t>s</w:t>
      </w:r>
      <w:r w:rsidRPr="00041E32">
        <w:t>, 2006-2014</w:t>
      </w:r>
    </w:p>
    <w:p w:rsidR="008921BF" w:rsidRDefault="008921BF" w:rsidP="008921BF">
      <w:pPr>
        <w:spacing w:after="0" w:line="240" w:lineRule="auto"/>
        <w:ind w:right="-1180"/>
        <w:jc w:val="center"/>
        <w:rPr>
          <w:noProof/>
          <w:sz w:val="16"/>
          <w:szCs w:val="16"/>
        </w:rPr>
      </w:pPr>
      <w:r>
        <w:rPr>
          <w:noProof/>
          <w:lang w:eastAsia="en-GB"/>
        </w:rPr>
        <w:drawing>
          <wp:inline distT="0" distB="0" distL="0" distR="0" wp14:anchorId="6321FF7A" wp14:editId="2A52CD67">
            <wp:extent cx="4412512" cy="1945758"/>
            <wp:effectExtent l="0" t="0" r="26670" b="16510"/>
            <wp:docPr id="87" name="Chart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214"/>
              </a:graphicData>
            </a:graphic>
          </wp:inline>
        </w:drawing>
      </w:r>
    </w:p>
    <w:p w:rsidR="00702B67" w:rsidRDefault="00702B67" w:rsidP="008921BF">
      <w:pPr>
        <w:pStyle w:val="Default"/>
        <w:spacing w:line="276" w:lineRule="auto"/>
        <w:jc w:val="both"/>
        <w:rPr>
          <w:rFonts w:asciiTheme="minorHAnsi" w:hAnsiTheme="minorHAnsi" w:cstheme="minorBidi"/>
          <w:color w:val="auto"/>
          <w:sz w:val="22"/>
          <w:szCs w:val="22"/>
        </w:rPr>
      </w:pPr>
    </w:p>
    <w:p w:rsidR="008921BF" w:rsidRPr="00A61F3B" w:rsidRDefault="008921BF" w:rsidP="008921BF">
      <w:pPr>
        <w:pStyle w:val="Default"/>
        <w:spacing w:line="276" w:lineRule="auto"/>
        <w:jc w:val="both"/>
        <w:rPr>
          <w:rFonts w:asciiTheme="minorHAnsi" w:hAnsiTheme="minorHAnsi" w:cstheme="minorBidi"/>
          <w:color w:val="auto"/>
          <w:sz w:val="22"/>
          <w:szCs w:val="22"/>
        </w:rPr>
      </w:pPr>
      <w:r w:rsidRPr="00A61F3B">
        <w:rPr>
          <w:rFonts w:asciiTheme="minorHAnsi" w:hAnsiTheme="minorHAnsi" w:cstheme="minorBidi"/>
          <w:color w:val="auto"/>
          <w:sz w:val="22"/>
          <w:szCs w:val="22"/>
        </w:rPr>
        <w:t xml:space="preserve">The number </w:t>
      </w:r>
      <w:r w:rsidR="00702B67">
        <w:rPr>
          <w:rFonts w:asciiTheme="minorHAnsi" w:hAnsiTheme="minorHAnsi" w:cstheme="minorBidi"/>
          <w:color w:val="auto"/>
          <w:sz w:val="22"/>
          <w:szCs w:val="22"/>
        </w:rPr>
        <w:t>of alerts investigated under the Council’s</w:t>
      </w:r>
      <w:r w:rsidRPr="00A61F3B">
        <w:rPr>
          <w:rFonts w:asciiTheme="minorHAnsi" w:hAnsiTheme="minorHAnsi" w:cstheme="minorBidi"/>
          <w:color w:val="auto"/>
          <w:sz w:val="22"/>
          <w:szCs w:val="22"/>
        </w:rPr>
        <w:t xml:space="preserve"> safeguarding procedures in 2013/14 remained very similar to the previous year. This would suggest that there is an improved understanding of what safeguarding is and how </w:t>
      </w:r>
      <w:r w:rsidR="00487CD4">
        <w:rPr>
          <w:rFonts w:asciiTheme="minorHAnsi" w:hAnsiTheme="minorHAnsi" w:cstheme="minorBidi"/>
          <w:color w:val="auto"/>
          <w:sz w:val="22"/>
          <w:szCs w:val="22"/>
        </w:rPr>
        <w:t>the C</w:t>
      </w:r>
      <w:r>
        <w:rPr>
          <w:rFonts w:asciiTheme="minorHAnsi" w:hAnsiTheme="minorHAnsi" w:cstheme="minorBidi"/>
          <w:color w:val="auto"/>
          <w:sz w:val="22"/>
          <w:szCs w:val="22"/>
        </w:rPr>
        <w:t>ouncil</w:t>
      </w:r>
      <w:r w:rsidRPr="00A61F3B">
        <w:rPr>
          <w:rFonts w:asciiTheme="minorHAnsi" w:hAnsiTheme="minorHAnsi" w:cstheme="minorBidi"/>
          <w:color w:val="auto"/>
          <w:sz w:val="22"/>
          <w:szCs w:val="22"/>
        </w:rPr>
        <w:t xml:space="preserve"> can help people who are affected.</w:t>
      </w:r>
      <w:r>
        <w:rPr>
          <w:rFonts w:asciiTheme="minorHAnsi" w:hAnsiTheme="minorHAnsi" w:cstheme="minorBidi"/>
          <w:color w:val="auto"/>
          <w:sz w:val="22"/>
          <w:szCs w:val="22"/>
        </w:rPr>
        <w:t xml:space="preserve"> </w:t>
      </w:r>
    </w:p>
    <w:p w:rsidR="008921BF" w:rsidRPr="00A61F3B" w:rsidRDefault="008921BF" w:rsidP="008921BF">
      <w:pPr>
        <w:pStyle w:val="Default"/>
        <w:spacing w:line="276" w:lineRule="auto"/>
        <w:jc w:val="both"/>
        <w:rPr>
          <w:rFonts w:asciiTheme="minorHAnsi" w:hAnsiTheme="minorHAnsi" w:cstheme="minorBidi"/>
          <w:color w:val="auto"/>
          <w:sz w:val="22"/>
          <w:szCs w:val="22"/>
        </w:rPr>
      </w:pPr>
    </w:p>
    <w:p w:rsidR="008921BF" w:rsidRDefault="008921BF" w:rsidP="008921BF">
      <w:pPr>
        <w:pStyle w:val="Default"/>
        <w:spacing w:line="276" w:lineRule="auto"/>
        <w:jc w:val="both"/>
        <w:rPr>
          <w:rFonts w:asciiTheme="minorHAnsi" w:hAnsiTheme="minorHAnsi" w:cstheme="minorBidi"/>
          <w:color w:val="auto"/>
          <w:sz w:val="22"/>
          <w:szCs w:val="22"/>
        </w:rPr>
      </w:pPr>
      <w:r>
        <w:rPr>
          <w:rFonts w:asciiTheme="minorHAnsi" w:hAnsiTheme="minorHAnsi" w:cstheme="minorBidi"/>
          <w:color w:val="auto"/>
          <w:sz w:val="22"/>
          <w:szCs w:val="22"/>
        </w:rPr>
        <w:t>In 2013/14, of</w:t>
      </w:r>
      <w:r w:rsidRPr="00B70286">
        <w:rPr>
          <w:rFonts w:asciiTheme="minorHAnsi" w:hAnsiTheme="minorHAnsi" w:cstheme="minorBidi"/>
          <w:color w:val="auto"/>
          <w:sz w:val="22"/>
          <w:szCs w:val="22"/>
        </w:rPr>
        <w:t xml:space="preserve"> the 565 alerts received, 406 (72%) were investigated</w:t>
      </w:r>
      <w:r>
        <w:rPr>
          <w:rFonts w:asciiTheme="minorHAnsi" w:hAnsiTheme="minorHAnsi" w:cstheme="minorBidi"/>
          <w:color w:val="auto"/>
          <w:sz w:val="22"/>
          <w:szCs w:val="22"/>
        </w:rPr>
        <w:t>.</w:t>
      </w:r>
    </w:p>
    <w:p w:rsidR="008921BF" w:rsidRDefault="008921BF" w:rsidP="008921BF">
      <w:pPr>
        <w:pStyle w:val="Default"/>
        <w:spacing w:line="276" w:lineRule="auto"/>
        <w:jc w:val="both"/>
        <w:rPr>
          <w:rFonts w:asciiTheme="minorHAnsi" w:hAnsiTheme="minorHAnsi" w:cstheme="minorBidi"/>
          <w:color w:val="auto"/>
          <w:sz w:val="22"/>
          <w:szCs w:val="22"/>
        </w:rPr>
      </w:pPr>
    </w:p>
    <w:p w:rsidR="008921BF" w:rsidRPr="00B70286" w:rsidRDefault="008921BF" w:rsidP="008921BF">
      <w:pPr>
        <w:pStyle w:val="Default"/>
        <w:spacing w:line="276" w:lineRule="auto"/>
        <w:jc w:val="both"/>
        <w:rPr>
          <w:rFonts w:asciiTheme="minorHAnsi" w:hAnsiTheme="minorHAnsi" w:cstheme="minorBidi"/>
          <w:color w:val="auto"/>
          <w:sz w:val="22"/>
          <w:szCs w:val="22"/>
        </w:rPr>
      </w:pPr>
      <w:r w:rsidRPr="00B70286">
        <w:rPr>
          <w:rFonts w:asciiTheme="minorHAnsi" w:hAnsiTheme="minorHAnsi" w:cstheme="minorBidi"/>
          <w:color w:val="auto"/>
          <w:sz w:val="22"/>
          <w:szCs w:val="22"/>
        </w:rPr>
        <w:t xml:space="preserve">For every case investigated, </w:t>
      </w:r>
      <w:r w:rsidR="00487CD4">
        <w:rPr>
          <w:rFonts w:asciiTheme="minorHAnsi" w:hAnsiTheme="minorHAnsi" w:cstheme="minorBidi"/>
          <w:color w:val="auto"/>
          <w:sz w:val="22"/>
          <w:szCs w:val="22"/>
        </w:rPr>
        <w:t>the C</w:t>
      </w:r>
      <w:r>
        <w:rPr>
          <w:rFonts w:asciiTheme="minorHAnsi" w:hAnsiTheme="minorHAnsi" w:cstheme="minorBidi"/>
          <w:color w:val="auto"/>
          <w:sz w:val="22"/>
          <w:szCs w:val="22"/>
        </w:rPr>
        <w:t>ouncil</w:t>
      </w:r>
      <w:r w:rsidRPr="00B70286">
        <w:rPr>
          <w:rFonts w:asciiTheme="minorHAnsi" w:hAnsiTheme="minorHAnsi" w:cstheme="minorBidi"/>
          <w:color w:val="auto"/>
          <w:sz w:val="22"/>
          <w:szCs w:val="22"/>
        </w:rPr>
        <w:t xml:space="preserve"> decide</w:t>
      </w:r>
      <w:r>
        <w:rPr>
          <w:rFonts w:asciiTheme="minorHAnsi" w:hAnsiTheme="minorHAnsi" w:cstheme="minorBidi"/>
          <w:color w:val="auto"/>
          <w:sz w:val="22"/>
          <w:szCs w:val="22"/>
        </w:rPr>
        <w:t>s</w:t>
      </w:r>
      <w:r w:rsidRPr="00B70286">
        <w:rPr>
          <w:rFonts w:asciiTheme="minorHAnsi" w:hAnsiTheme="minorHAnsi" w:cstheme="minorBidi"/>
          <w:color w:val="auto"/>
          <w:sz w:val="22"/>
          <w:szCs w:val="22"/>
        </w:rPr>
        <w:t xml:space="preserve"> if the abuse </w:t>
      </w:r>
      <w:r>
        <w:rPr>
          <w:rFonts w:asciiTheme="minorHAnsi" w:hAnsiTheme="minorHAnsi" w:cstheme="minorBidi"/>
          <w:color w:val="auto"/>
          <w:sz w:val="22"/>
          <w:szCs w:val="22"/>
        </w:rPr>
        <w:t>‘</w:t>
      </w:r>
      <w:r w:rsidRPr="00B70286">
        <w:rPr>
          <w:rFonts w:asciiTheme="minorHAnsi" w:hAnsiTheme="minorHAnsi" w:cstheme="minorBidi"/>
          <w:color w:val="auto"/>
          <w:sz w:val="22"/>
          <w:szCs w:val="22"/>
        </w:rPr>
        <w:t>happened</w:t>
      </w:r>
      <w:r>
        <w:rPr>
          <w:rFonts w:asciiTheme="minorHAnsi" w:hAnsiTheme="minorHAnsi" w:cstheme="minorBidi"/>
          <w:color w:val="auto"/>
          <w:sz w:val="22"/>
          <w:szCs w:val="22"/>
        </w:rPr>
        <w:t>’</w:t>
      </w:r>
      <w:r w:rsidRPr="00B70286">
        <w:rPr>
          <w:rFonts w:asciiTheme="minorHAnsi" w:hAnsiTheme="minorHAnsi" w:cstheme="minorBidi"/>
          <w:color w:val="auto"/>
          <w:sz w:val="22"/>
          <w:szCs w:val="22"/>
        </w:rPr>
        <w:t xml:space="preserve"> (substantiated), </w:t>
      </w:r>
      <w:r>
        <w:rPr>
          <w:rFonts w:asciiTheme="minorHAnsi" w:hAnsiTheme="minorHAnsi" w:cstheme="minorBidi"/>
          <w:color w:val="auto"/>
          <w:sz w:val="22"/>
          <w:szCs w:val="22"/>
        </w:rPr>
        <w:t>‘</w:t>
      </w:r>
      <w:r w:rsidRPr="00B70286">
        <w:rPr>
          <w:rFonts w:asciiTheme="minorHAnsi" w:hAnsiTheme="minorHAnsi" w:cstheme="minorBidi"/>
          <w:color w:val="auto"/>
          <w:sz w:val="22"/>
          <w:szCs w:val="22"/>
        </w:rPr>
        <w:t>part happened</w:t>
      </w:r>
      <w:r>
        <w:rPr>
          <w:rFonts w:asciiTheme="minorHAnsi" w:hAnsiTheme="minorHAnsi" w:cstheme="minorBidi"/>
          <w:color w:val="auto"/>
          <w:sz w:val="22"/>
          <w:szCs w:val="22"/>
        </w:rPr>
        <w:t>’</w:t>
      </w:r>
      <w:r w:rsidRPr="00B70286">
        <w:rPr>
          <w:rFonts w:asciiTheme="minorHAnsi" w:hAnsiTheme="minorHAnsi" w:cstheme="minorBidi"/>
          <w:color w:val="auto"/>
          <w:sz w:val="22"/>
          <w:szCs w:val="22"/>
        </w:rPr>
        <w:t xml:space="preserve"> (partly substantiated), </w:t>
      </w:r>
      <w:r w:rsidR="00047215">
        <w:rPr>
          <w:rFonts w:asciiTheme="minorHAnsi" w:hAnsiTheme="minorHAnsi" w:cstheme="minorBidi"/>
          <w:color w:val="auto"/>
          <w:sz w:val="22"/>
          <w:szCs w:val="22"/>
        </w:rPr>
        <w:t xml:space="preserve">or </w:t>
      </w:r>
      <w:r>
        <w:rPr>
          <w:rFonts w:asciiTheme="minorHAnsi" w:hAnsiTheme="minorHAnsi" w:cstheme="minorBidi"/>
          <w:color w:val="auto"/>
          <w:sz w:val="22"/>
          <w:szCs w:val="22"/>
        </w:rPr>
        <w:t>‘</w:t>
      </w:r>
      <w:r w:rsidRPr="00B70286">
        <w:rPr>
          <w:rFonts w:asciiTheme="minorHAnsi" w:hAnsiTheme="minorHAnsi" w:cstheme="minorBidi"/>
          <w:color w:val="auto"/>
          <w:sz w:val="22"/>
          <w:szCs w:val="22"/>
        </w:rPr>
        <w:t>did not happen</w:t>
      </w:r>
      <w:r>
        <w:rPr>
          <w:rFonts w:asciiTheme="minorHAnsi" w:hAnsiTheme="minorHAnsi" w:cstheme="minorBidi"/>
          <w:color w:val="auto"/>
          <w:sz w:val="22"/>
          <w:szCs w:val="22"/>
        </w:rPr>
        <w:t>’</w:t>
      </w:r>
      <w:r w:rsidRPr="00B70286">
        <w:rPr>
          <w:rFonts w:asciiTheme="minorHAnsi" w:hAnsiTheme="minorHAnsi" w:cstheme="minorBidi"/>
          <w:color w:val="auto"/>
          <w:sz w:val="22"/>
          <w:szCs w:val="22"/>
        </w:rPr>
        <w:t xml:space="preserve"> (not substantiated). In some cases it is not possible to establish what has occurred leading to an outcome of </w:t>
      </w:r>
      <w:r>
        <w:rPr>
          <w:rFonts w:asciiTheme="minorHAnsi" w:hAnsiTheme="minorHAnsi" w:cstheme="minorBidi"/>
          <w:color w:val="auto"/>
          <w:sz w:val="22"/>
          <w:szCs w:val="22"/>
        </w:rPr>
        <w:t>‘</w:t>
      </w:r>
      <w:r w:rsidRPr="00B70286">
        <w:rPr>
          <w:rFonts w:asciiTheme="minorHAnsi" w:hAnsiTheme="minorHAnsi" w:cstheme="minorBidi"/>
          <w:color w:val="auto"/>
          <w:sz w:val="22"/>
          <w:szCs w:val="22"/>
        </w:rPr>
        <w:t>not determined</w:t>
      </w:r>
      <w:r>
        <w:rPr>
          <w:rFonts w:asciiTheme="minorHAnsi" w:hAnsiTheme="minorHAnsi" w:cstheme="minorBidi"/>
          <w:color w:val="auto"/>
          <w:sz w:val="22"/>
          <w:szCs w:val="22"/>
        </w:rPr>
        <w:t>’</w:t>
      </w:r>
      <w:r w:rsidRPr="00B70286">
        <w:rPr>
          <w:rFonts w:asciiTheme="minorHAnsi" w:hAnsiTheme="minorHAnsi" w:cstheme="minorBidi"/>
          <w:color w:val="auto"/>
          <w:sz w:val="22"/>
          <w:szCs w:val="22"/>
        </w:rPr>
        <w:t xml:space="preserve">. </w:t>
      </w:r>
    </w:p>
    <w:p w:rsidR="008921BF" w:rsidRDefault="008921BF" w:rsidP="008921BF">
      <w:pPr>
        <w:spacing w:after="0"/>
        <w:jc w:val="both"/>
        <w:rPr>
          <w:rFonts w:ascii="Calibri" w:hAnsi="Calibri" w:cs="Calibri"/>
          <w:b/>
          <w:i/>
        </w:rPr>
      </w:pPr>
    </w:p>
    <w:p w:rsidR="008921BF" w:rsidRDefault="008921BF" w:rsidP="008921BF">
      <w:pPr>
        <w:pStyle w:val="Caption"/>
        <w:rPr>
          <w:rFonts w:ascii="Calibri" w:hAnsi="Calibri" w:cs="Calibri"/>
          <w:b w:val="0"/>
          <w:i/>
        </w:rPr>
      </w:pPr>
      <w:r>
        <w:t xml:space="preserve">Table </w:t>
      </w:r>
      <w:fldSimple w:instr=" STYLEREF 1 \s ">
        <w:r w:rsidR="001663C2">
          <w:rPr>
            <w:noProof/>
          </w:rPr>
          <w:t>9</w:t>
        </w:r>
      </w:fldSimple>
      <w:r>
        <w:noBreakHyphen/>
      </w:r>
      <w:fldSimple w:instr=" SEQ Table \* ARABIC \s 1 ">
        <w:r w:rsidR="001663C2">
          <w:rPr>
            <w:noProof/>
          </w:rPr>
          <w:t>28</w:t>
        </w:r>
      </w:fldSimple>
      <w:r w:rsidRPr="00041E32">
        <w:t>: Concluded Investigations</w:t>
      </w:r>
    </w:p>
    <w:tbl>
      <w:tblPr>
        <w:tblStyle w:val="TableGrid"/>
        <w:tblW w:w="9061" w:type="dxa"/>
        <w:jc w:val="center"/>
        <w:tblInd w:w="-885" w:type="dxa"/>
        <w:tblLook w:val="04A0" w:firstRow="1" w:lastRow="0" w:firstColumn="1" w:lastColumn="0" w:noHBand="0" w:noVBand="1"/>
      </w:tblPr>
      <w:tblGrid>
        <w:gridCol w:w="2167"/>
        <w:gridCol w:w="1224"/>
        <w:gridCol w:w="1134"/>
        <w:gridCol w:w="1134"/>
        <w:gridCol w:w="1134"/>
        <w:gridCol w:w="1134"/>
        <w:gridCol w:w="1134"/>
      </w:tblGrid>
      <w:tr w:rsidR="008921BF" w:rsidRPr="00311580" w:rsidTr="00031B92">
        <w:trPr>
          <w:trHeight w:val="570"/>
          <w:jc w:val="center"/>
        </w:trPr>
        <w:tc>
          <w:tcPr>
            <w:tcW w:w="2167" w:type="dxa"/>
            <w:vMerge w:val="restart"/>
            <w:shd w:val="clear" w:color="auto" w:fill="BFBFBF" w:themeFill="background1" w:themeFillShade="BF"/>
            <w:vAlign w:val="center"/>
          </w:tcPr>
          <w:p w:rsidR="008921BF" w:rsidRPr="00723C7D" w:rsidRDefault="008921BF" w:rsidP="00031B92">
            <w:pPr>
              <w:jc w:val="center"/>
              <w:rPr>
                <w:rFonts w:ascii="Calibri" w:eastAsia="Times New Roman" w:hAnsi="Calibri" w:cs="Times New Roman"/>
                <w:b/>
                <w:bCs/>
                <w:lang w:eastAsia="en-GB"/>
              </w:rPr>
            </w:pPr>
            <w:r>
              <w:rPr>
                <w:rFonts w:ascii="Calibri" w:eastAsia="Times New Roman" w:hAnsi="Calibri" w:cs="Times New Roman"/>
                <w:b/>
                <w:bCs/>
                <w:lang w:eastAsia="en-GB"/>
              </w:rPr>
              <w:t>Conclusion</w:t>
            </w:r>
          </w:p>
        </w:tc>
        <w:tc>
          <w:tcPr>
            <w:tcW w:w="2358" w:type="dxa"/>
            <w:gridSpan w:val="2"/>
            <w:shd w:val="clear" w:color="auto" w:fill="BFBFBF" w:themeFill="background1" w:themeFillShade="BF"/>
            <w:vAlign w:val="center"/>
          </w:tcPr>
          <w:p w:rsidR="008921BF" w:rsidRDefault="008921BF" w:rsidP="00031B92">
            <w:pPr>
              <w:jc w:val="center"/>
              <w:rPr>
                <w:rFonts w:ascii="Calibri" w:eastAsia="Times New Roman" w:hAnsi="Calibri" w:cs="Times New Roman"/>
                <w:b/>
                <w:color w:val="000000"/>
                <w:lang w:eastAsia="en-GB"/>
              </w:rPr>
            </w:pPr>
            <w:r>
              <w:rPr>
                <w:rFonts w:ascii="Calibri" w:eastAsia="Times New Roman" w:hAnsi="Calibri" w:cs="Times New Roman"/>
                <w:b/>
                <w:color w:val="000000"/>
                <w:lang w:eastAsia="en-GB"/>
              </w:rPr>
              <w:t>2011/12</w:t>
            </w:r>
          </w:p>
        </w:tc>
        <w:tc>
          <w:tcPr>
            <w:tcW w:w="2268" w:type="dxa"/>
            <w:gridSpan w:val="2"/>
            <w:shd w:val="clear" w:color="auto" w:fill="BFBFBF" w:themeFill="background1" w:themeFillShade="BF"/>
            <w:vAlign w:val="center"/>
          </w:tcPr>
          <w:p w:rsidR="008921BF" w:rsidRDefault="008921BF" w:rsidP="00031B92">
            <w:pPr>
              <w:jc w:val="center"/>
              <w:rPr>
                <w:rFonts w:ascii="Calibri" w:eastAsia="Times New Roman" w:hAnsi="Calibri" w:cs="Times New Roman"/>
                <w:b/>
                <w:color w:val="000000"/>
                <w:lang w:eastAsia="en-GB"/>
              </w:rPr>
            </w:pPr>
            <w:r>
              <w:rPr>
                <w:rFonts w:ascii="Calibri" w:eastAsia="Times New Roman" w:hAnsi="Calibri" w:cs="Times New Roman"/>
                <w:b/>
                <w:color w:val="000000"/>
                <w:lang w:eastAsia="en-GB"/>
              </w:rPr>
              <w:t>2012/13</w:t>
            </w:r>
          </w:p>
        </w:tc>
        <w:tc>
          <w:tcPr>
            <w:tcW w:w="2268" w:type="dxa"/>
            <w:gridSpan w:val="2"/>
            <w:shd w:val="clear" w:color="auto" w:fill="BFBFBF" w:themeFill="background1" w:themeFillShade="BF"/>
            <w:vAlign w:val="center"/>
          </w:tcPr>
          <w:p w:rsidR="008921BF" w:rsidRDefault="008921BF" w:rsidP="00031B92">
            <w:pPr>
              <w:jc w:val="center"/>
              <w:rPr>
                <w:rFonts w:ascii="Calibri" w:eastAsia="Times New Roman" w:hAnsi="Calibri" w:cs="Times New Roman"/>
                <w:b/>
                <w:color w:val="000000"/>
                <w:lang w:eastAsia="en-GB"/>
              </w:rPr>
            </w:pPr>
            <w:r>
              <w:rPr>
                <w:rFonts w:ascii="Calibri" w:eastAsia="Times New Roman" w:hAnsi="Calibri" w:cs="Times New Roman"/>
                <w:b/>
                <w:color w:val="000000"/>
                <w:lang w:eastAsia="en-GB"/>
              </w:rPr>
              <w:t>2013/14</w:t>
            </w:r>
          </w:p>
        </w:tc>
      </w:tr>
      <w:tr w:rsidR="008921BF" w:rsidRPr="00311580" w:rsidTr="00031B92">
        <w:trPr>
          <w:trHeight w:val="570"/>
          <w:jc w:val="center"/>
        </w:trPr>
        <w:tc>
          <w:tcPr>
            <w:tcW w:w="2167" w:type="dxa"/>
            <w:vMerge/>
            <w:shd w:val="clear" w:color="auto" w:fill="BFBFBF" w:themeFill="background1" w:themeFillShade="BF"/>
            <w:vAlign w:val="center"/>
          </w:tcPr>
          <w:p w:rsidR="008921BF" w:rsidRDefault="008921BF" w:rsidP="00031B92">
            <w:pPr>
              <w:jc w:val="center"/>
              <w:rPr>
                <w:rFonts w:ascii="Calibri" w:eastAsia="Times New Roman" w:hAnsi="Calibri" w:cs="Times New Roman"/>
                <w:b/>
                <w:bCs/>
                <w:lang w:eastAsia="en-GB"/>
              </w:rPr>
            </w:pPr>
          </w:p>
        </w:tc>
        <w:tc>
          <w:tcPr>
            <w:tcW w:w="1224" w:type="dxa"/>
            <w:shd w:val="clear" w:color="auto" w:fill="BFBFBF" w:themeFill="background1" w:themeFillShade="BF"/>
            <w:vAlign w:val="center"/>
          </w:tcPr>
          <w:p w:rsidR="008921BF" w:rsidRDefault="008921BF" w:rsidP="00031B92">
            <w:pPr>
              <w:jc w:val="center"/>
              <w:rPr>
                <w:rFonts w:ascii="Calibri" w:eastAsia="Times New Roman" w:hAnsi="Calibri" w:cs="Times New Roman"/>
                <w:b/>
                <w:color w:val="000000"/>
                <w:lang w:eastAsia="en-GB"/>
              </w:rPr>
            </w:pPr>
            <w:r>
              <w:rPr>
                <w:rFonts w:ascii="Calibri" w:eastAsia="Times New Roman" w:hAnsi="Calibri" w:cs="Times New Roman"/>
                <w:b/>
                <w:color w:val="000000"/>
                <w:lang w:eastAsia="en-GB"/>
              </w:rPr>
              <w:t>Number of Cases</w:t>
            </w:r>
          </w:p>
        </w:tc>
        <w:tc>
          <w:tcPr>
            <w:tcW w:w="1134" w:type="dxa"/>
            <w:shd w:val="clear" w:color="auto" w:fill="BFBFBF" w:themeFill="background1" w:themeFillShade="BF"/>
          </w:tcPr>
          <w:p w:rsidR="008921BF" w:rsidRDefault="008921BF" w:rsidP="00031B92">
            <w:pPr>
              <w:jc w:val="center"/>
              <w:rPr>
                <w:rFonts w:ascii="Calibri" w:eastAsia="Times New Roman" w:hAnsi="Calibri" w:cs="Times New Roman"/>
                <w:b/>
                <w:color w:val="000000"/>
                <w:lang w:eastAsia="en-GB"/>
              </w:rPr>
            </w:pPr>
            <w:r>
              <w:rPr>
                <w:rFonts w:ascii="Calibri" w:eastAsia="Times New Roman" w:hAnsi="Calibri" w:cs="Times New Roman"/>
                <w:b/>
                <w:color w:val="000000"/>
                <w:lang w:eastAsia="en-GB"/>
              </w:rPr>
              <w:t>% of Cases</w:t>
            </w:r>
          </w:p>
        </w:tc>
        <w:tc>
          <w:tcPr>
            <w:tcW w:w="1134" w:type="dxa"/>
            <w:shd w:val="clear" w:color="auto" w:fill="BFBFBF" w:themeFill="background1" w:themeFillShade="BF"/>
            <w:vAlign w:val="center"/>
          </w:tcPr>
          <w:p w:rsidR="008921BF" w:rsidRDefault="008921BF" w:rsidP="00031B92">
            <w:pPr>
              <w:jc w:val="center"/>
              <w:rPr>
                <w:rFonts w:ascii="Calibri" w:eastAsia="Times New Roman" w:hAnsi="Calibri" w:cs="Times New Roman"/>
                <w:b/>
                <w:color w:val="000000"/>
                <w:lang w:eastAsia="en-GB"/>
              </w:rPr>
            </w:pPr>
            <w:r>
              <w:rPr>
                <w:rFonts w:ascii="Calibri" w:eastAsia="Times New Roman" w:hAnsi="Calibri" w:cs="Times New Roman"/>
                <w:b/>
                <w:color w:val="000000"/>
                <w:lang w:eastAsia="en-GB"/>
              </w:rPr>
              <w:t>Number of Cases</w:t>
            </w:r>
          </w:p>
        </w:tc>
        <w:tc>
          <w:tcPr>
            <w:tcW w:w="1134" w:type="dxa"/>
            <w:shd w:val="clear" w:color="auto" w:fill="BFBFBF" w:themeFill="background1" w:themeFillShade="BF"/>
          </w:tcPr>
          <w:p w:rsidR="008921BF" w:rsidRDefault="008921BF" w:rsidP="00031B92">
            <w:pPr>
              <w:jc w:val="center"/>
              <w:rPr>
                <w:rFonts w:ascii="Calibri" w:eastAsia="Times New Roman" w:hAnsi="Calibri" w:cs="Times New Roman"/>
                <w:b/>
                <w:color w:val="000000"/>
                <w:lang w:eastAsia="en-GB"/>
              </w:rPr>
            </w:pPr>
            <w:r>
              <w:rPr>
                <w:rFonts w:ascii="Calibri" w:eastAsia="Times New Roman" w:hAnsi="Calibri" w:cs="Times New Roman"/>
                <w:b/>
                <w:color w:val="000000"/>
                <w:lang w:eastAsia="en-GB"/>
              </w:rPr>
              <w:t>% of Cases</w:t>
            </w:r>
          </w:p>
        </w:tc>
        <w:tc>
          <w:tcPr>
            <w:tcW w:w="1134" w:type="dxa"/>
            <w:shd w:val="clear" w:color="auto" w:fill="BFBFBF" w:themeFill="background1" w:themeFillShade="BF"/>
            <w:vAlign w:val="center"/>
          </w:tcPr>
          <w:p w:rsidR="008921BF" w:rsidRDefault="008921BF" w:rsidP="00031B92">
            <w:pPr>
              <w:jc w:val="center"/>
              <w:rPr>
                <w:rFonts w:ascii="Calibri" w:eastAsia="Times New Roman" w:hAnsi="Calibri" w:cs="Times New Roman"/>
                <w:b/>
                <w:color w:val="000000"/>
                <w:lang w:eastAsia="en-GB"/>
              </w:rPr>
            </w:pPr>
            <w:r>
              <w:rPr>
                <w:rFonts w:ascii="Calibri" w:eastAsia="Times New Roman" w:hAnsi="Calibri" w:cs="Times New Roman"/>
                <w:b/>
                <w:color w:val="000000"/>
                <w:lang w:eastAsia="en-GB"/>
              </w:rPr>
              <w:t>Number of Cases</w:t>
            </w:r>
          </w:p>
        </w:tc>
        <w:tc>
          <w:tcPr>
            <w:tcW w:w="1134" w:type="dxa"/>
            <w:shd w:val="clear" w:color="auto" w:fill="BFBFBF" w:themeFill="background1" w:themeFillShade="BF"/>
          </w:tcPr>
          <w:p w:rsidR="008921BF" w:rsidRDefault="008921BF" w:rsidP="00031B92">
            <w:pPr>
              <w:jc w:val="center"/>
              <w:rPr>
                <w:rFonts w:ascii="Calibri" w:eastAsia="Times New Roman" w:hAnsi="Calibri" w:cs="Times New Roman"/>
                <w:b/>
                <w:color w:val="000000"/>
                <w:lang w:eastAsia="en-GB"/>
              </w:rPr>
            </w:pPr>
            <w:r>
              <w:rPr>
                <w:rFonts w:ascii="Calibri" w:eastAsia="Times New Roman" w:hAnsi="Calibri" w:cs="Times New Roman"/>
                <w:b/>
                <w:color w:val="000000"/>
                <w:lang w:eastAsia="en-GB"/>
              </w:rPr>
              <w:t>% of Cases</w:t>
            </w:r>
          </w:p>
        </w:tc>
      </w:tr>
      <w:tr w:rsidR="008921BF" w:rsidRPr="00311580" w:rsidTr="00031B92">
        <w:trPr>
          <w:trHeight w:val="315"/>
          <w:jc w:val="center"/>
        </w:trPr>
        <w:tc>
          <w:tcPr>
            <w:tcW w:w="2167"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Abuse sustained</w:t>
            </w:r>
          </w:p>
        </w:tc>
        <w:tc>
          <w:tcPr>
            <w:tcW w:w="1224"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148</w:t>
            </w:r>
          </w:p>
        </w:tc>
        <w:tc>
          <w:tcPr>
            <w:tcW w:w="1134" w:type="dxa"/>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39%</w:t>
            </w:r>
          </w:p>
        </w:tc>
        <w:tc>
          <w:tcPr>
            <w:tcW w:w="1134"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148</w:t>
            </w:r>
          </w:p>
        </w:tc>
        <w:tc>
          <w:tcPr>
            <w:tcW w:w="1134" w:type="dxa"/>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39%</w:t>
            </w:r>
          </w:p>
        </w:tc>
        <w:tc>
          <w:tcPr>
            <w:tcW w:w="1134" w:type="dxa"/>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120</w:t>
            </w:r>
          </w:p>
        </w:tc>
        <w:tc>
          <w:tcPr>
            <w:tcW w:w="1134" w:type="dxa"/>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33%</w:t>
            </w:r>
          </w:p>
        </w:tc>
      </w:tr>
      <w:tr w:rsidR="008921BF" w:rsidRPr="00311580" w:rsidTr="00031B92">
        <w:trPr>
          <w:trHeight w:val="300"/>
          <w:jc w:val="center"/>
        </w:trPr>
        <w:tc>
          <w:tcPr>
            <w:tcW w:w="2167"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Abuse partly sustained</w:t>
            </w:r>
          </w:p>
        </w:tc>
        <w:tc>
          <w:tcPr>
            <w:tcW w:w="1224"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40</w:t>
            </w:r>
          </w:p>
        </w:tc>
        <w:tc>
          <w:tcPr>
            <w:tcW w:w="1134" w:type="dxa"/>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10%</w:t>
            </w:r>
          </w:p>
        </w:tc>
        <w:tc>
          <w:tcPr>
            <w:tcW w:w="1134"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25</w:t>
            </w:r>
          </w:p>
        </w:tc>
        <w:tc>
          <w:tcPr>
            <w:tcW w:w="1134" w:type="dxa"/>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7%</w:t>
            </w:r>
          </w:p>
        </w:tc>
        <w:tc>
          <w:tcPr>
            <w:tcW w:w="1134" w:type="dxa"/>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33</w:t>
            </w:r>
          </w:p>
        </w:tc>
        <w:tc>
          <w:tcPr>
            <w:tcW w:w="1134" w:type="dxa"/>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9%</w:t>
            </w:r>
          </w:p>
        </w:tc>
      </w:tr>
      <w:tr w:rsidR="008921BF" w:rsidRPr="00311580" w:rsidTr="00031B92">
        <w:trPr>
          <w:trHeight w:val="300"/>
          <w:jc w:val="center"/>
        </w:trPr>
        <w:tc>
          <w:tcPr>
            <w:tcW w:w="2167"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Abuse not sustained</w:t>
            </w:r>
          </w:p>
        </w:tc>
        <w:tc>
          <w:tcPr>
            <w:tcW w:w="1224"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102</w:t>
            </w:r>
          </w:p>
        </w:tc>
        <w:tc>
          <w:tcPr>
            <w:tcW w:w="1134" w:type="dxa"/>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27%</w:t>
            </w:r>
          </w:p>
        </w:tc>
        <w:tc>
          <w:tcPr>
            <w:tcW w:w="1134" w:type="dxa"/>
            <w:noWrap/>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120</w:t>
            </w:r>
          </w:p>
        </w:tc>
        <w:tc>
          <w:tcPr>
            <w:tcW w:w="1134" w:type="dxa"/>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32%</w:t>
            </w:r>
          </w:p>
        </w:tc>
        <w:tc>
          <w:tcPr>
            <w:tcW w:w="1134" w:type="dxa"/>
            <w:vAlign w:val="center"/>
          </w:tcPr>
          <w:p w:rsidR="008921BF" w:rsidRPr="00311580"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134</w:t>
            </w:r>
          </w:p>
        </w:tc>
        <w:tc>
          <w:tcPr>
            <w:tcW w:w="1134" w:type="dxa"/>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36%</w:t>
            </w:r>
          </w:p>
        </w:tc>
      </w:tr>
      <w:tr w:rsidR="008921BF" w:rsidRPr="00311580" w:rsidTr="00031B92">
        <w:trPr>
          <w:trHeight w:val="300"/>
          <w:jc w:val="center"/>
        </w:trPr>
        <w:tc>
          <w:tcPr>
            <w:tcW w:w="2167" w:type="dxa"/>
            <w:noWrap/>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Not determined</w:t>
            </w:r>
          </w:p>
        </w:tc>
        <w:tc>
          <w:tcPr>
            <w:tcW w:w="1224" w:type="dxa"/>
            <w:noWrap/>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92</w:t>
            </w:r>
          </w:p>
        </w:tc>
        <w:tc>
          <w:tcPr>
            <w:tcW w:w="1134" w:type="dxa"/>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24%</w:t>
            </w:r>
          </w:p>
        </w:tc>
        <w:tc>
          <w:tcPr>
            <w:tcW w:w="1134" w:type="dxa"/>
            <w:noWrap/>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82</w:t>
            </w:r>
          </w:p>
        </w:tc>
        <w:tc>
          <w:tcPr>
            <w:tcW w:w="1134" w:type="dxa"/>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22%</w:t>
            </w:r>
          </w:p>
        </w:tc>
        <w:tc>
          <w:tcPr>
            <w:tcW w:w="1134" w:type="dxa"/>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82</w:t>
            </w:r>
          </w:p>
        </w:tc>
        <w:tc>
          <w:tcPr>
            <w:tcW w:w="1134" w:type="dxa"/>
            <w:vAlign w:val="center"/>
          </w:tcPr>
          <w:p w:rsidR="008921BF" w:rsidRDefault="008921BF" w:rsidP="00031B92">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22%</w:t>
            </w:r>
          </w:p>
        </w:tc>
      </w:tr>
    </w:tbl>
    <w:p w:rsidR="008921BF" w:rsidRDefault="008921BF" w:rsidP="008921BF">
      <w:pPr>
        <w:pStyle w:val="ListParagraph"/>
        <w:spacing w:after="0" w:line="240" w:lineRule="auto"/>
        <w:ind w:left="2160"/>
        <w:contextualSpacing w:val="0"/>
      </w:pPr>
    </w:p>
    <w:p w:rsidR="008921BF" w:rsidRDefault="008921BF" w:rsidP="008921BF">
      <w:pPr>
        <w:pStyle w:val="Default"/>
        <w:jc w:val="both"/>
        <w:rPr>
          <w:rFonts w:asciiTheme="minorHAnsi" w:hAnsiTheme="minorHAnsi" w:cstheme="minorBidi"/>
          <w:color w:val="auto"/>
          <w:sz w:val="22"/>
          <w:szCs w:val="22"/>
        </w:rPr>
      </w:pPr>
      <w:r w:rsidRPr="00B70286">
        <w:rPr>
          <w:rFonts w:asciiTheme="minorHAnsi" w:hAnsiTheme="minorHAnsi" w:cstheme="minorBidi"/>
          <w:color w:val="auto"/>
          <w:sz w:val="22"/>
          <w:szCs w:val="22"/>
        </w:rPr>
        <w:t>The Safeguarding Adults Board has set the following four strategic priorities for 2014/1</w:t>
      </w:r>
      <w:r>
        <w:rPr>
          <w:rFonts w:asciiTheme="minorHAnsi" w:hAnsiTheme="minorHAnsi" w:cstheme="minorBidi"/>
          <w:color w:val="auto"/>
          <w:sz w:val="22"/>
          <w:szCs w:val="22"/>
        </w:rPr>
        <w:t>5</w:t>
      </w:r>
      <w:r w:rsidRPr="00B70286">
        <w:rPr>
          <w:rFonts w:asciiTheme="minorHAnsi" w:hAnsiTheme="minorHAnsi" w:cstheme="minorBidi"/>
          <w:color w:val="auto"/>
          <w:sz w:val="22"/>
          <w:szCs w:val="22"/>
        </w:rPr>
        <w:t xml:space="preserve">: </w:t>
      </w:r>
    </w:p>
    <w:p w:rsidR="00047215" w:rsidRDefault="00047215" w:rsidP="008921BF">
      <w:pPr>
        <w:pStyle w:val="Default"/>
        <w:jc w:val="both"/>
        <w:rPr>
          <w:rFonts w:asciiTheme="minorHAnsi" w:hAnsiTheme="minorHAnsi" w:cstheme="minorBidi"/>
          <w:color w:val="auto"/>
          <w:sz w:val="22"/>
          <w:szCs w:val="22"/>
        </w:rPr>
      </w:pPr>
    </w:p>
    <w:p w:rsidR="008921BF" w:rsidRPr="00B70286" w:rsidRDefault="008921BF" w:rsidP="008921BF">
      <w:pPr>
        <w:pStyle w:val="Default"/>
        <w:numPr>
          <w:ilvl w:val="0"/>
          <w:numId w:val="43"/>
        </w:numPr>
        <w:ind w:left="714" w:hanging="357"/>
        <w:jc w:val="both"/>
        <w:rPr>
          <w:rFonts w:asciiTheme="minorHAnsi" w:hAnsiTheme="minorHAnsi" w:cstheme="minorBidi"/>
          <w:color w:val="auto"/>
          <w:sz w:val="22"/>
          <w:szCs w:val="22"/>
        </w:rPr>
      </w:pPr>
      <w:r w:rsidRPr="00B70286">
        <w:rPr>
          <w:rFonts w:asciiTheme="minorHAnsi" w:hAnsiTheme="minorHAnsi" w:cstheme="minorBidi"/>
          <w:color w:val="auto"/>
          <w:sz w:val="22"/>
          <w:szCs w:val="22"/>
        </w:rPr>
        <w:t>Improve the standards of care to support the dignity and quality of life of vulnerable people in receipt of health and social care, including effective management of pressure sores</w:t>
      </w:r>
      <w:r w:rsidR="00047215">
        <w:rPr>
          <w:rFonts w:asciiTheme="minorHAnsi" w:hAnsiTheme="minorHAnsi" w:cstheme="minorBidi"/>
          <w:color w:val="auto"/>
          <w:sz w:val="22"/>
          <w:szCs w:val="22"/>
        </w:rPr>
        <w:t>.</w:t>
      </w:r>
      <w:r w:rsidRPr="00B70286">
        <w:rPr>
          <w:rFonts w:asciiTheme="minorHAnsi" w:hAnsiTheme="minorHAnsi" w:cstheme="minorBidi"/>
          <w:color w:val="auto"/>
          <w:sz w:val="22"/>
          <w:szCs w:val="22"/>
        </w:rPr>
        <w:t xml:space="preserve"> </w:t>
      </w:r>
    </w:p>
    <w:p w:rsidR="008921BF" w:rsidRPr="00B70286" w:rsidRDefault="008921BF" w:rsidP="008921BF">
      <w:pPr>
        <w:pStyle w:val="Default"/>
        <w:numPr>
          <w:ilvl w:val="0"/>
          <w:numId w:val="43"/>
        </w:numPr>
        <w:ind w:left="714" w:hanging="357"/>
        <w:jc w:val="both"/>
        <w:rPr>
          <w:rFonts w:asciiTheme="minorHAnsi" w:hAnsiTheme="minorHAnsi" w:cstheme="minorBidi"/>
          <w:color w:val="auto"/>
          <w:sz w:val="22"/>
          <w:szCs w:val="22"/>
        </w:rPr>
      </w:pPr>
      <w:r w:rsidRPr="00B70286">
        <w:rPr>
          <w:rFonts w:asciiTheme="minorHAnsi" w:hAnsiTheme="minorHAnsi" w:cstheme="minorBidi"/>
          <w:color w:val="auto"/>
          <w:sz w:val="22"/>
          <w:szCs w:val="22"/>
        </w:rPr>
        <w:t>Improve the understanding of service providers of the Mental Capacity Act and Deprivation of Liberty Safeguards</w:t>
      </w:r>
      <w:r w:rsidR="00047215">
        <w:rPr>
          <w:rFonts w:asciiTheme="minorHAnsi" w:hAnsiTheme="minorHAnsi" w:cstheme="minorBidi"/>
          <w:color w:val="auto"/>
          <w:sz w:val="22"/>
          <w:szCs w:val="22"/>
        </w:rPr>
        <w:t>.</w:t>
      </w:r>
      <w:r w:rsidRPr="00B70286">
        <w:rPr>
          <w:rFonts w:asciiTheme="minorHAnsi" w:hAnsiTheme="minorHAnsi" w:cstheme="minorBidi"/>
          <w:color w:val="auto"/>
          <w:sz w:val="22"/>
          <w:szCs w:val="22"/>
        </w:rPr>
        <w:t xml:space="preserve"> </w:t>
      </w:r>
    </w:p>
    <w:p w:rsidR="008921BF" w:rsidRPr="00B70286" w:rsidRDefault="008921BF" w:rsidP="008921BF">
      <w:pPr>
        <w:pStyle w:val="Default"/>
        <w:numPr>
          <w:ilvl w:val="0"/>
          <w:numId w:val="43"/>
        </w:numPr>
        <w:ind w:left="714" w:hanging="357"/>
        <w:jc w:val="both"/>
        <w:rPr>
          <w:rFonts w:asciiTheme="minorHAnsi" w:hAnsiTheme="minorHAnsi" w:cstheme="minorBidi"/>
          <w:color w:val="auto"/>
          <w:sz w:val="22"/>
          <w:szCs w:val="22"/>
        </w:rPr>
      </w:pPr>
      <w:r w:rsidRPr="00B70286">
        <w:rPr>
          <w:rFonts w:asciiTheme="minorHAnsi" w:hAnsiTheme="minorHAnsi" w:cstheme="minorBidi"/>
          <w:color w:val="auto"/>
          <w:sz w:val="22"/>
          <w:szCs w:val="22"/>
        </w:rPr>
        <w:t>Improve access to justice for vulnerable adults</w:t>
      </w:r>
      <w:r w:rsidR="00047215">
        <w:rPr>
          <w:rFonts w:asciiTheme="minorHAnsi" w:hAnsiTheme="minorHAnsi" w:cstheme="minorBidi"/>
          <w:color w:val="auto"/>
          <w:sz w:val="22"/>
          <w:szCs w:val="22"/>
        </w:rPr>
        <w:t>.</w:t>
      </w:r>
      <w:r w:rsidRPr="00B70286">
        <w:rPr>
          <w:rFonts w:asciiTheme="minorHAnsi" w:hAnsiTheme="minorHAnsi" w:cstheme="minorBidi"/>
          <w:color w:val="auto"/>
          <w:sz w:val="22"/>
          <w:szCs w:val="22"/>
        </w:rPr>
        <w:t xml:space="preserve"> </w:t>
      </w:r>
    </w:p>
    <w:p w:rsidR="008921BF" w:rsidRPr="00B70286" w:rsidRDefault="008921BF" w:rsidP="008921BF">
      <w:pPr>
        <w:pStyle w:val="Default"/>
        <w:numPr>
          <w:ilvl w:val="0"/>
          <w:numId w:val="43"/>
        </w:numPr>
        <w:ind w:left="714" w:hanging="357"/>
        <w:jc w:val="both"/>
        <w:rPr>
          <w:rFonts w:asciiTheme="minorHAnsi" w:hAnsiTheme="minorHAnsi" w:cstheme="minorBidi"/>
          <w:color w:val="auto"/>
          <w:sz w:val="22"/>
          <w:szCs w:val="22"/>
        </w:rPr>
      </w:pPr>
      <w:r w:rsidRPr="00B70286">
        <w:rPr>
          <w:rFonts w:asciiTheme="minorHAnsi" w:hAnsiTheme="minorHAnsi" w:cstheme="minorBidi"/>
          <w:color w:val="auto"/>
          <w:sz w:val="22"/>
          <w:szCs w:val="22"/>
        </w:rPr>
        <w:t xml:space="preserve">Increase the understanding among the public of what may constitute abuse. </w:t>
      </w:r>
    </w:p>
    <w:p w:rsidR="008921BF" w:rsidRPr="00B70286" w:rsidRDefault="008921BF" w:rsidP="008921BF">
      <w:pPr>
        <w:pStyle w:val="Default"/>
        <w:ind w:left="720"/>
        <w:jc w:val="both"/>
        <w:rPr>
          <w:rFonts w:asciiTheme="minorHAnsi" w:hAnsiTheme="minorHAnsi" w:cstheme="minorBidi"/>
          <w:color w:val="auto"/>
          <w:sz w:val="22"/>
          <w:szCs w:val="22"/>
        </w:rPr>
      </w:pPr>
    </w:p>
    <w:p w:rsidR="008921BF" w:rsidRPr="00B70286" w:rsidRDefault="00702B67" w:rsidP="008921BF">
      <w:pPr>
        <w:spacing w:after="0" w:line="240" w:lineRule="auto"/>
        <w:jc w:val="both"/>
      </w:pPr>
      <w:r>
        <w:t>Details of how the Council</w:t>
      </w:r>
      <w:r w:rsidR="008921BF" w:rsidRPr="00B70286">
        <w:t xml:space="preserve"> plan</w:t>
      </w:r>
      <w:r>
        <w:t>s</w:t>
      </w:r>
      <w:r w:rsidR="008921BF" w:rsidRPr="00B70286">
        <w:t xml:space="preserve"> to deliver these priorities can be found in the SAB Business Plan for 2014/16.</w:t>
      </w:r>
    </w:p>
    <w:p w:rsidR="008921BF" w:rsidRPr="00837CF9" w:rsidRDefault="008921BF" w:rsidP="008921BF">
      <w:pPr>
        <w:pStyle w:val="Heading2"/>
        <w:jc w:val="both"/>
      </w:pPr>
      <w:bookmarkStart w:id="951" w:name="_Toc426723401"/>
      <w:bookmarkStart w:id="952" w:name="_Toc431225228"/>
      <w:r w:rsidRPr="00837CF9">
        <w:lastRenderedPageBreak/>
        <w:t>Providers and Provider Failure</w:t>
      </w:r>
      <w:bookmarkEnd w:id="951"/>
      <w:bookmarkEnd w:id="952"/>
    </w:p>
    <w:p w:rsidR="008921BF" w:rsidRDefault="008921BF" w:rsidP="008921BF">
      <w:pPr>
        <w:spacing w:after="0"/>
        <w:jc w:val="both"/>
      </w:pPr>
      <w:r>
        <w:t>Care Quality oversees the contract management relationships and compliance with providers across adult social care.  To ensure quality and service improvement strategic and operational contract management and other data intelligence such as safeguarding information, service user reviews and on-going dialog</w:t>
      </w:r>
      <w:r w:rsidR="00047215">
        <w:t xml:space="preserve">ue with the CQC are reviewed.  </w:t>
      </w:r>
      <w:r>
        <w:t xml:space="preserve">A provider experiencing difficulties in maintaining quality or financial sustainability will be managed and supported in a variety of ways to ensure continuity of care. </w:t>
      </w:r>
    </w:p>
    <w:p w:rsidR="008921BF" w:rsidRPr="00837CF9" w:rsidRDefault="008921BF" w:rsidP="008921BF">
      <w:pPr>
        <w:spacing w:after="0"/>
        <w:jc w:val="both"/>
        <w:rPr>
          <w:rFonts w:asciiTheme="majorHAnsi" w:eastAsiaTheme="majorEastAsia" w:hAnsiTheme="majorHAnsi" w:cstheme="majorBidi"/>
          <w:b/>
          <w:bCs/>
          <w:color w:val="365F91" w:themeColor="accent1" w:themeShade="BF"/>
          <w:sz w:val="28"/>
          <w:szCs w:val="28"/>
        </w:rPr>
      </w:pPr>
    </w:p>
    <w:p w:rsidR="008921BF" w:rsidRDefault="008921BF" w:rsidP="008921BF">
      <w:pPr>
        <w:spacing w:after="0" w:line="240" w:lineRule="auto"/>
        <w:jc w:val="both"/>
      </w:pPr>
      <w:r>
        <w:t>In a small number of instances, provider failure is unavoidable and in such circumstances, the primary focus is the continuity of care and support for those affected.  Alternative care providers will be procured within a managed project to ensure a smooth transition. Table 9-29 displays the current number of contracts held within supply management and is broken down across service areas.</w:t>
      </w:r>
    </w:p>
    <w:p w:rsidR="008921BF" w:rsidRDefault="008921BF" w:rsidP="008921BF">
      <w:pPr>
        <w:spacing w:after="0"/>
        <w:jc w:val="both"/>
        <w:rPr>
          <w:rFonts w:ascii="Calibri" w:hAnsi="Calibri" w:cs="Calibri"/>
          <w:b/>
          <w:i/>
        </w:rPr>
      </w:pPr>
    </w:p>
    <w:p w:rsidR="008921BF" w:rsidRPr="001453D8" w:rsidRDefault="008921BF" w:rsidP="008921BF">
      <w:pPr>
        <w:pStyle w:val="Caption"/>
        <w:rPr>
          <w:b w:val="0"/>
          <w:i/>
        </w:rPr>
      </w:pPr>
      <w:r>
        <w:t xml:space="preserve">Table </w:t>
      </w:r>
      <w:fldSimple w:instr=" STYLEREF 1 \s ">
        <w:r w:rsidR="001663C2">
          <w:rPr>
            <w:noProof/>
          </w:rPr>
          <w:t>9</w:t>
        </w:r>
      </w:fldSimple>
      <w:r>
        <w:noBreakHyphen/>
      </w:r>
      <w:fldSimple w:instr=" SEQ Table \* ARABIC \s 1 ">
        <w:r w:rsidR="001663C2">
          <w:rPr>
            <w:noProof/>
          </w:rPr>
          <w:t>29</w:t>
        </w:r>
      </w:fldSimple>
      <w:r w:rsidRPr="00041E32">
        <w:t>: Service providers by service type</w:t>
      </w:r>
    </w:p>
    <w:tbl>
      <w:tblPr>
        <w:tblW w:w="0" w:type="auto"/>
        <w:jc w:val="center"/>
        <w:tblInd w:w="-1465" w:type="dxa"/>
        <w:tblCellMar>
          <w:left w:w="0" w:type="dxa"/>
          <w:right w:w="0" w:type="dxa"/>
        </w:tblCellMar>
        <w:tblLook w:val="04A0" w:firstRow="1" w:lastRow="0" w:firstColumn="1" w:lastColumn="0" w:noHBand="0" w:noVBand="1"/>
      </w:tblPr>
      <w:tblGrid>
        <w:gridCol w:w="5117"/>
        <w:gridCol w:w="2552"/>
      </w:tblGrid>
      <w:tr w:rsidR="008921BF" w:rsidRPr="001453D8" w:rsidTr="00FD3CDD">
        <w:trPr>
          <w:jc w:val="center"/>
        </w:trPr>
        <w:tc>
          <w:tcPr>
            <w:tcW w:w="5117" w:type="dxa"/>
            <w:tcBorders>
              <w:top w:val="single" w:sz="8" w:space="0" w:color="auto"/>
              <w:left w:val="single" w:sz="8" w:space="0" w:color="auto"/>
              <w:bottom w:val="single" w:sz="8" w:space="0" w:color="auto"/>
              <w:right w:val="single" w:sz="8" w:space="0" w:color="auto"/>
            </w:tcBorders>
            <w:shd w:val="clear" w:color="auto" w:fill="A6A6A6" w:themeFill="background1" w:themeFillShade="A6"/>
            <w:tcMar>
              <w:top w:w="0" w:type="dxa"/>
              <w:left w:w="108" w:type="dxa"/>
              <w:bottom w:w="0" w:type="dxa"/>
              <w:right w:w="108" w:type="dxa"/>
            </w:tcMar>
            <w:vAlign w:val="center"/>
            <w:hideMark/>
          </w:tcPr>
          <w:p w:rsidR="008921BF" w:rsidRPr="001453D8" w:rsidRDefault="008921BF" w:rsidP="00031B92">
            <w:pPr>
              <w:contextualSpacing/>
              <w:jc w:val="center"/>
              <w:rPr>
                <w:rFonts w:cs="Times New Roman"/>
                <w:b/>
                <w:bCs/>
              </w:rPr>
            </w:pPr>
            <w:r w:rsidRPr="001453D8">
              <w:rPr>
                <w:b/>
                <w:bCs/>
              </w:rPr>
              <w:t>Service</w:t>
            </w:r>
          </w:p>
        </w:tc>
        <w:tc>
          <w:tcPr>
            <w:tcW w:w="2552" w:type="dxa"/>
            <w:tcBorders>
              <w:top w:val="single" w:sz="8" w:space="0" w:color="auto"/>
              <w:left w:val="nil"/>
              <w:bottom w:val="single" w:sz="8" w:space="0" w:color="auto"/>
              <w:right w:val="single" w:sz="8" w:space="0" w:color="auto"/>
            </w:tcBorders>
            <w:shd w:val="clear" w:color="auto" w:fill="A6A6A6" w:themeFill="background1" w:themeFillShade="A6"/>
            <w:tcMar>
              <w:top w:w="0" w:type="dxa"/>
              <w:left w:w="108" w:type="dxa"/>
              <w:bottom w:w="0" w:type="dxa"/>
              <w:right w:w="108" w:type="dxa"/>
            </w:tcMar>
            <w:vAlign w:val="center"/>
            <w:hideMark/>
          </w:tcPr>
          <w:p w:rsidR="008921BF" w:rsidRPr="001453D8" w:rsidRDefault="008921BF" w:rsidP="00031B92">
            <w:pPr>
              <w:contextualSpacing/>
              <w:jc w:val="center"/>
              <w:rPr>
                <w:rFonts w:cs="Times New Roman"/>
                <w:b/>
                <w:bCs/>
              </w:rPr>
            </w:pPr>
            <w:r w:rsidRPr="001453D8">
              <w:rPr>
                <w:b/>
                <w:bCs/>
              </w:rPr>
              <w:t>No of Providers</w:t>
            </w:r>
          </w:p>
        </w:tc>
      </w:tr>
      <w:tr w:rsidR="008921BF" w:rsidRPr="001453D8" w:rsidTr="00FD3CDD">
        <w:trPr>
          <w:jc w:val="center"/>
        </w:trPr>
        <w:tc>
          <w:tcPr>
            <w:tcW w:w="511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8921BF" w:rsidRPr="001453D8" w:rsidRDefault="008921BF" w:rsidP="00FD3CDD">
            <w:pPr>
              <w:contextualSpacing/>
              <w:rPr>
                <w:rFonts w:cs="Times New Roman"/>
              </w:rPr>
            </w:pPr>
            <w:r w:rsidRPr="001453D8">
              <w:t>Home Care</w:t>
            </w:r>
          </w:p>
        </w:tc>
        <w:tc>
          <w:tcPr>
            <w:tcW w:w="255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8921BF" w:rsidRPr="001453D8" w:rsidRDefault="008921BF" w:rsidP="00031B92">
            <w:pPr>
              <w:contextualSpacing/>
              <w:jc w:val="center"/>
              <w:rPr>
                <w:rFonts w:cs="Times New Roman"/>
              </w:rPr>
            </w:pPr>
            <w:r w:rsidRPr="001453D8">
              <w:t>28</w:t>
            </w:r>
          </w:p>
        </w:tc>
      </w:tr>
      <w:tr w:rsidR="008921BF" w:rsidRPr="001453D8" w:rsidTr="00FD3CDD">
        <w:trPr>
          <w:jc w:val="center"/>
        </w:trPr>
        <w:tc>
          <w:tcPr>
            <w:tcW w:w="511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8921BF" w:rsidRPr="001453D8" w:rsidRDefault="008921BF" w:rsidP="00FD3CDD">
            <w:pPr>
              <w:contextualSpacing/>
              <w:rPr>
                <w:rFonts w:cs="Times New Roman"/>
              </w:rPr>
            </w:pPr>
            <w:r w:rsidRPr="001453D8">
              <w:t>Day Care</w:t>
            </w:r>
          </w:p>
        </w:tc>
        <w:tc>
          <w:tcPr>
            <w:tcW w:w="255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8921BF" w:rsidRPr="001453D8" w:rsidRDefault="008921BF" w:rsidP="00031B92">
            <w:pPr>
              <w:contextualSpacing/>
              <w:jc w:val="center"/>
              <w:rPr>
                <w:rFonts w:cs="Times New Roman"/>
              </w:rPr>
            </w:pPr>
            <w:r w:rsidRPr="001453D8">
              <w:t>20</w:t>
            </w:r>
          </w:p>
        </w:tc>
      </w:tr>
      <w:tr w:rsidR="008921BF" w:rsidRPr="001453D8" w:rsidTr="00FD3CDD">
        <w:trPr>
          <w:jc w:val="center"/>
        </w:trPr>
        <w:tc>
          <w:tcPr>
            <w:tcW w:w="511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8921BF" w:rsidRPr="001453D8" w:rsidRDefault="008921BF" w:rsidP="00FD3CDD">
            <w:pPr>
              <w:contextualSpacing/>
              <w:rPr>
                <w:rFonts w:cs="Times New Roman"/>
              </w:rPr>
            </w:pPr>
            <w:r w:rsidRPr="001453D8">
              <w:t>Supported Living</w:t>
            </w:r>
            <w:r>
              <w:t xml:space="preserve"> (SL)</w:t>
            </w:r>
          </w:p>
        </w:tc>
        <w:tc>
          <w:tcPr>
            <w:tcW w:w="255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8921BF" w:rsidRPr="001453D8" w:rsidRDefault="008921BF" w:rsidP="00031B92">
            <w:pPr>
              <w:contextualSpacing/>
              <w:jc w:val="center"/>
              <w:rPr>
                <w:rFonts w:cs="Times New Roman"/>
              </w:rPr>
            </w:pPr>
            <w:r w:rsidRPr="001453D8">
              <w:t>52  (31 on SL Framework)</w:t>
            </w:r>
          </w:p>
        </w:tc>
      </w:tr>
      <w:tr w:rsidR="008921BF" w:rsidRPr="001453D8" w:rsidTr="00FD3CDD">
        <w:trPr>
          <w:jc w:val="center"/>
        </w:trPr>
        <w:tc>
          <w:tcPr>
            <w:tcW w:w="511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8921BF" w:rsidRPr="001453D8" w:rsidRDefault="008921BF" w:rsidP="00FD3CDD">
            <w:pPr>
              <w:contextualSpacing/>
              <w:rPr>
                <w:rFonts w:cs="Times New Roman"/>
              </w:rPr>
            </w:pPr>
            <w:r w:rsidRPr="001453D8">
              <w:t>Electronic Call Monitoring</w:t>
            </w:r>
          </w:p>
        </w:tc>
        <w:tc>
          <w:tcPr>
            <w:tcW w:w="255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8921BF" w:rsidRPr="001453D8" w:rsidRDefault="008921BF" w:rsidP="00031B92">
            <w:pPr>
              <w:contextualSpacing/>
              <w:jc w:val="center"/>
              <w:rPr>
                <w:rFonts w:cs="Times New Roman"/>
              </w:rPr>
            </w:pPr>
            <w:r w:rsidRPr="001453D8">
              <w:t>1</w:t>
            </w:r>
          </w:p>
        </w:tc>
      </w:tr>
      <w:tr w:rsidR="008921BF" w:rsidRPr="001453D8" w:rsidTr="00FD3CDD">
        <w:trPr>
          <w:jc w:val="center"/>
        </w:trPr>
        <w:tc>
          <w:tcPr>
            <w:tcW w:w="511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8921BF" w:rsidRPr="001453D8" w:rsidRDefault="008921BF" w:rsidP="00FD3CDD">
            <w:pPr>
              <w:contextualSpacing/>
              <w:rPr>
                <w:rFonts w:cs="Times New Roman"/>
              </w:rPr>
            </w:pPr>
            <w:r w:rsidRPr="001453D8">
              <w:t>Alarm Services</w:t>
            </w:r>
          </w:p>
        </w:tc>
        <w:tc>
          <w:tcPr>
            <w:tcW w:w="255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8921BF" w:rsidRPr="001453D8" w:rsidRDefault="008921BF" w:rsidP="00031B92">
            <w:pPr>
              <w:contextualSpacing/>
              <w:jc w:val="center"/>
              <w:rPr>
                <w:rFonts w:cs="Times New Roman"/>
              </w:rPr>
            </w:pPr>
            <w:r w:rsidRPr="001453D8">
              <w:t>11</w:t>
            </w:r>
          </w:p>
        </w:tc>
      </w:tr>
      <w:tr w:rsidR="008921BF" w:rsidRPr="001453D8" w:rsidTr="00FD3CDD">
        <w:trPr>
          <w:jc w:val="center"/>
        </w:trPr>
        <w:tc>
          <w:tcPr>
            <w:tcW w:w="511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8921BF" w:rsidRPr="001453D8" w:rsidRDefault="008921BF" w:rsidP="00FD3CDD">
            <w:pPr>
              <w:contextualSpacing/>
              <w:rPr>
                <w:rFonts w:cs="Times New Roman"/>
              </w:rPr>
            </w:pPr>
            <w:r w:rsidRPr="001453D8">
              <w:t>Extra Care</w:t>
            </w:r>
          </w:p>
        </w:tc>
        <w:tc>
          <w:tcPr>
            <w:tcW w:w="255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8921BF" w:rsidRPr="001453D8" w:rsidRDefault="008921BF" w:rsidP="00031B92">
            <w:pPr>
              <w:contextualSpacing/>
              <w:jc w:val="center"/>
              <w:rPr>
                <w:rFonts w:cs="Times New Roman"/>
              </w:rPr>
            </w:pPr>
            <w:r w:rsidRPr="001453D8">
              <w:t>3</w:t>
            </w:r>
          </w:p>
        </w:tc>
      </w:tr>
      <w:tr w:rsidR="008921BF" w:rsidRPr="001453D8" w:rsidTr="00FD3CDD">
        <w:trPr>
          <w:trHeight w:val="329"/>
          <w:jc w:val="center"/>
        </w:trPr>
        <w:tc>
          <w:tcPr>
            <w:tcW w:w="511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8921BF" w:rsidRPr="001453D8" w:rsidRDefault="008921BF" w:rsidP="00FD3CDD">
            <w:pPr>
              <w:contextualSpacing/>
              <w:rPr>
                <w:rFonts w:cs="Times New Roman"/>
              </w:rPr>
            </w:pPr>
            <w:r w:rsidRPr="001453D8">
              <w:t>Floating Support Services &amp; Mental Health Services</w:t>
            </w:r>
          </w:p>
        </w:tc>
        <w:tc>
          <w:tcPr>
            <w:tcW w:w="255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8921BF" w:rsidRPr="001453D8" w:rsidRDefault="008921BF" w:rsidP="00031B92">
            <w:pPr>
              <w:contextualSpacing/>
              <w:jc w:val="center"/>
              <w:rPr>
                <w:rFonts w:cs="Times New Roman"/>
              </w:rPr>
            </w:pPr>
            <w:r w:rsidRPr="001453D8">
              <w:t>1</w:t>
            </w:r>
          </w:p>
        </w:tc>
      </w:tr>
      <w:tr w:rsidR="008921BF" w:rsidRPr="001453D8" w:rsidTr="00FD3CDD">
        <w:trPr>
          <w:jc w:val="center"/>
        </w:trPr>
        <w:tc>
          <w:tcPr>
            <w:tcW w:w="511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8921BF" w:rsidRPr="001453D8" w:rsidRDefault="008921BF" w:rsidP="00FD3CDD">
            <w:pPr>
              <w:contextualSpacing/>
              <w:rPr>
                <w:rFonts w:cs="Times New Roman"/>
              </w:rPr>
            </w:pPr>
            <w:r w:rsidRPr="001453D8">
              <w:t>Housing related support</w:t>
            </w:r>
          </w:p>
        </w:tc>
        <w:tc>
          <w:tcPr>
            <w:tcW w:w="255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8921BF" w:rsidRPr="001453D8" w:rsidRDefault="008921BF" w:rsidP="00031B92">
            <w:pPr>
              <w:contextualSpacing/>
              <w:jc w:val="center"/>
              <w:rPr>
                <w:rFonts w:cs="Times New Roman"/>
              </w:rPr>
            </w:pPr>
            <w:r w:rsidRPr="001453D8">
              <w:t>6</w:t>
            </w:r>
          </w:p>
        </w:tc>
      </w:tr>
      <w:tr w:rsidR="008921BF" w:rsidRPr="001453D8" w:rsidTr="00FD3CDD">
        <w:trPr>
          <w:jc w:val="center"/>
        </w:trPr>
        <w:tc>
          <w:tcPr>
            <w:tcW w:w="511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8921BF" w:rsidRPr="001453D8" w:rsidRDefault="008921BF" w:rsidP="00FD3CDD">
            <w:pPr>
              <w:contextualSpacing/>
              <w:rPr>
                <w:rFonts w:cs="Times New Roman"/>
              </w:rPr>
            </w:pPr>
            <w:r w:rsidRPr="001453D8">
              <w:t>Meals</w:t>
            </w:r>
          </w:p>
        </w:tc>
        <w:tc>
          <w:tcPr>
            <w:tcW w:w="255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8921BF" w:rsidRPr="001453D8" w:rsidRDefault="008921BF" w:rsidP="00031B92">
            <w:pPr>
              <w:contextualSpacing/>
              <w:jc w:val="center"/>
              <w:rPr>
                <w:rFonts w:cs="Times New Roman"/>
              </w:rPr>
            </w:pPr>
            <w:r w:rsidRPr="001453D8">
              <w:t>1</w:t>
            </w:r>
          </w:p>
        </w:tc>
      </w:tr>
      <w:tr w:rsidR="008921BF" w:rsidRPr="001453D8" w:rsidTr="00FD3CDD">
        <w:trPr>
          <w:jc w:val="center"/>
        </w:trPr>
        <w:tc>
          <w:tcPr>
            <w:tcW w:w="511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8921BF" w:rsidRPr="001453D8" w:rsidRDefault="008921BF" w:rsidP="00FD3CDD">
            <w:pPr>
              <w:contextualSpacing/>
              <w:rPr>
                <w:rFonts w:cs="Times New Roman"/>
              </w:rPr>
            </w:pPr>
            <w:r w:rsidRPr="001453D8">
              <w:t>Residential &amp; Nursing</w:t>
            </w:r>
          </w:p>
        </w:tc>
        <w:tc>
          <w:tcPr>
            <w:tcW w:w="255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8921BF" w:rsidRPr="001453D8" w:rsidRDefault="008921BF" w:rsidP="00031B92">
            <w:pPr>
              <w:contextualSpacing/>
              <w:jc w:val="center"/>
              <w:rPr>
                <w:rFonts w:cs="Times New Roman"/>
              </w:rPr>
            </w:pPr>
            <w:r w:rsidRPr="001453D8">
              <w:t>224</w:t>
            </w:r>
          </w:p>
        </w:tc>
      </w:tr>
      <w:tr w:rsidR="008921BF" w:rsidRPr="001453D8" w:rsidTr="00FD3CDD">
        <w:trPr>
          <w:jc w:val="center"/>
        </w:trPr>
        <w:tc>
          <w:tcPr>
            <w:tcW w:w="511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8921BF" w:rsidRPr="001453D8" w:rsidRDefault="008921BF" w:rsidP="00FD3CDD">
            <w:pPr>
              <w:contextualSpacing/>
              <w:rPr>
                <w:rFonts w:cs="Times New Roman"/>
              </w:rPr>
            </w:pPr>
            <w:r w:rsidRPr="001453D8">
              <w:t>Prevention Services</w:t>
            </w:r>
          </w:p>
        </w:tc>
        <w:tc>
          <w:tcPr>
            <w:tcW w:w="255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8921BF" w:rsidRPr="001453D8" w:rsidRDefault="008921BF" w:rsidP="00031B92">
            <w:pPr>
              <w:contextualSpacing/>
              <w:jc w:val="center"/>
              <w:rPr>
                <w:rFonts w:cs="Times New Roman"/>
              </w:rPr>
            </w:pPr>
            <w:r w:rsidRPr="001453D8">
              <w:t>18</w:t>
            </w:r>
          </w:p>
        </w:tc>
      </w:tr>
    </w:tbl>
    <w:p w:rsidR="008921BF" w:rsidRDefault="008921BF" w:rsidP="008921BF">
      <w:pPr>
        <w:pStyle w:val="Heading3"/>
        <w:jc w:val="both"/>
      </w:pPr>
      <w:r>
        <w:t xml:space="preserve">Care </w:t>
      </w:r>
      <w:r w:rsidRPr="001453D8">
        <w:t xml:space="preserve">Act 2014 </w:t>
      </w:r>
      <w:r w:rsidRPr="00346FBA">
        <w:t>requirements</w:t>
      </w:r>
      <w:r>
        <w:t xml:space="preserve"> for provider failure</w:t>
      </w:r>
    </w:p>
    <w:p w:rsidR="008921BF" w:rsidRDefault="008921BF" w:rsidP="008921BF">
      <w:pPr>
        <w:spacing w:after="0"/>
        <w:jc w:val="both"/>
      </w:pPr>
      <w:r>
        <w:t>The Care Act 2014 states there is a statutory duty on local authorities when a provider failure occurs and that there is a temporary duty to ensure that people’s care is not interrupted.  The duty applies temporarily until the local authority is satisfied that the person’s needs are met by the new provider.  There are specific conditions in which the duty is applied:</w:t>
      </w:r>
    </w:p>
    <w:p w:rsidR="008921BF" w:rsidRDefault="008921BF" w:rsidP="008921BF">
      <w:pPr>
        <w:spacing w:after="0"/>
        <w:jc w:val="both"/>
      </w:pPr>
    </w:p>
    <w:p w:rsidR="008921BF" w:rsidRDefault="008921BF" w:rsidP="008921BF">
      <w:pPr>
        <w:pStyle w:val="ListParagraph"/>
        <w:numPr>
          <w:ilvl w:val="0"/>
          <w:numId w:val="46"/>
        </w:numPr>
        <w:spacing w:after="0" w:line="240" w:lineRule="auto"/>
        <w:jc w:val="both"/>
      </w:pPr>
      <w:r>
        <w:t>A registered care provider</w:t>
      </w:r>
    </w:p>
    <w:p w:rsidR="008921BF" w:rsidRDefault="008921BF" w:rsidP="008921BF">
      <w:pPr>
        <w:pStyle w:val="ListParagraph"/>
        <w:numPr>
          <w:ilvl w:val="0"/>
          <w:numId w:val="46"/>
        </w:numPr>
        <w:spacing w:after="0" w:line="240" w:lineRule="auto"/>
        <w:jc w:val="both"/>
      </w:pPr>
      <w:r>
        <w:t>Unable to carry out a regulated activity</w:t>
      </w:r>
    </w:p>
    <w:p w:rsidR="008921BF" w:rsidRDefault="008921BF" w:rsidP="008921BF">
      <w:pPr>
        <w:pStyle w:val="ListParagraph"/>
        <w:numPr>
          <w:ilvl w:val="0"/>
          <w:numId w:val="46"/>
        </w:numPr>
        <w:spacing w:after="0" w:line="240" w:lineRule="auto"/>
        <w:jc w:val="both"/>
      </w:pPr>
      <w:r>
        <w:t>This is due to business failure (business failure constitutes appointment of an administrator, appointment of receiver, passing of a resolution for a winding up order)</w:t>
      </w:r>
    </w:p>
    <w:p w:rsidR="008921BF" w:rsidRDefault="008921BF" w:rsidP="008921BF">
      <w:pPr>
        <w:spacing w:after="0" w:line="240" w:lineRule="auto"/>
        <w:jc w:val="both"/>
      </w:pPr>
    </w:p>
    <w:p w:rsidR="008921BF" w:rsidRPr="00A15E41" w:rsidRDefault="008921BF" w:rsidP="008921BF">
      <w:pPr>
        <w:spacing w:after="0"/>
        <w:jc w:val="both"/>
      </w:pPr>
      <w:r>
        <w:t>The Care Act also gives powers to the Care Quality Commission (CQC).  The Market Oversight Regime will give CQC powers to monitor the financial sustainability of certain hard to replace providers.  This may be due to their size or specialism which would prove difficult to replace if they were to fail.</w:t>
      </w:r>
    </w:p>
    <w:p w:rsidR="008921BF" w:rsidRPr="00346FBA" w:rsidRDefault="008921BF" w:rsidP="008921BF">
      <w:pPr>
        <w:pStyle w:val="Heading3"/>
        <w:jc w:val="both"/>
      </w:pPr>
      <w:r w:rsidRPr="00346FBA">
        <w:t>Key learning from previous provider failure</w:t>
      </w:r>
    </w:p>
    <w:p w:rsidR="008921BF" w:rsidRDefault="008921BF" w:rsidP="008921BF">
      <w:pPr>
        <w:spacing w:after="0"/>
        <w:jc w:val="both"/>
      </w:pPr>
      <w:r>
        <w:t xml:space="preserve">Capacity building to ensure a sustainable market in the medium to long term is acknowledged as a key commissioning and supply management component to ensuring providers deliver quality </w:t>
      </w:r>
      <w:r>
        <w:lastRenderedPageBreak/>
        <w:t xml:space="preserve">services.  Understanding and shaping </w:t>
      </w:r>
      <w:r w:rsidRPr="005704F6">
        <w:t xml:space="preserve">the </w:t>
      </w:r>
      <w:r>
        <w:t xml:space="preserve">market will need to be a firm </w:t>
      </w:r>
      <w:r w:rsidRPr="005704F6">
        <w:t>feature in contractual</w:t>
      </w:r>
      <w:r w:rsidRPr="00851782">
        <w:rPr>
          <w:color w:val="FF0000"/>
        </w:rPr>
        <w:t xml:space="preserve"> </w:t>
      </w:r>
      <w:r>
        <w:t xml:space="preserve">relationships. </w:t>
      </w:r>
    </w:p>
    <w:p w:rsidR="008921BF" w:rsidRDefault="008921BF" w:rsidP="008921BF">
      <w:pPr>
        <w:spacing w:after="0"/>
        <w:jc w:val="both"/>
      </w:pPr>
    </w:p>
    <w:p w:rsidR="008921BF" w:rsidRPr="00A15E41" w:rsidRDefault="008921BF" w:rsidP="008921BF">
      <w:pPr>
        <w:spacing w:after="0"/>
        <w:jc w:val="both"/>
      </w:pPr>
      <w:r>
        <w:t xml:space="preserve">A Provider Failure Policy will be implemented as part of </w:t>
      </w:r>
      <w:r w:rsidRPr="005704F6">
        <w:t>implementing</w:t>
      </w:r>
      <w:r>
        <w:t xml:space="preserve"> the Care Act.  A procedure will cover how Barnet will manage a provider failure whether the Care Act duty is enacted or not.  The procedure will form part of the business continuity plan.</w:t>
      </w:r>
    </w:p>
    <w:p w:rsidR="008921BF" w:rsidRPr="00A61F3B" w:rsidRDefault="008921BF" w:rsidP="008921BF">
      <w:pPr>
        <w:pStyle w:val="Heading2"/>
        <w:jc w:val="both"/>
      </w:pPr>
      <w:bookmarkStart w:id="953" w:name="_Toc426723402"/>
      <w:bookmarkStart w:id="954" w:name="_Toc431225229"/>
      <w:r w:rsidRPr="00A61F3B">
        <w:t>Voice</w:t>
      </w:r>
      <w:bookmarkEnd w:id="953"/>
      <w:bookmarkEnd w:id="954"/>
      <w:r w:rsidRPr="00A61F3B">
        <w:t xml:space="preserve"> </w:t>
      </w:r>
    </w:p>
    <w:p w:rsidR="008921BF" w:rsidRPr="00A61F3B" w:rsidRDefault="008921BF" w:rsidP="008921BF">
      <w:pPr>
        <w:autoSpaceDE w:val="0"/>
        <w:autoSpaceDN w:val="0"/>
        <w:adjustRightInd w:val="0"/>
        <w:spacing w:after="0"/>
        <w:jc w:val="both"/>
      </w:pPr>
      <w:r w:rsidRPr="00A61F3B">
        <w:t xml:space="preserve">Barnet Council and its partners conduct public consultations which seek to understand the opinions and experiences of local residents and service users across a wide range of subjects.  The following section details insight lifted from recent consultation related specifically to health and social care. </w:t>
      </w:r>
    </w:p>
    <w:p w:rsidR="008921BF" w:rsidRPr="00460E07" w:rsidRDefault="008921BF" w:rsidP="008921BF">
      <w:pPr>
        <w:pStyle w:val="Heading3"/>
        <w:jc w:val="both"/>
      </w:pPr>
      <w:r>
        <w:t>User and Carers’ experiences of S</w:t>
      </w:r>
      <w:r w:rsidRPr="00460E07">
        <w:t xml:space="preserve">ocial </w:t>
      </w:r>
      <w:r>
        <w:t>C</w:t>
      </w:r>
      <w:r w:rsidRPr="00460E07">
        <w:t>are</w:t>
      </w:r>
    </w:p>
    <w:p w:rsidR="008921BF" w:rsidRDefault="008921BF" w:rsidP="008921BF">
      <w:pPr>
        <w:autoSpaceDE w:val="0"/>
        <w:autoSpaceDN w:val="0"/>
        <w:adjustRightInd w:val="0"/>
        <w:spacing w:after="0" w:line="240" w:lineRule="auto"/>
        <w:jc w:val="both"/>
        <w:rPr>
          <w:rFonts w:cs="ArialMT"/>
          <w:color w:val="000000"/>
        </w:rPr>
      </w:pPr>
      <w:r>
        <w:rPr>
          <w:rFonts w:cs="ArialMT"/>
          <w:color w:val="000000"/>
        </w:rPr>
        <w:t>Adult Social Care capture information about the service user experience through two surveys:</w:t>
      </w:r>
    </w:p>
    <w:p w:rsidR="008921BF" w:rsidRPr="00FF5678" w:rsidRDefault="008921BF" w:rsidP="008921BF">
      <w:pPr>
        <w:autoSpaceDE w:val="0"/>
        <w:autoSpaceDN w:val="0"/>
        <w:adjustRightInd w:val="0"/>
        <w:spacing w:after="0" w:line="240" w:lineRule="auto"/>
        <w:jc w:val="both"/>
        <w:rPr>
          <w:rFonts w:cs="Arial-BoldMT"/>
          <w:b/>
          <w:bCs/>
          <w:color w:val="000000"/>
        </w:rPr>
      </w:pPr>
    </w:p>
    <w:p w:rsidR="008921BF" w:rsidRPr="00A61F3B" w:rsidRDefault="008921BF" w:rsidP="008921BF">
      <w:pPr>
        <w:pStyle w:val="Default"/>
        <w:numPr>
          <w:ilvl w:val="0"/>
          <w:numId w:val="43"/>
        </w:numPr>
        <w:spacing w:after="101"/>
        <w:jc w:val="both"/>
        <w:rPr>
          <w:rFonts w:asciiTheme="minorHAnsi" w:hAnsiTheme="minorHAnsi" w:cstheme="minorBidi"/>
          <w:color w:val="auto"/>
          <w:sz w:val="22"/>
          <w:szCs w:val="22"/>
        </w:rPr>
      </w:pPr>
      <w:r w:rsidRPr="00A61F3B">
        <w:rPr>
          <w:rFonts w:asciiTheme="minorHAnsi" w:hAnsiTheme="minorHAnsi" w:cstheme="minorBidi"/>
          <w:color w:val="auto"/>
          <w:sz w:val="22"/>
          <w:szCs w:val="22"/>
        </w:rPr>
        <w:t>The annual National Service User Survey (for service users aged 18 and over), which explores how effectively service users are supported to achieve a good quality of life</w:t>
      </w:r>
      <w:r>
        <w:rPr>
          <w:rFonts w:asciiTheme="minorHAnsi" w:hAnsiTheme="minorHAnsi" w:cstheme="minorBidi"/>
          <w:color w:val="auto"/>
          <w:sz w:val="22"/>
          <w:szCs w:val="22"/>
        </w:rPr>
        <w:t>,</w:t>
      </w:r>
    </w:p>
    <w:p w:rsidR="008921BF" w:rsidRPr="00A61F3B" w:rsidRDefault="008921BF" w:rsidP="008921BF">
      <w:pPr>
        <w:pStyle w:val="Default"/>
        <w:numPr>
          <w:ilvl w:val="0"/>
          <w:numId w:val="43"/>
        </w:numPr>
        <w:spacing w:after="101"/>
        <w:jc w:val="both"/>
        <w:rPr>
          <w:rFonts w:asciiTheme="minorHAnsi" w:hAnsiTheme="minorHAnsi" w:cstheme="minorBidi"/>
          <w:color w:val="auto"/>
          <w:sz w:val="22"/>
          <w:szCs w:val="22"/>
        </w:rPr>
      </w:pPr>
      <w:r w:rsidRPr="00A61F3B">
        <w:rPr>
          <w:rFonts w:asciiTheme="minorHAnsi" w:hAnsiTheme="minorHAnsi" w:cstheme="minorBidi"/>
          <w:color w:val="auto"/>
          <w:sz w:val="22"/>
          <w:szCs w:val="22"/>
        </w:rPr>
        <w:t xml:space="preserve">The National Carers Survey, which highlights how successfully or otherwise carers are supported in their caring role and their life outside of </w:t>
      </w:r>
      <w:r w:rsidR="00DD3A76" w:rsidRPr="00A61F3B">
        <w:rPr>
          <w:rFonts w:asciiTheme="minorHAnsi" w:hAnsiTheme="minorHAnsi" w:cstheme="minorBidi"/>
          <w:color w:val="auto"/>
          <w:sz w:val="22"/>
          <w:szCs w:val="22"/>
        </w:rPr>
        <w:t>caring</w:t>
      </w:r>
      <w:r w:rsidR="00DD3A76">
        <w:rPr>
          <w:rFonts w:asciiTheme="minorHAnsi" w:hAnsiTheme="minorHAnsi" w:cstheme="minorBidi"/>
          <w:color w:val="auto"/>
          <w:sz w:val="22"/>
          <w:szCs w:val="22"/>
        </w:rPr>
        <w:t xml:space="preserve">. </w:t>
      </w:r>
      <w:r w:rsidR="00DD3A76" w:rsidRPr="00A61F3B">
        <w:rPr>
          <w:rFonts w:asciiTheme="minorHAnsi" w:hAnsiTheme="minorHAnsi" w:cstheme="minorBidi"/>
          <w:color w:val="auto"/>
          <w:sz w:val="22"/>
          <w:szCs w:val="22"/>
        </w:rPr>
        <w:t>It</w:t>
      </w:r>
      <w:r w:rsidRPr="00A61F3B">
        <w:rPr>
          <w:rFonts w:asciiTheme="minorHAnsi" w:hAnsiTheme="minorHAnsi" w:cstheme="minorBidi"/>
          <w:color w:val="auto"/>
          <w:sz w:val="22"/>
          <w:szCs w:val="22"/>
        </w:rPr>
        <w:t xml:space="preserve"> also captures their perception of the support received by the person they care for. This survey is carried out every two years and was last run in 2012/13.</w:t>
      </w:r>
    </w:p>
    <w:p w:rsidR="008921BF" w:rsidRPr="00A61F3B" w:rsidRDefault="008921BF" w:rsidP="008921BF">
      <w:pPr>
        <w:pStyle w:val="ListParagraph"/>
        <w:tabs>
          <w:tab w:val="num" w:pos="720"/>
        </w:tabs>
        <w:autoSpaceDE w:val="0"/>
        <w:autoSpaceDN w:val="0"/>
        <w:adjustRightInd w:val="0"/>
        <w:spacing w:after="0"/>
        <w:jc w:val="both"/>
      </w:pPr>
    </w:p>
    <w:p w:rsidR="008921BF" w:rsidRDefault="008921BF" w:rsidP="008921BF">
      <w:pPr>
        <w:autoSpaceDE w:val="0"/>
        <w:autoSpaceDN w:val="0"/>
        <w:adjustRightInd w:val="0"/>
        <w:spacing w:after="0"/>
        <w:jc w:val="both"/>
      </w:pPr>
      <w:r w:rsidRPr="000269C6">
        <w:t xml:space="preserve">The last National Adult Social Care Service User Survey was carried out in 2013/14. Responses showed that the level of service user satisfaction </w:t>
      </w:r>
      <w:r w:rsidRPr="00A61F3B">
        <w:t>had fallen slightly, since 2012/13, with fewer feeling the care and support services they received had helped them with daily activities and their general wellbeing.</w:t>
      </w:r>
      <w:r>
        <w:t xml:space="preserve"> </w:t>
      </w:r>
      <w:r w:rsidRPr="00A61F3B">
        <w:t xml:space="preserve"> Fewer service users found it easy to obtain information and advice and </w:t>
      </w:r>
      <w:r>
        <w:t>less</w:t>
      </w:r>
      <w:r w:rsidRPr="00A61F3B">
        <w:t xml:space="preserve"> actively sought information. </w:t>
      </w:r>
    </w:p>
    <w:p w:rsidR="008921BF" w:rsidRDefault="008921BF" w:rsidP="008921BF">
      <w:pPr>
        <w:spacing w:after="0"/>
        <w:jc w:val="both"/>
        <w:rPr>
          <w:b/>
        </w:rPr>
      </w:pPr>
    </w:p>
    <w:p w:rsidR="008921BF" w:rsidRPr="000269C6" w:rsidRDefault="008921BF" w:rsidP="008921BF">
      <w:pPr>
        <w:pStyle w:val="Caption"/>
        <w:rPr>
          <w:b w:val="0"/>
        </w:rPr>
      </w:pPr>
      <w:r>
        <w:t xml:space="preserve">Figure </w:t>
      </w:r>
      <w:fldSimple w:instr=" STYLEREF 1 \s ">
        <w:r w:rsidR="001663C2">
          <w:rPr>
            <w:noProof/>
          </w:rPr>
          <w:t>9</w:t>
        </w:r>
      </w:fldSimple>
      <w:r w:rsidR="00943DC2">
        <w:noBreakHyphen/>
      </w:r>
      <w:fldSimple w:instr=" SEQ Figure \* ARABIC \s 1 ">
        <w:r w:rsidR="001663C2">
          <w:rPr>
            <w:noProof/>
          </w:rPr>
          <w:t>13</w:t>
        </w:r>
      </w:fldSimple>
      <w:r w:rsidRPr="00041E32">
        <w:t xml:space="preserve">: Overall Satisfaction of People who use Services with their Care and Support </w:t>
      </w:r>
      <w:r w:rsidRPr="000269C6">
        <w:rPr>
          <w:b w:val="0"/>
        </w:rPr>
        <w:t xml:space="preserve"> </w:t>
      </w:r>
      <w:r>
        <w:rPr>
          <w:noProof/>
          <w:lang w:eastAsia="en-GB"/>
        </w:rPr>
        <w:drawing>
          <wp:inline distT="0" distB="0" distL="0" distR="0" wp14:anchorId="459EB957" wp14:editId="75391F09">
            <wp:extent cx="5842660" cy="1710047"/>
            <wp:effectExtent l="0" t="0" r="24765" b="24130"/>
            <wp:docPr id="88" name="Chart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5"/>
              </a:graphicData>
            </a:graphic>
          </wp:inline>
        </w:drawing>
      </w:r>
    </w:p>
    <w:p w:rsidR="008921BF" w:rsidRDefault="008921BF" w:rsidP="008921BF">
      <w:pPr>
        <w:autoSpaceDE w:val="0"/>
        <w:autoSpaceDN w:val="0"/>
        <w:adjustRightInd w:val="0"/>
        <w:spacing w:after="0" w:line="240" w:lineRule="auto"/>
        <w:rPr>
          <w:rFonts w:cs="Arial-BoldMT"/>
          <w:bCs/>
          <w:color w:val="000000"/>
        </w:rPr>
      </w:pPr>
      <w:r>
        <w:rPr>
          <w:rFonts w:cs="Arial-BoldMT"/>
          <w:bCs/>
          <w:color w:val="000000"/>
        </w:rPr>
        <w:t xml:space="preserve">Source: </w:t>
      </w:r>
      <w:r w:rsidRPr="000269C6">
        <w:t>National Adult Social Care Service User Survey</w:t>
      </w:r>
      <w:r>
        <w:t xml:space="preserve"> 2013/14</w:t>
      </w:r>
    </w:p>
    <w:p w:rsidR="008921BF" w:rsidRDefault="008921BF" w:rsidP="008921BF">
      <w:pPr>
        <w:autoSpaceDE w:val="0"/>
        <w:autoSpaceDN w:val="0"/>
        <w:adjustRightInd w:val="0"/>
        <w:spacing w:after="0" w:line="240" w:lineRule="auto"/>
        <w:rPr>
          <w:rFonts w:cs="Arial-BoldMT"/>
          <w:bCs/>
          <w:color w:val="000000"/>
        </w:rPr>
      </w:pPr>
    </w:p>
    <w:p w:rsidR="008921BF" w:rsidRPr="00A61F3B" w:rsidRDefault="008921BF" w:rsidP="008921BF">
      <w:pPr>
        <w:autoSpaceDE w:val="0"/>
        <w:autoSpaceDN w:val="0"/>
        <w:adjustRightInd w:val="0"/>
        <w:spacing w:after="0"/>
        <w:jc w:val="both"/>
      </w:pPr>
      <w:r w:rsidRPr="00A61F3B">
        <w:t>Self-reported general health had declined a little since 2012/13 and there had been a significant increase in the proportion of service users experiencing pain or discomfort, with nearly three quarters of service users reporting some level of pain/discomfort.</w:t>
      </w:r>
    </w:p>
    <w:p w:rsidR="008921BF" w:rsidRPr="00A61F3B" w:rsidRDefault="008921BF" w:rsidP="008921BF">
      <w:pPr>
        <w:autoSpaceDE w:val="0"/>
        <w:autoSpaceDN w:val="0"/>
        <w:adjustRightInd w:val="0"/>
        <w:spacing w:after="0"/>
        <w:jc w:val="both"/>
      </w:pPr>
    </w:p>
    <w:p w:rsidR="008921BF" w:rsidRPr="00A61F3B" w:rsidRDefault="008921BF" w:rsidP="008921BF">
      <w:pPr>
        <w:autoSpaceDE w:val="0"/>
        <w:autoSpaceDN w:val="0"/>
        <w:adjustRightInd w:val="0"/>
        <w:spacing w:after="0"/>
        <w:jc w:val="both"/>
      </w:pPr>
      <w:r w:rsidRPr="00A61F3B">
        <w:t>Despite the above, service users were reporting a similar level of capability with day to day tasks as reported the previous year, along with a significantly improved perception of quality of life.</w:t>
      </w:r>
    </w:p>
    <w:p w:rsidR="00FD3CDD" w:rsidRDefault="00FD3CDD" w:rsidP="008921BF">
      <w:pPr>
        <w:pStyle w:val="Caption"/>
      </w:pPr>
    </w:p>
    <w:p w:rsidR="008921BF" w:rsidRDefault="008921BF" w:rsidP="008921BF">
      <w:pPr>
        <w:pStyle w:val="Caption"/>
        <w:rPr>
          <w:b w:val="0"/>
        </w:rPr>
      </w:pPr>
      <w:r>
        <w:t xml:space="preserve">Figure </w:t>
      </w:r>
      <w:fldSimple w:instr=" STYLEREF 1 \s ">
        <w:r w:rsidR="001663C2">
          <w:rPr>
            <w:noProof/>
          </w:rPr>
          <w:t>9</w:t>
        </w:r>
      </w:fldSimple>
      <w:r w:rsidR="00943DC2">
        <w:noBreakHyphen/>
      </w:r>
      <w:fldSimple w:instr=" SEQ Figure \* ARABIC \s 1 ">
        <w:r w:rsidR="001663C2">
          <w:rPr>
            <w:noProof/>
          </w:rPr>
          <w:t>14</w:t>
        </w:r>
      </w:fldSimple>
      <w:r w:rsidRPr="00041E32">
        <w:t>:  Social-Care Related Quality of Life</w:t>
      </w:r>
    </w:p>
    <w:p w:rsidR="008921BF" w:rsidRDefault="008921BF" w:rsidP="008921BF">
      <w:pPr>
        <w:spacing w:after="0"/>
        <w:jc w:val="center"/>
        <w:rPr>
          <w:rFonts w:cs="Arial-BoldMT"/>
          <w:bCs/>
          <w:color w:val="FF0000"/>
        </w:rPr>
      </w:pPr>
      <w:r>
        <w:rPr>
          <w:noProof/>
          <w:lang w:eastAsia="en-GB"/>
        </w:rPr>
        <w:drawing>
          <wp:inline distT="0" distB="0" distL="0" distR="0" wp14:anchorId="2B6893B5" wp14:editId="65F74EC2">
            <wp:extent cx="5686425" cy="1809750"/>
            <wp:effectExtent l="0" t="0" r="9525" b="19050"/>
            <wp:docPr id="89" name="Chart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6"/>
              </a:graphicData>
            </a:graphic>
          </wp:inline>
        </w:drawing>
      </w:r>
    </w:p>
    <w:p w:rsidR="008921BF" w:rsidRDefault="008921BF" w:rsidP="008921BF">
      <w:pPr>
        <w:autoSpaceDE w:val="0"/>
        <w:autoSpaceDN w:val="0"/>
        <w:adjustRightInd w:val="0"/>
        <w:spacing w:after="0" w:line="240" w:lineRule="auto"/>
        <w:rPr>
          <w:rFonts w:cs="Arial-BoldMT"/>
          <w:bCs/>
          <w:color w:val="000000"/>
        </w:rPr>
      </w:pPr>
      <w:r>
        <w:rPr>
          <w:rFonts w:cs="Arial-BoldMT"/>
          <w:bCs/>
          <w:color w:val="000000"/>
        </w:rPr>
        <w:t xml:space="preserve">Source: </w:t>
      </w:r>
      <w:r w:rsidRPr="000269C6">
        <w:t>National Adult Social Care Service User Survey</w:t>
      </w:r>
      <w:r>
        <w:t xml:space="preserve"> 2013/14</w:t>
      </w:r>
    </w:p>
    <w:p w:rsidR="008921BF" w:rsidRPr="00951047" w:rsidRDefault="008921BF" w:rsidP="008921BF">
      <w:pPr>
        <w:autoSpaceDE w:val="0"/>
        <w:autoSpaceDN w:val="0"/>
        <w:adjustRightInd w:val="0"/>
        <w:spacing w:after="0" w:line="240" w:lineRule="auto"/>
        <w:jc w:val="center"/>
        <w:rPr>
          <w:rFonts w:cs="Arial-BoldMT"/>
          <w:bCs/>
          <w:color w:val="FF0000"/>
        </w:rPr>
      </w:pPr>
    </w:p>
    <w:p w:rsidR="008921BF" w:rsidRDefault="008921BF" w:rsidP="008921BF">
      <w:pPr>
        <w:autoSpaceDE w:val="0"/>
        <w:autoSpaceDN w:val="0"/>
        <w:adjustRightInd w:val="0"/>
        <w:spacing w:after="0"/>
        <w:jc w:val="both"/>
      </w:pPr>
      <w:r w:rsidRPr="00A61F3B">
        <w:t xml:space="preserve">The Carers Survey was piloted in 2010/11 and the first national version of the survey was run in 2012/13. </w:t>
      </w:r>
    </w:p>
    <w:p w:rsidR="008921BF" w:rsidRPr="00A61F3B" w:rsidRDefault="008921BF" w:rsidP="008921BF">
      <w:pPr>
        <w:autoSpaceDE w:val="0"/>
        <w:autoSpaceDN w:val="0"/>
        <w:adjustRightInd w:val="0"/>
        <w:spacing w:after="0"/>
        <w:jc w:val="both"/>
      </w:pPr>
    </w:p>
    <w:p w:rsidR="008921BF" w:rsidRDefault="008921BF" w:rsidP="008921BF">
      <w:pPr>
        <w:autoSpaceDE w:val="0"/>
        <w:autoSpaceDN w:val="0"/>
        <w:adjustRightInd w:val="0"/>
        <w:spacing w:after="0"/>
        <w:jc w:val="both"/>
      </w:pPr>
      <w:r w:rsidRPr="00A61F3B">
        <w:t>For Barnet</w:t>
      </w:r>
      <w:r>
        <w:t>,</w:t>
      </w:r>
      <w:r w:rsidRPr="00A61F3B">
        <w:t xml:space="preserve"> results in 2012/13 showed 34.6% of carers were extremely or very satisfied with the service they received, which was in line with the comparator group average of 35.4%. The proportion of respondents dissatisfied with the service they received had fallen since the pilot survey from 13% to 9%. </w:t>
      </w:r>
    </w:p>
    <w:p w:rsidR="008921BF" w:rsidRDefault="008921BF" w:rsidP="008921BF">
      <w:pPr>
        <w:autoSpaceDE w:val="0"/>
        <w:autoSpaceDN w:val="0"/>
        <w:adjustRightInd w:val="0"/>
        <w:spacing w:after="0"/>
        <w:jc w:val="both"/>
      </w:pPr>
    </w:p>
    <w:p w:rsidR="008921BF" w:rsidRDefault="008921BF" w:rsidP="008921BF">
      <w:pPr>
        <w:jc w:val="both"/>
      </w:pPr>
      <w:r>
        <w:t xml:space="preserve">66% </w:t>
      </w:r>
      <w:r w:rsidRPr="00A61F3B">
        <w:t>of carers always or usually felt involved in discussions about support and services for the person(s) they cared for. This was a decrease on the 72% reported in the pilot survey; however Barnet remained in line with its comparator group average.</w:t>
      </w:r>
    </w:p>
    <w:p w:rsidR="008921BF" w:rsidRDefault="008921BF" w:rsidP="008921BF">
      <w:pPr>
        <w:pStyle w:val="Caption"/>
        <w:rPr>
          <w:b w:val="0"/>
        </w:rPr>
      </w:pPr>
      <w:r>
        <w:t xml:space="preserve">Figure </w:t>
      </w:r>
      <w:fldSimple w:instr=" STYLEREF 1 \s ">
        <w:r w:rsidR="001663C2">
          <w:rPr>
            <w:noProof/>
          </w:rPr>
          <w:t>9</w:t>
        </w:r>
      </w:fldSimple>
      <w:r w:rsidR="00943DC2">
        <w:noBreakHyphen/>
      </w:r>
      <w:fldSimple w:instr=" SEQ Figure \* ARABIC \s 1 ">
        <w:r w:rsidR="001663C2">
          <w:rPr>
            <w:noProof/>
          </w:rPr>
          <w:t>15</w:t>
        </w:r>
      </w:fldSimple>
      <w:r w:rsidRPr="00041E32">
        <w:t>:  Carer’s Involvement in Discussions</w:t>
      </w:r>
    </w:p>
    <w:p w:rsidR="008921BF" w:rsidRPr="00D373AD" w:rsidRDefault="008921BF" w:rsidP="008921BF">
      <w:pPr>
        <w:spacing w:after="0"/>
        <w:jc w:val="center"/>
        <w:rPr>
          <w:b/>
        </w:rPr>
      </w:pPr>
      <w:r>
        <w:rPr>
          <w:noProof/>
          <w:lang w:eastAsia="en-GB"/>
        </w:rPr>
        <w:drawing>
          <wp:inline distT="0" distB="0" distL="0" distR="0" wp14:anchorId="5B9557AB" wp14:editId="0B512A3E">
            <wp:extent cx="5038725" cy="1676400"/>
            <wp:effectExtent l="0" t="0" r="9525" b="19050"/>
            <wp:docPr id="90" name="Chart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217"/>
              </a:graphicData>
            </a:graphic>
          </wp:inline>
        </w:drawing>
      </w:r>
    </w:p>
    <w:p w:rsidR="008921BF" w:rsidRDefault="008921BF" w:rsidP="008921BF">
      <w:pPr>
        <w:autoSpaceDE w:val="0"/>
        <w:autoSpaceDN w:val="0"/>
        <w:adjustRightInd w:val="0"/>
        <w:spacing w:after="0" w:line="240" w:lineRule="auto"/>
        <w:rPr>
          <w:rFonts w:cs="Arial-BoldMT"/>
          <w:bCs/>
          <w:color w:val="000000"/>
        </w:rPr>
      </w:pPr>
      <w:r>
        <w:rPr>
          <w:rFonts w:cs="Arial-BoldMT"/>
          <w:bCs/>
          <w:color w:val="000000"/>
        </w:rPr>
        <w:t xml:space="preserve">Source: </w:t>
      </w:r>
      <w:r>
        <w:t>The Carers Survey 2012/13</w:t>
      </w:r>
    </w:p>
    <w:p w:rsidR="008921BF" w:rsidRDefault="008921BF" w:rsidP="008921BF">
      <w:pPr>
        <w:spacing w:after="0" w:line="240" w:lineRule="auto"/>
        <w:jc w:val="both"/>
      </w:pPr>
    </w:p>
    <w:p w:rsidR="008921BF" w:rsidRDefault="008921BF" w:rsidP="008921BF">
      <w:pPr>
        <w:jc w:val="both"/>
      </w:pPr>
      <w:r w:rsidRPr="00A61F3B">
        <w:t xml:space="preserve">Between the pilot survey and the first national version in 2012/13, there was a growth in the number of carers receiving information and advice, as well as support for carers to talk in confidence or to stay in employment. </w:t>
      </w:r>
      <w:r>
        <w:t xml:space="preserve"> </w:t>
      </w:r>
      <w:r w:rsidRPr="00A61F3B">
        <w:t>Most carers felt that they could do some of the things they enjoyed with their time but not enough (21% in 2012).  However; in 2012/13, 15% of carers felt they did</w:t>
      </w:r>
      <w:r>
        <w:t xml:space="preserve"> not</w:t>
      </w:r>
      <w:r w:rsidRPr="00A61F3B">
        <w:t xml:space="preserve"> do anything that they valued or enjoyed. These figures were very similar across all comparable local authorities in London.</w:t>
      </w:r>
    </w:p>
    <w:p w:rsidR="006F597E" w:rsidRDefault="006F597E" w:rsidP="008921BF">
      <w:pPr>
        <w:pStyle w:val="Caption"/>
      </w:pPr>
    </w:p>
    <w:p w:rsidR="006F597E" w:rsidRDefault="006F597E" w:rsidP="008921BF">
      <w:pPr>
        <w:pStyle w:val="Caption"/>
      </w:pPr>
    </w:p>
    <w:p w:rsidR="008921BF" w:rsidRDefault="008921BF" w:rsidP="008921BF">
      <w:pPr>
        <w:pStyle w:val="Caption"/>
        <w:rPr>
          <w:b w:val="0"/>
        </w:rPr>
      </w:pPr>
      <w:r>
        <w:lastRenderedPageBreak/>
        <w:t xml:space="preserve">Figure </w:t>
      </w:r>
      <w:fldSimple w:instr=" STYLEREF 1 \s ">
        <w:r w:rsidR="001663C2">
          <w:rPr>
            <w:noProof/>
          </w:rPr>
          <w:t>9</w:t>
        </w:r>
      </w:fldSimple>
      <w:r w:rsidR="00943DC2">
        <w:noBreakHyphen/>
      </w:r>
      <w:fldSimple w:instr=" SEQ Figure \* ARABIC \s 1 ">
        <w:r w:rsidR="001663C2">
          <w:rPr>
            <w:noProof/>
          </w:rPr>
          <w:t>16</w:t>
        </w:r>
      </w:fldSimple>
      <w:r w:rsidRPr="00041E32">
        <w:t>:  Carer related quality of life</w:t>
      </w:r>
    </w:p>
    <w:p w:rsidR="008921BF" w:rsidRPr="00C67AA0" w:rsidRDefault="008921BF" w:rsidP="008921BF">
      <w:pPr>
        <w:spacing w:after="0"/>
        <w:jc w:val="center"/>
        <w:rPr>
          <w:b/>
        </w:rPr>
      </w:pPr>
      <w:r>
        <w:rPr>
          <w:noProof/>
          <w:lang w:eastAsia="en-GB"/>
        </w:rPr>
        <w:drawing>
          <wp:inline distT="0" distB="0" distL="0" distR="0" wp14:anchorId="43CE4E50" wp14:editId="5C9F18F8">
            <wp:extent cx="4051005" cy="1956391"/>
            <wp:effectExtent l="0" t="0" r="26035" b="25400"/>
            <wp:docPr id="91" name="Chart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8"/>
              </a:graphicData>
            </a:graphic>
          </wp:inline>
        </w:drawing>
      </w:r>
    </w:p>
    <w:p w:rsidR="008921BF" w:rsidRDefault="008921BF" w:rsidP="008921BF">
      <w:pPr>
        <w:autoSpaceDE w:val="0"/>
        <w:autoSpaceDN w:val="0"/>
        <w:adjustRightInd w:val="0"/>
        <w:spacing w:after="0" w:line="240" w:lineRule="auto"/>
        <w:rPr>
          <w:rFonts w:cs="Arial-BoldMT"/>
          <w:bCs/>
          <w:color w:val="000000"/>
        </w:rPr>
      </w:pPr>
      <w:r>
        <w:rPr>
          <w:rFonts w:cs="Arial-BoldMT"/>
          <w:bCs/>
          <w:color w:val="000000"/>
        </w:rPr>
        <w:t xml:space="preserve">Source: </w:t>
      </w:r>
      <w:r>
        <w:t>The Carers Survey 2012/13</w:t>
      </w:r>
    </w:p>
    <w:p w:rsidR="008921BF" w:rsidRDefault="008921BF">
      <w:pPr>
        <w:rPr>
          <w:rFonts w:asciiTheme="majorHAnsi" w:eastAsiaTheme="majorEastAsia" w:hAnsiTheme="majorHAnsi" w:cstheme="majorBidi"/>
          <w:b/>
          <w:bCs/>
          <w:color w:val="365F91" w:themeColor="accent1" w:themeShade="BF"/>
          <w:sz w:val="28"/>
          <w:szCs w:val="28"/>
        </w:rPr>
      </w:pPr>
      <w:r>
        <w:br w:type="page"/>
      </w:r>
    </w:p>
    <w:p w:rsidR="00FE340F" w:rsidRPr="007E799F" w:rsidRDefault="00FE340F" w:rsidP="008921BF">
      <w:pPr>
        <w:pStyle w:val="Heading1"/>
        <w:numPr>
          <w:ilvl w:val="0"/>
          <w:numId w:val="125"/>
        </w:numPr>
      </w:pPr>
      <w:bookmarkStart w:id="955" w:name="_Toc431225230"/>
      <w:r w:rsidRPr="003F6571">
        <w:lastRenderedPageBreak/>
        <w:t>Community Safety</w:t>
      </w:r>
      <w:bookmarkEnd w:id="890"/>
      <w:bookmarkEnd w:id="955"/>
      <w:r w:rsidRPr="003F6571">
        <w:t xml:space="preserve"> </w:t>
      </w:r>
    </w:p>
    <w:p w:rsidR="008921BF" w:rsidRPr="008921BF" w:rsidRDefault="008921BF" w:rsidP="008921BF">
      <w:pPr>
        <w:pStyle w:val="ListParagraph"/>
        <w:keepNext/>
        <w:keepLines/>
        <w:numPr>
          <w:ilvl w:val="0"/>
          <w:numId w:val="133"/>
        </w:numPr>
        <w:spacing w:before="480" w:after="0"/>
        <w:contextualSpacing w:val="0"/>
        <w:outlineLvl w:val="0"/>
        <w:rPr>
          <w:rFonts w:asciiTheme="majorHAnsi" w:eastAsiaTheme="majorEastAsia" w:hAnsiTheme="majorHAnsi" w:cstheme="majorBidi"/>
          <w:b/>
          <w:bCs/>
          <w:noProof/>
          <w:vanish/>
          <w:color w:val="365F91" w:themeColor="accent1" w:themeShade="BF"/>
          <w:sz w:val="28"/>
          <w:szCs w:val="28"/>
          <w:lang w:eastAsia="en-GB"/>
        </w:rPr>
      </w:pPr>
      <w:bookmarkStart w:id="956" w:name="_Toc427319886"/>
      <w:bookmarkStart w:id="957" w:name="_Toc427323274"/>
      <w:bookmarkStart w:id="958" w:name="_Toc427323458"/>
      <w:bookmarkStart w:id="959" w:name="_Toc427323954"/>
      <w:bookmarkStart w:id="960" w:name="_Toc427324258"/>
      <w:bookmarkStart w:id="961" w:name="_Toc427327476"/>
      <w:bookmarkStart w:id="962" w:name="_Toc427676508"/>
      <w:bookmarkStart w:id="963" w:name="_Toc427676692"/>
      <w:bookmarkStart w:id="964" w:name="_Toc427738647"/>
      <w:bookmarkStart w:id="965" w:name="_Toc427763098"/>
      <w:bookmarkStart w:id="966" w:name="_Toc427763293"/>
      <w:bookmarkStart w:id="967" w:name="_Toc427830291"/>
      <w:bookmarkStart w:id="968" w:name="_Toc427830486"/>
      <w:bookmarkStart w:id="969" w:name="_Toc428344225"/>
      <w:bookmarkStart w:id="970" w:name="_Toc430871253"/>
      <w:bookmarkStart w:id="971" w:name="_Toc431198954"/>
      <w:bookmarkStart w:id="972" w:name="_Toc431225231"/>
      <w:bookmarkStart w:id="973" w:name="_Toc426723404"/>
      <w:bookmarkStart w:id="974" w:name="_Toc414273261"/>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p>
    <w:bookmarkStart w:id="975" w:name="_Toc431225232"/>
    <w:p w:rsidR="00FE340F" w:rsidRDefault="00FE340F" w:rsidP="008921BF">
      <w:pPr>
        <w:pStyle w:val="Heading2"/>
        <w:numPr>
          <w:ilvl w:val="1"/>
          <w:numId w:val="133"/>
        </w:numPr>
      </w:pPr>
      <w:r>
        <w:rPr>
          <w:noProof/>
          <w:lang w:eastAsia="en-GB"/>
        </w:rPr>
        <mc:AlternateContent>
          <mc:Choice Requires="wps">
            <w:drawing>
              <wp:anchor distT="0" distB="0" distL="114300" distR="114300" simplePos="0" relativeHeight="251807744" behindDoc="1" locked="0" layoutInCell="1" allowOverlap="1" wp14:anchorId="5E8DCDFD" wp14:editId="01245255">
                <wp:simplePos x="0" y="0"/>
                <wp:positionH relativeFrom="column">
                  <wp:posOffset>-114300</wp:posOffset>
                </wp:positionH>
                <wp:positionV relativeFrom="paragraph">
                  <wp:posOffset>97790</wp:posOffset>
                </wp:positionV>
                <wp:extent cx="6039293" cy="2324100"/>
                <wp:effectExtent l="0" t="0" r="0" b="0"/>
                <wp:wrapNone/>
                <wp:docPr id="4106" name="Rectangle 4106"/>
                <wp:cNvGraphicFramePr/>
                <a:graphic xmlns:a="http://schemas.openxmlformats.org/drawingml/2006/main">
                  <a:graphicData uri="http://schemas.microsoft.com/office/word/2010/wordprocessingShape">
                    <wps:wsp>
                      <wps:cNvSpPr/>
                      <wps:spPr>
                        <a:xfrm>
                          <a:off x="0" y="0"/>
                          <a:ext cx="6039293" cy="2324100"/>
                        </a:xfrm>
                        <a:prstGeom prst="rect">
                          <a:avLst/>
                        </a:prstGeom>
                        <a:solidFill>
                          <a:schemeClr val="accent1">
                            <a:lumMod val="20000"/>
                            <a:lumOff val="80000"/>
                            <a:alpha val="7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106" o:spid="_x0000_s1026" style="position:absolute;margin-left:-9pt;margin-top:7.7pt;width:475.55pt;height:183pt;z-index:-25150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" fillcolor="#dbe5f1 [660]" stroked="f" strokeweight="2pt">
                <v:fill opacity="46003f"/>
              </v:rect>
            </w:pict>
          </mc:Fallback>
        </mc:AlternateContent>
      </w:r>
      <w:r>
        <w:t>Key Facts</w:t>
      </w:r>
      <w:bookmarkEnd w:id="973"/>
      <w:bookmarkEnd w:id="975"/>
    </w:p>
    <w:p w:rsidR="00FE340F" w:rsidRPr="005B4879" w:rsidRDefault="00FE340F" w:rsidP="008921BF">
      <w:pPr>
        <w:pStyle w:val="ListParagraph"/>
        <w:numPr>
          <w:ilvl w:val="0"/>
          <w:numId w:val="72"/>
        </w:numPr>
        <w:spacing w:after="0"/>
        <w:jc w:val="both"/>
        <w:rPr>
          <w:color w:val="000000"/>
          <w:sz w:val="24"/>
          <w:szCs w:val="24"/>
        </w:rPr>
      </w:pPr>
      <w:r w:rsidRPr="005B4879">
        <w:rPr>
          <w:rFonts w:cs="Arial"/>
          <w:color w:val="000000"/>
        </w:rPr>
        <w:t>Crime has seen a long</w:t>
      </w:r>
      <w:r>
        <w:rPr>
          <w:rFonts w:cs="Arial"/>
          <w:color w:val="000000"/>
        </w:rPr>
        <w:t>-</w:t>
      </w:r>
      <w:r w:rsidRPr="005B4879">
        <w:rPr>
          <w:rFonts w:cs="Arial"/>
          <w:color w:val="000000"/>
        </w:rPr>
        <w:t xml:space="preserve">term downward trend over the last </w:t>
      </w:r>
      <w:r>
        <w:rPr>
          <w:rFonts w:cs="Arial"/>
          <w:color w:val="000000"/>
        </w:rPr>
        <w:t>10</w:t>
      </w:r>
      <w:r w:rsidRPr="005B4879">
        <w:rPr>
          <w:rFonts w:cs="Arial"/>
          <w:color w:val="000000"/>
        </w:rPr>
        <w:t xml:space="preserve"> years from a </w:t>
      </w:r>
      <w:r w:rsidR="00DD3A76" w:rsidRPr="005B4879">
        <w:rPr>
          <w:rFonts w:cs="Arial"/>
          <w:color w:val="000000"/>
        </w:rPr>
        <w:t>peak of</w:t>
      </w:r>
      <w:r w:rsidRPr="005B4879">
        <w:rPr>
          <w:rFonts w:cs="Arial"/>
          <w:color w:val="000000"/>
        </w:rPr>
        <w:t xml:space="preserve"> over 35,000 crimes a year</w:t>
      </w:r>
      <w:r>
        <w:rPr>
          <w:rFonts w:cs="Arial"/>
          <w:color w:val="000000"/>
        </w:rPr>
        <w:t xml:space="preserve"> in 2005</w:t>
      </w:r>
      <w:r w:rsidRPr="005B4879">
        <w:rPr>
          <w:rFonts w:cs="Arial"/>
          <w:color w:val="000000"/>
        </w:rPr>
        <w:t>, to under 25,000 in the</w:t>
      </w:r>
      <w:r>
        <w:rPr>
          <w:rFonts w:cs="Arial"/>
          <w:color w:val="000000"/>
        </w:rPr>
        <w:t xml:space="preserve"> 12 months up to February 2014.</w:t>
      </w:r>
      <w:r w:rsidRPr="005B4879">
        <w:rPr>
          <w:rFonts w:cs="Arial"/>
          <w:color w:val="000000"/>
        </w:rPr>
        <w:t xml:space="preserve"> </w:t>
      </w:r>
    </w:p>
    <w:p w:rsidR="00FE340F" w:rsidRPr="00D87092" w:rsidRDefault="00FE340F" w:rsidP="008921BF">
      <w:pPr>
        <w:pStyle w:val="ListParagraph"/>
        <w:numPr>
          <w:ilvl w:val="0"/>
          <w:numId w:val="72"/>
        </w:numPr>
        <w:spacing w:after="0"/>
        <w:jc w:val="both"/>
        <w:rPr>
          <w:color w:val="000000"/>
          <w:sz w:val="24"/>
          <w:szCs w:val="24"/>
        </w:rPr>
      </w:pPr>
      <w:r w:rsidRPr="005B4879">
        <w:rPr>
          <w:rFonts w:cs="Arial"/>
          <w:color w:val="000000"/>
        </w:rPr>
        <w:t>Overall Barnet has experienced 11% less crime in the 12 months between March 2013 and February 2014</w:t>
      </w:r>
      <w:r>
        <w:rPr>
          <w:rStyle w:val="FootnoteReference"/>
          <w:rFonts w:cs="Arial"/>
          <w:color w:val="000000"/>
        </w:rPr>
        <w:footnoteReference w:id="150"/>
      </w:r>
      <w:r>
        <w:rPr>
          <w:rFonts w:cs="Arial"/>
          <w:color w:val="000000"/>
        </w:rPr>
        <w:t xml:space="preserve"> compared to one year ago.</w:t>
      </w:r>
    </w:p>
    <w:p w:rsidR="00FE340F" w:rsidRDefault="00FE340F" w:rsidP="008921BF">
      <w:pPr>
        <w:pStyle w:val="ListParagraph"/>
        <w:numPr>
          <w:ilvl w:val="0"/>
          <w:numId w:val="72"/>
        </w:numPr>
        <w:spacing w:after="0"/>
        <w:jc w:val="both"/>
        <w:rPr>
          <w:color w:val="000000"/>
          <w:sz w:val="24"/>
          <w:szCs w:val="24"/>
        </w:rPr>
      </w:pPr>
      <w:r w:rsidRPr="005B4879">
        <w:rPr>
          <w:rFonts w:cs="Arial"/>
          <w:color w:val="000000"/>
        </w:rPr>
        <w:t xml:space="preserve">There are fewer victims of crime (in the 12 months </w:t>
      </w:r>
      <w:r>
        <w:rPr>
          <w:rFonts w:cs="Arial"/>
          <w:color w:val="000000"/>
        </w:rPr>
        <w:t xml:space="preserve">up </w:t>
      </w:r>
      <w:r w:rsidRPr="005B4879">
        <w:rPr>
          <w:rFonts w:cs="Arial"/>
          <w:color w:val="000000"/>
        </w:rPr>
        <w:t>to 25 Feb</w:t>
      </w:r>
      <w:r>
        <w:rPr>
          <w:rFonts w:cs="Arial"/>
          <w:color w:val="000000"/>
        </w:rPr>
        <w:t>ruary</w:t>
      </w:r>
      <w:r w:rsidRPr="005B4879">
        <w:rPr>
          <w:rFonts w:cs="Arial"/>
          <w:color w:val="000000"/>
        </w:rPr>
        <w:t xml:space="preserve"> 2014) compared to one year ago:  747 fewer households being victims of residential burglary, 68 fewer victims of non-residential burglary, and 372 fewer people becoming victims of robbery in the </w:t>
      </w:r>
      <w:r>
        <w:rPr>
          <w:rFonts w:cs="Arial"/>
          <w:color w:val="000000"/>
        </w:rPr>
        <w:t>Borough</w:t>
      </w:r>
      <w:r>
        <w:rPr>
          <w:rStyle w:val="FootnoteReference"/>
          <w:rFonts w:cs="Arial"/>
          <w:color w:val="000000"/>
        </w:rPr>
        <w:footnoteReference w:id="151"/>
      </w:r>
      <w:r w:rsidRPr="005B4879">
        <w:rPr>
          <w:rFonts w:cs="Arial"/>
          <w:color w:val="000000"/>
        </w:rPr>
        <w:t>.</w:t>
      </w:r>
      <w:r w:rsidRPr="005B4879">
        <w:rPr>
          <w:color w:val="000000"/>
          <w:sz w:val="24"/>
          <w:szCs w:val="24"/>
        </w:rPr>
        <w:t xml:space="preserve"> </w:t>
      </w:r>
    </w:p>
    <w:p w:rsidR="00FE340F" w:rsidRDefault="00FE340F" w:rsidP="008921BF">
      <w:pPr>
        <w:pStyle w:val="ListParagraph"/>
        <w:numPr>
          <w:ilvl w:val="0"/>
          <w:numId w:val="72"/>
        </w:numPr>
        <w:spacing w:after="0"/>
        <w:jc w:val="both"/>
        <w:rPr>
          <w:rFonts w:cs="Arial"/>
          <w:color w:val="000000"/>
        </w:rPr>
      </w:pPr>
      <w:r w:rsidRPr="007E2005">
        <w:rPr>
          <w:rFonts w:cs="Arial"/>
          <w:color w:val="000000"/>
        </w:rPr>
        <w:t xml:space="preserve">In the 12 months up to January 2014 Barnet had the 8th lowest crimes per 1000 population of all 32 London </w:t>
      </w:r>
      <w:r>
        <w:rPr>
          <w:rFonts w:cs="Arial"/>
          <w:color w:val="000000"/>
        </w:rPr>
        <w:t>Borough</w:t>
      </w:r>
      <w:r w:rsidRPr="007E2005">
        <w:rPr>
          <w:rFonts w:cs="Arial"/>
          <w:color w:val="000000"/>
        </w:rPr>
        <w:t xml:space="preserve">s. </w:t>
      </w:r>
    </w:p>
    <w:p w:rsidR="00FE340F" w:rsidRPr="00B165F1" w:rsidRDefault="00FE340F" w:rsidP="00FE340F">
      <w:pPr>
        <w:pStyle w:val="Heading2"/>
      </w:pPr>
      <w:bookmarkStart w:id="976" w:name="_Toc426723405"/>
      <w:bookmarkStart w:id="977" w:name="_Toc431225233"/>
      <w:r>
        <w:t>Strategic Needs</w:t>
      </w:r>
      <w:bookmarkEnd w:id="976"/>
      <w:bookmarkEnd w:id="977"/>
    </w:p>
    <w:bookmarkEnd w:id="974"/>
    <w:p w:rsidR="00FE340F" w:rsidRPr="007E2005" w:rsidRDefault="00FE340F" w:rsidP="008921BF">
      <w:pPr>
        <w:pStyle w:val="ListParagraph"/>
        <w:numPr>
          <w:ilvl w:val="0"/>
          <w:numId w:val="73"/>
        </w:numPr>
        <w:spacing w:after="0"/>
        <w:jc w:val="both"/>
        <w:rPr>
          <w:rFonts w:cs="Arial"/>
          <w:color w:val="000000"/>
        </w:rPr>
      </w:pPr>
      <w:r w:rsidRPr="00100A26">
        <w:rPr>
          <w:rFonts w:cs="Arial"/>
          <w:b/>
          <w:color w:val="000000"/>
        </w:rPr>
        <w:t xml:space="preserve">Barnet has the 5th highest rate of </w:t>
      </w:r>
      <w:r>
        <w:rPr>
          <w:rFonts w:cs="Arial"/>
          <w:b/>
          <w:color w:val="000000"/>
        </w:rPr>
        <w:t>r</w:t>
      </w:r>
      <w:r w:rsidRPr="00100A26">
        <w:rPr>
          <w:rFonts w:cs="Arial"/>
          <w:b/>
          <w:color w:val="000000"/>
        </w:rPr>
        <w:t xml:space="preserve">esidential burglary out of the 32 London </w:t>
      </w:r>
      <w:r>
        <w:rPr>
          <w:rFonts w:cs="Arial"/>
          <w:b/>
          <w:color w:val="000000"/>
        </w:rPr>
        <w:t>Borough</w:t>
      </w:r>
      <w:r w:rsidRPr="00100A26">
        <w:rPr>
          <w:rFonts w:cs="Arial"/>
          <w:b/>
          <w:color w:val="000000"/>
        </w:rPr>
        <w:t xml:space="preserve">s </w:t>
      </w:r>
      <w:r w:rsidRPr="007E2005">
        <w:rPr>
          <w:rFonts w:cs="Arial"/>
          <w:color w:val="000000"/>
        </w:rPr>
        <w:t xml:space="preserve">(per 1000 households). The rate of residential burglary climbed substantially between 2008 and 2012; despite a sharp fall since April 2013 burglary </w:t>
      </w:r>
      <w:r>
        <w:rPr>
          <w:rFonts w:cs="Arial"/>
          <w:color w:val="000000"/>
        </w:rPr>
        <w:t xml:space="preserve">still </w:t>
      </w:r>
      <w:r w:rsidRPr="007E2005">
        <w:rPr>
          <w:rFonts w:cs="Arial"/>
          <w:color w:val="000000"/>
        </w:rPr>
        <w:t xml:space="preserve">remains above the London average and is still a prominent issue of community concern. </w:t>
      </w:r>
    </w:p>
    <w:p w:rsidR="00FE340F" w:rsidRDefault="00FE340F" w:rsidP="008921BF">
      <w:pPr>
        <w:pStyle w:val="ListParagraph"/>
        <w:numPr>
          <w:ilvl w:val="0"/>
          <w:numId w:val="70"/>
        </w:numPr>
        <w:spacing w:after="0"/>
        <w:jc w:val="both"/>
        <w:rPr>
          <w:rFonts w:cs="Arial"/>
          <w:color w:val="000000"/>
        </w:rPr>
      </w:pPr>
      <w:r w:rsidRPr="003353BF">
        <w:rPr>
          <w:rFonts w:cs="Arial"/>
          <w:color w:val="000000"/>
        </w:rPr>
        <w:t xml:space="preserve">Across the </w:t>
      </w:r>
      <w:r>
        <w:rPr>
          <w:rFonts w:cs="Arial"/>
          <w:color w:val="000000"/>
        </w:rPr>
        <w:t>Borough</w:t>
      </w:r>
      <w:r w:rsidRPr="003353BF">
        <w:rPr>
          <w:rFonts w:cs="Arial"/>
          <w:color w:val="000000"/>
        </w:rPr>
        <w:t xml:space="preserve"> </w:t>
      </w:r>
      <w:r w:rsidRPr="00100A26">
        <w:rPr>
          <w:rFonts w:cs="Arial"/>
          <w:b/>
          <w:color w:val="000000"/>
        </w:rPr>
        <w:t>the cost of recorded crime is estimated at over £73.9 million</w:t>
      </w:r>
      <w:r w:rsidRPr="003353BF">
        <w:rPr>
          <w:rFonts w:cs="Arial"/>
          <w:color w:val="000000"/>
        </w:rPr>
        <w:t xml:space="preserve"> in the 12 months up to Feb</w:t>
      </w:r>
      <w:r>
        <w:rPr>
          <w:rFonts w:cs="Arial"/>
          <w:color w:val="000000"/>
        </w:rPr>
        <w:t>ruary</w:t>
      </w:r>
      <w:r w:rsidRPr="003353BF">
        <w:rPr>
          <w:rFonts w:cs="Arial"/>
          <w:color w:val="000000"/>
        </w:rPr>
        <w:t xml:space="preserve"> 2014.  When considering underreporting</w:t>
      </w:r>
      <w:r>
        <w:rPr>
          <w:rFonts w:cs="Arial"/>
          <w:color w:val="000000"/>
        </w:rPr>
        <w:t>,</w:t>
      </w:r>
      <w:r w:rsidRPr="003353BF">
        <w:rPr>
          <w:rFonts w:cs="Arial"/>
          <w:color w:val="000000"/>
        </w:rPr>
        <w:t xml:space="preserve"> the </w:t>
      </w:r>
      <w:r w:rsidRPr="00100A26">
        <w:rPr>
          <w:rFonts w:cs="Arial"/>
          <w:b/>
          <w:color w:val="000000"/>
        </w:rPr>
        <w:t>true cost could be nearer £169 million.</w:t>
      </w:r>
      <w:r w:rsidRPr="003353BF">
        <w:rPr>
          <w:rFonts w:cs="Arial"/>
          <w:color w:val="000000"/>
        </w:rPr>
        <w:t xml:space="preserve"> The reduction in crime achieved in the last 12 months equates to an estimated saving of £1.7 million over the </w:t>
      </w:r>
      <w:r>
        <w:rPr>
          <w:rFonts w:cs="Arial"/>
          <w:color w:val="000000"/>
        </w:rPr>
        <w:t>year.</w:t>
      </w:r>
    </w:p>
    <w:p w:rsidR="00FE340F" w:rsidRDefault="00FE340F" w:rsidP="008921BF">
      <w:pPr>
        <w:pStyle w:val="ListParagraph"/>
        <w:numPr>
          <w:ilvl w:val="0"/>
          <w:numId w:val="70"/>
        </w:numPr>
        <w:spacing w:after="0"/>
        <w:jc w:val="both"/>
        <w:rPr>
          <w:rFonts w:cs="Arial"/>
          <w:color w:val="000000"/>
        </w:rPr>
      </w:pPr>
      <w:r w:rsidRPr="00602B32">
        <w:rPr>
          <w:rFonts w:cs="Arial"/>
          <w:color w:val="000000"/>
        </w:rPr>
        <w:t>There is evidence that young people are significantly</w:t>
      </w:r>
      <w:r>
        <w:rPr>
          <w:rFonts w:cs="Arial"/>
          <w:color w:val="000000"/>
        </w:rPr>
        <w:t xml:space="preserve"> more lik</w:t>
      </w:r>
      <w:r w:rsidRPr="00602B32">
        <w:rPr>
          <w:rFonts w:cs="Arial"/>
          <w:color w:val="000000"/>
        </w:rPr>
        <w:t xml:space="preserve">ely to be a victim of crime, </w:t>
      </w:r>
      <w:r w:rsidRPr="00602B32">
        <w:rPr>
          <w:rFonts w:cs="Arial"/>
          <w:b/>
          <w:color w:val="000000"/>
        </w:rPr>
        <w:t>and also that they are less likely to report that they have been a victim of crime</w:t>
      </w:r>
      <w:r>
        <w:rPr>
          <w:rFonts w:cs="Arial"/>
          <w:color w:val="000000"/>
        </w:rPr>
        <w:t>. More work is needed to understand this phenomenon and to increase underreporting.</w:t>
      </w:r>
    </w:p>
    <w:p w:rsidR="00FE340F" w:rsidRPr="00602B32" w:rsidRDefault="00FE340F" w:rsidP="008921BF">
      <w:pPr>
        <w:pStyle w:val="ListParagraph"/>
        <w:numPr>
          <w:ilvl w:val="0"/>
          <w:numId w:val="70"/>
        </w:numPr>
        <w:spacing w:after="0"/>
        <w:jc w:val="both"/>
        <w:rPr>
          <w:rFonts w:cs="Arial"/>
          <w:color w:val="000000"/>
        </w:rPr>
      </w:pPr>
      <w:r w:rsidRPr="00602B32">
        <w:rPr>
          <w:rFonts w:cs="Arial"/>
          <w:b/>
          <w:color w:val="000000"/>
        </w:rPr>
        <w:t>Violent assaults</w:t>
      </w:r>
      <w:r w:rsidRPr="00602B32">
        <w:rPr>
          <w:rFonts w:cs="Arial"/>
          <w:color w:val="000000"/>
        </w:rPr>
        <w:t xml:space="preserve"> (ABH and GBH) </w:t>
      </w:r>
      <w:r w:rsidRPr="00602B32">
        <w:rPr>
          <w:rFonts w:cs="Arial"/>
          <w:b/>
          <w:color w:val="000000"/>
        </w:rPr>
        <w:t>have the greatest associated costs, accounting for 29% of the total costs, despite making up just 6.5% of the offences</w:t>
      </w:r>
      <w:r w:rsidRPr="00602B32">
        <w:rPr>
          <w:rFonts w:cs="Arial"/>
          <w:color w:val="000000"/>
        </w:rPr>
        <w:t xml:space="preserve">.  </w:t>
      </w:r>
    </w:p>
    <w:p w:rsidR="00FE340F" w:rsidRPr="00100A26" w:rsidRDefault="00FE340F" w:rsidP="008921BF">
      <w:pPr>
        <w:pStyle w:val="ListParagraph"/>
        <w:numPr>
          <w:ilvl w:val="0"/>
          <w:numId w:val="70"/>
        </w:numPr>
        <w:spacing w:after="0" w:line="240" w:lineRule="auto"/>
        <w:jc w:val="both"/>
        <w:textAlignment w:val="baseline"/>
        <w:rPr>
          <w:rFonts w:eastAsiaTheme="minorEastAsia" w:cs="Arial"/>
          <w:kern w:val="24"/>
          <w:lang w:eastAsia="en-GB"/>
        </w:rPr>
      </w:pPr>
      <w:r w:rsidRPr="00B42297">
        <w:rPr>
          <w:rFonts w:eastAsiaTheme="minorEastAsia" w:cs="Arial"/>
          <w:b/>
          <w:iCs/>
          <w:kern w:val="24"/>
          <w:lang w:eastAsia="en-GB"/>
        </w:rPr>
        <w:t>Domestic viol</w:t>
      </w:r>
      <w:r w:rsidR="00316FA6">
        <w:rPr>
          <w:rFonts w:eastAsiaTheme="minorEastAsia" w:cs="Arial"/>
          <w:b/>
          <w:iCs/>
          <w:kern w:val="24"/>
          <w:lang w:eastAsia="en-GB"/>
        </w:rPr>
        <w:t xml:space="preserve">ence is more familiar </w:t>
      </w:r>
      <w:r w:rsidRPr="00B42297">
        <w:rPr>
          <w:rFonts w:eastAsiaTheme="minorEastAsia" w:cs="Arial"/>
          <w:b/>
          <w:iCs/>
          <w:kern w:val="24"/>
          <w:lang w:eastAsia="en-GB"/>
        </w:rPr>
        <w:t>within some services and organisations than other Violence Against Women and Girls (VAWG) issues</w:t>
      </w:r>
      <w:r w:rsidRPr="00100A26">
        <w:rPr>
          <w:rFonts w:eastAsiaTheme="minorEastAsia" w:cs="Arial"/>
          <w:iCs/>
          <w:kern w:val="24"/>
          <w:lang w:eastAsia="en-GB"/>
        </w:rPr>
        <w:t xml:space="preserve">; </w:t>
      </w:r>
      <w:r>
        <w:rPr>
          <w:rFonts w:eastAsiaTheme="minorEastAsia" w:cs="Arial"/>
          <w:iCs/>
          <w:kern w:val="24"/>
          <w:lang w:eastAsia="en-GB"/>
        </w:rPr>
        <w:t>f</w:t>
      </w:r>
      <w:r w:rsidRPr="00100A26">
        <w:rPr>
          <w:rFonts w:eastAsiaTheme="minorEastAsia" w:cs="Arial"/>
          <w:iCs/>
          <w:kern w:val="24"/>
          <w:lang w:eastAsia="en-GB"/>
        </w:rPr>
        <w:t>urther work needs to take place</w:t>
      </w:r>
      <w:r>
        <w:rPr>
          <w:rFonts w:eastAsiaTheme="minorEastAsia" w:cs="Arial"/>
          <w:iCs/>
          <w:kern w:val="24"/>
          <w:lang w:eastAsia="en-GB"/>
        </w:rPr>
        <w:t xml:space="preserve"> to identify if </w:t>
      </w:r>
      <w:r w:rsidRPr="00100A26">
        <w:rPr>
          <w:rFonts w:eastAsiaTheme="minorEastAsia" w:cs="Arial"/>
          <w:kern w:val="24"/>
          <w:lang w:eastAsia="en-GB"/>
        </w:rPr>
        <w:t>additional</w:t>
      </w:r>
      <w:r>
        <w:rPr>
          <w:rFonts w:eastAsiaTheme="minorEastAsia" w:cs="Arial"/>
          <w:iCs/>
          <w:kern w:val="24"/>
          <w:lang w:eastAsia="en-GB"/>
        </w:rPr>
        <w:t xml:space="preserve"> VAWG services are needed within the Borough.</w:t>
      </w:r>
    </w:p>
    <w:p w:rsidR="00FE340F" w:rsidRDefault="00FE340F" w:rsidP="00FE340F">
      <w:pPr>
        <w:spacing w:after="0"/>
        <w:ind w:left="360"/>
        <w:jc w:val="both"/>
        <w:rPr>
          <w:color w:val="4F81BD" w:themeColor="accent1"/>
          <w:sz w:val="26"/>
          <w:szCs w:val="26"/>
        </w:rPr>
      </w:pPr>
    </w:p>
    <w:p w:rsidR="00FE340F" w:rsidRPr="00AD3DE2" w:rsidRDefault="00FE340F" w:rsidP="00FE340F">
      <w:pPr>
        <w:pStyle w:val="Heading2"/>
      </w:pPr>
      <w:bookmarkStart w:id="978" w:name="_Toc426723406"/>
      <w:bookmarkStart w:id="979" w:name="_Toc431225234"/>
      <w:r w:rsidRPr="00AD3DE2">
        <w:t>Overview</w:t>
      </w:r>
      <w:bookmarkEnd w:id="978"/>
      <w:bookmarkEnd w:id="979"/>
    </w:p>
    <w:p w:rsidR="00FE340F" w:rsidRPr="001F68B5" w:rsidRDefault="00FE340F" w:rsidP="00FE340F">
      <w:pPr>
        <w:spacing w:after="0"/>
        <w:jc w:val="both"/>
        <w:rPr>
          <w:rFonts w:cs="Arial"/>
          <w:color w:val="000000"/>
        </w:rPr>
      </w:pPr>
      <w:r w:rsidRPr="001F68B5">
        <w:rPr>
          <w:rFonts w:cs="Arial"/>
          <w:color w:val="000000"/>
        </w:rPr>
        <w:t>The statutory duty for Barnet Safer Communities Partnership</w:t>
      </w:r>
      <w:r>
        <w:rPr>
          <w:rStyle w:val="FootnoteReference"/>
          <w:rFonts w:cs="Arial"/>
          <w:color w:val="000000"/>
        </w:rPr>
        <w:footnoteReference w:id="152"/>
      </w:r>
      <w:r w:rsidRPr="001F68B5">
        <w:rPr>
          <w:rFonts w:cs="Arial"/>
          <w:color w:val="000000"/>
        </w:rPr>
        <w:t xml:space="preserve"> includes producing and considering the findings of an annual strategic crime needs assessment when developing a local community safety strategy. The data in this section is based on Barnet’s 2014/2015 Strategic Crime Needs Assessment.</w:t>
      </w:r>
    </w:p>
    <w:p w:rsidR="00FE340F" w:rsidRPr="007E799F" w:rsidRDefault="00FE340F" w:rsidP="00FE340F">
      <w:pPr>
        <w:pStyle w:val="Heading2"/>
        <w:rPr>
          <w:rStyle w:val="JSNAHeading2Char"/>
          <w:b/>
          <w:bCs/>
        </w:rPr>
      </w:pPr>
      <w:bookmarkStart w:id="980" w:name="_Toc426723407"/>
      <w:bookmarkStart w:id="981" w:name="_Toc431225235"/>
      <w:r w:rsidRPr="007E799F">
        <w:rPr>
          <w:rStyle w:val="JSNAHeading2Char"/>
          <w:b/>
          <w:bCs/>
        </w:rPr>
        <w:lastRenderedPageBreak/>
        <w:t>The Cost of Crime</w:t>
      </w:r>
      <w:bookmarkEnd w:id="980"/>
      <w:bookmarkEnd w:id="981"/>
      <w:r w:rsidRPr="007E799F">
        <w:rPr>
          <w:rStyle w:val="JSNAHeading2Char"/>
          <w:b/>
          <w:bCs/>
        </w:rPr>
        <w:t xml:space="preserve"> </w:t>
      </w:r>
    </w:p>
    <w:p w:rsidR="00FE340F" w:rsidRPr="002E01F7" w:rsidRDefault="00FE340F" w:rsidP="00FE340F">
      <w:pPr>
        <w:spacing w:after="0"/>
        <w:jc w:val="both"/>
        <w:rPr>
          <w:rFonts w:cs="Arial"/>
          <w:color w:val="000000"/>
        </w:rPr>
      </w:pPr>
      <w:r w:rsidRPr="002E01F7">
        <w:rPr>
          <w:rFonts w:cs="Arial"/>
          <w:color w:val="000000"/>
        </w:rPr>
        <w:t xml:space="preserve">The </w:t>
      </w:r>
      <w:r>
        <w:rPr>
          <w:rFonts w:cs="Arial"/>
          <w:color w:val="000000"/>
        </w:rPr>
        <w:t>H</w:t>
      </w:r>
      <w:r w:rsidRPr="002E01F7">
        <w:rPr>
          <w:rFonts w:cs="Arial"/>
          <w:color w:val="000000"/>
        </w:rPr>
        <w:t xml:space="preserve">ome </w:t>
      </w:r>
      <w:r>
        <w:rPr>
          <w:rFonts w:cs="Arial"/>
          <w:color w:val="000000"/>
        </w:rPr>
        <w:t>O</w:t>
      </w:r>
      <w:r w:rsidRPr="002E01F7">
        <w:rPr>
          <w:rFonts w:cs="Arial"/>
          <w:color w:val="000000"/>
        </w:rPr>
        <w:t>ffice produces unit cost esti</w:t>
      </w:r>
      <w:r>
        <w:rPr>
          <w:rFonts w:cs="Arial"/>
          <w:color w:val="000000"/>
        </w:rPr>
        <w:t>mates for different crime types</w:t>
      </w:r>
      <w:r w:rsidRPr="00771B9A">
        <w:rPr>
          <w:rStyle w:val="FootnoteReference"/>
        </w:rPr>
        <w:footnoteReference w:id="153"/>
      </w:r>
      <w:r>
        <w:rPr>
          <w:rFonts w:cs="Arial"/>
          <w:color w:val="000000"/>
        </w:rPr>
        <w:t>.</w:t>
      </w:r>
      <w:r w:rsidRPr="002E01F7">
        <w:rPr>
          <w:rFonts w:cs="Arial"/>
          <w:color w:val="000000"/>
        </w:rPr>
        <w:t xml:space="preserve"> The estimates take into account anticipatory costs (for example security expenditure), consequential costs (e.g. property stolen, emotional or physical impacts), and response costs (e.g. costs to the criminal justice system).</w:t>
      </w:r>
    </w:p>
    <w:p w:rsidR="00FE340F" w:rsidRDefault="00FE340F" w:rsidP="00FE340F">
      <w:pPr>
        <w:spacing w:after="0"/>
        <w:jc w:val="both"/>
        <w:rPr>
          <w:rFonts w:cs="Arial"/>
          <w:color w:val="000000"/>
        </w:rPr>
      </w:pPr>
    </w:p>
    <w:p w:rsidR="00FE340F" w:rsidRPr="002E01F7" w:rsidRDefault="00FE340F" w:rsidP="00FE340F">
      <w:pPr>
        <w:spacing w:after="0"/>
        <w:jc w:val="both"/>
        <w:rPr>
          <w:rFonts w:cs="Arial"/>
          <w:color w:val="000000"/>
        </w:rPr>
      </w:pPr>
      <w:r>
        <w:rPr>
          <w:rFonts w:cs="Arial"/>
          <w:color w:val="000000"/>
        </w:rPr>
        <w:t>T</w:t>
      </w:r>
      <w:r w:rsidRPr="002E01F7">
        <w:rPr>
          <w:rFonts w:cs="Arial"/>
          <w:color w:val="000000"/>
        </w:rPr>
        <w:t>able</w:t>
      </w:r>
      <w:r>
        <w:rPr>
          <w:rFonts w:cs="Arial"/>
          <w:color w:val="000000"/>
        </w:rPr>
        <w:t xml:space="preserve"> 10-1 </w:t>
      </w:r>
      <w:r w:rsidRPr="002E01F7">
        <w:rPr>
          <w:rFonts w:cs="Arial"/>
          <w:color w:val="000000"/>
        </w:rPr>
        <w:t xml:space="preserve">calculates total cost estimates for different crime types </w:t>
      </w:r>
      <w:r>
        <w:rPr>
          <w:rFonts w:cs="Arial"/>
          <w:color w:val="000000"/>
        </w:rPr>
        <w:t>i</w:t>
      </w:r>
      <w:r w:rsidRPr="002E01F7">
        <w:rPr>
          <w:rFonts w:cs="Arial"/>
          <w:color w:val="000000"/>
        </w:rPr>
        <w:t xml:space="preserve">n Barnet by multiplying the </w:t>
      </w:r>
      <w:r>
        <w:rPr>
          <w:rFonts w:cs="Arial"/>
          <w:color w:val="000000"/>
        </w:rPr>
        <w:t>H</w:t>
      </w:r>
      <w:r w:rsidRPr="002E01F7">
        <w:rPr>
          <w:rFonts w:cs="Arial"/>
          <w:color w:val="000000"/>
        </w:rPr>
        <w:t xml:space="preserve">ome </w:t>
      </w:r>
      <w:r>
        <w:rPr>
          <w:rFonts w:cs="Arial"/>
          <w:color w:val="000000"/>
        </w:rPr>
        <w:t>O</w:t>
      </w:r>
      <w:r w:rsidRPr="002E01F7">
        <w:rPr>
          <w:rFonts w:cs="Arial"/>
          <w:color w:val="000000"/>
        </w:rPr>
        <w:t xml:space="preserve">ffice unit cost estimate by the number of offences in the </w:t>
      </w:r>
      <w:r>
        <w:rPr>
          <w:rFonts w:cs="Arial"/>
          <w:color w:val="000000"/>
        </w:rPr>
        <w:t>Borough</w:t>
      </w:r>
      <w:r w:rsidRPr="002E01F7">
        <w:rPr>
          <w:rFonts w:cs="Arial"/>
          <w:color w:val="000000"/>
        </w:rPr>
        <w:t xml:space="preserve"> in one year (2013).</w:t>
      </w:r>
    </w:p>
    <w:p w:rsidR="00FE340F" w:rsidRDefault="00FE340F" w:rsidP="00FE340F">
      <w:pPr>
        <w:spacing w:after="0" w:line="240" w:lineRule="auto"/>
        <w:jc w:val="both"/>
        <w:rPr>
          <w:rStyle w:val="AppendixSectionHeadingChar"/>
          <w:color w:val="0D0D0D"/>
          <w:sz w:val="24"/>
          <w:szCs w:val="24"/>
        </w:rPr>
      </w:pPr>
    </w:p>
    <w:p w:rsidR="00FE340F" w:rsidRPr="00601EB6" w:rsidRDefault="00FE340F" w:rsidP="00FE340F">
      <w:pPr>
        <w:pStyle w:val="Caption"/>
        <w:keepNext/>
        <w:rPr>
          <w:rFonts w:ascii="Calibri" w:hAnsi="Calibri" w:cs="Calibri"/>
          <w:b w:val="0"/>
          <w:i/>
        </w:rPr>
      </w:pPr>
      <w:r>
        <w:t xml:space="preserve">Table </w:t>
      </w:r>
      <w:fldSimple w:instr=" STYLEREF 1 \s ">
        <w:r w:rsidR="001663C2">
          <w:rPr>
            <w:noProof/>
          </w:rPr>
          <w:t>10</w:t>
        </w:r>
      </w:fldSimple>
      <w:r>
        <w:noBreakHyphen/>
      </w:r>
      <w:fldSimple w:instr=" SEQ Table \* ARABIC \s 1 ">
        <w:r w:rsidR="001663C2">
          <w:rPr>
            <w:noProof/>
          </w:rPr>
          <w:t>1</w:t>
        </w:r>
      </w:fldSimple>
      <w:r>
        <w:t xml:space="preserve">: </w:t>
      </w:r>
      <w:r w:rsidRPr="00C51918">
        <w:rPr>
          <w:rFonts w:ascii="Calibri" w:hAnsi="Calibri" w:cs="Calibri"/>
        </w:rPr>
        <w:t>The Estimated Annual Cost of Crime in Barnet, 2013</w:t>
      </w:r>
    </w:p>
    <w:tbl>
      <w:tblPr>
        <w:tblW w:w="9371" w:type="dxa"/>
        <w:tblInd w:w="93" w:type="dxa"/>
        <w:tblLook w:val="04A0" w:firstRow="1" w:lastRow="0" w:firstColumn="1" w:lastColumn="0" w:noHBand="0" w:noVBand="1"/>
      </w:tblPr>
      <w:tblGrid>
        <w:gridCol w:w="4720"/>
        <w:gridCol w:w="2950"/>
        <w:gridCol w:w="1701"/>
      </w:tblGrid>
      <w:tr w:rsidR="00FE340F" w:rsidRPr="006C7259" w:rsidTr="00E50C61">
        <w:trPr>
          <w:trHeight w:val="395"/>
        </w:trPr>
        <w:tc>
          <w:tcPr>
            <w:tcW w:w="4720"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FE340F" w:rsidRPr="006C7259" w:rsidRDefault="00FE340F" w:rsidP="00E50C61">
            <w:pPr>
              <w:spacing w:after="0" w:line="240" w:lineRule="auto"/>
              <w:jc w:val="center"/>
              <w:rPr>
                <w:rFonts w:ascii="Calibri" w:eastAsia="Times New Roman" w:hAnsi="Calibri" w:cs="Times New Roman"/>
                <w:b/>
                <w:bCs/>
                <w:color w:val="000000"/>
                <w:lang w:eastAsia="en-GB"/>
              </w:rPr>
            </w:pPr>
            <w:r w:rsidRPr="006C7259">
              <w:rPr>
                <w:rFonts w:ascii="Calibri" w:eastAsia="Times New Roman" w:hAnsi="Calibri" w:cs="Times New Roman"/>
                <w:b/>
                <w:bCs/>
                <w:color w:val="000000"/>
                <w:lang w:eastAsia="en-GB"/>
              </w:rPr>
              <w:t>Type</w:t>
            </w:r>
          </w:p>
        </w:tc>
        <w:tc>
          <w:tcPr>
            <w:tcW w:w="2950" w:type="dxa"/>
            <w:tcBorders>
              <w:top w:val="single" w:sz="4" w:space="0" w:color="auto"/>
              <w:left w:val="nil"/>
              <w:bottom w:val="single" w:sz="4" w:space="0" w:color="auto"/>
              <w:right w:val="single" w:sz="4" w:space="0" w:color="auto"/>
            </w:tcBorders>
            <w:shd w:val="clear" w:color="000000" w:fill="BFBFBF"/>
            <w:vAlign w:val="center"/>
            <w:hideMark/>
          </w:tcPr>
          <w:p w:rsidR="00FE340F" w:rsidRPr="006C7259" w:rsidRDefault="00FE340F" w:rsidP="00E50C61">
            <w:pPr>
              <w:spacing w:after="0" w:line="240" w:lineRule="auto"/>
              <w:jc w:val="center"/>
              <w:rPr>
                <w:rFonts w:ascii="Calibri" w:eastAsia="Times New Roman" w:hAnsi="Calibri" w:cs="Times New Roman"/>
                <w:b/>
                <w:bCs/>
                <w:color w:val="000000"/>
                <w:lang w:eastAsia="en-GB"/>
              </w:rPr>
            </w:pPr>
            <w:r w:rsidRPr="006C7259">
              <w:rPr>
                <w:rFonts w:ascii="Calibri" w:eastAsia="Times New Roman" w:hAnsi="Calibri" w:cs="Times New Roman"/>
                <w:b/>
                <w:bCs/>
                <w:color w:val="000000"/>
                <w:lang w:eastAsia="en-GB"/>
              </w:rPr>
              <w:t>Estimated Annual Cost (2013)</w:t>
            </w:r>
          </w:p>
        </w:tc>
        <w:tc>
          <w:tcPr>
            <w:tcW w:w="1701" w:type="dxa"/>
            <w:tcBorders>
              <w:top w:val="single" w:sz="4" w:space="0" w:color="auto"/>
              <w:left w:val="nil"/>
              <w:bottom w:val="single" w:sz="4" w:space="0" w:color="auto"/>
              <w:right w:val="single" w:sz="4" w:space="0" w:color="auto"/>
            </w:tcBorders>
            <w:shd w:val="clear" w:color="000000" w:fill="BFBFBF"/>
            <w:vAlign w:val="center"/>
            <w:hideMark/>
          </w:tcPr>
          <w:p w:rsidR="00FE340F" w:rsidRPr="006C7259" w:rsidRDefault="00FE340F" w:rsidP="00E50C61">
            <w:pPr>
              <w:spacing w:after="0" w:line="240" w:lineRule="auto"/>
              <w:jc w:val="center"/>
              <w:rPr>
                <w:rFonts w:ascii="Calibri" w:eastAsia="Times New Roman" w:hAnsi="Calibri" w:cs="Times New Roman"/>
                <w:b/>
                <w:bCs/>
                <w:color w:val="000000"/>
                <w:lang w:eastAsia="en-GB"/>
              </w:rPr>
            </w:pPr>
            <w:r w:rsidRPr="006C7259">
              <w:rPr>
                <w:rFonts w:ascii="Calibri" w:eastAsia="Times New Roman" w:hAnsi="Calibri" w:cs="Times New Roman"/>
                <w:b/>
                <w:bCs/>
                <w:color w:val="000000"/>
                <w:lang w:eastAsia="en-GB"/>
              </w:rPr>
              <w:t>% of Total Cost</w:t>
            </w:r>
          </w:p>
        </w:tc>
      </w:tr>
      <w:tr w:rsidR="00FE340F" w:rsidRPr="006C7259" w:rsidTr="00E50C61">
        <w:trPr>
          <w:trHeight w:val="300"/>
        </w:trPr>
        <w:tc>
          <w:tcPr>
            <w:tcW w:w="4720" w:type="dxa"/>
            <w:tcBorders>
              <w:top w:val="nil"/>
              <w:left w:val="single" w:sz="4" w:space="0" w:color="auto"/>
              <w:bottom w:val="single" w:sz="4" w:space="0" w:color="auto"/>
              <w:right w:val="single" w:sz="4" w:space="0" w:color="auto"/>
            </w:tcBorders>
            <w:shd w:val="clear" w:color="auto" w:fill="auto"/>
            <w:noWrap/>
            <w:vAlign w:val="bottom"/>
            <w:hideMark/>
          </w:tcPr>
          <w:p w:rsidR="00FE340F" w:rsidRPr="006C7259" w:rsidRDefault="00FE340F" w:rsidP="00E50C61">
            <w:pPr>
              <w:spacing w:after="0" w:line="240" w:lineRule="auto"/>
              <w:rPr>
                <w:rFonts w:ascii="Calibri" w:eastAsia="Times New Roman" w:hAnsi="Calibri" w:cs="Times New Roman"/>
                <w:color w:val="000000"/>
                <w:lang w:eastAsia="en-GB"/>
              </w:rPr>
            </w:pPr>
            <w:r w:rsidRPr="006C7259">
              <w:rPr>
                <w:rFonts w:ascii="Calibri" w:eastAsia="Times New Roman" w:hAnsi="Calibri" w:cs="Times New Roman"/>
                <w:color w:val="000000"/>
                <w:lang w:eastAsia="en-GB"/>
              </w:rPr>
              <w:t>Violence - ABH and GBH</w:t>
            </w:r>
          </w:p>
        </w:tc>
        <w:tc>
          <w:tcPr>
            <w:tcW w:w="2950" w:type="dxa"/>
            <w:tcBorders>
              <w:top w:val="nil"/>
              <w:left w:val="nil"/>
              <w:bottom w:val="single" w:sz="4" w:space="0" w:color="auto"/>
              <w:right w:val="single" w:sz="4" w:space="0" w:color="auto"/>
            </w:tcBorders>
            <w:shd w:val="clear" w:color="auto" w:fill="auto"/>
            <w:noWrap/>
            <w:vAlign w:val="bottom"/>
            <w:hideMark/>
          </w:tcPr>
          <w:p w:rsidR="00FE340F" w:rsidRPr="006C7259" w:rsidRDefault="00FE340F" w:rsidP="00E50C61">
            <w:pPr>
              <w:spacing w:after="0" w:line="240" w:lineRule="auto"/>
              <w:jc w:val="center"/>
              <w:rPr>
                <w:rFonts w:ascii="Calibri" w:eastAsia="Times New Roman" w:hAnsi="Calibri" w:cs="Times New Roman"/>
                <w:color w:val="000000"/>
                <w:lang w:eastAsia="en-GB"/>
              </w:rPr>
            </w:pPr>
            <w:r w:rsidRPr="006C7259">
              <w:rPr>
                <w:rFonts w:ascii="Calibri" w:eastAsia="Times New Roman" w:hAnsi="Calibri" w:cs="Times New Roman"/>
                <w:color w:val="000000"/>
                <w:lang w:eastAsia="en-GB"/>
              </w:rPr>
              <w:t>£22,813,255</w:t>
            </w:r>
          </w:p>
        </w:tc>
        <w:tc>
          <w:tcPr>
            <w:tcW w:w="1701" w:type="dxa"/>
            <w:tcBorders>
              <w:top w:val="nil"/>
              <w:left w:val="nil"/>
              <w:bottom w:val="single" w:sz="4" w:space="0" w:color="auto"/>
              <w:right w:val="single" w:sz="4" w:space="0" w:color="auto"/>
            </w:tcBorders>
            <w:shd w:val="clear" w:color="auto" w:fill="auto"/>
            <w:noWrap/>
            <w:vAlign w:val="bottom"/>
            <w:hideMark/>
          </w:tcPr>
          <w:p w:rsidR="00FE340F" w:rsidRPr="006C7259" w:rsidRDefault="00FE340F" w:rsidP="00E50C61">
            <w:pPr>
              <w:spacing w:after="0" w:line="240" w:lineRule="auto"/>
              <w:jc w:val="center"/>
              <w:rPr>
                <w:rFonts w:ascii="Calibri" w:eastAsia="Times New Roman" w:hAnsi="Calibri" w:cs="Times New Roman"/>
                <w:color w:val="000000"/>
                <w:lang w:eastAsia="en-GB"/>
              </w:rPr>
            </w:pPr>
            <w:r w:rsidRPr="006C7259">
              <w:rPr>
                <w:rFonts w:ascii="Calibri" w:eastAsia="Times New Roman" w:hAnsi="Calibri" w:cs="Times New Roman"/>
                <w:color w:val="000000"/>
                <w:lang w:eastAsia="en-GB"/>
              </w:rPr>
              <w:t>30.9%</w:t>
            </w:r>
          </w:p>
        </w:tc>
      </w:tr>
      <w:tr w:rsidR="00FE340F" w:rsidRPr="006C7259" w:rsidTr="00E50C61">
        <w:trPr>
          <w:trHeight w:val="300"/>
        </w:trPr>
        <w:tc>
          <w:tcPr>
            <w:tcW w:w="4720" w:type="dxa"/>
            <w:tcBorders>
              <w:top w:val="nil"/>
              <w:left w:val="single" w:sz="4" w:space="0" w:color="auto"/>
              <w:bottom w:val="single" w:sz="4" w:space="0" w:color="auto"/>
              <w:right w:val="single" w:sz="4" w:space="0" w:color="auto"/>
            </w:tcBorders>
            <w:shd w:val="clear" w:color="auto" w:fill="auto"/>
            <w:noWrap/>
            <w:vAlign w:val="bottom"/>
            <w:hideMark/>
          </w:tcPr>
          <w:p w:rsidR="00FE340F" w:rsidRPr="006C7259" w:rsidRDefault="00FE340F" w:rsidP="00E50C61">
            <w:pPr>
              <w:spacing w:after="0" w:line="240" w:lineRule="auto"/>
              <w:rPr>
                <w:rFonts w:ascii="Calibri" w:eastAsia="Times New Roman" w:hAnsi="Calibri" w:cs="Times New Roman"/>
                <w:color w:val="000000"/>
                <w:lang w:eastAsia="en-GB"/>
              </w:rPr>
            </w:pPr>
            <w:r w:rsidRPr="006C7259">
              <w:rPr>
                <w:rFonts w:ascii="Calibri" w:eastAsia="Times New Roman" w:hAnsi="Calibri" w:cs="Times New Roman"/>
                <w:color w:val="000000"/>
                <w:lang w:eastAsia="en-GB"/>
              </w:rPr>
              <w:t>Sexual Offences</w:t>
            </w:r>
          </w:p>
        </w:tc>
        <w:tc>
          <w:tcPr>
            <w:tcW w:w="2950" w:type="dxa"/>
            <w:tcBorders>
              <w:top w:val="nil"/>
              <w:left w:val="nil"/>
              <w:bottom w:val="single" w:sz="4" w:space="0" w:color="auto"/>
              <w:right w:val="single" w:sz="4" w:space="0" w:color="auto"/>
            </w:tcBorders>
            <w:shd w:val="clear" w:color="auto" w:fill="auto"/>
            <w:noWrap/>
            <w:vAlign w:val="bottom"/>
            <w:hideMark/>
          </w:tcPr>
          <w:p w:rsidR="00FE340F" w:rsidRPr="006C7259" w:rsidRDefault="00FE340F" w:rsidP="00E50C61">
            <w:pPr>
              <w:spacing w:after="0" w:line="240" w:lineRule="auto"/>
              <w:jc w:val="center"/>
              <w:rPr>
                <w:rFonts w:ascii="Calibri" w:eastAsia="Times New Roman" w:hAnsi="Calibri" w:cs="Times New Roman"/>
                <w:color w:val="000000"/>
                <w:lang w:eastAsia="en-GB"/>
              </w:rPr>
            </w:pPr>
            <w:r w:rsidRPr="006C7259">
              <w:rPr>
                <w:rFonts w:ascii="Calibri" w:eastAsia="Times New Roman" w:hAnsi="Calibri" w:cs="Times New Roman"/>
                <w:color w:val="000000"/>
                <w:lang w:eastAsia="en-GB"/>
              </w:rPr>
              <w:t>£13,117,960</w:t>
            </w:r>
          </w:p>
        </w:tc>
        <w:tc>
          <w:tcPr>
            <w:tcW w:w="1701" w:type="dxa"/>
            <w:tcBorders>
              <w:top w:val="nil"/>
              <w:left w:val="nil"/>
              <w:bottom w:val="single" w:sz="4" w:space="0" w:color="auto"/>
              <w:right w:val="single" w:sz="4" w:space="0" w:color="auto"/>
            </w:tcBorders>
            <w:shd w:val="clear" w:color="auto" w:fill="auto"/>
            <w:noWrap/>
            <w:vAlign w:val="bottom"/>
            <w:hideMark/>
          </w:tcPr>
          <w:p w:rsidR="00FE340F" w:rsidRPr="006C7259" w:rsidRDefault="00FE340F" w:rsidP="00E50C61">
            <w:pPr>
              <w:spacing w:after="0" w:line="240" w:lineRule="auto"/>
              <w:jc w:val="center"/>
              <w:rPr>
                <w:rFonts w:ascii="Calibri" w:eastAsia="Times New Roman" w:hAnsi="Calibri" w:cs="Times New Roman"/>
                <w:color w:val="000000"/>
                <w:lang w:eastAsia="en-GB"/>
              </w:rPr>
            </w:pPr>
            <w:r w:rsidRPr="006C7259">
              <w:rPr>
                <w:rFonts w:ascii="Calibri" w:eastAsia="Times New Roman" w:hAnsi="Calibri" w:cs="Times New Roman"/>
                <w:color w:val="000000"/>
                <w:lang w:eastAsia="en-GB"/>
              </w:rPr>
              <w:t>17.8%</w:t>
            </w:r>
          </w:p>
        </w:tc>
      </w:tr>
      <w:tr w:rsidR="00FE340F" w:rsidRPr="006C7259" w:rsidTr="00E50C61">
        <w:trPr>
          <w:trHeight w:val="300"/>
        </w:trPr>
        <w:tc>
          <w:tcPr>
            <w:tcW w:w="4720" w:type="dxa"/>
            <w:tcBorders>
              <w:top w:val="nil"/>
              <w:left w:val="single" w:sz="4" w:space="0" w:color="auto"/>
              <w:bottom w:val="single" w:sz="4" w:space="0" w:color="auto"/>
              <w:right w:val="single" w:sz="4" w:space="0" w:color="auto"/>
            </w:tcBorders>
            <w:shd w:val="clear" w:color="auto" w:fill="auto"/>
            <w:noWrap/>
            <w:vAlign w:val="bottom"/>
            <w:hideMark/>
          </w:tcPr>
          <w:p w:rsidR="00FE340F" w:rsidRPr="006C7259" w:rsidRDefault="00FE340F" w:rsidP="00E50C61">
            <w:pPr>
              <w:spacing w:after="0" w:line="240" w:lineRule="auto"/>
              <w:rPr>
                <w:rFonts w:ascii="Calibri" w:eastAsia="Times New Roman" w:hAnsi="Calibri" w:cs="Times New Roman"/>
                <w:color w:val="000000"/>
                <w:lang w:eastAsia="en-GB"/>
              </w:rPr>
            </w:pPr>
            <w:r w:rsidRPr="006C7259">
              <w:rPr>
                <w:rFonts w:ascii="Calibri" w:eastAsia="Times New Roman" w:hAnsi="Calibri" w:cs="Times New Roman"/>
                <w:color w:val="000000"/>
                <w:lang w:eastAsia="en-GB"/>
              </w:rPr>
              <w:t>Burglary in a Dwelling</w:t>
            </w:r>
          </w:p>
        </w:tc>
        <w:tc>
          <w:tcPr>
            <w:tcW w:w="2950" w:type="dxa"/>
            <w:tcBorders>
              <w:top w:val="nil"/>
              <w:left w:val="nil"/>
              <w:bottom w:val="single" w:sz="4" w:space="0" w:color="auto"/>
              <w:right w:val="single" w:sz="4" w:space="0" w:color="auto"/>
            </w:tcBorders>
            <w:shd w:val="clear" w:color="auto" w:fill="auto"/>
            <w:noWrap/>
            <w:vAlign w:val="bottom"/>
            <w:hideMark/>
          </w:tcPr>
          <w:p w:rsidR="00FE340F" w:rsidRPr="006C7259" w:rsidRDefault="00FE340F" w:rsidP="00E50C61">
            <w:pPr>
              <w:spacing w:after="0" w:line="240" w:lineRule="auto"/>
              <w:jc w:val="center"/>
              <w:rPr>
                <w:rFonts w:ascii="Calibri" w:eastAsia="Times New Roman" w:hAnsi="Calibri" w:cs="Times New Roman"/>
                <w:color w:val="000000"/>
                <w:lang w:eastAsia="en-GB"/>
              </w:rPr>
            </w:pPr>
            <w:r w:rsidRPr="006C7259">
              <w:rPr>
                <w:rFonts w:ascii="Calibri" w:eastAsia="Times New Roman" w:hAnsi="Calibri" w:cs="Times New Roman"/>
                <w:color w:val="000000"/>
                <w:lang w:eastAsia="en-GB"/>
              </w:rPr>
              <w:t>£10,817,300</w:t>
            </w:r>
          </w:p>
        </w:tc>
        <w:tc>
          <w:tcPr>
            <w:tcW w:w="1701" w:type="dxa"/>
            <w:tcBorders>
              <w:top w:val="nil"/>
              <w:left w:val="nil"/>
              <w:bottom w:val="single" w:sz="4" w:space="0" w:color="auto"/>
              <w:right w:val="single" w:sz="4" w:space="0" w:color="auto"/>
            </w:tcBorders>
            <w:shd w:val="clear" w:color="auto" w:fill="auto"/>
            <w:noWrap/>
            <w:vAlign w:val="bottom"/>
            <w:hideMark/>
          </w:tcPr>
          <w:p w:rsidR="00FE340F" w:rsidRPr="006C7259" w:rsidRDefault="00FE340F" w:rsidP="00E50C61">
            <w:pPr>
              <w:spacing w:after="0" w:line="240" w:lineRule="auto"/>
              <w:jc w:val="center"/>
              <w:rPr>
                <w:rFonts w:ascii="Calibri" w:eastAsia="Times New Roman" w:hAnsi="Calibri" w:cs="Times New Roman"/>
                <w:color w:val="000000"/>
                <w:lang w:eastAsia="en-GB"/>
              </w:rPr>
            </w:pPr>
            <w:r w:rsidRPr="006C7259">
              <w:rPr>
                <w:rFonts w:ascii="Calibri" w:eastAsia="Times New Roman" w:hAnsi="Calibri" w:cs="Times New Roman"/>
                <w:color w:val="000000"/>
                <w:lang w:eastAsia="en-GB"/>
              </w:rPr>
              <w:t>14.6%</w:t>
            </w:r>
          </w:p>
        </w:tc>
      </w:tr>
      <w:tr w:rsidR="00FE340F" w:rsidRPr="006C7259" w:rsidTr="00E50C61">
        <w:trPr>
          <w:trHeight w:val="300"/>
        </w:trPr>
        <w:tc>
          <w:tcPr>
            <w:tcW w:w="4720" w:type="dxa"/>
            <w:tcBorders>
              <w:top w:val="nil"/>
              <w:left w:val="single" w:sz="4" w:space="0" w:color="auto"/>
              <w:bottom w:val="single" w:sz="4" w:space="0" w:color="auto"/>
              <w:right w:val="single" w:sz="4" w:space="0" w:color="auto"/>
            </w:tcBorders>
            <w:shd w:val="clear" w:color="auto" w:fill="auto"/>
            <w:noWrap/>
            <w:vAlign w:val="bottom"/>
            <w:hideMark/>
          </w:tcPr>
          <w:p w:rsidR="00FE340F" w:rsidRPr="006C7259" w:rsidRDefault="00FE340F" w:rsidP="00E50C61">
            <w:pPr>
              <w:spacing w:after="0" w:line="240" w:lineRule="auto"/>
              <w:rPr>
                <w:rFonts w:ascii="Calibri" w:eastAsia="Times New Roman" w:hAnsi="Calibri" w:cs="Times New Roman"/>
                <w:color w:val="000000"/>
                <w:lang w:eastAsia="en-GB"/>
              </w:rPr>
            </w:pPr>
            <w:r w:rsidRPr="006C7259">
              <w:rPr>
                <w:rFonts w:ascii="Calibri" w:eastAsia="Times New Roman" w:hAnsi="Calibri" w:cs="Times New Roman"/>
                <w:color w:val="000000"/>
                <w:lang w:eastAsia="en-GB"/>
              </w:rPr>
              <w:t>Robbery - Personal Property</w:t>
            </w:r>
          </w:p>
        </w:tc>
        <w:tc>
          <w:tcPr>
            <w:tcW w:w="2950" w:type="dxa"/>
            <w:tcBorders>
              <w:top w:val="nil"/>
              <w:left w:val="nil"/>
              <w:bottom w:val="single" w:sz="4" w:space="0" w:color="auto"/>
              <w:right w:val="single" w:sz="4" w:space="0" w:color="auto"/>
            </w:tcBorders>
            <w:shd w:val="clear" w:color="auto" w:fill="auto"/>
            <w:noWrap/>
            <w:vAlign w:val="bottom"/>
            <w:hideMark/>
          </w:tcPr>
          <w:p w:rsidR="00FE340F" w:rsidRPr="006C7259" w:rsidRDefault="00FE340F" w:rsidP="00E50C61">
            <w:pPr>
              <w:spacing w:after="0" w:line="240" w:lineRule="auto"/>
              <w:jc w:val="center"/>
              <w:rPr>
                <w:rFonts w:ascii="Calibri" w:eastAsia="Times New Roman" w:hAnsi="Calibri" w:cs="Times New Roman"/>
                <w:color w:val="000000"/>
                <w:lang w:eastAsia="en-GB"/>
              </w:rPr>
            </w:pPr>
            <w:r w:rsidRPr="006C7259">
              <w:rPr>
                <w:rFonts w:ascii="Calibri" w:eastAsia="Times New Roman" w:hAnsi="Calibri" w:cs="Times New Roman"/>
                <w:color w:val="000000"/>
                <w:lang w:eastAsia="en-GB"/>
              </w:rPr>
              <w:t>£5,937,940</w:t>
            </w:r>
          </w:p>
        </w:tc>
        <w:tc>
          <w:tcPr>
            <w:tcW w:w="1701" w:type="dxa"/>
            <w:tcBorders>
              <w:top w:val="nil"/>
              <w:left w:val="nil"/>
              <w:bottom w:val="single" w:sz="4" w:space="0" w:color="auto"/>
              <w:right w:val="single" w:sz="4" w:space="0" w:color="auto"/>
            </w:tcBorders>
            <w:shd w:val="clear" w:color="auto" w:fill="auto"/>
            <w:noWrap/>
            <w:vAlign w:val="bottom"/>
            <w:hideMark/>
          </w:tcPr>
          <w:p w:rsidR="00FE340F" w:rsidRPr="006C7259" w:rsidRDefault="00FE340F" w:rsidP="00E50C61">
            <w:pPr>
              <w:spacing w:after="0" w:line="240" w:lineRule="auto"/>
              <w:jc w:val="center"/>
              <w:rPr>
                <w:rFonts w:ascii="Calibri" w:eastAsia="Times New Roman" w:hAnsi="Calibri" w:cs="Times New Roman"/>
                <w:color w:val="000000"/>
                <w:lang w:eastAsia="en-GB"/>
              </w:rPr>
            </w:pPr>
            <w:r w:rsidRPr="006C7259">
              <w:rPr>
                <w:rFonts w:ascii="Calibri" w:eastAsia="Times New Roman" w:hAnsi="Calibri" w:cs="Times New Roman"/>
                <w:color w:val="000000"/>
                <w:lang w:eastAsia="en-GB"/>
              </w:rPr>
              <w:t>8.0%</w:t>
            </w:r>
          </w:p>
        </w:tc>
      </w:tr>
      <w:tr w:rsidR="00FE340F" w:rsidRPr="006C7259" w:rsidTr="00E50C61">
        <w:trPr>
          <w:trHeight w:val="300"/>
        </w:trPr>
        <w:tc>
          <w:tcPr>
            <w:tcW w:w="4720" w:type="dxa"/>
            <w:tcBorders>
              <w:top w:val="nil"/>
              <w:left w:val="single" w:sz="4" w:space="0" w:color="auto"/>
              <w:bottom w:val="single" w:sz="4" w:space="0" w:color="auto"/>
              <w:right w:val="single" w:sz="4" w:space="0" w:color="auto"/>
            </w:tcBorders>
            <w:shd w:val="clear" w:color="auto" w:fill="auto"/>
            <w:noWrap/>
            <w:vAlign w:val="bottom"/>
            <w:hideMark/>
          </w:tcPr>
          <w:p w:rsidR="00FE340F" w:rsidRPr="006C7259" w:rsidRDefault="00FE340F" w:rsidP="00E50C61">
            <w:pPr>
              <w:spacing w:after="0" w:line="240" w:lineRule="auto"/>
              <w:rPr>
                <w:rFonts w:ascii="Calibri" w:eastAsia="Times New Roman" w:hAnsi="Calibri" w:cs="Times New Roman"/>
                <w:color w:val="000000"/>
                <w:lang w:eastAsia="en-GB"/>
              </w:rPr>
            </w:pPr>
            <w:r w:rsidRPr="006C7259">
              <w:rPr>
                <w:rFonts w:ascii="Calibri" w:eastAsia="Times New Roman" w:hAnsi="Calibri" w:cs="Times New Roman"/>
                <w:color w:val="000000"/>
                <w:lang w:eastAsia="en-GB"/>
              </w:rPr>
              <w:t>Burglary in Other Buildings</w:t>
            </w:r>
          </w:p>
        </w:tc>
        <w:tc>
          <w:tcPr>
            <w:tcW w:w="2950" w:type="dxa"/>
            <w:tcBorders>
              <w:top w:val="nil"/>
              <w:left w:val="nil"/>
              <w:bottom w:val="single" w:sz="4" w:space="0" w:color="auto"/>
              <w:right w:val="single" w:sz="4" w:space="0" w:color="auto"/>
            </w:tcBorders>
            <w:shd w:val="clear" w:color="auto" w:fill="auto"/>
            <w:noWrap/>
            <w:vAlign w:val="bottom"/>
            <w:hideMark/>
          </w:tcPr>
          <w:p w:rsidR="00FE340F" w:rsidRPr="006C7259" w:rsidRDefault="00FE340F" w:rsidP="00E50C61">
            <w:pPr>
              <w:spacing w:after="0" w:line="240" w:lineRule="auto"/>
              <w:jc w:val="center"/>
              <w:rPr>
                <w:rFonts w:ascii="Calibri" w:eastAsia="Times New Roman" w:hAnsi="Calibri" w:cs="Times New Roman"/>
                <w:color w:val="000000"/>
                <w:lang w:eastAsia="en-GB"/>
              </w:rPr>
            </w:pPr>
            <w:r w:rsidRPr="006C7259">
              <w:rPr>
                <w:rFonts w:ascii="Calibri" w:eastAsia="Times New Roman" w:hAnsi="Calibri" w:cs="Times New Roman"/>
                <w:color w:val="000000"/>
                <w:lang w:eastAsia="en-GB"/>
              </w:rPr>
              <w:t>£5,875,200</w:t>
            </w:r>
          </w:p>
        </w:tc>
        <w:tc>
          <w:tcPr>
            <w:tcW w:w="1701" w:type="dxa"/>
            <w:tcBorders>
              <w:top w:val="nil"/>
              <w:left w:val="nil"/>
              <w:bottom w:val="single" w:sz="4" w:space="0" w:color="auto"/>
              <w:right w:val="single" w:sz="4" w:space="0" w:color="auto"/>
            </w:tcBorders>
            <w:shd w:val="clear" w:color="auto" w:fill="auto"/>
            <w:noWrap/>
            <w:vAlign w:val="bottom"/>
            <w:hideMark/>
          </w:tcPr>
          <w:p w:rsidR="00FE340F" w:rsidRPr="006C7259" w:rsidRDefault="00FE340F" w:rsidP="00E50C61">
            <w:pPr>
              <w:spacing w:after="0" w:line="240" w:lineRule="auto"/>
              <w:jc w:val="center"/>
              <w:rPr>
                <w:rFonts w:ascii="Calibri" w:eastAsia="Times New Roman" w:hAnsi="Calibri" w:cs="Times New Roman"/>
                <w:color w:val="000000"/>
                <w:lang w:eastAsia="en-GB"/>
              </w:rPr>
            </w:pPr>
            <w:r w:rsidRPr="006C7259">
              <w:rPr>
                <w:rFonts w:ascii="Calibri" w:eastAsia="Times New Roman" w:hAnsi="Calibri" w:cs="Times New Roman"/>
                <w:color w:val="000000"/>
                <w:lang w:eastAsia="en-GB"/>
              </w:rPr>
              <w:t>8.0%</w:t>
            </w:r>
          </w:p>
        </w:tc>
      </w:tr>
      <w:tr w:rsidR="00FE340F" w:rsidRPr="006C7259" w:rsidTr="00E50C61">
        <w:trPr>
          <w:trHeight w:val="300"/>
        </w:trPr>
        <w:tc>
          <w:tcPr>
            <w:tcW w:w="4720" w:type="dxa"/>
            <w:tcBorders>
              <w:top w:val="nil"/>
              <w:left w:val="single" w:sz="4" w:space="0" w:color="auto"/>
              <w:bottom w:val="single" w:sz="4" w:space="0" w:color="auto"/>
              <w:right w:val="single" w:sz="4" w:space="0" w:color="auto"/>
            </w:tcBorders>
            <w:shd w:val="clear" w:color="auto" w:fill="auto"/>
            <w:noWrap/>
            <w:vAlign w:val="bottom"/>
            <w:hideMark/>
          </w:tcPr>
          <w:p w:rsidR="00FE340F" w:rsidRPr="006C7259" w:rsidRDefault="00FE340F" w:rsidP="00E50C61">
            <w:pPr>
              <w:spacing w:after="0" w:line="240" w:lineRule="auto"/>
              <w:rPr>
                <w:rFonts w:ascii="Calibri" w:eastAsia="Times New Roman" w:hAnsi="Calibri" w:cs="Times New Roman"/>
                <w:color w:val="000000"/>
                <w:lang w:eastAsia="en-GB"/>
              </w:rPr>
            </w:pPr>
            <w:r w:rsidRPr="006C7259">
              <w:rPr>
                <w:rFonts w:ascii="Calibri" w:eastAsia="Times New Roman" w:hAnsi="Calibri" w:cs="Times New Roman"/>
                <w:color w:val="000000"/>
                <w:lang w:eastAsia="en-GB"/>
              </w:rPr>
              <w:t>Theft / taking of Motor Vehicle</w:t>
            </w:r>
          </w:p>
        </w:tc>
        <w:tc>
          <w:tcPr>
            <w:tcW w:w="2950" w:type="dxa"/>
            <w:tcBorders>
              <w:top w:val="nil"/>
              <w:left w:val="nil"/>
              <w:bottom w:val="single" w:sz="4" w:space="0" w:color="auto"/>
              <w:right w:val="single" w:sz="4" w:space="0" w:color="auto"/>
            </w:tcBorders>
            <w:shd w:val="clear" w:color="auto" w:fill="auto"/>
            <w:noWrap/>
            <w:vAlign w:val="bottom"/>
            <w:hideMark/>
          </w:tcPr>
          <w:p w:rsidR="00FE340F" w:rsidRPr="006C7259" w:rsidRDefault="00FE340F" w:rsidP="00E50C61">
            <w:pPr>
              <w:spacing w:after="0" w:line="240" w:lineRule="auto"/>
              <w:jc w:val="center"/>
              <w:rPr>
                <w:rFonts w:ascii="Calibri" w:eastAsia="Times New Roman" w:hAnsi="Calibri" w:cs="Times New Roman"/>
                <w:color w:val="000000"/>
                <w:lang w:eastAsia="en-GB"/>
              </w:rPr>
            </w:pPr>
            <w:r w:rsidRPr="006C7259">
              <w:rPr>
                <w:rFonts w:ascii="Calibri" w:eastAsia="Times New Roman" w:hAnsi="Calibri" w:cs="Times New Roman"/>
                <w:color w:val="000000"/>
                <w:lang w:eastAsia="en-GB"/>
              </w:rPr>
              <w:t>£3,772,230</w:t>
            </w:r>
          </w:p>
        </w:tc>
        <w:tc>
          <w:tcPr>
            <w:tcW w:w="1701" w:type="dxa"/>
            <w:tcBorders>
              <w:top w:val="nil"/>
              <w:left w:val="nil"/>
              <w:bottom w:val="single" w:sz="4" w:space="0" w:color="auto"/>
              <w:right w:val="single" w:sz="4" w:space="0" w:color="auto"/>
            </w:tcBorders>
            <w:shd w:val="clear" w:color="auto" w:fill="auto"/>
            <w:noWrap/>
            <w:vAlign w:val="bottom"/>
            <w:hideMark/>
          </w:tcPr>
          <w:p w:rsidR="00FE340F" w:rsidRPr="006C7259" w:rsidRDefault="00FE340F" w:rsidP="00E50C61">
            <w:pPr>
              <w:spacing w:after="0" w:line="240" w:lineRule="auto"/>
              <w:jc w:val="center"/>
              <w:rPr>
                <w:rFonts w:ascii="Calibri" w:eastAsia="Times New Roman" w:hAnsi="Calibri" w:cs="Times New Roman"/>
                <w:color w:val="000000"/>
                <w:lang w:eastAsia="en-GB"/>
              </w:rPr>
            </w:pPr>
            <w:r w:rsidRPr="006C7259">
              <w:rPr>
                <w:rFonts w:ascii="Calibri" w:eastAsia="Times New Roman" w:hAnsi="Calibri" w:cs="Times New Roman"/>
                <w:color w:val="000000"/>
                <w:lang w:eastAsia="en-GB"/>
              </w:rPr>
              <w:t>5.1%</w:t>
            </w:r>
          </w:p>
        </w:tc>
      </w:tr>
      <w:tr w:rsidR="00FE340F" w:rsidRPr="006C7259" w:rsidTr="00E50C61">
        <w:trPr>
          <w:trHeight w:val="300"/>
        </w:trPr>
        <w:tc>
          <w:tcPr>
            <w:tcW w:w="4720" w:type="dxa"/>
            <w:tcBorders>
              <w:top w:val="nil"/>
              <w:left w:val="single" w:sz="4" w:space="0" w:color="auto"/>
              <w:bottom w:val="single" w:sz="4" w:space="0" w:color="auto"/>
              <w:right w:val="single" w:sz="4" w:space="0" w:color="auto"/>
            </w:tcBorders>
            <w:shd w:val="clear" w:color="auto" w:fill="auto"/>
            <w:noWrap/>
            <w:vAlign w:val="bottom"/>
            <w:hideMark/>
          </w:tcPr>
          <w:p w:rsidR="00FE340F" w:rsidRPr="006C7259" w:rsidRDefault="00FE340F" w:rsidP="00E50C61">
            <w:pPr>
              <w:spacing w:after="0" w:line="240" w:lineRule="auto"/>
              <w:rPr>
                <w:rFonts w:ascii="Calibri" w:eastAsia="Times New Roman" w:hAnsi="Calibri" w:cs="Times New Roman"/>
                <w:color w:val="000000"/>
                <w:lang w:eastAsia="en-GB"/>
              </w:rPr>
            </w:pPr>
            <w:r w:rsidRPr="006C7259">
              <w:rPr>
                <w:rFonts w:ascii="Calibri" w:eastAsia="Times New Roman" w:hAnsi="Calibri" w:cs="Times New Roman"/>
                <w:color w:val="000000"/>
                <w:lang w:eastAsia="en-GB"/>
              </w:rPr>
              <w:t>Theft from Motor Vehicle</w:t>
            </w:r>
          </w:p>
        </w:tc>
        <w:tc>
          <w:tcPr>
            <w:tcW w:w="2950" w:type="dxa"/>
            <w:tcBorders>
              <w:top w:val="nil"/>
              <w:left w:val="nil"/>
              <w:bottom w:val="single" w:sz="4" w:space="0" w:color="auto"/>
              <w:right w:val="single" w:sz="4" w:space="0" w:color="auto"/>
            </w:tcBorders>
            <w:shd w:val="clear" w:color="auto" w:fill="auto"/>
            <w:noWrap/>
            <w:vAlign w:val="bottom"/>
            <w:hideMark/>
          </w:tcPr>
          <w:p w:rsidR="00FE340F" w:rsidRPr="006C7259" w:rsidRDefault="00FE340F" w:rsidP="00E50C61">
            <w:pPr>
              <w:spacing w:after="0" w:line="240" w:lineRule="auto"/>
              <w:jc w:val="center"/>
              <w:rPr>
                <w:rFonts w:ascii="Calibri" w:eastAsia="Times New Roman" w:hAnsi="Calibri" w:cs="Times New Roman"/>
                <w:color w:val="000000"/>
                <w:lang w:eastAsia="en-GB"/>
              </w:rPr>
            </w:pPr>
            <w:r w:rsidRPr="006C7259">
              <w:rPr>
                <w:rFonts w:ascii="Calibri" w:eastAsia="Times New Roman" w:hAnsi="Calibri" w:cs="Times New Roman"/>
                <w:color w:val="000000"/>
                <w:lang w:eastAsia="en-GB"/>
              </w:rPr>
              <w:t>£3,079,252</w:t>
            </w:r>
          </w:p>
        </w:tc>
        <w:tc>
          <w:tcPr>
            <w:tcW w:w="1701" w:type="dxa"/>
            <w:tcBorders>
              <w:top w:val="nil"/>
              <w:left w:val="nil"/>
              <w:bottom w:val="single" w:sz="4" w:space="0" w:color="auto"/>
              <w:right w:val="single" w:sz="4" w:space="0" w:color="auto"/>
            </w:tcBorders>
            <w:shd w:val="clear" w:color="auto" w:fill="auto"/>
            <w:noWrap/>
            <w:vAlign w:val="bottom"/>
            <w:hideMark/>
          </w:tcPr>
          <w:p w:rsidR="00FE340F" w:rsidRPr="006C7259" w:rsidRDefault="00FE340F" w:rsidP="00E50C61">
            <w:pPr>
              <w:spacing w:after="0" w:line="240" w:lineRule="auto"/>
              <w:jc w:val="center"/>
              <w:rPr>
                <w:rFonts w:ascii="Calibri" w:eastAsia="Times New Roman" w:hAnsi="Calibri" w:cs="Times New Roman"/>
                <w:color w:val="000000"/>
                <w:lang w:eastAsia="en-GB"/>
              </w:rPr>
            </w:pPr>
            <w:r w:rsidRPr="006C7259">
              <w:rPr>
                <w:rFonts w:ascii="Calibri" w:eastAsia="Times New Roman" w:hAnsi="Calibri" w:cs="Times New Roman"/>
                <w:color w:val="000000"/>
                <w:lang w:eastAsia="en-GB"/>
              </w:rPr>
              <w:t>4.2%</w:t>
            </w:r>
          </w:p>
        </w:tc>
      </w:tr>
      <w:tr w:rsidR="00FE340F" w:rsidRPr="006C7259" w:rsidTr="00E50C61">
        <w:trPr>
          <w:trHeight w:val="300"/>
        </w:trPr>
        <w:tc>
          <w:tcPr>
            <w:tcW w:w="4720" w:type="dxa"/>
            <w:tcBorders>
              <w:top w:val="nil"/>
              <w:left w:val="single" w:sz="4" w:space="0" w:color="auto"/>
              <w:bottom w:val="single" w:sz="4" w:space="0" w:color="auto"/>
              <w:right w:val="single" w:sz="4" w:space="0" w:color="auto"/>
            </w:tcBorders>
            <w:shd w:val="clear" w:color="auto" w:fill="auto"/>
            <w:noWrap/>
            <w:vAlign w:val="bottom"/>
            <w:hideMark/>
          </w:tcPr>
          <w:p w:rsidR="00FE340F" w:rsidRPr="006C7259" w:rsidRDefault="00FE340F" w:rsidP="00E50C61">
            <w:pPr>
              <w:spacing w:after="0" w:line="240" w:lineRule="auto"/>
              <w:rPr>
                <w:rFonts w:ascii="Calibri" w:eastAsia="Times New Roman" w:hAnsi="Calibri" w:cs="Times New Roman"/>
                <w:color w:val="000000"/>
                <w:lang w:eastAsia="en-GB"/>
              </w:rPr>
            </w:pPr>
            <w:r w:rsidRPr="006C7259">
              <w:rPr>
                <w:rFonts w:ascii="Calibri" w:eastAsia="Times New Roman" w:hAnsi="Calibri" w:cs="Times New Roman"/>
                <w:color w:val="000000"/>
                <w:lang w:eastAsia="en-GB"/>
              </w:rPr>
              <w:t>Other Theft</w:t>
            </w:r>
          </w:p>
        </w:tc>
        <w:tc>
          <w:tcPr>
            <w:tcW w:w="2950" w:type="dxa"/>
            <w:tcBorders>
              <w:top w:val="nil"/>
              <w:left w:val="nil"/>
              <w:bottom w:val="single" w:sz="4" w:space="0" w:color="auto"/>
              <w:right w:val="single" w:sz="4" w:space="0" w:color="auto"/>
            </w:tcBorders>
            <w:shd w:val="clear" w:color="auto" w:fill="auto"/>
            <w:noWrap/>
            <w:vAlign w:val="bottom"/>
            <w:hideMark/>
          </w:tcPr>
          <w:p w:rsidR="00FE340F" w:rsidRPr="006C7259" w:rsidRDefault="00FE340F" w:rsidP="00E50C61">
            <w:pPr>
              <w:spacing w:after="0" w:line="240" w:lineRule="auto"/>
              <w:jc w:val="center"/>
              <w:rPr>
                <w:rFonts w:ascii="Calibri" w:eastAsia="Times New Roman" w:hAnsi="Calibri" w:cs="Times New Roman"/>
                <w:color w:val="000000"/>
                <w:lang w:eastAsia="en-GB"/>
              </w:rPr>
            </w:pPr>
            <w:r w:rsidRPr="006C7259">
              <w:rPr>
                <w:rFonts w:ascii="Calibri" w:eastAsia="Times New Roman" w:hAnsi="Calibri" w:cs="Times New Roman"/>
                <w:color w:val="000000"/>
                <w:lang w:eastAsia="en-GB"/>
              </w:rPr>
              <w:t>£2,759,008</w:t>
            </w:r>
          </w:p>
        </w:tc>
        <w:tc>
          <w:tcPr>
            <w:tcW w:w="1701" w:type="dxa"/>
            <w:tcBorders>
              <w:top w:val="nil"/>
              <w:left w:val="nil"/>
              <w:bottom w:val="single" w:sz="4" w:space="0" w:color="auto"/>
              <w:right w:val="single" w:sz="4" w:space="0" w:color="auto"/>
            </w:tcBorders>
            <w:shd w:val="clear" w:color="auto" w:fill="auto"/>
            <w:noWrap/>
            <w:vAlign w:val="bottom"/>
            <w:hideMark/>
          </w:tcPr>
          <w:p w:rsidR="00FE340F" w:rsidRPr="006C7259" w:rsidRDefault="00FE340F" w:rsidP="00E50C61">
            <w:pPr>
              <w:spacing w:after="0" w:line="240" w:lineRule="auto"/>
              <w:jc w:val="center"/>
              <w:rPr>
                <w:rFonts w:ascii="Calibri" w:eastAsia="Times New Roman" w:hAnsi="Calibri" w:cs="Times New Roman"/>
                <w:color w:val="000000"/>
                <w:lang w:eastAsia="en-GB"/>
              </w:rPr>
            </w:pPr>
            <w:r w:rsidRPr="006C7259">
              <w:rPr>
                <w:rFonts w:ascii="Calibri" w:eastAsia="Times New Roman" w:hAnsi="Calibri" w:cs="Times New Roman"/>
                <w:color w:val="000000"/>
                <w:lang w:eastAsia="en-GB"/>
              </w:rPr>
              <w:t>3.7%</w:t>
            </w:r>
          </w:p>
        </w:tc>
      </w:tr>
      <w:tr w:rsidR="00FE340F" w:rsidRPr="006C7259" w:rsidTr="00E50C61">
        <w:trPr>
          <w:trHeight w:val="300"/>
        </w:trPr>
        <w:tc>
          <w:tcPr>
            <w:tcW w:w="4720" w:type="dxa"/>
            <w:tcBorders>
              <w:top w:val="nil"/>
              <w:left w:val="single" w:sz="4" w:space="0" w:color="auto"/>
              <w:bottom w:val="single" w:sz="4" w:space="0" w:color="auto"/>
              <w:right w:val="single" w:sz="4" w:space="0" w:color="auto"/>
            </w:tcBorders>
            <w:shd w:val="clear" w:color="auto" w:fill="auto"/>
            <w:noWrap/>
            <w:vAlign w:val="bottom"/>
            <w:hideMark/>
          </w:tcPr>
          <w:p w:rsidR="00FE340F" w:rsidRPr="006C7259" w:rsidRDefault="00FE340F" w:rsidP="00E50C61">
            <w:pPr>
              <w:spacing w:after="0" w:line="240" w:lineRule="auto"/>
              <w:rPr>
                <w:rFonts w:ascii="Calibri" w:eastAsia="Times New Roman" w:hAnsi="Calibri" w:cs="Times New Roman"/>
                <w:color w:val="000000"/>
                <w:lang w:eastAsia="en-GB"/>
              </w:rPr>
            </w:pPr>
            <w:r w:rsidRPr="006C7259">
              <w:rPr>
                <w:rFonts w:ascii="Calibri" w:eastAsia="Times New Roman" w:hAnsi="Calibri" w:cs="Times New Roman"/>
                <w:color w:val="000000"/>
                <w:lang w:eastAsia="en-GB"/>
              </w:rPr>
              <w:t>Common Assault</w:t>
            </w:r>
          </w:p>
        </w:tc>
        <w:tc>
          <w:tcPr>
            <w:tcW w:w="2950" w:type="dxa"/>
            <w:tcBorders>
              <w:top w:val="nil"/>
              <w:left w:val="nil"/>
              <w:bottom w:val="single" w:sz="4" w:space="0" w:color="auto"/>
              <w:right w:val="single" w:sz="4" w:space="0" w:color="auto"/>
            </w:tcBorders>
            <w:shd w:val="clear" w:color="auto" w:fill="auto"/>
            <w:noWrap/>
            <w:vAlign w:val="bottom"/>
            <w:hideMark/>
          </w:tcPr>
          <w:p w:rsidR="00FE340F" w:rsidRPr="006C7259" w:rsidRDefault="00FE340F" w:rsidP="00E50C61">
            <w:pPr>
              <w:spacing w:after="0" w:line="240" w:lineRule="auto"/>
              <w:jc w:val="center"/>
              <w:rPr>
                <w:rFonts w:ascii="Calibri" w:eastAsia="Times New Roman" w:hAnsi="Calibri" w:cs="Times New Roman"/>
                <w:color w:val="000000"/>
                <w:lang w:eastAsia="en-GB"/>
              </w:rPr>
            </w:pPr>
            <w:r w:rsidRPr="006C7259">
              <w:rPr>
                <w:rFonts w:ascii="Calibri" w:eastAsia="Times New Roman" w:hAnsi="Calibri" w:cs="Times New Roman"/>
                <w:color w:val="000000"/>
                <w:lang w:eastAsia="en-GB"/>
              </w:rPr>
              <w:t>£2,115,750</w:t>
            </w:r>
          </w:p>
        </w:tc>
        <w:tc>
          <w:tcPr>
            <w:tcW w:w="1701" w:type="dxa"/>
            <w:tcBorders>
              <w:top w:val="nil"/>
              <w:left w:val="nil"/>
              <w:bottom w:val="single" w:sz="4" w:space="0" w:color="auto"/>
              <w:right w:val="single" w:sz="4" w:space="0" w:color="auto"/>
            </w:tcBorders>
            <w:shd w:val="clear" w:color="auto" w:fill="auto"/>
            <w:noWrap/>
            <w:vAlign w:val="bottom"/>
            <w:hideMark/>
          </w:tcPr>
          <w:p w:rsidR="00FE340F" w:rsidRPr="006C7259" w:rsidRDefault="00FE340F" w:rsidP="00E50C61">
            <w:pPr>
              <w:spacing w:after="0" w:line="240" w:lineRule="auto"/>
              <w:jc w:val="center"/>
              <w:rPr>
                <w:rFonts w:ascii="Calibri" w:eastAsia="Times New Roman" w:hAnsi="Calibri" w:cs="Times New Roman"/>
                <w:color w:val="000000"/>
                <w:lang w:eastAsia="en-GB"/>
              </w:rPr>
            </w:pPr>
            <w:r w:rsidRPr="006C7259">
              <w:rPr>
                <w:rFonts w:ascii="Calibri" w:eastAsia="Times New Roman" w:hAnsi="Calibri" w:cs="Times New Roman"/>
                <w:color w:val="000000"/>
                <w:lang w:eastAsia="en-GB"/>
              </w:rPr>
              <w:t>2.9%</w:t>
            </w:r>
          </w:p>
        </w:tc>
      </w:tr>
      <w:tr w:rsidR="00FE340F" w:rsidRPr="006C7259" w:rsidTr="00E50C61">
        <w:trPr>
          <w:trHeight w:val="300"/>
        </w:trPr>
        <w:tc>
          <w:tcPr>
            <w:tcW w:w="4720" w:type="dxa"/>
            <w:tcBorders>
              <w:top w:val="nil"/>
              <w:left w:val="single" w:sz="4" w:space="0" w:color="auto"/>
              <w:bottom w:val="single" w:sz="4" w:space="0" w:color="auto"/>
              <w:right w:val="single" w:sz="4" w:space="0" w:color="auto"/>
            </w:tcBorders>
            <w:shd w:val="clear" w:color="auto" w:fill="auto"/>
            <w:noWrap/>
            <w:vAlign w:val="bottom"/>
            <w:hideMark/>
          </w:tcPr>
          <w:p w:rsidR="00FE340F" w:rsidRPr="006C7259" w:rsidRDefault="00FE340F" w:rsidP="00E50C61">
            <w:pPr>
              <w:spacing w:after="0" w:line="240" w:lineRule="auto"/>
              <w:rPr>
                <w:rFonts w:ascii="Calibri" w:eastAsia="Times New Roman" w:hAnsi="Calibri" w:cs="Times New Roman"/>
                <w:color w:val="000000"/>
                <w:lang w:eastAsia="en-GB"/>
              </w:rPr>
            </w:pPr>
            <w:r w:rsidRPr="006C7259">
              <w:rPr>
                <w:rFonts w:ascii="Calibri" w:eastAsia="Times New Roman" w:hAnsi="Calibri" w:cs="Times New Roman"/>
                <w:color w:val="000000"/>
                <w:lang w:eastAsia="en-GB"/>
              </w:rPr>
              <w:t>Criminal Damage Total</w:t>
            </w:r>
          </w:p>
        </w:tc>
        <w:tc>
          <w:tcPr>
            <w:tcW w:w="2950" w:type="dxa"/>
            <w:tcBorders>
              <w:top w:val="nil"/>
              <w:left w:val="nil"/>
              <w:bottom w:val="single" w:sz="4" w:space="0" w:color="auto"/>
              <w:right w:val="single" w:sz="4" w:space="0" w:color="auto"/>
            </w:tcBorders>
            <w:shd w:val="clear" w:color="auto" w:fill="auto"/>
            <w:noWrap/>
            <w:vAlign w:val="bottom"/>
            <w:hideMark/>
          </w:tcPr>
          <w:p w:rsidR="00FE340F" w:rsidRPr="006C7259" w:rsidRDefault="00FE340F" w:rsidP="00E50C61">
            <w:pPr>
              <w:spacing w:after="0" w:line="240" w:lineRule="auto"/>
              <w:jc w:val="center"/>
              <w:rPr>
                <w:rFonts w:ascii="Calibri" w:eastAsia="Times New Roman" w:hAnsi="Calibri" w:cs="Times New Roman"/>
                <w:color w:val="000000"/>
                <w:lang w:eastAsia="en-GB"/>
              </w:rPr>
            </w:pPr>
            <w:r w:rsidRPr="006C7259">
              <w:rPr>
                <w:rFonts w:ascii="Calibri" w:eastAsia="Times New Roman" w:hAnsi="Calibri" w:cs="Times New Roman"/>
                <w:color w:val="000000"/>
                <w:lang w:eastAsia="en-GB"/>
              </w:rPr>
              <w:t>£2,016,495</w:t>
            </w:r>
          </w:p>
        </w:tc>
        <w:tc>
          <w:tcPr>
            <w:tcW w:w="1701" w:type="dxa"/>
            <w:tcBorders>
              <w:top w:val="nil"/>
              <w:left w:val="nil"/>
              <w:bottom w:val="single" w:sz="4" w:space="0" w:color="auto"/>
              <w:right w:val="single" w:sz="4" w:space="0" w:color="auto"/>
            </w:tcBorders>
            <w:shd w:val="clear" w:color="auto" w:fill="auto"/>
            <w:noWrap/>
            <w:vAlign w:val="bottom"/>
            <w:hideMark/>
          </w:tcPr>
          <w:p w:rsidR="00FE340F" w:rsidRPr="006C7259" w:rsidRDefault="00FE340F" w:rsidP="00E50C61">
            <w:pPr>
              <w:spacing w:after="0" w:line="240" w:lineRule="auto"/>
              <w:jc w:val="center"/>
              <w:rPr>
                <w:rFonts w:ascii="Calibri" w:eastAsia="Times New Roman" w:hAnsi="Calibri" w:cs="Times New Roman"/>
                <w:color w:val="000000"/>
                <w:lang w:eastAsia="en-GB"/>
              </w:rPr>
            </w:pPr>
            <w:r w:rsidRPr="006C7259">
              <w:rPr>
                <w:rFonts w:ascii="Calibri" w:eastAsia="Times New Roman" w:hAnsi="Calibri" w:cs="Times New Roman"/>
                <w:color w:val="000000"/>
                <w:lang w:eastAsia="en-GB"/>
              </w:rPr>
              <w:t>2.7%</w:t>
            </w:r>
          </w:p>
        </w:tc>
      </w:tr>
      <w:tr w:rsidR="00FE340F" w:rsidRPr="006C7259" w:rsidTr="00E50C61">
        <w:trPr>
          <w:trHeight w:val="300"/>
        </w:trPr>
        <w:tc>
          <w:tcPr>
            <w:tcW w:w="4720" w:type="dxa"/>
            <w:tcBorders>
              <w:top w:val="nil"/>
              <w:left w:val="single" w:sz="4" w:space="0" w:color="auto"/>
              <w:bottom w:val="single" w:sz="4" w:space="0" w:color="auto"/>
              <w:right w:val="single" w:sz="4" w:space="0" w:color="auto"/>
            </w:tcBorders>
            <w:shd w:val="clear" w:color="auto" w:fill="auto"/>
            <w:noWrap/>
            <w:vAlign w:val="bottom"/>
            <w:hideMark/>
          </w:tcPr>
          <w:p w:rsidR="00FE340F" w:rsidRPr="006C7259" w:rsidRDefault="00FE340F" w:rsidP="00E50C61">
            <w:pPr>
              <w:spacing w:after="0" w:line="240" w:lineRule="auto"/>
              <w:rPr>
                <w:rFonts w:ascii="Calibri" w:eastAsia="Times New Roman" w:hAnsi="Calibri" w:cs="Times New Roman"/>
                <w:color w:val="000000"/>
                <w:lang w:eastAsia="en-GB"/>
              </w:rPr>
            </w:pPr>
            <w:r w:rsidRPr="006C7259">
              <w:rPr>
                <w:rFonts w:ascii="Calibri" w:eastAsia="Times New Roman" w:hAnsi="Calibri" w:cs="Times New Roman"/>
                <w:color w:val="000000"/>
                <w:lang w:eastAsia="en-GB"/>
              </w:rPr>
              <w:t>Robbery - Business Property</w:t>
            </w:r>
          </w:p>
        </w:tc>
        <w:tc>
          <w:tcPr>
            <w:tcW w:w="2950" w:type="dxa"/>
            <w:tcBorders>
              <w:top w:val="nil"/>
              <w:left w:val="nil"/>
              <w:bottom w:val="single" w:sz="4" w:space="0" w:color="auto"/>
              <w:right w:val="single" w:sz="4" w:space="0" w:color="auto"/>
            </w:tcBorders>
            <w:shd w:val="clear" w:color="auto" w:fill="auto"/>
            <w:noWrap/>
            <w:vAlign w:val="bottom"/>
            <w:hideMark/>
          </w:tcPr>
          <w:p w:rsidR="00FE340F" w:rsidRPr="006C7259" w:rsidRDefault="00FE340F" w:rsidP="00E50C61">
            <w:pPr>
              <w:spacing w:after="0" w:line="240" w:lineRule="auto"/>
              <w:jc w:val="center"/>
              <w:rPr>
                <w:rFonts w:ascii="Calibri" w:eastAsia="Times New Roman" w:hAnsi="Calibri" w:cs="Times New Roman"/>
                <w:color w:val="000000"/>
                <w:lang w:eastAsia="en-GB"/>
              </w:rPr>
            </w:pPr>
            <w:r w:rsidRPr="006C7259">
              <w:rPr>
                <w:rFonts w:ascii="Calibri" w:eastAsia="Times New Roman" w:hAnsi="Calibri" w:cs="Times New Roman"/>
                <w:color w:val="000000"/>
                <w:lang w:eastAsia="en-GB"/>
              </w:rPr>
              <w:t>£693,528</w:t>
            </w:r>
          </w:p>
        </w:tc>
        <w:tc>
          <w:tcPr>
            <w:tcW w:w="1701" w:type="dxa"/>
            <w:tcBorders>
              <w:top w:val="nil"/>
              <w:left w:val="nil"/>
              <w:bottom w:val="single" w:sz="4" w:space="0" w:color="auto"/>
              <w:right w:val="single" w:sz="4" w:space="0" w:color="auto"/>
            </w:tcBorders>
            <w:shd w:val="clear" w:color="auto" w:fill="auto"/>
            <w:noWrap/>
            <w:vAlign w:val="bottom"/>
            <w:hideMark/>
          </w:tcPr>
          <w:p w:rsidR="00FE340F" w:rsidRPr="006C7259" w:rsidRDefault="00FE340F" w:rsidP="00E50C61">
            <w:pPr>
              <w:spacing w:after="0" w:line="240" w:lineRule="auto"/>
              <w:jc w:val="center"/>
              <w:rPr>
                <w:rFonts w:ascii="Calibri" w:eastAsia="Times New Roman" w:hAnsi="Calibri" w:cs="Times New Roman"/>
                <w:color w:val="000000"/>
                <w:lang w:eastAsia="en-GB"/>
              </w:rPr>
            </w:pPr>
            <w:r w:rsidRPr="006C7259">
              <w:rPr>
                <w:rFonts w:ascii="Calibri" w:eastAsia="Times New Roman" w:hAnsi="Calibri" w:cs="Times New Roman"/>
                <w:color w:val="000000"/>
                <w:lang w:eastAsia="en-GB"/>
              </w:rPr>
              <w:t>0.9%</w:t>
            </w:r>
          </w:p>
        </w:tc>
      </w:tr>
      <w:tr w:rsidR="00FE340F" w:rsidRPr="006C7259" w:rsidTr="00E50C61">
        <w:trPr>
          <w:trHeight w:val="300"/>
        </w:trPr>
        <w:tc>
          <w:tcPr>
            <w:tcW w:w="4720" w:type="dxa"/>
            <w:tcBorders>
              <w:top w:val="nil"/>
              <w:left w:val="single" w:sz="4" w:space="0" w:color="auto"/>
              <w:bottom w:val="single" w:sz="4" w:space="0" w:color="auto"/>
              <w:right w:val="single" w:sz="4" w:space="0" w:color="auto"/>
            </w:tcBorders>
            <w:shd w:val="clear" w:color="auto" w:fill="auto"/>
            <w:noWrap/>
            <w:vAlign w:val="bottom"/>
            <w:hideMark/>
          </w:tcPr>
          <w:p w:rsidR="00FE340F" w:rsidRPr="006C7259" w:rsidRDefault="00FE340F" w:rsidP="00E50C61">
            <w:pPr>
              <w:spacing w:after="0" w:line="240" w:lineRule="auto"/>
              <w:rPr>
                <w:rFonts w:ascii="Calibri" w:eastAsia="Times New Roman" w:hAnsi="Calibri" w:cs="Times New Roman"/>
                <w:color w:val="000000"/>
                <w:lang w:eastAsia="en-GB"/>
              </w:rPr>
            </w:pPr>
            <w:r w:rsidRPr="006C7259">
              <w:rPr>
                <w:rFonts w:ascii="Calibri" w:eastAsia="Times New Roman" w:hAnsi="Calibri" w:cs="Times New Roman"/>
                <w:color w:val="000000"/>
                <w:lang w:eastAsia="en-GB"/>
              </w:rPr>
              <w:t>Theft Person</w:t>
            </w:r>
          </w:p>
        </w:tc>
        <w:tc>
          <w:tcPr>
            <w:tcW w:w="2950" w:type="dxa"/>
            <w:tcBorders>
              <w:top w:val="nil"/>
              <w:left w:val="nil"/>
              <w:bottom w:val="single" w:sz="4" w:space="0" w:color="auto"/>
              <w:right w:val="single" w:sz="4" w:space="0" w:color="auto"/>
            </w:tcBorders>
            <w:shd w:val="clear" w:color="auto" w:fill="auto"/>
            <w:noWrap/>
            <w:vAlign w:val="bottom"/>
            <w:hideMark/>
          </w:tcPr>
          <w:p w:rsidR="00FE340F" w:rsidRPr="006C7259" w:rsidRDefault="00FE340F" w:rsidP="00E50C61">
            <w:pPr>
              <w:spacing w:after="0" w:line="240" w:lineRule="auto"/>
              <w:jc w:val="center"/>
              <w:rPr>
                <w:rFonts w:ascii="Calibri" w:eastAsia="Times New Roman" w:hAnsi="Calibri" w:cs="Times New Roman"/>
                <w:color w:val="000000"/>
                <w:lang w:eastAsia="en-GB"/>
              </w:rPr>
            </w:pPr>
            <w:r w:rsidRPr="006C7259">
              <w:rPr>
                <w:rFonts w:ascii="Calibri" w:eastAsia="Times New Roman" w:hAnsi="Calibri" w:cs="Times New Roman"/>
                <w:color w:val="000000"/>
                <w:lang w:eastAsia="en-GB"/>
              </w:rPr>
              <w:t>£576,065</w:t>
            </w:r>
          </w:p>
        </w:tc>
        <w:tc>
          <w:tcPr>
            <w:tcW w:w="1701" w:type="dxa"/>
            <w:tcBorders>
              <w:top w:val="nil"/>
              <w:left w:val="nil"/>
              <w:bottom w:val="single" w:sz="4" w:space="0" w:color="auto"/>
              <w:right w:val="single" w:sz="4" w:space="0" w:color="auto"/>
            </w:tcBorders>
            <w:shd w:val="clear" w:color="auto" w:fill="auto"/>
            <w:noWrap/>
            <w:vAlign w:val="bottom"/>
            <w:hideMark/>
          </w:tcPr>
          <w:p w:rsidR="00FE340F" w:rsidRPr="006C7259" w:rsidRDefault="00FE340F" w:rsidP="00E50C61">
            <w:pPr>
              <w:spacing w:after="0" w:line="240" w:lineRule="auto"/>
              <w:jc w:val="center"/>
              <w:rPr>
                <w:rFonts w:ascii="Calibri" w:eastAsia="Times New Roman" w:hAnsi="Calibri" w:cs="Times New Roman"/>
                <w:color w:val="000000"/>
                <w:lang w:eastAsia="en-GB"/>
              </w:rPr>
            </w:pPr>
            <w:r w:rsidRPr="006C7259">
              <w:rPr>
                <w:rFonts w:ascii="Calibri" w:eastAsia="Times New Roman" w:hAnsi="Calibri" w:cs="Times New Roman"/>
                <w:color w:val="000000"/>
                <w:lang w:eastAsia="en-GB"/>
              </w:rPr>
              <w:t>0.8%</w:t>
            </w:r>
          </w:p>
        </w:tc>
      </w:tr>
      <w:tr w:rsidR="00FE340F" w:rsidRPr="006C7259" w:rsidTr="00E50C61">
        <w:trPr>
          <w:trHeight w:val="300"/>
        </w:trPr>
        <w:tc>
          <w:tcPr>
            <w:tcW w:w="4720" w:type="dxa"/>
            <w:tcBorders>
              <w:top w:val="nil"/>
              <w:left w:val="single" w:sz="4" w:space="0" w:color="auto"/>
              <w:bottom w:val="single" w:sz="4" w:space="0" w:color="auto"/>
              <w:right w:val="single" w:sz="4" w:space="0" w:color="auto"/>
            </w:tcBorders>
            <w:shd w:val="clear" w:color="auto" w:fill="auto"/>
            <w:noWrap/>
            <w:vAlign w:val="bottom"/>
            <w:hideMark/>
          </w:tcPr>
          <w:p w:rsidR="00FE340F" w:rsidRPr="006C7259" w:rsidRDefault="00FE340F" w:rsidP="00E50C61">
            <w:pPr>
              <w:spacing w:after="0" w:line="240" w:lineRule="auto"/>
              <w:rPr>
                <w:rFonts w:ascii="Calibri" w:eastAsia="Times New Roman" w:hAnsi="Calibri" w:cs="Times New Roman"/>
                <w:color w:val="000000"/>
                <w:lang w:eastAsia="en-GB"/>
              </w:rPr>
            </w:pPr>
            <w:r w:rsidRPr="006C7259">
              <w:rPr>
                <w:rFonts w:ascii="Calibri" w:eastAsia="Times New Roman" w:hAnsi="Calibri" w:cs="Times New Roman"/>
                <w:color w:val="000000"/>
                <w:lang w:eastAsia="en-GB"/>
              </w:rPr>
              <w:t>Theft / taking of Pedal Cycle</w:t>
            </w:r>
          </w:p>
        </w:tc>
        <w:tc>
          <w:tcPr>
            <w:tcW w:w="2950" w:type="dxa"/>
            <w:tcBorders>
              <w:top w:val="nil"/>
              <w:left w:val="nil"/>
              <w:bottom w:val="single" w:sz="4" w:space="0" w:color="auto"/>
              <w:right w:val="single" w:sz="4" w:space="0" w:color="auto"/>
            </w:tcBorders>
            <w:shd w:val="clear" w:color="auto" w:fill="auto"/>
            <w:noWrap/>
            <w:vAlign w:val="bottom"/>
            <w:hideMark/>
          </w:tcPr>
          <w:p w:rsidR="00FE340F" w:rsidRPr="006C7259" w:rsidRDefault="00FE340F" w:rsidP="00E50C61">
            <w:pPr>
              <w:spacing w:after="0" w:line="240" w:lineRule="auto"/>
              <w:jc w:val="center"/>
              <w:rPr>
                <w:rFonts w:ascii="Calibri" w:eastAsia="Times New Roman" w:hAnsi="Calibri" w:cs="Times New Roman"/>
                <w:color w:val="000000"/>
                <w:lang w:eastAsia="en-GB"/>
              </w:rPr>
            </w:pPr>
            <w:r w:rsidRPr="006C7259">
              <w:rPr>
                <w:rFonts w:ascii="Calibri" w:eastAsia="Times New Roman" w:hAnsi="Calibri" w:cs="Times New Roman"/>
                <w:color w:val="000000"/>
                <w:lang w:eastAsia="en-GB"/>
              </w:rPr>
              <w:t>£173,201</w:t>
            </w:r>
          </w:p>
        </w:tc>
        <w:tc>
          <w:tcPr>
            <w:tcW w:w="1701" w:type="dxa"/>
            <w:tcBorders>
              <w:top w:val="nil"/>
              <w:left w:val="nil"/>
              <w:bottom w:val="single" w:sz="4" w:space="0" w:color="auto"/>
              <w:right w:val="single" w:sz="4" w:space="0" w:color="auto"/>
            </w:tcBorders>
            <w:shd w:val="clear" w:color="auto" w:fill="auto"/>
            <w:noWrap/>
            <w:vAlign w:val="bottom"/>
            <w:hideMark/>
          </w:tcPr>
          <w:p w:rsidR="00FE340F" w:rsidRPr="006C7259" w:rsidRDefault="00FE340F" w:rsidP="00E50C61">
            <w:pPr>
              <w:spacing w:after="0" w:line="240" w:lineRule="auto"/>
              <w:jc w:val="center"/>
              <w:rPr>
                <w:rFonts w:ascii="Calibri" w:eastAsia="Times New Roman" w:hAnsi="Calibri" w:cs="Times New Roman"/>
                <w:color w:val="000000"/>
                <w:lang w:eastAsia="en-GB"/>
              </w:rPr>
            </w:pPr>
            <w:r w:rsidRPr="006C7259">
              <w:rPr>
                <w:rFonts w:ascii="Calibri" w:eastAsia="Times New Roman" w:hAnsi="Calibri" w:cs="Times New Roman"/>
                <w:color w:val="000000"/>
                <w:lang w:eastAsia="en-GB"/>
              </w:rPr>
              <w:t>0.2%</w:t>
            </w:r>
          </w:p>
        </w:tc>
      </w:tr>
      <w:tr w:rsidR="00FE340F" w:rsidRPr="006C7259" w:rsidTr="00E50C61">
        <w:trPr>
          <w:trHeight w:val="300"/>
        </w:trPr>
        <w:tc>
          <w:tcPr>
            <w:tcW w:w="4720" w:type="dxa"/>
            <w:tcBorders>
              <w:top w:val="nil"/>
              <w:left w:val="single" w:sz="4" w:space="0" w:color="auto"/>
              <w:bottom w:val="single" w:sz="4" w:space="0" w:color="auto"/>
              <w:right w:val="single" w:sz="4" w:space="0" w:color="auto"/>
            </w:tcBorders>
            <w:shd w:val="clear" w:color="auto" w:fill="auto"/>
            <w:noWrap/>
            <w:vAlign w:val="bottom"/>
            <w:hideMark/>
          </w:tcPr>
          <w:p w:rsidR="00FE340F" w:rsidRPr="006C7259" w:rsidRDefault="00FE340F" w:rsidP="00E50C61">
            <w:pPr>
              <w:spacing w:after="0" w:line="240" w:lineRule="auto"/>
              <w:rPr>
                <w:rFonts w:ascii="Calibri" w:eastAsia="Times New Roman" w:hAnsi="Calibri" w:cs="Times New Roman"/>
                <w:color w:val="000000"/>
                <w:lang w:eastAsia="en-GB"/>
              </w:rPr>
            </w:pPr>
            <w:r w:rsidRPr="006C7259">
              <w:rPr>
                <w:rFonts w:ascii="Calibri" w:eastAsia="Times New Roman" w:hAnsi="Calibri" w:cs="Times New Roman"/>
                <w:color w:val="000000"/>
                <w:lang w:eastAsia="en-GB"/>
              </w:rPr>
              <w:t>Theft from Shops</w:t>
            </w:r>
          </w:p>
        </w:tc>
        <w:tc>
          <w:tcPr>
            <w:tcW w:w="2950" w:type="dxa"/>
            <w:tcBorders>
              <w:top w:val="nil"/>
              <w:left w:val="nil"/>
              <w:bottom w:val="single" w:sz="4" w:space="0" w:color="auto"/>
              <w:right w:val="single" w:sz="4" w:space="0" w:color="auto"/>
            </w:tcBorders>
            <w:shd w:val="clear" w:color="auto" w:fill="auto"/>
            <w:noWrap/>
            <w:vAlign w:val="bottom"/>
            <w:hideMark/>
          </w:tcPr>
          <w:p w:rsidR="00FE340F" w:rsidRPr="006C7259" w:rsidRDefault="00FE340F" w:rsidP="00E50C61">
            <w:pPr>
              <w:spacing w:after="0" w:line="240" w:lineRule="auto"/>
              <w:jc w:val="center"/>
              <w:rPr>
                <w:rFonts w:ascii="Calibri" w:eastAsia="Times New Roman" w:hAnsi="Calibri" w:cs="Times New Roman"/>
                <w:color w:val="000000"/>
                <w:lang w:eastAsia="en-GB"/>
              </w:rPr>
            </w:pPr>
            <w:r w:rsidRPr="006C7259">
              <w:rPr>
                <w:rFonts w:ascii="Calibri" w:eastAsia="Times New Roman" w:hAnsi="Calibri" w:cs="Times New Roman"/>
                <w:color w:val="000000"/>
                <w:lang w:eastAsia="en-GB"/>
              </w:rPr>
              <w:t>£146,072</w:t>
            </w:r>
          </w:p>
        </w:tc>
        <w:tc>
          <w:tcPr>
            <w:tcW w:w="1701" w:type="dxa"/>
            <w:tcBorders>
              <w:top w:val="nil"/>
              <w:left w:val="nil"/>
              <w:bottom w:val="single" w:sz="4" w:space="0" w:color="auto"/>
              <w:right w:val="single" w:sz="4" w:space="0" w:color="auto"/>
            </w:tcBorders>
            <w:shd w:val="clear" w:color="auto" w:fill="auto"/>
            <w:noWrap/>
            <w:vAlign w:val="bottom"/>
            <w:hideMark/>
          </w:tcPr>
          <w:p w:rsidR="00FE340F" w:rsidRPr="006C7259" w:rsidRDefault="00FE340F" w:rsidP="00E50C61">
            <w:pPr>
              <w:spacing w:after="0" w:line="240" w:lineRule="auto"/>
              <w:jc w:val="center"/>
              <w:rPr>
                <w:rFonts w:ascii="Calibri" w:eastAsia="Times New Roman" w:hAnsi="Calibri" w:cs="Times New Roman"/>
                <w:color w:val="000000"/>
                <w:lang w:eastAsia="en-GB"/>
              </w:rPr>
            </w:pPr>
            <w:r w:rsidRPr="006C7259">
              <w:rPr>
                <w:rFonts w:ascii="Calibri" w:eastAsia="Times New Roman" w:hAnsi="Calibri" w:cs="Times New Roman"/>
                <w:color w:val="000000"/>
                <w:lang w:eastAsia="en-GB"/>
              </w:rPr>
              <w:t>0.2%</w:t>
            </w:r>
          </w:p>
        </w:tc>
      </w:tr>
      <w:tr w:rsidR="00FE340F" w:rsidRPr="006C7259" w:rsidTr="00E50C61">
        <w:trPr>
          <w:trHeight w:val="300"/>
        </w:trPr>
        <w:tc>
          <w:tcPr>
            <w:tcW w:w="4720" w:type="dxa"/>
            <w:tcBorders>
              <w:top w:val="nil"/>
              <w:left w:val="single" w:sz="4" w:space="0" w:color="auto"/>
              <w:bottom w:val="single" w:sz="4" w:space="0" w:color="auto"/>
              <w:right w:val="single" w:sz="4" w:space="0" w:color="auto"/>
            </w:tcBorders>
            <w:shd w:val="clear" w:color="auto" w:fill="auto"/>
            <w:noWrap/>
            <w:vAlign w:val="bottom"/>
            <w:hideMark/>
          </w:tcPr>
          <w:p w:rsidR="00FE340F" w:rsidRPr="006C7259" w:rsidRDefault="00FE340F" w:rsidP="00E50C61">
            <w:pPr>
              <w:spacing w:after="0" w:line="240" w:lineRule="auto"/>
              <w:rPr>
                <w:rFonts w:ascii="Calibri" w:eastAsia="Times New Roman" w:hAnsi="Calibri" w:cs="Times New Roman"/>
                <w:color w:val="000000"/>
                <w:lang w:eastAsia="en-GB"/>
              </w:rPr>
            </w:pPr>
            <w:r w:rsidRPr="006C7259">
              <w:rPr>
                <w:rFonts w:ascii="Calibri" w:eastAsia="Times New Roman" w:hAnsi="Calibri" w:cs="Times New Roman"/>
                <w:color w:val="000000"/>
                <w:lang w:eastAsia="en-GB"/>
              </w:rPr>
              <w:t>Total Annual Cost (excluding some crime types*)</w:t>
            </w:r>
          </w:p>
        </w:tc>
        <w:tc>
          <w:tcPr>
            <w:tcW w:w="2950" w:type="dxa"/>
            <w:tcBorders>
              <w:top w:val="nil"/>
              <w:left w:val="nil"/>
              <w:bottom w:val="single" w:sz="4" w:space="0" w:color="auto"/>
              <w:right w:val="single" w:sz="4" w:space="0" w:color="auto"/>
            </w:tcBorders>
            <w:shd w:val="clear" w:color="auto" w:fill="auto"/>
            <w:noWrap/>
            <w:vAlign w:val="bottom"/>
            <w:hideMark/>
          </w:tcPr>
          <w:p w:rsidR="00FE340F" w:rsidRPr="006C7259" w:rsidRDefault="00FE340F" w:rsidP="00E50C61">
            <w:pPr>
              <w:spacing w:after="0" w:line="240" w:lineRule="auto"/>
              <w:jc w:val="center"/>
              <w:rPr>
                <w:rFonts w:ascii="Calibri" w:eastAsia="Times New Roman" w:hAnsi="Calibri" w:cs="Times New Roman"/>
                <w:color w:val="000000"/>
                <w:lang w:eastAsia="en-GB"/>
              </w:rPr>
            </w:pPr>
            <w:r w:rsidRPr="006C7259">
              <w:rPr>
                <w:rFonts w:ascii="Calibri" w:eastAsia="Times New Roman" w:hAnsi="Calibri" w:cs="Times New Roman"/>
                <w:color w:val="000000"/>
                <w:lang w:eastAsia="en-GB"/>
              </w:rPr>
              <w:t>£73,893,256</w:t>
            </w:r>
          </w:p>
        </w:tc>
        <w:tc>
          <w:tcPr>
            <w:tcW w:w="1701" w:type="dxa"/>
            <w:tcBorders>
              <w:top w:val="nil"/>
              <w:left w:val="nil"/>
              <w:bottom w:val="single" w:sz="4" w:space="0" w:color="auto"/>
              <w:right w:val="single" w:sz="4" w:space="0" w:color="auto"/>
            </w:tcBorders>
            <w:shd w:val="clear" w:color="auto" w:fill="auto"/>
            <w:noWrap/>
            <w:vAlign w:val="bottom"/>
            <w:hideMark/>
          </w:tcPr>
          <w:p w:rsidR="00FE340F" w:rsidRPr="006C7259" w:rsidRDefault="00FE340F" w:rsidP="00E50C61">
            <w:pPr>
              <w:spacing w:after="0" w:line="240" w:lineRule="auto"/>
              <w:rPr>
                <w:rFonts w:ascii="Calibri" w:eastAsia="Times New Roman" w:hAnsi="Calibri" w:cs="Times New Roman"/>
                <w:color w:val="000000"/>
                <w:lang w:eastAsia="en-GB"/>
              </w:rPr>
            </w:pPr>
            <w:r w:rsidRPr="006C7259">
              <w:rPr>
                <w:rFonts w:ascii="Calibri" w:eastAsia="Times New Roman" w:hAnsi="Calibri" w:cs="Times New Roman"/>
                <w:color w:val="000000"/>
                <w:lang w:eastAsia="en-GB"/>
              </w:rPr>
              <w:t> </w:t>
            </w:r>
          </w:p>
        </w:tc>
      </w:tr>
    </w:tbl>
    <w:p w:rsidR="00FE340F" w:rsidRDefault="00FE340F" w:rsidP="00FE340F">
      <w:pPr>
        <w:spacing w:after="0" w:line="240" w:lineRule="auto"/>
        <w:jc w:val="both"/>
        <w:rPr>
          <w:rStyle w:val="AppendixSectionHeadingChar"/>
          <w:color w:val="0D0D0D"/>
          <w:sz w:val="24"/>
          <w:szCs w:val="24"/>
        </w:rPr>
      </w:pPr>
    </w:p>
    <w:p w:rsidR="00FE340F" w:rsidRDefault="00FE340F" w:rsidP="00FE340F">
      <w:pPr>
        <w:spacing w:after="0"/>
        <w:jc w:val="both"/>
        <w:rPr>
          <w:rFonts w:cs="Arial"/>
          <w:color w:val="000000"/>
        </w:rPr>
      </w:pPr>
      <w:r w:rsidRPr="002E01F7">
        <w:rPr>
          <w:rFonts w:cs="Arial"/>
          <w:color w:val="000000"/>
        </w:rPr>
        <w:t xml:space="preserve">This gives an estimated annual total cost of around £73.9M for reported crime in Barnet in one year. Note this estimate does not include costs for the following offences: Drugs; Fraud; Handling; Motor </w:t>
      </w:r>
      <w:r>
        <w:rPr>
          <w:rFonts w:cs="Arial"/>
          <w:color w:val="000000"/>
        </w:rPr>
        <w:t>V</w:t>
      </w:r>
      <w:r w:rsidRPr="002E01F7">
        <w:rPr>
          <w:rFonts w:cs="Arial"/>
          <w:color w:val="000000"/>
        </w:rPr>
        <w:t xml:space="preserve">ehicle </w:t>
      </w:r>
      <w:r>
        <w:rPr>
          <w:rFonts w:cs="Arial"/>
          <w:color w:val="000000"/>
        </w:rPr>
        <w:t>T</w:t>
      </w:r>
      <w:r w:rsidRPr="002E01F7">
        <w:rPr>
          <w:rFonts w:cs="Arial"/>
          <w:color w:val="000000"/>
        </w:rPr>
        <w:t xml:space="preserve">ampering; Harassment; </w:t>
      </w:r>
      <w:r>
        <w:rPr>
          <w:rFonts w:cs="Arial"/>
          <w:color w:val="000000"/>
        </w:rPr>
        <w:t>C</w:t>
      </w:r>
      <w:r w:rsidRPr="002E01F7">
        <w:rPr>
          <w:rFonts w:cs="Arial"/>
          <w:color w:val="000000"/>
        </w:rPr>
        <w:t xml:space="preserve">arrying of </w:t>
      </w:r>
      <w:r>
        <w:rPr>
          <w:rFonts w:cs="Arial"/>
          <w:color w:val="000000"/>
        </w:rPr>
        <w:t>W</w:t>
      </w:r>
      <w:r w:rsidRPr="002E01F7">
        <w:rPr>
          <w:rFonts w:cs="Arial"/>
          <w:color w:val="000000"/>
        </w:rPr>
        <w:t xml:space="preserve">eapons; and Violence other than Common Assault, ABH, GBH.  The estimated costs of unreported crime are also not included in this figure. </w:t>
      </w:r>
    </w:p>
    <w:p w:rsidR="00FE340F" w:rsidRPr="002E01F7" w:rsidRDefault="00FE340F" w:rsidP="00FE340F">
      <w:pPr>
        <w:spacing w:after="0"/>
        <w:jc w:val="both"/>
        <w:rPr>
          <w:rFonts w:cs="Arial"/>
          <w:color w:val="000000"/>
        </w:rPr>
      </w:pPr>
    </w:p>
    <w:p w:rsidR="00FE340F" w:rsidRDefault="00FE340F" w:rsidP="00FE340F">
      <w:pPr>
        <w:spacing w:after="0"/>
        <w:jc w:val="both"/>
        <w:rPr>
          <w:rFonts w:cs="Arial"/>
          <w:color w:val="000000"/>
        </w:rPr>
      </w:pPr>
      <w:r w:rsidRPr="002E01F7">
        <w:rPr>
          <w:rFonts w:cs="Arial"/>
          <w:color w:val="000000"/>
        </w:rPr>
        <w:t xml:space="preserve">The top three cost contributors are violent crime, </w:t>
      </w:r>
      <w:r>
        <w:rPr>
          <w:rFonts w:cs="Arial"/>
          <w:color w:val="000000"/>
        </w:rPr>
        <w:t>s</w:t>
      </w:r>
      <w:r w:rsidRPr="002E01F7">
        <w:rPr>
          <w:rFonts w:cs="Arial"/>
          <w:color w:val="000000"/>
        </w:rPr>
        <w:t xml:space="preserve">exual </w:t>
      </w:r>
      <w:r>
        <w:rPr>
          <w:rFonts w:cs="Arial"/>
          <w:color w:val="000000"/>
        </w:rPr>
        <w:t>o</w:t>
      </w:r>
      <w:r w:rsidRPr="002E01F7">
        <w:rPr>
          <w:rFonts w:cs="Arial"/>
          <w:color w:val="000000"/>
        </w:rPr>
        <w:t xml:space="preserve">ffences and </w:t>
      </w:r>
      <w:r>
        <w:rPr>
          <w:rFonts w:cs="Arial"/>
          <w:color w:val="000000"/>
        </w:rPr>
        <w:t>r</w:t>
      </w:r>
      <w:r w:rsidRPr="002E01F7">
        <w:rPr>
          <w:rFonts w:cs="Arial"/>
          <w:color w:val="000000"/>
        </w:rPr>
        <w:t>esidential burglary. Note that for the top two (</w:t>
      </w:r>
      <w:r>
        <w:rPr>
          <w:rFonts w:cs="Arial"/>
          <w:color w:val="000000"/>
        </w:rPr>
        <w:t>v</w:t>
      </w:r>
      <w:r w:rsidRPr="002E01F7">
        <w:rPr>
          <w:rFonts w:cs="Arial"/>
          <w:color w:val="000000"/>
        </w:rPr>
        <w:t xml:space="preserve">iolence and </w:t>
      </w:r>
      <w:r>
        <w:rPr>
          <w:rFonts w:cs="Arial"/>
          <w:color w:val="000000"/>
        </w:rPr>
        <w:t>s</w:t>
      </w:r>
      <w:r w:rsidRPr="002E01F7">
        <w:rPr>
          <w:rFonts w:cs="Arial"/>
          <w:color w:val="000000"/>
        </w:rPr>
        <w:t>exual offences) the majority of the victims (though minority of the perpetrators) are women and girls.</w:t>
      </w:r>
    </w:p>
    <w:p w:rsidR="00FE340F" w:rsidRPr="007E799F" w:rsidRDefault="00FE340F" w:rsidP="00FE340F">
      <w:pPr>
        <w:pStyle w:val="Heading2"/>
      </w:pPr>
      <w:bookmarkStart w:id="982" w:name="_Toc426723408"/>
      <w:bookmarkStart w:id="983" w:name="_Toc431225236"/>
      <w:r w:rsidRPr="007E799F">
        <w:rPr>
          <w:rStyle w:val="AppendixSectionHeadingChar"/>
          <w:rFonts w:asciiTheme="majorHAnsi" w:eastAsiaTheme="majorEastAsia" w:hAnsiTheme="majorHAnsi" w:cstheme="majorBidi"/>
          <w:color w:val="4F81BD" w:themeColor="accent1"/>
          <w:sz w:val="26"/>
          <w:szCs w:val="26"/>
        </w:rPr>
        <w:t>Summary of All Recorded Crime in Barnet</w:t>
      </w:r>
      <w:bookmarkEnd w:id="982"/>
      <w:bookmarkEnd w:id="983"/>
    </w:p>
    <w:tbl>
      <w:tblPr>
        <w:tblpPr w:leftFromText="181" w:rightFromText="181" w:vertAnchor="text" w:horzAnchor="margin" w:tblpXSpec="center" w:tblpY="1"/>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7655"/>
      </w:tblGrid>
      <w:tr w:rsidR="00FE340F" w:rsidRPr="00AE2B55" w:rsidTr="00E50C61">
        <w:trPr>
          <w:trHeight w:val="246"/>
        </w:trPr>
        <w:tc>
          <w:tcPr>
            <w:tcW w:w="9606" w:type="dxa"/>
            <w:gridSpan w:val="2"/>
            <w:shd w:val="clear" w:color="auto" w:fill="auto"/>
            <w:hideMark/>
          </w:tcPr>
          <w:p w:rsidR="00FE340F" w:rsidRPr="00AE2B55" w:rsidRDefault="00FE340F" w:rsidP="00E50C61">
            <w:pPr>
              <w:spacing w:after="0" w:line="240" w:lineRule="auto"/>
            </w:pPr>
            <w:r w:rsidRPr="00AE2B55">
              <w:t>Current Figures refer to the 12 month period ending 31 Jan 2014</w:t>
            </w:r>
            <w:r w:rsidRPr="00AE2B55">
              <w:rPr>
                <w:rStyle w:val="FootnoteReference"/>
              </w:rPr>
              <w:footnoteReference w:id="154"/>
            </w:r>
          </w:p>
        </w:tc>
      </w:tr>
      <w:tr w:rsidR="00FE340F" w:rsidRPr="00AE2B55" w:rsidTr="00E50C61">
        <w:trPr>
          <w:trHeight w:val="269"/>
        </w:trPr>
        <w:tc>
          <w:tcPr>
            <w:tcW w:w="1951" w:type="dxa"/>
            <w:shd w:val="clear" w:color="auto" w:fill="auto"/>
            <w:hideMark/>
          </w:tcPr>
          <w:p w:rsidR="00FE340F" w:rsidRPr="00AE2B55" w:rsidRDefault="00FE340F" w:rsidP="00E50C61">
            <w:pPr>
              <w:spacing w:after="0" w:line="240" w:lineRule="auto"/>
              <w:rPr>
                <w:b/>
              </w:rPr>
            </w:pPr>
            <w:r w:rsidRPr="00AE2B55">
              <w:rPr>
                <w:b/>
              </w:rPr>
              <w:t>Level of crime</w:t>
            </w:r>
          </w:p>
        </w:tc>
        <w:tc>
          <w:tcPr>
            <w:tcW w:w="7655" w:type="dxa"/>
            <w:shd w:val="clear" w:color="auto" w:fill="auto"/>
          </w:tcPr>
          <w:p w:rsidR="00FE340F" w:rsidRPr="00AE2B55" w:rsidRDefault="00FE340F" w:rsidP="00E50C61">
            <w:pPr>
              <w:spacing w:after="0" w:line="240" w:lineRule="auto"/>
            </w:pPr>
            <w:r w:rsidRPr="00AE2B55">
              <w:rPr>
                <w:b/>
              </w:rPr>
              <w:t>22,837 crimes</w:t>
            </w:r>
            <w:r w:rsidRPr="00AE2B55">
              <w:t xml:space="preserve"> / 62.75 per 1000 residents</w:t>
            </w:r>
          </w:p>
        </w:tc>
      </w:tr>
      <w:tr w:rsidR="00FE340F" w:rsidRPr="00AE2B55" w:rsidTr="00E50C61">
        <w:trPr>
          <w:trHeight w:val="242"/>
        </w:trPr>
        <w:tc>
          <w:tcPr>
            <w:tcW w:w="1951" w:type="dxa"/>
            <w:shd w:val="clear" w:color="auto" w:fill="auto"/>
            <w:hideMark/>
          </w:tcPr>
          <w:p w:rsidR="00FE340F" w:rsidRPr="00AE2B55" w:rsidRDefault="00FE340F" w:rsidP="00E50C61">
            <w:pPr>
              <w:spacing w:after="0" w:line="240" w:lineRule="auto"/>
              <w:rPr>
                <w:b/>
              </w:rPr>
            </w:pPr>
            <w:r w:rsidRPr="00AE2B55">
              <w:rPr>
                <w:b/>
              </w:rPr>
              <w:t>Peer comparison</w:t>
            </w:r>
          </w:p>
        </w:tc>
        <w:tc>
          <w:tcPr>
            <w:tcW w:w="7655" w:type="dxa"/>
            <w:shd w:val="clear" w:color="auto" w:fill="auto"/>
          </w:tcPr>
          <w:p w:rsidR="00FE340F" w:rsidRPr="00AE2B55" w:rsidRDefault="00FE340F" w:rsidP="00E50C61">
            <w:pPr>
              <w:spacing w:after="0" w:line="240" w:lineRule="auto"/>
            </w:pPr>
            <w:r w:rsidRPr="00AE2B55">
              <w:t>8th/32 in London and 4th/15 in ‘Most Similar Group’</w:t>
            </w:r>
          </w:p>
        </w:tc>
      </w:tr>
      <w:tr w:rsidR="00FE340F" w:rsidRPr="00AE2B55" w:rsidTr="00E50C61">
        <w:trPr>
          <w:trHeight w:val="465"/>
        </w:trPr>
        <w:tc>
          <w:tcPr>
            <w:tcW w:w="1951" w:type="dxa"/>
            <w:shd w:val="clear" w:color="auto" w:fill="auto"/>
            <w:hideMark/>
          </w:tcPr>
          <w:p w:rsidR="00FE340F" w:rsidRPr="00AE2B55" w:rsidRDefault="00FE340F" w:rsidP="00E50C61">
            <w:pPr>
              <w:spacing w:after="0" w:line="240" w:lineRule="auto"/>
              <w:rPr>
                <w:b/>
              </w:rPr>
            </w:pPr>
            <w:r w:rsidRPr="00AE2B55">
              <w:rPr>
                <w:b/>
              </w:rPr>
              <w:t>Annual Change</w:t>
            </w:r>
          </w:p>
        </w:tc>
        <w:tc>
          <w:tcPr>
            <w:tcW w:w="7655" w:type="dxa"/>
            <w:shd w:val="clear" w:color="auto" w:fill="auto"/>
          </w:tcPr>
          <w:p w:rsidR="00FE340F" w:rsidRPr="00AE2B55" w:rsidRDefault="00FE340F" w:rsidP="00E50C61">
            <w:pPr>
              <w:spacing w:after="0" w:line="240" w:lineRule="auto"/>
            </w:pPr>
            <w:r w:rsidRPr="00AE2B55">
              <w:t xml:space="preserve">Reduction of 2804 crimes / 10.9% compared to one year ago  </w:t>
            </w:r>
            <w:r w:rsidRPr="00AE2B55">
              <w:rPr>
                <w:i/>
              </w:rPr>
              <w:t>(this figure is for 12 months to Feb 2014)</w:t>
            </w:r>
            <w:r w:rsidRPr="00AE2B55">
              <w:rPr>
                <w:rStyle w:val="FootnoteReference"/>
                <w:i/>
              </w:rPr>
              <w:footnoteReference w:id="155"/>
            </w:r>
          </w:p>
        </w:tc>
      </w:tr>
      <w:tr w:rsidR="00FE340F" w:rsidRPr="00AE2B55" w:rsidTr="00E50C61">
        <w:trPr>
          <w:trHeight w:val="1431"/>
        </w:trPr>
        <w:tc>
          <w:tcPr>
            <w:tcW w:w="1951" w:type="dxa"/>
            <w:shd w:val="clear" w:color="auto" w:fill="auto"/>
            <w:hideMark/>
          </w:tcPr>
          <w:p w:rsidR="00FE340F" w:rsidRPr="00AE2B55" w:rsidRDefault="00FE340F" w:rsidP="00E50C61">
            <w:pPr>
              <w:spacing w:after="0" w:line="240" w:lineRule="auto"/>
              <w:rPr>
                <w:b/>
              </w:rPr>
            </w:pPr>
            <w:r w:rsidRPr="00AE2B55">
              <w:rPr>
                <w:b/>
              </w:rPr>
              <w:lastRenderedPageBreak/>
              <w:t>General Trend</w:t>
            </w:r>
          </w:p>
        </w:tc>
        <w:tc>
          <w:tcPr>
            <w:tcW w:w="7655" w:type="dxa"/>
            <w:shd w:val="clear" w:color="auto" w:fill="auto"/>
            <w:vAlign w:val="center"/>
          </w:tcPr>
          <w:p w:rsidR="00FE340F" w:rsidRPr="00AE2B55" w:rsidRDefault="00FE340F" w:rsidP="00E50C61">
            <w:pPr>
              <w:spacing w:after="0" w:line="240" w:lineRule="auto"/>
              <w:jc w:val="center"/>
              <w:rPr>
                <w:b/>
              </w:rPr>
            </w:pPr>
            <w:r w:rsidRPr="00AE2B55">
              <w:rPr>
                <w:b/>
                <w:noProof/>
                <w:lang w:eastAsia="en-GB"/>
              </w:rPr>
              <w:drawing>
                <wp:anchor distT="0" distB="0" distL="114300" distR="114300" simplePos="0" relativeHeight="251808768" behindDoc="0" locked="0" layoutInCell="1" allowOverlap="1" wp14:anchorId="69773E2C" wp14:editId="1E992023">
                  <wp:simplePos x="0" y="0"/>
                  <wp:positionH relativeFrom="page">
                    <wp:posOffset>-87630</wp:posOffset>
                  </wp:positionH>
                  <wp:positionV relativeFrom="page">
                    <wp:posOffset>3175</wp:posOffset>
                  </wp:positionV>
                  <wp:extent cx="3160395" cy="802005"/>
                  <wp:effectExtent l="0" t="0" r="1905" b="0"/>
                  <wp:wrapSquare wrapText="bothSides"/>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3160395" cy="802005"/>
                          </a:xfrm>
                          <a:prstGeom prst="rect">
                            <a:avLst/>
                          </a:prstGeom>
                          <a:noFill/>
                        </pic:spPr>
                      </pic:pic>
                    </a:graphicData>
                  </a:graphic>
                  <wp14:sizeRelH relativeFrom="page">
                    <wp14:pctWidth>0</wp14:pctWidth>
                  </wp14:sizeRelH>
                  <wp14:sizeRelV relativeFrom="page">
                    <wp14:pctHeight>0</wp14:pctHeight>
                  </wp14:sizeRelV>
                </wp:anchor>
              </w:drawing>
            </w:r>
            <w:r w:rsidRPr="00AE2B55">
              <w:t>Falling from late 2011 to late 2013, appears to be levelling off</w:t>
            </w:r>
          </w:p>
        </w:tc>
      </w:tr>
      <w:tr w:rsidR="00FE340F" w:rsidRPr="00AE2B55" w:rsidTr="00E50C61">
        <w:trPr>
          <w:trHeight w:val="1680"/>
        </w:trPr>
        <w:tc>
          <w:tcPr>
            <w:tcW w:w="1951" w:type="dxa"/>
            <w:shd w:val="clear" w:color="auto" w:fill="auto"/>
            <w:hideMark/>
          </w:tcPr>
          <w:p w:rsidR="00FE340F" w:rsidRPr="00AE2B55" w:rsidRDefault="00FE340F" w:rsidP="00E50C61">
            <w:pPr>
              <w:spacing w:after="0" w:line="240" w:lineRule="auto"/>
              <w:rPr>
                <w:b/>
              </w:rPr>
            </w:pPr>
            <w:r w:rsidRPr="00AE2B55">
              <w:rPr>
                <w:b/>
              </w:rPr>
              <w:t>Seasonality</w:t>
            </w:r>
          </w:p>
        </w:tc>
        <w:tc>
          <w:tcPr>
            <w:tcW w:w="7655" w:type="dxa"/>
            <w:shd w:val="clear" w:color="auto" w:fill="auto"/>
            <w:vAlign w:val="center"/>
          </w:tcPr>
          <w:p w:rsidR="00FE340F" w:rsidRPr="00AE2B55" w:rsidRDefault="00FE340F" w:rsidP="00E50C61">
            <w:pPr>
              <w:spacing w:after="0" w:line="240" w:lineRule="auto"/>
              <w:jc w:val="center"/>
              <w:rPr>
                <w:b/>
              </w:rPr>
            </w:pPr>
            <w:r w:rsidRPr="00AE2B55">
              <w:rPr>
                <w:b/>
                <w:noProof/>
                <w:lang w:eastAsia="en-GB"/>
              </w:rPr>
              <w:drawing>
                <wp:anchor distT="0" distB="0" distL="114300" distR="114300" simplePos="0" relativeHeight="251809792" behindDoc="0" locked="0" layoutInCell="1" allowOverlap="1" wp14:anchorId="7372B135" wp14:editId="12053DEF">
                  <wp:simplePos x="0" y="0"/>
                  <wp:positionH relativeFrom="page">
                    <wp:posOffset>4445</wp:posOffset>
                  </wp:positionH>
                  <wp:positionV relativeFrom="page">
                    <wp:posOffset>6985</wp:posOffset>
                  </wp:positionV>
                  <wp:extent cx="3384550" cy="995680"/>
                  <wp:effectExtent l="0" t="0" r="6350" b="0"/>
                  <wp:wrapSquare wrapText="bothSides"/>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3384550" cy="995680"/>
                          </a:xfrm>
                          <a:prstGeom prst="rect">
                            <a:avLst/>
                          </a:prstGeom>
                          <a:noFill/>
                        </pic:spPr>
                      </pic:pic>
                    </a:graphicData>
                  </a:graphic>
                  <wp14:sizeRelH relativeFrom="page">
                    <wp14:pctWidth>0</wp14:pctWidth>
                  </wp14:sizeRelH>
                  <wp14:sizeRelV relativeFrom="page">
                    <wp14:pctHeight>0</wp14:pctHeight>
                  </wp14:sizeRelV>
                </wp:anchor>
              </w:drawing>
            </w:r>
            <w:r w:rsidRPr="00AE2B55">
              <w:t>March followed by November are the peak months</w:t>
            </w:r>
          </w:p>
        </w:tc>
      </w:tr>
      <w:tr w:rsidR="00FE340F" w:rsidRPr="00AE2B55" w:rsidTr="00E50C61">
        <w:trPr>
          <w:trHeight w:val="1902"/>
        </w:trPr>
        <w:tc>
          <w:tcPr>
            <w:tcW w:w="1951" w:type="dxa"/>
            <w:shd w:val="clear" w:color="auto" w:fill="auto"/>
            <w:hideMark/>
          </w:tcPr>
          <w:p w:rsidR="00FE340F" w:rsidRPr="00AE2B55" w:rsidRDefault="00FE340F" w:rsidP="00E50C61">
            <w:pPr>
              <w:spacing w:after="0" w:line="240" w:lineRule="auto"/>
              <w:rPr>
                <w:b/>
              </w:rPr>
            </w:pPr>
            <w:r w:rsidRPr="00AE2B55">
              <w:rPr>
                <w:b/>
              </w:rPr>
              <w:t>Breakdown of crime types</w:t>
            </w:r>
          </w:p>
        </w:tc>
        <w:tc>
          <w:tcPr>
            <w:tcW w:w="7655" w:type="dxa"/>
            <w:shd w:val="clear" w:color="auto" w:fill="auto"/>
            <w:vAlign w:val="center"/>
          </w:tcPr>
          <w:p w:rsidR="00FE340F" w:rsidRPr="00AE2B55" w:rsidRDefault="00FE340F" w:rsidP="00E50C61">
            <w:pPr>
              <w:spacing w:after="0" w:line="240" w:lineRule="auto"/>
              <w:ind w:left="720"/>
              <w:jc w:val="center"/>
              <w:rPr>
                <w:b/>
              </w:rPr>
            </w:pPr>
            <w:r w:rsidRPr="00AE2B55">
              <w:rPr>
                <w:noProof/>
                <w:lang w:eastAsia="en-GB"/>
              </w:rPr>
              <w:drawing>
                <wp:anchor distT="0" distB="0" distL="114300" distR="114300" simplePos="0" relativeHeight="251810816" behindDoc="0" locked="0" layoutInCell="1" allowOverlap="1" wp14:anchorId="6E25C114" wp14:editId="396D1281">
                  <wp:simplePos x="0" y="0"/>
                  <wp:positionH relativeFrom="column">
                    <wp:posOffset>-2738755</wp:posOffset>
                  </wp:positionH>
                  <wp:positionV relativeFrom="paragraph">
                    <wp:posOffset>67310</wp:posOffset>
                  </wp:positionV>
                  <wp:extent cx="2552700" cy="1035685"/>
                  <wp:effectExtent l="0" t="0" r="0" b="0"/>
                  <wp:wrapSquare wrapText="bothSides"/>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21" cstate="print">
                            <a:extLst>
                              <a:ext uri="{28A0092B-C50C-407E-A947-70E740481C1C}">
                                <a14:useLocalDpi xmlns:a14="http://schemas.microsoft.com/office/drawing/2010/main" val="0"/>
                              </a:ext>
                            </a:extLst>
                          </a:blip>
                          <a:srcRect l="13654" t="2383" r="864" b="2383"/>
                          <a:stretch>
                            <a:fillRect/>
                          </a:stretch>
                        </pic:blipFill>
                        <pic:spPr bwMode="auto">
                          <a:xfrm>
                            <a:off x="0" y="0"/>
                            <a:ext cx="2552700" cy="1035685"/>
                          </a:xfrm>
                          <a:prstGeom prst="rect">
                            <a:avLst/>
                          </a:prstGeom>
                          <a:noFill/>
                        </pic:spPr>
                      </pic:pic>
                    </a:graphicData>
                  </a:graphic>
                  <wp14:sizeRelH relativeFrom="page">
                    <wp14:pctWidth>0</wp14:pctWidth>
                  </wp14:sizeRelH>
                  <wp14:sizeRelV relativeFrom="page">
                    <wp14:pctHeight>0</wp14:pctHeight>
                  </wp14:sizeRelV>
                </wp:anchor>
              </w:drawing>
            </w:r>
            <w:r w:rsidRPr="00AE2B55">
              <w:t>Breakdown of estimated annual cost of crime</w:t>
            </w:r>
            <w:r w:rsidRPr="00AE2B55">
              <w:rPr>
                <w:rFonts w:cs="Consolas"/>
                <w:b/>
              </w:rPr>
              <w:t xml:space="preserve"> </w:t>
            </w:r>
            <w:r w:rsidRPr="00AE2B55">
              <w:t>on Barnet by crime type</w:t>
            </w:r>
          </w:p>
        </w:tc>
      </w:tr>
      <w:tr w:rsidR="00FE340F" w:rsidRPr="00AE2B55" w:rsidTr="00E50C61">
        <w:trPr>
          <w:trHeight w:val="2804"/>
        </w:trPr>
        <w:tc>
          <w:tcPr>
            <w:tcW w:w="1951" w:type="dxa"/>
            <w:shd w:val="clear" w:color="auto" w:fill="auto"/>
            <w:hideMark/>
          </w:tcPr>
          <w:p w:rsidR="00FE340F" w:rsidRPr="00AE2B55" w:rsidRDefault="00FE340F" w:rsidP="00E50C61">
            <w:pPr>
              <w:spacing w:after="0" w:line="240" w:lineRule="auto"/>
              <w:rPr>
                <w:b/>
              </w:rPr>
            </w:pPr>
            <w:r w:rsidRPr="00AE2B55">
              <w:rPr>
                <w:b/>
              </w:rPr>
              <w:t>Hotspots</w:t>
            </w:r>
          </w:p>
        </w:tc>
        <w:tc>
          <w:tcPr>
            <w:tcW w:w="7655" w:type="dxa"/>
            <w:shd w:val="clear" w:color="auto" w:fill="auto"/>
          </w:tcPr>
          <w:p w:rsidR="00FE340F" w:rsidRPr="00AE2B55" w:rsidRDefault="00FE340F" w:rsidP="00E50C61">
            <w:pPr>
              <w:spacing w:after="0" w:line="240" w:lineRule="auto"/>
            </w:pPr>
            <w:r w:rsidRPr="00AE2B55">
              <w:rPr>
                <w:i/>
              </w:rPr>
              <w:t xml:space="preserve"> </w:t>
            </w:r>
            <w:r w:rsidRPr="00AE2B55">
              <w:rPr>
                <w:b/>
              </w:rPr>
              <w:t xml:space="preserve">Five Wards </w:t>
            </w:r>
            <w:r w:rsidRPr="00AE2B55">
              <w:t>(All Crime, to Feb 2014)</w:t>
            </w:r>
            <w:r w:rsidRPr="00AE2B55">
              <w:rPr>
                <w:rStyle w:val="FootnoteReference"/>
              </w:rPr>
              <w:footnoteReference w:id="156"/>
            </w:r>
          </w:p>
          <w:p w:rsidR="00FE340F" w:rsidRPr="00AE2B55" w:rsidRDefault="00FE340F" w:rsidP="00E50C61">
            <w:pPr>
              <w:spacing w:after="0" w:line="240" w:lineRule="auto"/>
              <w:rPr>
                <w:b/>
                <w:noProof/>
              </w:rPr>
            </w:pPr>
            <w:r w:rsidRPr="00AE2B55">
              <w:rPr>
                <w:noProof/>
                <w:lang w:eastAsia="en-GB"/>
              </w:rPr>
              <w:drawing>
                <wp:anchor distT="0" distB="0" distL="114300" distR="114300" simplePos="0" relativeHeight="251811840" behindDoc="0" locked="0" layoutInCell="1" allowOverlap="1" wp14:anchorId="286BAA78" wp14:editId="45777BA2">
                  <wp:simplePos x="0" y="0"/>
                  <wp:positionH relativeFrom="column">
                    <wp:posOffset>74295</wp:posOffset>
                  </wp:positionH>
                  <wp:positionV relativeFrom="paragraph">
                    <wp:posOffset>-35560</wp:posOffset>
                  </wp:positionV>
                  <wp:extent cx="1544955" cy="1614170"/>
                  <wp:effectExtent l="0" t="0" r="0" b="5080"/>
                  <wp:wrapSquare wrapText="bothSides"/>
                  <wp:docPr id="140" name="Picture 140" descr="allCrime12Mto31Jan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allCrime12Mto31Jan14"/>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544955" cy="16141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E340F" w:rsidRPr="00AE2B55" w:rsidRDefault="00FE340F" w:rsidP="00E50C61">
            <w:pPr>
              <w:spacing w:after="0" w:line="240" w:lineRule="auto"/>
              <w:rPr>
                <w:rFonts w:cs="Consolas"/>
                <w:b/>
              </w:rPr>
            </w:pPr>
            <w:r w:rsidRPr="00AE2B55">
              <w:rPr>
                <w:rFonts w:cs="Consolas"/>
                <w:b/>
              </w:rPr>
              <w:t>West Hendon</w:t>
            </w:r>
            <w:r w:rsidRPr="00AE2B55">
              <w:rPr>
                <w:rFonts w:cs="Consolas"/>
                <w:b/>
              </w:rPr>
              <w:tab/>
            </w:r>
            <w:r w:rsidRPr="00AE2B55">
              <w:rPr>
                <w:rFonts w:cs="Consolas"/>
                <w:b/>
              </w:rPr>
              <w:tab/>
              <w:t>1890</w:t>
            </w:r>
          </w:p>
          <w:p w:rsidR="00FE340F" w:rsidRPr="00AE2B55" w:rsidRDefault="00FE340F" w:rsidP="00E50C61">
            <w:pPr>
              <w:spacing w:after="0" w:line="240" w:lineRule="auto"/>
              <w:rPr>
                <w:rFonts w:cs="Consolas"/>
                <w:b/>
              </w:rPr>
            </w:pPr>
            <w:r w:rsidRPr="00AE2B55">
              <w:rPr>
                <w:rFonts w:cs="Consolas"/>
                <w:b/>
              </w:rPr>
              <w:t>Childs Hill</w:t>
            </w:r>
            <w:r w:rsidRPr="00AE2B55">
              <w:rPr>
                <w:rFonts w:cs="Consolas"/>
                <w:b/>
              </w:rPr>
              <w:tab/>
            </w:r>
            <w:r w:rsidRPr="00AE2B55">
              <w:rPr>
                <w:rFonts w:cs="Consolas"/>
                <w:b/>
              </w:rPr>
              <w:tab/>
              <w:t>1775</w:t>
            </w:r>
          </w:p>
          <w:p w:rsidR="00FE340F" w:rsidRPr="00AE2B55" w:rsidRDefault="00FE340F" w:rsidP="00E50C61">
            <w:pPr>
              <w:spacing w:after="0" w:line="240" w:lineRule="auto"/>
              <w:rPr>
                <w:rFonts w:cs="Consolas"/>
                <w:b/>
              </w:rPr>
            </w:pPr>
            <w:r w:rsidRPr="00AE2B55">
              <w:rPr>
                <w:rFonts w:cs="Consolas"/>
                <w:b/>
              </w:rPr>
              <w:t>Coppetts</w:t>
            </w:r>
            <w:r w:rsidRPr="00AE2B55">
              <w:rPr>
                <w:rFonts w:cs="Consolas"/>
                <w:b/>
              </w:rPr>
              <w:tab/>
            </w:r>
            <w:r w:rsidRPr="00AE2B55">
              <w:rPr>
                <w:rFonts w:cs="Consolas"/>
                <w:b/>
              </w:rPr>
              <w:tab/>
              <w:t>1403</w:t>
            </w:r>
          </w:p>
          <w:p w:rsidR="00FE340F" w:rsidRPr="00AE2B55" w:rsidRDefault="00FE340F" w:rsidP="00E50C61">
            <w:pPr>
              <w:spacing w:after="0" w:line="240" w:lineRule="auto"/>
              <w:rPr>
                <w:rFonts w:cs="Consolas"/>
                <w:b/>
              </w:rPr>
            </w:pPr>
            <w:r w:rsidRPr="00AE2B55">
              <w:rPr>
                <w:rFonts w:cs="Consolas"/>
                <w:b/>
              </w:rPr>
              <w:t>Hendon</w:t>
            </w:r>
            <w:r w:rsidRPr="00AE2B55">
              <w:rPr>
                <w:rFonts w:cs="Consolas"/>
                <w:b/>
              </w:rPr>
              <w:tab/>
            </w:r>
            <w:r w:rsidRPr="00AE2B55">
              <w:rPr>
                <w:rFonts w:cs="Consolas"/>
                <w:b/>
              </w:rPr>
              <w:tab/>
              <w:t>1339</w:t>
            </w:r>
          </w:p>
          <w:p w:rsidR="00FE340F" w:rsidRPr="00AE2B55" w:rsidRDefault="00FE340F" w:rsidP="00E50C61">
            <w:pPr>
              <w:spacing w:after="0" w:line="240" w:lineRule="auto"/>
              <w:rPr>
                <w:rFonts w:cs="Consolas"/>
                <w:b/>
              </w:rPr>
            </w:pPr>
            <w:r w:rsidRPr="00AE2B55">
              <w:rPr>
                <w:rFonts w:cs="Consolas"/>
                <w:b/>
              </w:rPr>
              <w:t>Golders Green</w:t>
            </w:r>
            <w:r w:rsidRPr="00AE2B55">
              <w:rPr>
                <w:rFonts w:cs="Consolas"/>
                <w:b/>
              </w:rPr>
              <w:tab/>
            </w:r>
            <w:r w:rsidRPr="00AE2B55">
              <w:rPr>
                <w:rFonts w:cs="Consolas"/>
                <w:b/>
              </w:rPr>
              <w:tab/>
              <w:t>1289</w:t>
            </w:r>
          </w:p>
          <w:p w:rsidR="00FE340F" w:rsidRPr="00AE2B55" w:rsidRDefault="00FE340F" w:rsidP="00E50C61">
            <w:pPr>
              <w:spacing w:after="0" w:line="240" w:lineRule="auto"/>
              <w:rPr>
                <w:b/>
              </w:rPr>
            </w:pPr>
            <w:r w:rsidRPr="00AE2B55">
              <w:t xml:space="preserve">The top 5  account for </w:t>
            </w:r>
            <w:r w:rsidRPr="00AE2B55">
              <w:rPr>
                <w:b/>
              </w:rPr>
              <w:t>34%</w:t>
            </w:r>
            <w:r w:rsidRPr="00AE2B55">
              <w:t xml:space="preserve"> of the </w:t>
            </w:r>
            <w:r>
              <w:t>Borough</w:t>
            </w:r>
            <w:r w:rsidRPr="00AE2B55">
              <w:t xml:space="preserve"> total</w:t>
            </w:r>
          </w:p>
        </w:tc>
      </w:tr>
      <w:tr w:rsidR="00FE340F" w:rsidRPr="00AE2B55" w:rsidTr="00E50C61">
        <w:trPr>
          <w:trHeight w:val="2286"/>
        </w:trPr>
        <w:tc>
          <w:tcPr>
            <w:tcW w:w="1951" w:type="dxa"/>
            <w:shd w:val="clear" w:color="auto" w:fill="auto"/>
            <w:hideMark/>
          </w:tcPr>
          <w:p w:rsidR="00FE340F" w:rsidRPr="00AE2B55" w:rsidRDefault="00FE340F" w:rsidP="00E50C61">
            <w:pPr>
              <w:spacing w:after="0" w:line="240" w:lineRule="auto"/>
              <w:rPr>
                <w:b/>
              </w:rPr>
            </w:pPr>
            <w:r w:rsidRPr="00AE2B55">
              <w:rPr>
                <w:b/>
              </w:rPr>
              <w:t>VOL(T) analysis</w:t>
            </w:r>
          </w:p>
        </w:tc>
        <w:tc>
          <w:tcPr>
            <w:tcW w:w="7655" w:type="dxa"/>
            <w:shd w:val="clear" w:color="auto" w:fill="auto"/>
            <w:hideMark/>
          </w:tcPr>
          <w:tbl>
            <w:tblPr>
              <w:tblpPr w:leftFromText="180" w:rightFromText="180" w:vertAnchor="page" w:horzAnchor="margin" w:tblpY="1"/>
              <w:tblOverlap w:val="never"/>
              <w:tblW w:w="7371" w:type="dxa"/>
              <w:tblBorders>
                <w:insideH w:val="single" w:sz="2" w:space="0" w:color="C1E0FF"/>
              </w:tblBorders>
              <w:tblLook w:val="04A0" w:firstRow="1" w:lastRow="0" w:firstColumn="1" w:lastColumn="0" w:noHBand="0" w:noVBand="1"/>
            </w:tblPr>
            <w:tblGrid>
              <w:gridCol w:w="1282"/>
              <w:gridCol w:w="6089"/>
            </w:tblGrid>
            <w:tr w:rsidR="00FE340F" w:rsidRPr="00AE2B55" w:rsidTr="00E50C61">
              <w:trPr>
                <w:trHeight w:val="679"/>
              </w:trPr>
              <w:tc>
                <w:tcPr>
                  <w:tcW w:w="1282" w:type="dxa"/>
                  <w:tcBorders>
                    <w:top w:val="nil"/>
                    <w:left w:val="nil"/>
                    <w:bottom w:val="single" w:sz="2" w:space="0" w:color="C1E0FF"/>
                    <w:right w:val="nil"/>
                  </w:tcBorders>
                  <w:shd w:val="clear" w:color="auto" w:fill="auto"/>
                  <w:vAlign w:val="center"/>
                  <w:hideMark/>
                </w:tcPr>
                <w:p w:rsidR="00FE340F" w:rsidRPr="00AE2B55" w:rsidRDefault="00FE340F" w:rsidP="00E50C61">
                  <w:pPr>
                    <w:spacing w:after="0" w:line="240" w:lineRule="auto"/>
                    <w:rPr>
                      <w:b/>
                    </w:rPr>
                  </w:pPr>
                  <w:r w:rsidRPr="00AE2B55">
                    <w:rPr>
                      <w:b/>
                    </w:rPr>
                    <w:t>Victim</w:t>
                  </w:r>
                </w:p>
              </w:tc>
              <w:tc>
                <w:tcPr>
                  <w:tcW w:w="6089" w:type="dxa"/>
                  <w:tcBorders>
                    <w:top w:val="nil"/>
                    <w:left w:val="nil"/>
                    <w:bottom w:val="single" w:sz="2" w:space="0" w:color="C1E0FF"/>
                    <w:right w:val="nil"/>
                  </w:tcBorders>
                  <w:shd w:val="clear" w:color="auto" w:fill="auto"/>
                  <w:vAlign w:val="center"/>
                  <w:hideMark/>
                </w:tcPr>
                <w:p w:rsidR="00FE340F" w:rsidRPr="00AE2B55" w:rsidRDefault="00FE340F" w:rsidP="00E50C61">
                  <w:pPr>
                    <w:spacing w:after="0" w:line="240" w:lineRule="auto"/>
                  </w:pPr>
                  <w:r w:rsidRPr="00AE2B55">
                    <w:t>The top locations where victims of crime live (irrespective of where the offence occurred) in descending order are HA8, NW9, EN5, NW4, NW11</w:t>
                  </w:r>
                </w:p>
              </w:tc>
            </w:tr>
            <w:tr w:rsidR="00FE340F" w:rsidRPr="00AE2B55" w:rsidTr="00E50C61">
              <w:trPr>
                <w:trHeight w:val="679"/>
              </w:trPr>
              <w:tc>
                <w:tcPr>
                  <w:tcW w:w="1282" w:type="dxa"/>
                  <w:tcBorders>
                    <w:top w:val="single" w:sz="2" w:space="0" w:color="C1E0FF"/>
                    <w:left w:val="nil"/>
                    <w:bottom w:val="single" w:sz="2" w:space="0" w:color="C1E0FF"/>
                    <w:right w:val="nil"/>
                  </w:tcBorders>
                  <w:shd w:val="clear" w:color="auto" w:fill="auto"/>
                  <w:vAlign w:val="center"/>
                  <w:hideMark/>
                </w:tcPr>
                <w:p w:rsidR="00FE340F" w:rsidRPr="00AE2B55" w:rsidRDefault="00FE340F" w:rsidP="00E50C61">
                  <w:pPr>
                    <w:spacing w:after="0" w:line="240" w:lineRule="auto"/>
                    <w:rPr>
                      <w:b/>
                    </w:rPr>
                  </w:pPr>
                  <w:r w:rsidRPr="00AE2B55">
                    <w:rPr>
                      <w:b/>
                    </w:rPr>
                    <w:t>Offender</w:t>
                  </w:r>
                </w:p>
              </w:tc>
              <w:tc>
                <w:tcPr>
                  <w:tcW w:w="6089" w:type="dxa"/>
                  <w:tcBorders>
                    <w:top w:val="single" w:sz="2" w:space="0" w:color="C1E0FF"/>
                    <w:left w:val="nil"/>
                    <w:bottom w:val="single" w:sz="2" w:space="0" w:color="C1E0FF"/>
                    <w:right w:val="nil"/>
                  </w:tcBorders>
                  <w:shd w:val="clear" w:color="auto" w:fill="auto"/>
                  <w:vAlign w:val="center"/>
                  <w:hideMark/>
                </w:tcPr>
                <w:p w:rsidR="00FE340F" w:rsidRPr="00AE2B55" w:rsidRDefault="00FE340F" w:rsidP="00E50C61">
                  <w:pPr>
                    <w:spacing w:after="0" w:line="240" w:lineRule="auto"/>
                  </w:pPr>
                  <w:r w:rsidRPr="00AE2B55">
                    <w:t>Peak age for arrests in Barnet is 16-24 year old (35% of all arrests). Most arrested suspects are male (86.5%). Because of repeat offending a small proportion of offenders are responsible for a disproportionately large amount of crime</w:t>
                  </w:r>
                </w:p>
              </w:tc>
            </w:tr>
            <w:tr w:rsidR="00FE340F" w:rsidRPr="00AE2B55" w:rsidTr="00E50C61">
              <w:trPr>
                <w:trHeight w:val="679"/>
              </w:trPr>
              <w:tc>
                <w:tcPr>
                  <w:tcW w:w="1282" w:type="dxa"/>
                  <w:tcBorders>
                    <w:top w:val="single" w:sz="2" w:space="0" w:color="C1E0FF"/>
                    <w:left w:val="nil"/>
                    <w:bottom w:val="nil"/>
                    <w:right w:val="nil"/>
                  </w:tcBorders>
                  <w:shd w:val="clear" w:color="auto" w:fill="auto"/>
                  <w:vAlign w:val="center"/>
                  <w:hideMark/>
                </w:tcPr>
                <w:p w:rsidR="00FE340F" w:rsidRPr="00AE2B55" w:rsidRDefault="00FE340F" w:rsidP="00E50C61">
                  <w:pPr>
                    <w:spacing w:after="0" w:line="240" w:lineRule="auto"/>
                    <w:rPr>
                      <w:b/>
                    </w:rPr>
                  </w:pPr>
                  <w:r w:rsidRPr="00AE2B55">
                    <w:rPr>
                      <w:b/>
                    </w:rPr>
                    <w:t>Location / Time</w:t>
                  </w:r>
                </w:p>
              </w:tc>
              <w:tc>
                <w:tcPr>
                  <w:tcW w:w="6089" w:type="dxa"/>
                  <w:tcBorders>
                    <w:top w:val="single" w:sz="2" w:space="0" w:color="C1E0FF"/>
                    <w:left w:val="nil"/>
                    <w:bottom w:val="nil"/>
                    <w:right w:val="nil"/>
                  </w:tcBorders>
                  <w:shd w:val="clear" w:color="auto" w:fill="auto"/>
                  <w:vAlign w:val="center"/>
                  <w:hideMark/>
                </w:tcPr>
                <w:p w:rsidR="00FE340F" w:rsidRPr="00AE2B55" w:rsidRDefault="00FE340F" w:rsidP="00E50C61">
                  <w:pPr>
                    <w:spacing w:after="0" w:line="240" w:lineRule="auto"/>
                  </w:pPr>
                  <w:r w:rsidRPr="00AE2B55">
                    <w:t>The top five areas based on the offence location are (in descending order): HA8, NW4, EN5, NW9 and N12</w:t>
                  </w:r>
                </w:p>
              </w:tc>
            </w:tr>
          </w:tbl>
          <w:p w:rsidR="00FE340F" w:rsidRPr="00AE2B55" w:rsidRDefault="00FE340F" w:rsidP="00E50C61">
            <w:pPr>
              <w:spacing w:after="0" w:line="240" w:lineRule="auto"/>
              <w:rPr>
                <w:b/>
              </w:rPr>
            </w:pPr>
          </w:p>
        </w:tc>
      </w:tr>
    </w:tbl>
    <w:p w:rsidR="00FE340F" w:rsidRPr="00F265F7" w:rsidRDefault="00FE340F" w:rsidP="00FE340F">
      <w:pPr>
        <w:pStyle w:val="Heading2"/>
      </w:pPr>
      <w:bookmarkStart w:id="984" w:name="_Toc426723409"/>
      <w:bookmarkStart w:id="985" w:name="_Toc431225237"/>
      <w:r>
        <w:t>Anti-Social Behaviour (ASB)</w:t>
      </w:r>
      <w:bookmarkEnd w:id="984"/>
      <w:bookmarkEnd w:id="985"/>
    </w:p>
    <w:p w:rsidR="00FE340F" w:rsidRPr="002E01F7" w:rsidRDefault="00FE340F" w:rsidP="008921BF">
      <w:pPr>
        <w:pStyle w:val="ListParagraph"/>
        <w:numPr>
          <w:ilvl w:val="0"/>
          <w:numId w:val="71"/>
        </w:numPr>
        <w:spacing w:after="0"/>
        <w:ind w:left="426" w:hanging="426"/>
        <w:jc w:val="both"/>
        <w:rPr>
          <w:rFonts w:cs="Arial"/>
          <w:color w:val="000000"/>
        </w:rPr>
      </w:pPr>
      <w:r w:rsidRPr="002E01F7">
        <w:rPr>
          <w:rFonts w:cs="Arial"/>
          <w:color w:val="000000"/>
        </w:rPr>
        <w:t xml:space="preserve">Barnet residents made 11,798 ASB related calls to police in the 12 months </w:t>
      </w:r>
      <w:r>
        <w:rPr>
          <w:rFonts w:cs="Arial"/>
          <w:color w:val="000000"/>
        </w:rPr>
        <w:t>to 25 February 2014</w:t>
      </w:r>
      <w:r w:rsidRPr="002E01F7">
        <w:rPr>
          <w:rFonts w:cs="Arial"/>
          <w:color w:val="000000"/>
        </w:rPr>
        <w:t>; 308 of these were repeat callers</w:t>
      </w:r>
      <w:r>
        <w:rPr>
          <w:rStyle w:val="FootnoteReference"/>
          <w:rFonts w:cs="Arial"/>
          <w:color w:val="000000"/>
        </w:rPr>
        <w:footnoteReference w:id="157"/>
      </w:r>
      <w:r w:rsidRPr="002E01F7">
        <w:rPr>
          <w:rFonts w:cs="Arial"/>
          <w:color w:val="000000"/>
        </w:rPr>
        <w:t>.</w:t>
      </w:r>
    </w:p>
    <w:p w:rsidR="00FE340F" w:rsidRPr="002E01F7" w:rsidRDefault="00FE340F" w:rsidP="008921BF">
      <w:pPr>
        <w:pStyle w:val="ListParagraph"/>
        <w:numPr>
          <w:ilvl w:val="0"/>
          <w:numId w:val="71"/>
        </w:numPr>
        <w:spacing w:after="0"/>
        <w:ind w:left="426" w:hanging="426"/>
        <w:jc w:val="both"/>
        <w:rPr>
          <w:rFonts w:cs="Arial"/>
          <w:color w:val="000000"/>
        </w:rPr>
      </w:pPr>
      <w:r w:rsidRPr="002E01F7">
        <w:rPr>
          <w:rFonts w:cs="Arial"/>
          <w:color w:val="000000"/>
        </w:rPr>
        <w:t>These figures represent a 12.7% reduction in total ASB calls and 13.2% reduct</w:t>
      </w:r>
      <w:r>
        <w:rPr>
          <w:rFonts w:cs="Arial"/>
          <w:color w:val="000000"/>
        </w:rPr>
        <w:t xml:space="preserve">ion in ASB repeats compared to the previous year. </w:t>
      </w:r>
    </w:p>
    <w:p w:rsidR="00FE340F" w:rsidRPr="002E01F7" w:rsidRDefault="00FE340F" w:rsidP="008921BF">
      <w:pPr>
        <w:pStyle w:val="ListParagraph"/>
        <w:numPr>
          <w:ilvl w:val="0"/>
          <w:numId w:val="71"/>
        </w:numPr>
        <w:spacing w:after="0"/>
        <w:ind w:left="426" w:hanging="426"/>
        <w:jc w:val="both"/>
        <w:rPr>
          <w:rFonts w:cs="Arial"/>
          <w:color w:val="000000"/>
        </w:rPr>
      </w:pPr>
      <w:r w:rsidRPr="002E01F7">
        <w:rPr>
          <w:rFonts w:cs="Arial"/>
          <w:color w:val="000000"/>
        </w:rPr>
        <w:lastRenderedPageBreak/>
        <w:t>According to Barnet’s Residents</w:t>
      </w:r>
      <w:r>
        <w:rPr>
          <w:rFonts w:cs="Arial"/>
          <w:color w:val="000000"/>
        </w:rPr>
        <w:t>’</w:t>
      </w:r>
      <w:r w:rsidRPr="002E01F7">
        <w:rPr>
          <w:rFonts w:cs="Arial"/>
          <w:color w:val="000000"/>
        </w:rPr>
        <w:t xml:space="preserve"> Perception Survey: 70% </w:t>
      </w:r>
      <w:r>
        <w:rPr>
          <w:rFonts w:cs="Arial"/>
          <w:color w:val="000000"/>
        </w:rPr>
        <w:t xml:space="preserve">of residents </w:t>
      </w:r>
      <w:r w:rsidRPr="002E01F7">
        <w:rPr>
          <w:rFonts w:cs="Arial"/>
          <w:color w:val="000000"/>
        </w:rPr>
        <w:t>are very or fairly satisfied that police and</w:t>
      </w:r>
      <w:r w:rsidR="00487CD4">
        <w:rPr>
          <w:rFonts w:cs="Arial"/>
          <w:color w:val="000000"/>
        </w:rPr>
        <w:t xml:space="preserve"> the</w:t>
      </w:r>
      <w:r w:rsidRPr="002E01F7">
        <w:rPr>
          <w:rFonts w:cs="Arial"/>
          <w:color w:val="000000"/>
        </w:rPr>
        <w:t xml:space="preserve"> </w:t>
      </w:r>
      <w:r w:rsidR="00487CD4">
        <w:rPr>
          <w:rFonts w:cs="Arial"/>
          <w:color w:val="000000"/>
        </w:rPr>
        <w:t>C</w:t>
      </w:r>
      <w:r w:rsidRPr="002E01F7">
        <w:rPr>
          <w:rFonts w:cs="Arial"/>
          <w:color w:val="000000"/>
        </w:rPr>
        <w:t>ouncil are dealing with crime and ASB in their local area which is up 2%</w:t>
      </w:r>
      <w:r w:rsidR="00316FA6">
        <w:rPr>
          <w:rFonts w:cs="Arial"/>
          <w:color w:val="000000"/>
        </w:rPr>
        <w:t xml:space="preserve"> from 2012 RPS, but down from </w:t>
      </w:r>
      <w:r w:rsidRPr="002E01F7">
        <w:rPr>
          <w:rFonts w:cs="Arial"/>
          <w:color w:val="000000"/>
        </w:rPr>
        <w:t>75% in 2010.</w:t>
      </w:r>
    </w:p>
    <w:p w:rsidR="00FE340F" w:rsidRPr="002E01F7" w:rsidRDefault="00FE340F" w:rsidP="008921BF">
      <w:pPr>
        <w:pStyle w:val="ListParagraph"/>
        <w:numPr>
          <w:ilvl w:val="0"/>
          <w:numId w:val="71"/>
        </w:numPr>
        <w:spacing w:after="0"/>
        <w:ind w:left="426" w:hanging="426"/>
        <w:jc w:val="both"/>
        <w:rPr>
          <w:rFonts w:cs="Arial"/>
          <w:color w:val="000000"/>
        </w:rPr>
      </w:pPr>
      <w:r w:rsidRPr="002E01F7">
        <w:rPr>
          <w:rFonts w:cs="Arial"/>
          <w:color w:val="000000"/>
        </w:rPr>
        <w:t>The top (and increasing) ASB concern is rubbish and litter lying around</w:t>
      </w:r>
      <w:r>
        <w:rPr>
          <w:rStyle w:val="FootnoteReference"/>
          <w:rFonts w:cs="Arial"/>
          <w:color w:val="000000"/>
        </w:rPr>
        <w:footnoteReference w:id="158"/>
      </w:r>
      <w:r w:rsidRPr="002E01F7">
        <w:rPr>
          <w:rFonts w:cs="Arial"/>
          <w:color w:val="000000"/>
        </w:rPr>
        <w:t>.</w:t>
      </w:r>
    </w:p>
    <w:p w:rsidR="00FE340F" w:rsidRPr="002E01F7" w:rsidRDefault="00FE340F" w:rsidP="008921BF">
      <w:pPr>
        <w:pStyle w:val="ListParagraph"/>
        <w:numPr>
          <w:ilvl w:val="0"/>
          <w:numId w:val="71"/>
        </w:numPr>
        <w:spacing w:after="0"/>
        <w:ind w:left="426" w:hanging="426"/>
        <w:jc w:val="both"/>
        <w:rPr>
          <w:rFonts w:cs="Arial"/>
          <w:color w:val="000000"/>
        </w:rPr>
      </w:pPr>
      <w:r w:rsidRPr="002E01F7">
        <w:rPr>
          <w:rFonts w:cs="Arial"/>
          <w:color w:val="000000"/>
        </w:rPr>
        <w:t xml:space="preserve">When asked in the Community Safety Survey 2011 ‘Imagine you could set local priorities to improve safety in this area’, the top response was reducing levels of ASB and disorder (50% of residents said this would be in their top three priorities). </w:t>
      </w:r>
    </w:p>
    <w:p w:rsidR="00FE340F" w:rsidRPr="00037593" w:rsidRDefault="00FE340F" w:rsidP="00FE340F">
      <w:pPr>
        <w:pStyle w:val="Heading2"/>
      </w:pPr>
      <w:bookmarkStart w:id="986" w:name="_Toc426723410"/>
      <w:bookmarkStart w:id="987" w:name="_Toc431225238"/>
      <w:r w:rsidRPr="00037593">
        <w:t>Residential Burglary</w:t>
      </w:r>
      <w:bookmarkEnd w:id="986"/>
      <w:bookmarkEnd w:id="987"/>
      <w:r w:rsidRPr="00037593">
        <w:t xml:space="preserve"> </w:t>
      </w:r>
    </w:p>
    <w:p w:rsidR="00FE340F" w:rsidRPr="00BD7CF9" w:rsidRDefault="00FE340F" w:rsidP="008921BF">
      <w:pPr>
        <w:pStyle w:val="ListParagraph"/>
        <w:numPr>
          <w:ilvl w:val="0"/>
          <w:numId w:val="71"/>
        </w:numPr>
        <w:spacing w:after="0"/>
        <w:ind w:left="426" w:hanging="426"/>
        <w:jc w:val="both"/>
        <w:rPr>
          <w:rFonts w:cs="Arial"/>
          <w:color w:val="000000"/>
        </w:rPr>
      </w:pPr>
      <w:r w:rsidRPr="00BD7CF9">
        <w:rPr>
          <w:rFonts w:cs="Arial"/>
          <w:color w:val="000000"/>
        </w:rPr>
        <w:t xml:space="preserve">Between 2008 </w:t>
      </w:r>
      <w:r w:rsidR="00DD3A76">
        <w:rPr>
          <w:rFonts w:cs="Arial"/>
          <w:color w:val="000000"/>
        </w:rPr>
        <w:t xml:space="preserve">and </w:t>
      </w:r>
      <w:r w:rsidR="00DD3A76" w:rsidRPr="00BD7CF9">
        <w:rPr>
          <w:rFonts w:cs="Arial"/>
          <w:color w:val="000000"/>
        </w:rPr>
        <w:t>2011</w:t>
      </w:r>
      <w:r w:rsidRPr="00BD7CF9">
        <w:rPr>
          <w:rFonts w:cs="Arial"/>
          <w:color w:val="000000"/>
        </w:rPr>
        <w:t xml:space="preserve"> the rate of residential burglary in Barnet increased (in total by around 1</w:t>
      </w:r>
      <w:r w:rsidR="00316FA6">
        <w:rPr>
          <w:rFonts w:cs="Arial"/>
          <w:color w:val="000000"/>
        </w:rPr>
        <w:t>,</w:t>
      </w:r>
      <w:r w:rsidRPr="00BD7CF9">
        <w:rPr>
          <w:rFonts w:cs="Arial"/>
          <w:color w:val="000000"/>
        </w:rPr>
        <w:t>000 offences per year), remaining at a high level during 2012 and early 2013.</w:t>
      </w:r>
      <w:r>
        <w:rPr>
          <w:rFonts w:cs="Arial"/>
          <w:color w:val="000000"/>
        </w:rPr>
        <w:t xml:space="preserve"> </w:t>
      </w:r>
      <w:r w:rsidRPr="00BD7CF9">
        <w:rPr>
          <w:rFonts w:cs="Arial"/>
          <w:color w:val="000000"/>
        </w:rPr>
        <w:t xml:space="preserve">Since April 2013 residential burglary levels </w:t>
      </w:r>
      <w:r>
        <w:rPr>
          <w:rFonts w:cs="Arial"/>
          <w:color w:val="000000"/>
        </w:rPr>
        <w:t>i</w:t>
      </w:r>
      <w:r w:rsidRPr="00BD7CF9">
        <w:rPr>
          <w:rFonts w:cs="Arial"/>
          <w:color w:val="000000"/>
        </w:rPr>
        <w:t xml:space="preserve">n the </w:t>
      </w:r>
      <w:r>
        <w:rPr>
          <w:rFonts w:cs="Arial"/>
          <w:color w:val="000000"/>
        </w:rPr>
        <w:t>Borough</w:t>
      </w:r>
      <w:r w:rsidRPr="00BD7CF9">
        <w:rPr>
          <w:rFonts w:cs="Arial"/>
          <w:color w:val="000000"/>
        </w:rPr>
        <w:t xml:space="preserve"> have fallen.</w:t>
      </w:r>
    </w:p>
    <w:p w:rsidR="00FE340F" w:rsidRDefault="00FE340F" w:rsidP="008921BF">
      <w:pPr>
        <w:pStyle w:val="ListParagraph"/>
        <w:numPr>
          <w:ilvl w:val="0"/>
          <w:numId w:val="71"/>
        </w:numPr>
        <w:spacing w:after="0"/>
        <w:ind w:left="426" w:hanging="426"/>
        <w:jc w:val="both"/>
        <w:rPr>
          <w:rFonts w:cs="Arial"/>
          <w:color w:val="000000"/>
        </w:rPr>
      </w:pPr>
      <w:r w:rsidRPr="00F12C14">
        <w:rPr>
          <w:rFonts w:cs="Arial"/>
          <w:color w:val="000000"/>
        </w:rPr>
        <w:t xml:space="preserve">Barnet’s current sanction detection rate for residential burglary (19.7%) is the highest of all 32 London </w:t>
      </w:r>
      <w:r>
        <w:rPr>
          <w:rFonts w:cs="Arial"/>
          <w:color w:val="000000"/>
        </w:rPr>
        <w:t>Borough</w:t>
      </w:r>
      <w:r w:rsidRPr="00F12C14">
        <w:rPr>
          <w:rFonts w:cs="Arial"/>
          <w:color w:val="000000"/>
        </w:rPr>
        <w:t xml:space="preserve">s.  If Barnet is able to maintain such a high sanction detection rate, this will help contribute towards a sustained long term reduction </w:t>
      </w:r>
      <w:r>
        <w:rPr>
          <w:rFonts w:cs="Arial"/>
          <w:color w:val="000000"/>
        </w:rPr>
        <w:t>of</w:t>
      </w:r>
      <w:r w:rsidRPr="00F12C14">
        <w:rPr>
          <w:rFonts w:cs="Arial"/>
          <w:color w:val="000000"/>
        </w:rPr>
        <w:t xml:space="preserve"> residential burglary </w:t>
      </w:r>
      <w:r>
        <w:rPr>
          <w:rFonts w:cs="Arial"/>
          <w:color w:val="000000"/>
        </w:rPr>
        <w:t>i</w:t>
      </w:r>
      <w:r w:rsidRPr="00F12C14">
        <w:rPr>
          <w:rFonts w:cs="Arial"/>
          <w:color w:val="000000"/>
        </w:rPr>
        <w:t xml:space="preserve">n Barnet. </w:t>
      </w:r>
    </w:p>
    <w:p w:rsidR="00FE340F" w:rsidRPr="00F12C14" w:rsidRDefault="00FE340F" w:rsidP="008921BF">
      <w:pPr>
        <w:pStyle w:val="ListParagraph"/>
        <w:numPr>
          <w:ilvl w:val="0"/>
          <w:numId w:val="71"/>
        </w:numPr>
        <w:spacing w:after="0"/>
        <w:ind w:left="426" w:hanging="426"/>
        <w:jc w:val="both"/>
        <w:rPr>
          <w:rFonts w:cs="Arial"/>
          <w:color w:val="000000"/>
        </w:rPr>
      </w:pPr>
      <w:r w:rsidRPr="00F12C14">
        <w:rPr>
          <w:rFonts w:cs="Arial"/>
          <w:color w:val="000000"/>
        </w:rPr>
        <w:t>Cross border burglary is the most significant contributor to overall burglary levels</w:t>
      </w:r>
      <w:r>
        <w:rPr>
          <w:rFonts w:cs="Arial"/>
          <w:color w:val="000000"/>
        </w:rPr>
        <w:t>;</w:t>
      </w:r>
      <w:r w:rsidRPr="00F12C14">
        <w:rPr>
          <w:rFonts w:cs="Arial"/>
          <w:color w:val="000000"/>
        </w:rPr>
        <w:t xml:space="preserve"> during a 12 month sample peri</w:t>
      </w:r>
      <w:r w:rsidR="00316FA6">
        <w:rPr>
          <w:rFonts w:cs="Arial"/>
          <w:color w:val="000000"/>
        </w:rPr>
        <w:t xml:space="preserve">od 64% of suspects were from outside of the </w:t>
      </w:r>
      <w:r>
        <w:rPr>
          <w:rFonts w:cs="Arial"/>
          <w:color w:val="000000"/>
        </w:rPr>
        <w:t>Borough</w:t>
      </w:r>
      <w:r w:rsidRPr="00F12C14">
        <w:rPr>
          <w:rFonts w:cs="Arial"/>
          <w:color w:val="000000"/>
        </w:rPr>
        <w:t>.</w:t>
      </w:r>
    </w:p>
    <w:p w:rsidR="00FE340F" w:rsidRPr="002E01F7" w:rsidRDefault="00FE340F" w:rsidP="008921BF">
      <w:pPr>
        <w:pStyle w:val="ListParagraph"/>
        <w:numPr>
          <w:ilvl w:val="0"/>
          <w:numId w:val="71"/>
        </w:numPr>
        <w:spacing w:after="0"/>
        <w:ind w:left="426" w:hanging="426"/>
        <w:jc w:val="both"/>
        <w:rPr>
          <w:rFonts w:cs="Arial"/>
          <w:color w:val="000000"/>
        </w:rPr>
      </w:pPr>
      <w:r w:rsidRPr="002E01F7">
        <w:rPr>
          <w:rFonts w:cs="Arial"/>
          <w:color w:val="000000"/>
        </w:rPr>
        <w:t xml:space="preserve">Analysis of the distribution of residential burglaries </w:t>
      </w:r>
      <w:r>
        <w:rPr>
          <w:rFonts w:cs="Arial"/>
          <w:color w:val="000000"/>
        </w:rPr>
        <w:t>i</w:t>
      </w:r>
      <w:r w:rsidRPr="002E01F7">
        <w:rPr>
          <w:rFonts w:cs="Arial"/>
          <w:color w:val="000000"/>
        </w:rPr>
        <w:t xml:space="preserve">n the </w:t>
      </w:r>
      <w:r>
        <w:rPr>
          <w:rFonts w:cs="Arial"/>
          <w:color w:val="000000"/>
        </w:rPr>
        <w:t>Borough</w:t>
      </w:r>
      <w:r w:rsidRPr="002E01F7">
        <w:rPr>
          <w:rFonts w:cs="Arial"/>
          <w:color w:val="000000"/>
        </w:rPr>
        <w:t xml:space="preserve"> shows that houses in some streets </w:t>
      </w:r>
      <w:r>
        <w:rPr>
          <w:rFonts w:cs="Arial"/>
          <w:color w:val="000000"/>
        </w:rPr>
        <w:t>i</w:t>
      </w:r>
      <w:r w:rsidR="00316FA6">
        <w:rPr>
          <w:rFonts w:cs="Arial"/>
          <w:color w:val="000000"/>
        </w:rPr>
        <w:t>n Barnet</w:t>
      </w:r>
      <w:r w:rsidRPr="002E01F7">
        <w:rPr>
          <w:rFonts w:cs="Arial"/>
          <w:color w:val="000000"/>
        </w:rPr>
        <w:t xml:space="preserve"> face a risk of burglary </w:t>
      </w:r>
      <w:r>
        <w:rPr>
          <w:rFonts w:cs="Arial"/>
          <w:color w:val="000000"/>
        </w:rPr>
        <w:t xml:space="preserve">of </w:t>
      </w:r>
      <w:r w:rsidRPr="002E01F7">
        <w:rPr>
          <w:rFonts w:cs="Arial"/>
          <w:color w:val="000000"/>
        </w:rPr>
        <w:t>at least double the</w:t>
      </w:r>
      <w:r w:rsidR="00316FA6">
        <w:rPr>
          <w:rFonts w:cs="Arial"/>
          <w:color w:val="000000"/>
        </w:rPr>
        <w:t xml:space="preserve"> Borough</w:t>
      </w:r>
      <w:r w:rsidRPr="002E01F7">
        <w:rPr>
          <w:rFonts w:cs="Arial"/>
          <w:color w:val="000000"/>
        </w:rPr>
        <w:t xml:space="preserve"> average. Many such streets back on to open </w:t>
      </w:r>
      <w:r>
        <w:rPr>
          <w:rFonts w:cs="Arial"/>
          <w:color w:val="000000"/>
        </w:rPr>
        <w:t>space such as parks, allotments and</w:t>
      </w:r>
      <w:r w:rsidRPr="002E01F7">
        <w:rPr>
          <w:rFonts w:cs="Arial"/>
          <w:color w:val="000000"/>
        </w:rPr>
        <w:t xml:space="preserve"> alley ways</w:t>
      </w:r>
      <w:r>
        <w:rPr>
          <w:rFonts w:cs="Arial"/>
          <w:color w:val="000000"/>
        </w:rPr>
        <w:t>.</w:t>
      </w:r>
    </w:p>
    <w:p w:rsidR="00FE340F" w:rsidRPr="002E01F7" w:rsidRDefault="00FE340F" w:rsidP="008921BF">
      <w:pPr>
        <w:pStyle w:val="ListParagraph"/>
        <w:numPr>
          <w:ilvl w:val="0"/>
          <w:numId w:val="71"/>
        </w:numPr>
        <w:spacing w:after="0"/>
        <w:ind w:left="426" w:hanging="426"/>
        <w:jc w:val="both"/>
        <w:rPr>
          <w:rFonts w:cs="Arial"/>
          <w:color w:val="000000"/>
        </w:rPr>
      </w:pPr>
      <w:r w:rsidRPr="002E01F7">
        <w:rPr>
          <w:rFonts w:cs="Arial"/>
          <w:color w:val="000000"/>
        </w:rPr>
        <w:t>Near repeat phenomenon: studies have identified that for a time following a burglary, the homes in the vicinity of the burgled venue face a raised risk of being burgled</w:t>
      </w:r>
      <w:r>
        <w:rPr>
          <w:rFonts w:cs="Arial"/>
          <w:color w:val="000000"/>
        </w:rPr>
        <w:t>.</w:t>
      </w:r>
    </w:p>
    <w:p w:rsidR="00FE340F" w:rsidRDefault="00FE340F" w:rsidP="00FE340F">
      <w:pPr>
        <w:pStyle w:val="Heading2"/>
        <w:rPr>
          <w:lang w:eastAsia="en-GB"/>
        </w:rPr>
      </w:pPr>
      <w:bookmarkStart w:id="988" w:name="_Toc426723411"/>
      <w:bookmarkStart w:id="989" w:name="_Toc431225239"/>
      <w:r>
        <w:rPr>
          <w:lang w:eastAsia="en-GB"/>
        </w:rPr>
        <w:t>Domestic Violence and Violence Against Women and Girls (VAWG)</w:t>
      </w:r>
      <w:bookmarkEnd w:id="988"/>
      <w:bookmarkEnd w:id="989"/>
    </w:p>
    <w:p w:rsidR="00FE340F" w:rsidRDefault="00FE340F" w:rsidP="00FE340F">
      <w:pPr>
        <w:spacing w:after="0" w:line="240" w:lineRule="auto"/>
        <w:jc w:val="both"/>
        <w:textAlignment w:val="baseline"/>
        <w:rPr>
          <w:rFonts w:eastAsiaTheme="minorEastAsia" w:cs="Arial"/>
          <w:iCs/>
          <w:kern w:val="24"/>
          <w:lang w:eastAsia="en-GB"/>
        </w:rPr>
      </w:pPr>
      <w:r>
        <w:rPr>
          <w:rFonts w:eastAsiaTheme="minorEastAsia" w:cs="Arial"/>
          <w:iCs/>
          <w:kern w:val="24"/>
          <w:lang w:eastAsia="en-GB"/>
        </w:rPr>
        <w:t>Nationally, it is estimated that one in four women experience domestic violence in their lifetime and two women are killed every week due to domestic violence.</w:t>
      </w:r>
      <w:r>
        <w:rPr>
          <w:rFonts w:eastAsiaTheme="minorEastAsia" w:cs="Arial"/>
          <w:kern w:val="24"/>
          <w:lang w:eastAsia="en-GB"/>
        </w:rPr>
        <w:t xml:space="preserve"> </w:t>
      </w:r>
      <w:r>
        <w:rPr>
          <w:rFonts w:eastAsiaTheme="minorEastAsia" w:cs="Arial"/>
          <w:iCs/>
          <w:kern w:val="24"/>
          <w:lang w:eastAsia="en-GB"/>
        </w:rPr>
        <w:t>The exact volume of Domestic Violence (DV) and Violence Ag</w:t>
      </w:r>
      <w:r w:rsidR="00316FA6">
        <w:rPr>
          <w:rFonts w:eastAsiaTheme="minorEastAsia" w:cs="Arial"/>
          <w:iCs/>
          <w:kern w:val="24"/>
          <w:lang w:eastAsia="en-GB"/>
        </w:rPr>
        <w:t>ainst Women and Girls (VAWG) is</w:t>
      </w:r>
      <w:r>
        <w:rPr>
          <w:rFonts w:eastAsiaTheme="minorEastAsia" w:cs="Arial"/>
          <w:iCs/>
          <w:kern w:val="24"/>
          <w:lang w:eastAsia="en-GB"/>
        </w:rPr>
        <w:t xml:space="preserve"> unknown nationally</w:t>
      </w:r>
      <w:r w:rsidR="00316FA6">
        <w:rPr>
          <w:rFonts w:eastAsiaTheme="minorEastAsia" w:cs="Arial"/>
          <w:iCs/>
          <w:kern w:val="24"/>
          <w:lang w:eastAsia="en-GB"/>
        </w:rPr>
        <w:t>. Some agencies collect data but</w:t>
      </w:r>
      <w:r>
        <w:rPr>
          <w:rFonts w:eastAsiaTheme="minorEastAsia" w:cs="Arial"/>
          <w:iCs/>
          <w:kern w:val="24"/>
          <w:lang w:eastAsia="en-GB"/>
        </w:rPr>
        <w:t xml:space="preserve"> not all victims refer themselves or are engaged with any support agencies</w:t>
      </w:r>
      <w:r w:rsidR="00316FA6">
        <w:rPr>
          <w:rFonts w:eastAsiaTheme="minorEastAsia" w:cs="Arial"/>
          <w:iCs/>
          <w:kern w:val="24"/>
          <w:lang w:eastAsia="en-GB"/>
        </w:rPr>
        <w:t xml:space="preserve">, meaning </w:t>
      </w:r>
      <w:r>
        <w:rPr>
          <w:rFonts w:eastAsiaTheme="minorEastAsia" w:cs="Arial"/>
          <w:iCs/>
          <w:kern w:val="24"/>
          <w:lang w:eastAsia="en-GB"/>
        </w:rPr>
        <w:t>there is an assumption of underreporting.</w:t>
      </w:r>
    </w:p>
    <w:p w:rsidR="00FE340F" w:rsidRDefault="00FE340F" w:rsidP="00FE340F">
      <w:pPr>
        <w:spacing w:after="0" w:line="240" w:lineRule="auto"/>
        <w:jc w:val="both"/>
        <w:textAlignment w:val="baseline"/>
        <w:rPr>
          <w:rFonts w:eastAsiaTheme="minorEastAsia" w:cs="Arial"/>
          <w:iCs/>
          <w:kern w:val="24"/>
          <w:lang w:eastAsia="en-GB"/>
        </w:rPr>
      </w:pPr>
    </w:p>
    <w:p w:rsidR="00FE340F" w:rsidRDefault="00FE340F" w:rsidP="00FE340F">
      <w:pPr>
        <w:spacing w:after="0" w:line="240" w:lineRule="auto"/>
        <w:jc w:val="both"/>
        <w:textAlignment w:val="baseline"/>
        <w:rPr>
          <w:rFonts w:eastAsiaTheme="minorEastAsia" w:cs="Arial"/>
          <w:iCs/>
          <w:kern w:val="24"/>
          <w:lang w:eastAsia="en-GB"/>
        </w:rPr>
      </w:pPr>
      <w:r w:rsidRPr="00B1135D">
        <w:rPr>
          <w:rFonts w:eastAsiaTheme="minorEastAsia" w:cs="Arial"/>
          <w:iCs/>
          <w:kern w:val="24"/>
          <w:lang w:eastAsia="en-GB"/>
        </w:rPr>
        <w:t xml:space="preserve">Given this context, Barnet </w:t>
      </w:r>
      <w:r>
        <w:rPr>
          <w:rFonts w:eastAsiaTheme="minorEastAsia" w:cs="Arial"/>
          <w:iCs/>
          <w:kern w:val="24"/>
          <w:lang w:eastAsia="en-GB"/>
        </w:rPr>
        <w:t xml:space="preserve">will be seeking support from partners to identify and share their data in order </w:t>
      </w:r>
      <w:r w:rsidR="00DD3A76">
        <w:rPr>
          <w:rFonts w:eastAsiaTheme="minorEastAsia" w:cs="Arial"/>
          <w:iCs/>
          <w:kern w:val="24"/>
          <w:lang w:eastAsia="en-GB"/>
        </w:rPr>
        <w:t xml:space="preserve">to </w:t>
      </w:r>
      <w:r w:rsidR="00DD3A76" w:rsidRPr="00B1135D">
        <w:rPr>
          <w:rFonts w:eastAsiaTheme="minorEastAsia" w:cs="Arial"/>
          <w:iCs/>
          <w:kern w:val="24"/>
          <w:lang w:eastAsia="en-GB"/>
        </w:rPr>
        <w:t>scope</w:t>
      </w:r>
      <w:r w:rsidRPr="00B1135D">
        <w:rPr>
          <w:rFonts w:eastAsiaTheme="minorEastAsia" w:cs="Arial"/>
          <w:iCs/>
          <w:kern w:val="24"/>
          <w:lang w:eastAsia="en-GB"/>
        </w:rPr>
        <w:t xml:space="preserve"> the extent of </w:t>
      </w:r>
      <w:r>
        <w:rPr>
          <w:rFonts w:eastAsiaTheme="minorEastAsia" w:cs="Arial"/>
          <w:iCs/>
          <w:kern w:val="24"/>
          <w:lang w:eastAsia="en-GB"/>
        </w:rPr>
        <w:t xml:space="preserve">DV and VAWG </w:t>
      </w:r>
      <w:r w:rsidRPr="00B1135D">
        <w:rPr>
          <w:rFonts w:eastAsiaTheme="minorEastAsia" w:cs="Arial"/>
          <w:iCs/>
          <w:kern w:val="24"/>
          <w:lang w:eastAsia="en-GB"/>
        </w:rPr>
        <w:t xml:space="preserve">issues in the </w:t>
      </w:r>
      <w:r>
        <w:rPr>
          <w:rFonts w:eastAsiaTheme="minorEastAsia" w:cs="Arial"/>
          <w:iCs/>
          <w:kern w:val="24"/>
          <w:lang w:eastAsia="en-GB"/>
        </w:rPr>
        <w:t xml:space="preserve">Borough, enabling us to develop a more informed approach that meets local need. </w:t>
      </w:r>
    </w:p>
    <w:p w:rsidR="00316FA6" w:rsidRDefault="00316FA6" w:rsidP="00FE340F">
      <w:pPr>
        <w:spacing w:after="0" w:line="240" w:lineRule="auto"/>
        <w:jc w:val="both"/>
        <w:textAlignment w:val="baseline"/>
        <w:rPr>
          <w:rFonts w:eastAsiaTheme="minorEastAsia" w:cs="Arial"/>
          <w:iCs/>
          <w:kern w:val="24"/>
          <w:lang w:eastAsia="en-GB"/>
        </w:rPr>
      </w:pPr>
    </w:p>
    <w:p w:rsidR="00A70814" w:rsidRDefault="00A70814" w:rsidP="00FE340F">
      <w:pPr>
        <w:pStyle w:val="Caption"/>
      </w:pPr>
    </w:p>
    <w:p w:rsidR="00A70814" w:rsidRDefault="00A70814" w:rsidP="00FE340F">
      <w:pPr>
        <w:pStyle w:val="Caption"/>
      </w:pPr>
    </w:p>
    <w:p w:rsidR="00A70814" w:rsidRDefault="00A70814" w:rsidP="00FE340F">
      <w:pPr>
        <w:pStyle w:val="Caption"/>
      </w:pPr>
    </w:p>
    <w:p w:rsidR="00A70814" w:rsidRDefault="00A70814" w:rsidP="00FE340F">
      <w:pPr>
        <w:pStyle w:val="Caption"/>
      </w:pPr>
    </w:p>
    <w:p w:rsidR="00A70814" w:rsidRDefault="00A70814" w:rsidP="00FE340F">
      <w:pPr>
        <w:pStyle w:val="Caption"/>
      </w:pPr>
    </w:p>
    <w:p w:rsidR="00A70814" w:rsidRDefault="00A70814" w:rsidP="00FE340F">
      <w:pPr>
        <w:pStyle w:val="Caption"/>
      </w:pPr>
    </w:p>
    <w:p w:rsidR="00A70814" w:rsidRDefault="00A70814" w:rsidP="00FE340F">
      <w:pPr>
        <w:pStyle w:val="Caption"/>
      </w:pPr>
    </w:p>
    <w:p w:rsidR="00A70814" w:rsidRDefault="00A70814" w:rsidP="00FE340F">
      <w:pPr>
        <w:pStyle w:val="Caption"/>
      </w:pPr>
    </w:p>
    <w:p w:rsidR="00A70814" w:rsidRDefault="00A70814" w:rsidP="00FE340F">
      <w:pPr>
        <w:pStyle w:val="Caption"/>
      </w:pPr>
    </w:p>
    <w:p w:rsidR="00A70814" w:rsidRDefault="00A70814" w:rsidP="00FE340F">
      <w:pPr>
        <w:pStyle w:val="Caption"/>
      </w:pPr>
    </w:p>
    <w:p w:rsidR="00FE340F" w:rsidRDefault="00FE340F" w:rsidP="00FE340F">
      <w:pPr>
        <w:pStyle w:val="Caption"/>
        <w:rPr>
          <w:rFonts w:eastAsiaTheme="minorEastAsia" w:cs="Arial"/>
          <w:b w:val="0"/>
          <w:i/>
          <w:iCs/>
          <w:kern w:val="24"/>
          <w:lang w:eastAsia="en-GB"/>
        </w:rPr>
      </w:pPr>
      <w:r>
        <w:lastRenderedPageBreak/>
        <w:t xml:space="preserve">Figure </w:t>
      </w:r>
      <w:fldSimple w:instr=" STYLEREF 1 \s ">
        <w:r w:rsidR="001663C2">
          <w:rPr>
            <w:noProof/>
          </w:rPr>
          <w:t>10</w:t>
        </w:r>
      </w:fldSimple>
      <w:r w:rsidR="00943DC2">
        <w:noBreakHyphen/>
      </w:r>
      <w:fldSimple w:instr=" SEQ Figure \* ARABIC \s 1 ">
        <w:r w:rsidR="001663C2">
          <w:rPr>
            <w:noProof/>
          </w:rPr>
          <w:t>1</w:t>
        </w:r>
      </w:fldSimple>
      <w:r>
        <w:t xml:space="preserve">: </w:t>
      </w:r>
      <w:r w:rsidRPr="00C51918">
        <w:rPr>
          <w:rFonts w:eastAsiaTheme="minorEastAsia" w:cs="Arial"/>
          <w:iCs/>
          <w:kern w:val="24"/>
          <w:lang w:eastAsia="en-GB"/>
        </w:rPr>
        <w:t>Cases per 10,000 of the adult female population</w:t>
      </w:r>
    </w:p>
    <w:p w:rsidR="00FE340F" w:rsidRDefault="00FE340F" w:rsidP="00FE340F">
      <w:pPr>
        <w:spacing w:after="0" w:line="240" w:lineRule="auto"/>
        <w:textAlignment w:val="baseline"/>
        <w:rPr>
          <w:rFonts w:eastAsiaTheme="minorEastAsia" w:cs="Arial"/>
          <w:kern w:val="24"/>
          <w:lang w:eastAsia="en-GB"/>
        </w:rPr>
      </w:pPr>
      <w:r>
        <w:rPr>
          <w:noProof/>
          <w:lang w:eastAsia="en-GB"/>
        </w:rPr>
        <w:drawing>
          <wp:inline distT="0" distB="0" distL="0" distR="0" wp14:anchorId="13CEDEFB" wp14:editId="024CF098">
            <wp:extent cx="6166884" cy="1956391"/>
            <wp:effectExtent l="0" t="0" r="24765" b="25400"/>
            <wp:docPr id="4118" name="Chart 41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23"/>
              </a:graphicData>
            </a:graphic>
          </wp:inline>
        </w:drawing>
      </w:r>
    </w:p>
    <w:p w:rsidR="00FE340F" w:rsidRDefault="00FE340F" w:rsidP="00FE340F">
      <w:pPr>
        <w:spacing w:after="0" w:line="240" w:lineRule="auto"/>
        <w:textAlignment w:val="baseline"/>
        <w:rPr>
          <w:rFonts w:eastAsiaTheme="minorEastAsia" w:cs="Arial"/>
          <w:kern w:val="24"/>
          <w:lang w:eastAsia="en-GB"/>
        </w:rPr>
      </w:pPr>
      <w:r>
        <w:rPr>
          <w:rFonts w:eastAsiaTheme="minorEastAsia" w:cs="Arial"/>
          <w:kern w:val="24"/>
          <w:lang w:eastAsia="en-GB"/>
        </w:rPr>
        <w:t xml:space="preserve">Source: MARAC data, </w:t>
      </w:r>
      <w:proofErr w:type="spellStart"/>
      <w:r>
        <w:rPr>
          <w:rFonts w:eastAsiaTheme="minorEastAsia" w:cs="Arial"/>
          <w:kern w:val="24"/>
          <w:lang w:eastAsia="en-GB"/>
        </w:rPr>
        <w:t>SafeLives</w:t>
      </w:r>
      <w:proofErr w:type="spellEnd"/>
    </w:p>
    <w:p w:rsidR="00FE340F" w:rsidRPr="00A334DB" w:rsidRDefault="00FE340F" w:rsidP="009C062F">
      <w:pPr>
        <w:pStyle w:val="Heading3"/>
        <w:rPr>
          <w:lang w:eastAsia="en-GB"/>
        </w:rPr>
      </w:pPr>
      <w:bookmarkStart w:id="990" w:name="_Toc426723412"/>
      <w:r w:rsidRPr="00A334DB">
        <w:rPr>
          <w:lang w:eastAsia="en-GB"/>
        </w:rPr>
        <w:t>Key Issues</w:t>
      </w:r>
      <w:bookmarkEnd w:id="990"/>
    </w:p>
    <w:p w:rsidR="00FE340F" w:rsidRDefault="00FE340F" w:rsidP="00FE340F">
      <w:pPr>
        <w:spacing w:after="0" w:line="240" w:lineRule="auto"/>
        <w:jc w:val="both"/>
        <w:textAlignment w:val="baseline"/>
        <w:rPr>
          <w:rFonts w:eastAsiaTheme="minorEastAsia" w:cs="Arial"/>
          <w:kern w:val="24"/>
          <w:lang w:eastAsia="en-GB"/>
        </w:rPr>
      </w:pPr>
      <w:r>
        <w:rPr>
          <w:rFonts w:eastAsiaTheme="minorEastAsia" w:cs="Arial"/>
          <w:iCs/>
          <w:kern w:val="24"/>
          <w:lang w:eastAsia="en-GB"/>
        </w:rPr>
        <w:t xml:space="preserve">The current issues are that domestic violence is more familiar within some services and organisations; more than the other VAWG issues, so further work needs to take place on this. </w:t>
      </w:r>
      <w:r>
        <w:rPr>
          <w:rFonts w:eastAsiaTheme="minorEastAsia" w:cs="Arial"/>
          <w:kern w:val="24"/>
          <w:lang w:eastAsia="en-GB"/>
        </w:rPr>
        <w:t xml:space="preserve"> </w:t>
      </w:r>
    </w:p>
    <w:p w:rsidR="00FE340F" w:rsidRDefault="00FE340F" w:rsidP="00FE340F">
      <w:pPr>
        <w:spacing w:after="0" w:line="240" w:lineRule="auto"/>
        <w:jc w:val="both"/>
        <w:textAlignment w:val="baseline"/>
        <w:rPr>
          <w:rFonts w:eastAsiaTheme="minorEastAsia" w:cs="Arial"/>
          <w:kern w:val="24"/>
          <w:lang w:eastAsia="en-GB"/>
        </w:rPr>
      </w:pPr>
    </w:p>
    <w:p w:rsidR="00FE340F" w:rsidRDefault="00FE340F" w:rsidP="008921BF">
      <w:pPr>
        <w:pStyle w:val="ListParagraph"/>
        <w:numPr>
          <w:ilvl w:val="0"/>
          <w:numId w:val="87"/>
        </w:numPr>
        <w:spacing w:after="0" w:line="240" w:lineRule="auto"/>
        <w:jc w:val="both"/>
        <w:textAlignment w:val="baseline"/>
        <w:rPr>
          <w:rFonts w:eastAsiaTheme="minorEastAsia" w:cs="Arial"/>
          <w:iCs/>
          <w:kern w:val="24"/>
          <w:lang w:eastAsia="en-GB"/>
        </w:rPr>
      </w:pPr>
      <w:r>
        <w:rPr>
          <w:rFonts w:eastAsiaTheme="minorEastAsia" w:cs="Arial"/>
          <w:iCs/>
          <w:kern w:val="24"/>
          <w:lang w:eastAsia="en-GB"/>
        </w:rPr>
        <w:t xml:space="preserve">Barnet has a three year Domestic Violence and Violence against Women and Girls Strategy and Action Plan 2013-2016. This is delivered by a whole range of voluntary and statutory partners. </w:t>
      </w:r>
      <w:r w:rsidRPr="00AB24C3">
        <w:rPr>
          <w:rFonts w:eastAsiaTheme="minorEastAsia" w:cs="Arial"/>
          <w:iCs/>
          <w:kern w:val="24"/>
          <w:lang w:eastAsia="en-GB"/>
        </w:rPr>
        <w:t>This include</w:t>
      </w:r>
      <w:r>
        <w:rPr>
          <w:rFonts w:eastAsiaTheme="minorEastAsia" w:cs="Arial"/>
          <w:iCs/>
          <w:kern w:val="24"/>
          <w:lang w:eastAsia="en-GB"/>
        </w:rPr>
        <w:t>s</w:t>
      </w:r>
      <w:r w:rsidRPr="00AB24C3">
        <w:rPr>
          <w:rFonts w:eastAsiaTheme="minorEastAsia" w:cs="Arial"/>
          <w:iCs/>
          <w:kern w:val="24"/>
          <w:lang w:eastAsia="en-GB"/>
        </w:rPr>
        <w:t xml:space="preserve"> domestic violence and abuse, forced marriage, </w:t>
      </w:r>
      <w:r>
        <w:rPr>
          <w:rFonts w:eastAsiaTheme="minorEastAsia" w:cs="Arial"/>
          <w:iCs/>
          <w:kern w:val="24"/>
          <w:lang w:eastAsia="en-GB"/>
        </w:rPr>
        <w:t>h</w:t>
      </w:r>
      <w:r w:rsidRPr="00AB24C3">
        <w:rPr>
          <w:rFonts w:eastAsiaTheme="minorEastAsia" w:cs="Arial"/>
          <w:iCs/>
          <w:kern w:val="24"/>
          <w:lang w:eastAsia="en-GB"/>
        </w:rPr>
        <w:t xml:space="preserve">onour </w:t>
      </w:r>
      <w:r>
        <w:rPr>
          <w:rFonts w:eastAsiaTheme="minorEastAsia" w:cs="Arial"/>
          <w:iCs/>
          <w:kern w:val="24"/>
          <w:lang w:eastAsia="en-GB"/>
        </w:rPr>
        <w:t>b</w:t>
      </w:r>
      <w:r w:rsidRPr="00AB24C3">
        <w:rPr>
          <w:rFonts w:eastAsiaTheme="minorEastAsia" w:cs="Arial"/>
          <w:iCs/>
          <w:kern w:val="24"/>
          <w:lang w:eastAsia="en-GB"/>
        </w:rPr>
        <w:t xml:space="preserve">ased </w:t>
      </w:r>
      <w:r>
        <w:rPr>
          <w:rFonts w:eastAsiaTheme="minorEastAsia" w:cs="Arial"/>
          <w:iCs/>
          <w:kern w:val="24"/>
          <w:lang w:eastAsia="en-GB"/>
        </w:rPr>
        <w:t>v</w:t>
      </w:r>
      <w:r w:rsidRPr="00AB24C3">
        <w:rPr>
          <w:rFonts w:eastAsiaTheme="minorEastAsia" w:cs="Arial"/>
          <w:iCs/>
          <w:kern w:val="24"/>
          <w:lang w:eastAsia="en-GB"/>
        </w:rPr>
        <w:t xml:space="preserve">iolence, prostitution, trafficking, rape and sexual violence, FGM, </w:t>
      </w:r>
      <w:r>
        <w:rPr>
          <w:rFonts w:eastAsiaTheme="minorEastAsia" w:cs="Arial"/>
          <w:iCs/>
          <w:kern w:val="24"/>
          <w:lang w:eastAsia="en-GB"/>
        </w:rPr>
        <w:t>p</w:t>
      </w:r>
      <w:r w:rsidRPr="00AB24C3">
        <w:rPr>
          <w:rFonts w:eastAsiaTheme="minorEastAsia" w:cs="Arial"/>
          <w:iCs/>
          <w:kern w:val="24"/>
          <w:lang w:eastAsia="en-GB"/>
        </w:rPr>
        <w:t xml:space="preserve">eer on </w:t>
      </w:r>
      <w:r>
        <w:rPr>
          <w:rFonts w:eastAsiaTheme="minorEastAsia" w:cs="Arial"/>
          <w:iCs/>
          <w:kern w:val="24"/>
          <w:lang w:eastAsia="en-GB"/>
        </w:rPr>
        <w:t>p</w:t>
      </w:r>
      <w:r w:rsidRPr="00AB24C3">
        <w:rPr>
          <w:rFonts w:eastAsiaTheme="minorEastAsia" w:cs="Arial"/>
          <w:iCs/>
          <w:kern w:val="24"/>
          <w:lang w:eastAsia="en-GB"/>
        </w:rPr>
        <w:t>eer abuse and sexual exploitation.</w:t>
      </w:r>
    </w:p>
    <w:p w:rsidR="00FE340F" w:rsidRDefault="00FE340F" w:rsidP="008921BF">
      <w:pPr>
        <w:pStyle w:val="ListParagraph"/>
        <w:numPr>
          <w:ilvl w:val="0"/>
          <w:numId w:val="87"/>
        </w:numPr>
        <w:spacing w:after="0" w:line="240" w:lineRule="auto"/>
        <w:jc w:val="both"/>
        <w:textAlignment w:val="baseline"/>
        <w:rPr>
          <w:rFonts w:eastAsiaTheme="minorEastAsia" w:cs="Arial"/>
          <w:iCs/>
          <w:kern w:val="24"/>
          <w:lang w:eastAsia="en-GB"/>
        </w:rPr>
      </w:pPr>
      <w:r>
        <w:rPr>
          <w:rFonts w:eastAsiaTheme="minorEastAsia" w:cs="Arial"/>
          <w:iCs/>
          <w:kern w:val="24"/>
          <w:lang w:eastAsia="en-GB"/>
        </w:rPr>
        <w:t xml:space="preserve">Work has also started on the other areas of VAWG, including a level of understanding of where communities might be disproportionately affected by these issues. However, more in-depth work needs to take place on all areas to establish whether there is a need for any additional VAWG services within the Borough. </w:t>
      </w:r>
    </w:p>
    <w:p w:rsidR="00FE340F" w:rsidRPr="00A334DB" w:rsidRDefault="00FE340F" w:rsidP="009C062F">
      <w:pPr>
        <w:pStyle w:val="Heading3"/>
        <w:rPr>
          <w:lang w:eastAsia="en-GB"/>
        </w:rPr>
      </w:pPr>
      <w:bookmarkStart w:id="991" w:name="_Toc426723413"/>
      <w:r w:rsidRPr="00A334DB">
        <w:rPr>
          <w:lang w:eastAsia="en-GB"/>
        </w:rPr>
        <w:t>Multi-Agency Risk Assessment Conference (MARAC)</w:t>
      </w:r>
      <w:bookmarkEnd w:id="991"/>
    </w:p>
    <w:p w:rsidR="00FE340F" w:rsidRDefault="00FE340F" w:rsidP="00FE340F">
      <w:pPr>
        <w:spacing w:after="0" w:line="240" w:lineRule="auto"/>
        <w:jc w:val="both"/>
        <w:textAlignment w:val="baseline"/>
        <w:rPr>
          <w:rFonts w:eastAsiaTheme="minorEastAsia" w:cs="Arial"/>
          <w:iCs/>
          <w:kern w:val="24"/>
          <w:lang w:eastAsia="en-GB"/>
        </w:rPr>
      </w:pPr>
      <w:r w:rsidRPr="00B1135D">
        <w:rPr>
          <w:rFonts w:eastAsiaTheme="minorEastAsia" w:cs="Arial"/>
          <w:iCs/>
          <w:kern w:val="24"/>
          <w:lang w:eastAsia="en-GB"/>
        </w:rPr>
        <w:t xml:space="preserve">In the last three financial years, there has been a steady increase in the number of </w:t>
      </w:r>
      <w:r>
        <w:rPr>
          <w:rFonts w:eastAsiaTheme="minorEastAsia" w:cs="Arial"/>
          <w:iCs/>
          <w:kern w:val="24"/>
          <w:lang w:eastAsia="en-GB"/>
        </w:rPr>
        <w:t xml:space="preserve">DV </w:t>
      </w:r>
      <w:r w:rsidR="00DD3A76" w:rsidRPr="00B1135D">
        <w:rPr>
          <w:rFonts w:eastAsiaTheme="minorEastAsia" w:cs="Arial"/>
          <w:iCs/>
          <w:kern w:val="24"/>
          <w:lang w:eastAsia="en-GB"/>
        </w:rPr>
        <w:t xml:space="preserve">referrals </w:t>
      </w:r>
      <w:r w:rsidR="00DD3A76">
        <w:rPr>
          <w:rFonts w:eastAsiaTheme="minorEastAsia" w:cs="Arial"/>
          <w:iCs/>
          <w:kern w:val="24"/>
          <w:lang w:eastAsia="en-GB"/>
        </w:rPr>
        <w:t>to</w:t>
      </w:r>
      <w:r>
        <w:rPr>
          <w:rFonts w:eastAsiaTheme="minorEastAsia" w:cs="Arial"/>
          <w:iCs/>
          <w:kern w:val="24"/>
          <w:lang w:eastAsia="en-GB"/>
        </w:rPr>
        <w:t xml:space="preserve"> the DV MARAC </w:t>
      </w:r>
      <w:r>
        <w:rPr>
          <w:rFonts w:eastAsiaTheme="minorEastAsia"/>
          <w:kern w:val="24"/>
        </w:rPr>
        <w:t>(</w:t>
      </w:r>
      <w:r w:rsidRPr="006817BF">
        <w:rPr>
          <w:rFonts w:eastAsiaTheme="minorEastAsia" w:cs="Arial"/>
          <w:i/>
          <w:iCs/>
          <w:kern w:val="24"/>
          <w:lang w:eastAsia="en-GB"/>
        </w:rPr>
        <w:t>2012-13</w:t>
      </w:r>
      <w:r w:rsidRPr="006817BF">
        <w:rPr>
          <w:rFonts w:eastAsiaTheme="minorEastAsia" w:cs="Arial"/>
          <w:b/>
          <w:iCs/>
          <w:kern w:val="24"/>
          <w:lang w:eastAsia="en-GB"/>
        </w:rPr>
        <w:t xml:space="preserve"> = 175, </w:t>
      </w:r>
      <w:r w:rsidRPr="006817BF">
        <w:rPr>
          <w:rFonts w:eastAsiaTheme="minorEastAsia" w:cs="Arial"/>
          <w:i/>
          <w:iCs/>
          <w:kern w:val="24"/>
          <w:lang w:eastAsia="en-GB"/>
        </w:rPr>
        <w:t>2013-14</w:t>
      </w:r>
      <w:r w:rsidRPr="006817BF">
        <w:rPr>
          <w:rFonts w:eastAsiaTheme="minorEastAsia" w:cs="Arial"/>
          <w:b/>
          <w:iCs/>
          <w:kern w:val="24"/>
          <w:lang w:eastAsia="en-GB"/>
        </w:rPr>
        <w:t xml:space="preserve">= 234, </w:t>
      </w:r>
      <w:r w:rsidRPr="006817BF">
        <w:rPr>
          <w:rFonts w:eastAsiaTheme="minorEastAsia" w:cs="Arial"/>
          <w:i/>
          <w:iCs/>
          <w:kern w:val="24"/>
          <w:lang w:eastAsia="en-GB"/>
        </w:rPr>
        <w:t>2014-15</w:t>
      </w:r>
      <w:r w:rsidRPr="006817BF">
        <w:rPr>
          <w:rFonts w:eastAsiaTheme="minorEastAsia" w:cs="Arial"/>
          <w:b/>
          <w:iCs/>
          <w:kern w:val="24"/>
          <w:lang w:eastAsia="en-GB"/>
        </w:rPr>
        <w:t>= 311</w:t>
      </w:r>
      <w:r>
        <w:rPr>
          <w:rFonts w:eastAsiaTheme="minorEastAsia" w:cs="Arial"/>
          <w:iCs/>
          <w:kern w:val="24"/>
          <w:lang w:eastAsia="en-GB"/>
        </w:rPr>
        <w:t>) which is interpreted as impact of</w:t>
      </w:r>
      <w:r w:rsidRPr="00B1135D">
        <w:rPr>
          <w:rFonts w:eastAsiaTheme="minorEastAsia" w:cs="Arial"/>
          <w:iCs/>
          <w:kern w:val="24"/>
          <w:lang w:eastAsia="en-GB"/>
        </w:rPr>
        <w:t xml:space="preserve"> the interventions that have been put in </w:t>
      </w:r>
      <w:r>
        <w:rPr>
          <w:rFonts w:eastAsiaTheme="minorEastAsia" w:cs="Arial"/>
          <w:iCs/>
          <w:kern w:val="24"/>
          <w:lang w:eastAsia="en-GB"/>
        </w:rPr>
        <w:t>place to heighten the awareness of agencies and the public to VAWG.</w:t>
      </w:r>
    </w:p>
    <w:p w:rsidR="00FE340F" w:rsidRDefault="00FE340F" w:rsidP="00FE340F">
      <w:pPr>
        <w:spacing w:after="0" w:line="240" w:lineRule="auto"/>
        <w:jc w:val="both"/>
        <w:textAlignment w:val="baseline"/>
        <w:rPr>
          <w:rFonts w:eastAsiaTheme="minorEastAsia" w:cs="Arial"/>
          <w:iCs/>
          <w:kern w:val="24"/>
          <w:lang w:eastAsia="en-GB"/>
        </w:rPr>
      </w:pPr>
    </w:p>
    <w:p w:rsidR="00FE340F" w:rsidRDefault="00FE340F" w:rsidP="00FE340F">
      <w:pPr>
        <w:jc w:val="both"/>
        <w:rPr>
          <w:rFonts w:eastAsiaTheme="minorEastAsia" w:cs="Arial"/>
          <w:iCs/>
          <w:kern w:val="24"/>
          <w:lang w:eastAsia="en-GB"/>
        </w:rPr>
      </w:pPr>
      <w:r>
        <w:rPr>
          <w:rFonts w:eastAsiaTheme="minorEastAsia" w:cs="Arial"/>
          <w:iCs/>
          <w:kern w:val="24"/>
          <w:lang w:eastAsia="en-GB"/>
        </w:rPr>
        <w:t>Of the 311 cases discussed by Barnet’s DV MARAC between 1 January and 31 December 2014, 95% were female victims of DV, with 5% being male.</w:t>
      </w:r>
      <w:r>
        <w:rPr>
          <w:rFonts w:eastAsiaTheme="minorEastAsia"/>
          <w:kern w:val="24"/>
        </w:rPr>
        <w:t xml:space="preserve"> </w:t>
      </w:r>
      <w:r>
        <w:rPr>
          <w:rFonts w:eastAsiaTheme="minorEastAsia" w:cs="Arial"/>
          <w:iCs/>
          <w:kern w:val="24"/>
          <w:lang w:eastAsia="en-GB"/>
        </w:rPr>
        <w:t>The predominant age band of victims in Barnet is between 21–30, with 38% of cases, followed by those aged 31–40.</w:t>
      </w:r>
      <w:r>
        <w:t xml:space="preserve"> </w:t>
      </w:r>
      <w:r>
        <w:rPr>
          <w:rFonts w:eastAsiaTheme="minorEastAsia" w:cs="Arial"/>
          <w:iCs/>
          <w:kern w:val="24"/>
          <w:lang w:eastAsia="en-GB"/>
        </w:rPr>
        <w:t xml:space="preserve">The most common ethnicity is White accounting for with 58% of victims, followed by any Other and Black with 12%. </w:t>
      </w:r>
    </w:p>
    <w:p w:rsidR="00FE340F" w:rsidRDefault="00FE340F" w:rsidP="00FE340F">
      <w:pPr>
        <w:pStyle w:val="Caption"/>
        <w:keepNext/>
        <w:jc w:val="left"/>
        <w:rPr>
          <w:rFonts w:eastAsiaTheme="minorEastAsia" w:cs="Arial"/>
          <w:b w:val="0"/>
          <w:i/>
          <w:iCs/>
          <w:kern w:val="24"/>
          <w:lang w:eastAsia="en-GB"/>
        </w:rPr>
      </w:pPr>
      <w:r>
        <w:t xml:space="preserve">Table </w:t>
      </w:r>
      <w:fldSimple w:instr=" STYLEREF 1 \s ">
        <w:r w:rsidR="001663C2">
          <w:rPr>
            <w:noProof/>
          </w:rPr>
          <w:t>10</w:t>
        </w:r>
      </w:fldSimple>
      <w:r>
        <w:noBreakHyphen/>
      </w:r>
      <w:fldSimple w:instr=" SEQ Table \* ARABIC \s 1 ">
        <w:r w:rsidR="001663C2">
          <w:rPr>
            <w:noProof/>
          </w:rPr>
          <w:t>2</w:t>
        </w:r>
      </w:fldSimple>
      <w:r>
        <w:t>:</w:t>
      </w:r>
      <w:r>
        <w:rPr>
          <w:rFonts w:eastAsiaTheme="minorEastAsia" w:cs="Arial"/>
          <w:b w:val="0"/>
          <w:i/>
          <w:iCs/>
          <w:kern w:val="24"/>
          <w:lang w:eastAsia="en-GB"/>
        </w:rPr>
        <w:t xml:space="preserve"> </w:t>
      </w:r>
      <w:r w:rsidRPr="00C51918">
        <w:rPr>
          <w:rFonts w:eastAsiaTheme="minorEastAsia" w:cs="Arial"/>
          <w:iCs/>
          <w:kern w:val="24"/>
          <w:lang w:eastAsia="en-GB"/>
        </w:rPr>
        <w:t>Age and Ethnicity of Domestic Violence victims</w:t>
      </w:r>
    </w:p>
    <w:tbl>
      <w:tblPr>
        <w:tblStyle w:val="MediumGrid3-Accent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1701"/>
        <w:gridCol w:w="960"/>
        <w:gridCol w:w="1299"/>
        <w:gridCol w:w="1345"/>
        <w:gridCol w:w="1481"/>
      </w:tblGrid>
      <w:tr w:rsidR="00FE340F" w:rsidTr="00E50C6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hideMark/>
          </w:tcPr>
          <w:p w:rsidR="00FE340F" w:rsidRDefault="00FE340F" w:rsidP="00E50C61">
            <w:pPr>
              <w:jc w:val="center"/>
              <w:rPr>
                <w:rFonts w:asciiTheme="minorHAnsi" w:eastAsiaTheme="minorEastAsia" w:hAnsiTheme="minorHAnsi" w:cs="Arial"/>
                <w:bCs w:val="0"/>
                <w:iCs/>
                <w:color w:val="auto"/>
                <w:kern w:val="24"/>
                <w:sz w:val="22"/>
                <w:szCs w:val="22"/>
                <w:lang w:eastAsia="en-GB"/>
              </w:rPr>
            </w:pPr>
            <w:r>
              <w:rPr>
                <w:rFonts w:asciiTheme="minorHAnsi" w:eastAsiaTheme="minorEastAsia" w:hAnsiTheme="minorHAnsi" w:cs="Arial"/>
                <w:bCs w:val="0"/>
                <w:iCs/>
                <w:color w:val="auto"/>
                <w:kern w:val="24"/>
                <w:lang w:eastAsia="en-GB"/>
              </w:rPr>
              <w:t>Age of Victim</w:t>
            </w:r>
          </w:p>
        </w:tc>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hideMark/>
          </w:tcPr>
          <w:p w:rsidR="00FE340F" w:rsidRDefault="00FE340F" w:rsidP="00E50C61">
            <w:pPr>
              <w:jc w:val="center"/>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cs="Arial"/>
                <w:bCs w:val="0"/>
                <w:iCs/>
                <w:color w:val="auto"/>
                <w:kern w:val="24"/>
                <w:sz w:val="22"/>
                <w:szCs w:val="22"/>
                <w:lang w:eastAsia="en-GB"/>
              </w:rPr>
            </w:pPr>
            <w:r>
              <w:rPr>
                <w:rFonts w:asciiTheme="minorHAnsi" w:eastAsiaTheme="minorEastAsia" w:hAnsiTheme="minorHAnsi" w:cs="Arial"/>
                <w:bCs w:val="0"/>
                <w:iCs/>
                <w:color w:val="auto"/>
                <w:kern w:val="24"/>
                <w:lang w:eastAsia="en-GB"/>
              </w:rPr>
              <w:t>Number</w:t>
            </w:r>
          </w:p>
        </w:tc>
        <w:tc>
          <w:tcPr>
            <w:tcW w:w="96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hideMark/>
          </w:tcPr>
          <w:p w:rsidR="00FE340F" w:rsidRDefault="00FE340F" w:rsidP="00E50C61">
            <w:pPr>
              <w:jc w:val="center"/>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cs="Arial"/>
                <w:bCs w:val="0"/>
                <w:iCs/>
                <w:color w:val="auto"/>
                <w:kern w:val="24"/>
                <w:sz w:val="22"/>
                <w:szCs w:val="22"/>
                <w:lang w:eastAsia="en-GB"/>
              </w:rPr>
            </w:pPr>
            <w:r>
              <w:rPr>
                <w:rFonts w:asciiTheme="minorHAnsi" w:eastAsiaTheme="minorEastAsia" w:hAnsiTheme="minorHAnsi" w:cs="Arial"/>
                <w:bCs w:val="0"/>
                <w:iCs/>
                <w:color w:val="auto"/>
                <w:kern w:val="24"/>
                <w:lang w:eastAsia="en-GB"/>
              </w:rPr>
              <w:t>%</w:t>
            </w:r>
          </w:p>
        </w:tc>
        <w:tc>
          <w:tcPr>
            <w:tcW w:w="129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hideMark/>
          </w:tcPr>
          <w:p w:rsidR="00FE340F" w:rsidRDefault="00FE340F" w:rsidP="00E50C61">
            <w:pPr>
              <w:jc w:val="center"/>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cs="Arial"/>
                <w:bCs w:val="0"/>
                <w:iCs/>
                <w:color w:val="auto"/>
                <w:kern w:val="24"/>
                <w:sz w:val="22"/>
                <w:szCs w:val="22"/>
                <w:lang w:eastAsia="en-GB"/>
              </w:rPr>
            </w:pPr>
            <w:r>
              <w:rPr>
                <w:rFonts w:asciiTheme="minorHAnsi" w:eastAsiaTheme="minorEastAsia" w:hAnsiTheme="minorHAnsi" w:cs="Arial"/>
                <w:bCs w:val="0"/>
                <w:iCs/>
                <w:color w:val="auto"/>
                <w:kern w:val="24"/>
                <w:lang w:eastAsia="en-GB"/>
              </w:rPr>
              <w:t>Ethnicity</w:t>
            </w:r>
          </w:p>
        </w:tc>
        <w:tc>
          <w:tcPr>
            <w:tcW w:w="134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hideMark/>
          </w:tcPr>
          <w:p w:rsidR="00FE340F" w:rsidRDefault="00FE340F" w:rsidP="00E50C61">
            <w:pPr>
              <w:jc w:val="center"/>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cs="Arial"/>
                <w:bCs w:val="0"/>
                <w:iCs/>
                <w:color w:val="auto"/>
                <w:kern w:val="24"/>
                <w:sz w:val="22"/>
                <w:szCs w:val="22"/>
                <w:lang w:eastAsia="en-GB"/>
              </w:rPr>
            </w:pPr>
            <w:r>
              <w:rPr>
                <w:rFonts w:asciiTheme="minorHAnsi" w:eastAsiaTheme="minorEastAsia" w:hAnsiTheme="minorHAnsi" w:cs="Arial"/>
                <w:bCs w:val="0"/>
                <w:iCs/>
                <w:color w:val="auto"/>
                <w:kern w:val="24"/>
                <w:lang w:eastAsia="en-GB"/>
              </w:rPr>
              <w:t>Number</w:t>
            </w:r>
          </w:p>
        </w:tc>
        <w:tc>
          <w:tcPr>
            <w:tcW w:w="148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hideMark/>
          </w:tcPr>
          <w:p w:rsidR="00FE340F" w:rsidRDefault="00FE340F" w:rsidP="00E50C61">
            <w:pPr>
              <w:jc w:val="center"/>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cs="Arial"/>
                <w:bCs w:val="0"/>
                <w:iCs/>
                <w:color w:val="auto"/>
                <w:kern w:val="24"/>
                <w:sz w:val="22"/>
                <w:szCs w:val="22"/>
                <w:lang w:eastAsia="en-GB"/>
              </w:rPr>
            </w:pPr>
            <w:r>
              <w:rPr>
                <w:rFonts w:asciiTheme="minorHAnsi" w:eastAsiaTheme="minorEastAsia" w:hAnsiTheme="minorHAnsi" w:cs="Arial"/>
                <w:bCs w:val="0"/>
                <w:iCs/>
                <w:color w:val="auto"/>
                <w:kern w:val="24"/>
                <w:lang w:eastAsia="en-GB"/>
              </w:rPr>
              <w:t>%</w:t>
            </w:r>
          </w:p>
        </w:tc>
      </w:tr>
      <w:tr w:rsidR="00FE340F" w:rsidTr="00E50C6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E340F" w:rsidRDefault="00FE340F" w:rsidP="00E50C61">
            <w:pPr>
              <w:rPr>
                <w:rFonts w:asciiTheme="minorHAnsi" w:eastAsiaTheme="minorEastAsia" w:hAnsiTheme="minorHAnsi" w:cs="Arial"/>
                <w:bCs w:val="0"/>
                <w:iCs/>
                <w:color w:val="auto"/>
                <w:kern w:val="24"/>
                <w:sz w:val="22"/>
                <w:szCs w:val="22"/>
                <w:lang w:eastAsia="en-GB"/>
              </w:rPr>
            </w:pPr>
            <w:r>
              <w:rPr>
                <w:rFonts w:asciiTheme="minorHAnsi" w:eastAsiaTheme="minorEastAsia" w:hAnsiTheme="minorHAnsi" w:cs="Arial"/>
                <w:bCs w:val="0"/>
                <w:iCs/>
                <w:color w:val="auto"/>
                <w:kern w:val="24"/>
                <w:lang w:eastAsia="en-GB"/>
              </w:rPr>
              <w:t>15 - 20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E340F" w:rsidRDefault="00FE340F" w:rsidP="00E50C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iCs/>
                <w:kern w:val="24"/>
                <w:sz w:val="22"/>
                <w:szCs w:val="22"/>
                <w:lang w:eastAsia="en-GB"/>
              </w:rPr>
            </w:pPr>
            <w:r>
              <w:rPr>
                <w:rFonts w:asciiTheme="minorHAnsi" w:eastAsiaTheme="minorEastAsia" w:hAnsiTheme="minorHAnsi" w:cs="Arial"/>
                <w:iCs/>
                <w:kern w:val="24"/>
                <w:lang w:eastAsia="en-GB"/>
              </w:rPr>
              <w:t>26</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FE340F" w:rsidRDefault="00FE340F" w:rsidP="00E50C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iCs/>
                <w:kern w:val="24"/>
                <w:sz w:val="22"/>
                <w:szCs w:val="22"/>
                <w:lang w:eastAsia="en-GB"/>
              </w:rPr>
            </w:pPr>
            <w:r>
              <w:rPr>
                <w:rFonts w:asciiTheme="minorHAnsi" w:eastAsiaTheme="minorEastAsia" w:hAnsiTheme="minorHAnsi" w:cs="Arial"/>
                <w:iCs/>
                <w:kern w:val="24"/>
                <w:lang w:eastAsia="en-GB"/>
              </w:rPr>
              <w:t>8%</w:t>
            </w:r>
          </w:p>
        </w:tc>
        <w:tc>
          <w:tcPr>
            <w:tcW w:w="129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E340F" w:rsidRDefault="00FE340F" w:rsidP="00E50C61">
            <w:pP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b/>
                <w:bCs/>
                <w:iCs/>
                <w:kern w:val="24"/>
                <w:sz w:val="22"/>
                <w:szCs w:val="22"/>
                <w:lang w:eastAsia="en-GB"/>
              </w:rPr>
            </w:pPr>
            <w:r>
              <w:rPr>
                <w:rFonts w:asciiTheme="minorHAnsi" w:eastAsiaTheme="minorEastAsia" w:hAnsiTheme="minorHAnsi" w:cs="Arial"/>
                <w:b/>
                <w:bCs/>
                <w:iCs/>
                <w:kern w:val="24"/>
                <w:lang w:eastAsia="en-GB"/>
              </w:rPr>
              <w:t>White</w:t>
            </w:r>
          </w:p>
        </w:tc>
        <w:tc>
          <w:tcPr>
            <w:tcW w:w="134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E340F" w:rsidRDefault="00FE340F" w:rsidP="00E50C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iCs/>
                <w:kern w:val="24"/>
                <w:sz w:val="22"/>
                <w:szCs w:val="22"/>
                <w:lang w:eastAsia="en-GB"/>
              </w:rPr>
            </w:pPr>
            <w:r>
              <w:rPr>
                <w:rFonts w:asciiTheme="minorHAnsi" w:eastAsiaTheme="minorEastAsia" w:hAnsiTheme="minorHAnsi" w:cs="Arial"/>
                <w:iCs/>
                <w:kern w:val="24"/>
                <w:lang w:eastAsia="en-GB"/>
              </w:rPr>
              <w:t>179</w:t>
            </w:r>
          </w:p>
        </w:tc>
        <w:tc>
          <w:tcPr>
            <w:tcW w:w="148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E340F" w:rsidRDefault="00FE340F" w:rsidP="00E50C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iCs/>
                <w:kern w:val="24"/>
                <w:sz w:val="22"/>
                <w:szCs w:val="22"/>
                <w:lang w:eastAsia="en-GB"/>
              </w:rPr>
            </w:pPr>
            <w:r>
              <w:rPr>
                <w:rFonts w:asciiTheme="minorHAnsi" w:eastAsiaTheme="minorEastAsia" w:hAnsiTheme="minorHAnsi" w:cs="Arial"/>
                <w:iCs/>
                <w:kern w:val="24"/>
                <w:lang w:eastAsia="en-GB"/>
              </w:rPr>
              <w:t>58%</w:t>
            </w:r>
          </w:p>
        </w:tc>
      </w:tr>
      <w:tr w:rsidR="00FE340F" w:rsidTr="00E50C61">
        <w:trPr>
          <w:jc w:val="center"/>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E340F" w:rsidRDefault="00FE340F" w:rsidP="00E50C61">
            <w:pPr>
              <w:rPr>
                <w:rFonts w:asciiTheme="minorHAnsi" w:eastAsiaTheme="minorEastAsia" w:hAnsiTheme="minorHAnsi" w:cs="Arial"/>
                <w:bCs w:val="0"/>
                <w:iCs/>
                <w:color w:val="auto"/>
                <w:kern w:val="24"/>
                <w:sz w:val="22"/>
                <w:szCs w:val="22"/>
                <w:lang w:eastAsia="en-GB"/>
              </w:rPr>
            </w:pPr>
            <w:r>
              <w:rPr>
                <w:rFonts w:asciiTheme="minorHAnsi" w:eastAsiaTheme="minorEastAsia" w:hAnsiTheme="minorHAnsi" w:cs="Arial"/>
                <w:bCs w:val="0"/>
                <w:iCs/>
                <w:color w:val="auto"/>
                <w:kern w:val="24"/>
                <w:lang w:eastAsia="en-GB"/>
              </w:rPr>
              <w:t>21 - 30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E340F" w:rsidRDefault="00FE340F" w:rsidP="00E50C61">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iCs/>
                <w:kern w:val="24"/>
                <w:sz w:val="22"/>
                <w:szCs w:val="22"/>
                <w:lang w:eastAsia="en-GB"/>
              </w:rPr>
            </w:pPr>
            <w:r>
              <w:rPr>
                <w:rFonts w:asciiTheme="minorHAnsi" w:eastAsiaTheme="minorEastAsia" w:hAnsiTheme="minorHAnsi" w:cs="Arial"/>
                <w:iCs/>
                <w:kern w:val="24"/>
                <w:lang w:eastAsia="en-GB"/>
              </w:rPr>
              <w:t>119</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FE340F" w:rsidRDefault="00FE340F" w:rsidP="00E50C61">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iCs/>
                <w:kern w:val="24"/>
                <w:sz w:val="22"/>
                <w:szCs w:val="22"/>
                <w:lang w:eastAsia="en-GB"/>
              </w:rPr>
            </w:pPr>
            <w:r>
              <w:rPr>
                <w:rFonts w:asciiTheme="minorHAnsi" w:eastAsiaTheme="minorEastAsia" w:hAnsiTheme="minorHAnsi" w:cs="Arial"/>
                <w:iCs/>
                <w:kern w:val="24"/>
                <w:lang w:eastAsia="en-GB"/>
              </w:rPr>
              <w:t>38%</w:t>
            </w:r>
          </w:p>
        </w:tc>
        <w:tc>
          <w:tcPr>
            <w:tcW w:w="129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E340F" w:rsidRDefault="00FE340F" w:rsidP="00E50C61">
            <w:pP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b/>
                <w:bCs/>
                <w:iCs/>
                <w:kern w:val="24"/>
                <w:sz w:val="22"/>
                <w:szCs w:val="22"/>
                <w:lang w:eastAsia="en-GB"/>
              </w:rPr>
            </w:pPr>
            <w:r>
              <w:rPr>
                <w:rFonts w:asciiTheme="minorHAnsi" w:eastAsiaTheme="minorEastAsia" w:hAnsiTheme="minorHAnsi" w:cs="Arial"/>
                <w:b/>
                <w:bCs/>
                <w:iCs/>
                <w:kern w:val="24"/>
                <w:lang w:eastAsia="en-GB"/>
              </w:rPr>
              <w:t>Any Other</w:t>
            </w:r>
          </w:p>
        </w:tc>
        <w:tc>
          <w:tcPr>
            <w:tcW w:w="134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E340F" w:rsidRDefault="00FE340F" w:rsidP="00E50C61">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iCs/>
                <w:kern w:val="24"/>
                <w:sz w:val="22"/>
                <w:szCs w:val="22"/>
                <w:lang w:eastAsia="en-GB"/>
              </w:rPr>
            </w:pPr>
            <w:r>
              <w:rPr>
                <w:rFonts w:asciiTheme="minorHAnsi" w:eastAsiaTheme="minorEastAsia" w:hAnsiTheme="minorHAnsi" w:cs="Arial"/>
                <w:iCs/>
                <w:kern w:val="24"/>
                <w:lang w:eastAsia="en-GB"/>
              </w:rPr>
              <w:t>37</w:t>
            </w:r>
          </w:p>
        </w:tc>
        <w:tc>
          <w:tcPr>
            <w:tcW w:w="148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E340F" w:rsidRDefault="00FE340F" w:rsidP="00E50C61">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iCs/>
                <w:kern w:val="24"/>
                <w:sz w:val="22"/>
                <w:szCs w:val="22"/>
                <w:lang w:eastAsia="en-GB"/>
              </w:rPr>
            </w:pPr>
            <w:r>
              <w:rPr>
                <w:rFonts w:asciiTheme="minorHAnsi" w:eastAsiaTheme="minorEastAsia" w:hAnsiTheme="minorHAnsi" w:cs="Arial"/>
                <w:iCs/>
                <w:kern w:val="24"/>
                <w:lang w:eastAsia="en-GB"/>
              </w:rPr>
              <w:t>12%</w:t>
            </w:r>
          </w:p>
        </w:tc>
      </w:tr>
      <w:tr w:rsidR="00FE340F" w:rsidTr="00E50C6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E340F" w:rsidRDefault="00FE340F" w:rsidP="00E50C61">
            <w:pPr>
              <w:rPr>
                <w:rFonts w:asciiTheme="minorHAnsi" w:eastAsiaTheme="minorEastAsia" w:hAnsiTheme="minorHAnsi" w:cs="Arial"/>
                <w:bCs w:val="0"/>
                <w:iCs/>
                <w:color w:val="auto"/>
                <w:kern w:val="24"/>
                <w:sz w:val="22"/>
                <w:szCs w:val="22"/>
                <w:lang w:eastAsia="en-GB"/>
              </w:rPr>
            </w:pPr>
            <w:r>
              <w:rPr>
                <w:rFonts w:asciiTheme="minorHAnsi" w:eastAsiaTheme="minorEastAsia" w:hAnsiTheme="minorHAnsi" w:cs="Arial"/>
                <w:bCs w:val="0"/>
                <w:iCs/>
                <w:color w:val="auto"/>
                <w:kern w:val="24"/>
                <w:lang w:eastAsia="en-GB"/>
              </w:rPr>
              <w:t>31 - 40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E340F" w:rsidRDefault="00FE340F" w:rsidP="00E50C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iCs/>
                <w:kern w:val="24"/>
                <w:sz w:val="22"/>
                <w:szCs w:val="22"/>
                <w:lang w:eastAsia="en-GB"/>
              </w:rPr>
            </w:pPr>
            <w:r>
              <w:rPr>
                <w:rFonts w:asciiTheme="minorHAnsi" w:eastAsiaTheme="minorEastAsia" w:hAnsiTheme="minorHAnsi" w:cs="Arial"/>
                <w:iCs/>
                <w:kern w:val="24"/>
                <w:lang w:eastAsia="en-GB"/>
              </w:rPr>
              <w:t>78</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FE340F" w:rsidRDefault="00FE340F" w:rsidP="00E50C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iCs/>
                <w:kern w:val="24"/>
                <w:sz w:val="22"/>
                <w:szCs w:val="22"/>
                <w:lang w:eastAsia="en-GB"/>
              </w:rPr>
            </w:pPr>
            <w:r>
              <w:rPr>
                <w:rFonts w:asciiTheme="minorHAnsi" w:eastAsiaTheme="minorEastAsia" w:hAnsiTheme="minorHAnsi" w:cs="Arial"/>
                <w:iCs/>
                <w:kern w:val="24"/>
                <w:lang w:eastAsia="en-GB"/>
              </w:rPr>
              <w:t>25%</w:t>
            </w:r>
          </w:p>
        </w:tc>
        <w:tc>
          <w:tcPr>
            <w:tcW w:w="129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E340F" w:rsidRDefault="00FE340F" w:rsidP="00E50C61">
            <w:pP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b/>
                <w:bCs/>
                <w:iCs/>
                <w:kern w:val="24"/>
                <w:sz w:val="22"/>
                <w:szCs w:val="22"/>
                <w:lang w:eastAsia="en-GB"/>
              </w:rPr>
            </w:pPr>
            <w:r>
              <w:rPr>
                <w:rFonts w:asciiTheme="minorHAnsi" w:eastAsiaTheme="minorEastAsia" w:hAnsiTheme="minorHAnsi" w:cs="Arial"/>
                <w:b/>
                <w:bCs/>
                <w:iCs/>
                <w:kern w:val="24"/>
                <w:lang w:eastAsia="en-GB"/>
              </w:rPr>
              <w:t>Black</w:t>
            </w:r>
          </w:p>
        </w:tc>
        <w:tc>
          <w:tcPr>
            <w:tcW w:w="134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E340F" w:rsidRDefault="00FE340F" w:rsidP="00E50C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iCs/>
                <w:kern w:val="24"/>
                <w:sz w:val="22"/>
                <w:szCs w:val="22"/>
                <w:lang w:eastAsia="en-GB"/>
              </w:rPr>
            </w:pPr>
            <w:r>
              <w:rPr>
                <w:rFonts w:asciiTheme="minorHAnsi" w:eastAsiaTheme="minorEastAsia" w:hAnsiTheme="minorHAnsi" w:cs="Arial"/>
                <w:iCs/>
                <w:kern w:val="24"/>
                <w:lang w:eastAsia="en-GB"/>
              </w:rPr>
              <w:t>36</w:t>
            </w:r>
          </w:p>
        </w:tc>
        <w:tc>
          <w:tcPr>
            <w:tcW w:w="148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E340F" w:rsidRDefault="00FE340F" w:rsidP="00E50C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iCs/>
                <w:kern w:val="24"/>
                <w:sz w:val="22"/>
                <w:szCs w:val="22"/>
                <w:lang w:eastAsia="en-GB"/>
              </w:rPr>
            </w:pPr>
            <w:r>
              <w:rPr>
                <w:rFonts w:asciiTheme="minorHAnsi" w:eastAsiaTheme="minorEastAsia" w:hAnsiTheme="minorHAnsi" w:cs="Arial"/>
                <w:iCs/>
                <w:kern w:val="24"/>
                <w:lang w:eastAsia="en-GB"/>
              </w:rPr>
              <w:t>12%</w:t>
            </w:r>
          </w:p>
        </w:tc>
      </w:tr>
      <w:tr w:rsidR="00FE340F" w:rsidTr="00E50C61">
        <w:trPr>
          <w:jc w:val="center"/>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E340F" w:rsidRDefault="00FE340F" w:rsidP="00E50C61">
            <w:pPr>
              <w:rPr>
                <w:rFonts w:asciiTheme="minorHAnsi" w:eastAsiaTheme="minorEastAsia" w:hAnsiTheme="minorHAnsi" w:cs="Arial"/>
                <w:bCs w:val="0"/>
                <w:iCs/>
                <w:color w:val="auto"/>
                <w:kern w:val="24"/>
                <w:sz w:val="22"/>
                <w:szCs w:val="22"/>
                <w:lang w:eastAsia="en-GB"/>
              </w:rPr>
            </w:pPr>
            <w:r>
              <w:rPr>
                <w:rFonts w:asciiTheme="minorHAnsi" w:eastAsiaTheme="minorEastAsia" w:hAnsiTheme="minorHAnsi" w:cs="Arial"/>
                <w:bCs w:val="0"/>
                <w:iCs/>
                <w:color w:val="auto"/>
                <w:kern w:val="24"/>
                <w:lang w:eastAsia="en-GB"/>
              </w:rPr>
              <w:t>41 - 50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E340F" w:rsidRDefault="00FE340F" w:rsidP="00E50C61">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iCs/>
                <w:kern w:val="24"/>
                <w:sz w:val="22"/>
                <w:szCs w:val="22"/>
                <w:lang w:eastAsia="en-GB"/>
              </w:rPr>
            </w:pPr>
            <w:r>
              <w:rPr>
                <w:rFonts w:asciiTheme="minorHAnsi" w:eastAsiaTheme="minorEastAsia" w:hAnsiTheme="minorHAnsi" w:cs="Arial"/>
                <w:iCs/>
                <w:kern w:val="24"/>
                <w:lang w:eastAsia="en-GB"/>
              </w:rPr>
              <w:t>56</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FE340F" w:rsidRDefault="00FE340F" w:rsidP="00E50C61">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iCs/>
                <w:kern w:val="24"/>
                <w:sz w:val="22"/>
                <w:szCs w:val="22"/>
                <w:lang w:eastAsia="en-GB"/>
              </w:rPr>
            </w:pPr>
            <w:r>
              <w:rPr>
                <w:rFonts w:asciiTheme="minorHAnsi" w:eastAsiaTheme="minorEastAsia" w:hAnsiTheme="minorHAnsi" w:cs="Arial"/>
                <w:iCs/>
                <w:kern w:val="24"/>
                <w:lang w:eastAsia="en-GB"/>
              </w:rPr>
              <w:t>18%</w:t>
            </w:r>
          </w:p>
        </w:tc>
        <w:tc>
          <w:tcPr>
            <w:tcW w:w="129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E340F" w:rsidRDefault="00FE340F" w:rsidP="00E50C61">
            <w:pP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b/>
                <w:bCs/>
                <w:iCs/>
                <w:kern w:val="24"/>
                <w:sz w:val="22"/>
                <w:szCs w:val="22"/>
                <w:lang w:eastAsia="en-GB"/>
              </w:rPr>
            </w:pPr>
            <w:r>
              <w:rPr>
                <w:rFonts w:asciiTheme="minorHAnsi" w:eastAsiaTheme="minorEastAsia" w:hAnsiTheme="minorHAnsi" w:cs="Arial"/>
                <w:b/>
                <w:bCs/>
                <w:iCs/>
                <w:kern w:val="24"/>
                <w:lang w:eastAsia="en-GB"/>
              </w:rPr>
              <w:t>Not stated</w:t>
            </w:r>
          </w:p>
        </w:tc>
        <w:tc>
          <w:tcPr>
            <w:tcW w:w="134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E340F" w:rsidRDefault="00FE340F" w:rsidP="00E50C61">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iCs/>
                <w:kern w:val="24"/>
                <w:sz w:val="22"/>
                <w:szCs w:val="22"/>
                <w:lang w:eastAsia="en-GB"/>
              </w:rPr>
            </w:pPr>
            <w:r>
              <w:rPr>
                <w:rFonts w:asciiTheme="minorHAnsi" w:eastAsiaTheme="minorEastAsia" w:hAnsiTheme="minorHAnsi" w:cs="Arial"/>
                <w:iCs/>
                <w:kern w:val="24"/>
                <w:lang w:eastAsia="en-GB"/>
              </w:rPr>
              <w:t>28</w:t>
            </w:r>
          </w:p>
        </w:tc>
        <w:tc>
          <w:tcPr>
            <w:tcW w:w="148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E340F" w:rsidRDefault="00FE340F" w:rsidP="00E50C61">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iCs/>
                <w:kern w:val="24"/>
                <w:sz w:val="22"/>
                <w:szCs w:val="22"/>
                <w:lang w:eastAsia="en-GB"/>
              </w:rPr>
            </w:pPr>
            <w:r>
              <w:rPr>
                <w:rFonts w:asciiTheme="minorHAnsi" w:eastAsiaTheme="minorEastAsia" w:hAnsiTheme="minorHAnsi" w:cs="Arial"/>
                <w:iCs/>
                <w:kern w:val="24"/>
                <w:lang w:eastAsia="en-GB"/>
              </w:rPr>
              <w:t>9%</w:t>
            </w:r>
          </w:p>
        </w:tc>
      </w:tr>
      <w:tr w:rsidR="00FE340F" w:rsidTr="00E50C6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E340F" w:rsidRDefault="00FE340F" w:rsidP="00E50C61">
            <w:pPr>
              <w:rPr>
                <w:rFonts w:asciiTheme="minorHAnsi" w:eastAsiaTheme="minorEastAsia" w:hAnsiTheme="minorHAnsi" w:cs="Arial"/>
                <w:bCs w:val="0"/>
                <w:iCs/>
                <w:color w:val="auto"/>
                <w:kern w:val="24"/>
                <w:sz w:val="22"/>
                <w:szCs w:val="22"/>
                <w:lang w:eastAsia="en-GB"/>
              </w:rPr>
            </w:pPr>
            <w:r>
              <w:rPr>
                <w:rFonts w:asciiTheme="minorHAnsi" w:eastAsiaTheme="minorEastAsia" w:hAnsiTheme="minorHAnsi" w:cs="Arial"/>
                <w:bCs w:val="0"/>
                <w:iCs/>
                <w:color w:val="auto"/>
                <w:kern w:val="24"/>
                <w:lang w:eastAsia="en-GB"/>
              </w:rPr>
              <w:t>51 - 60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E340F" w:rsidRDefault="00FE340F" w:rsidP="00E50C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iCs/>
                <w:kern w:val="24"/>
                <w:sz w:val="22"/>
                <w:szCs w:val="22"/>
                <w:lang w:eastAsia="en-GB"/>
              </w:rPr>
            </w:pPr>
            <w:r>
              <w:rPr>
                <w:rFonts w:asciiTheme="minorHAnsi" w:eastAsiaTheme="minorEastAsia" w:hAnsiTheme="minorHAnsi" w:cs="Arial"/>
                <w:iCs/>
                <w:kern w:val="24"/>
                <w:lang w:eastAsia="en-GB"/>
              </w:rPr>
              <w:t>20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FE340F" w:rsidRDefault="00FE340F" w:rsidP="00E50C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iCs/>
                <w:kern w:val="24"/>
                <w:sz w:val="22"/>
                <w:szCs w:val="22"/>
                <w:lang w:eastAsia="en-GB"/>
              </w:rPr>
            </w:pPr>
            <w:r>
              <w:rPr>
                <w:rFonts w:asciiTheme="minorHAnsi" w:eastAsiaTheme="minorEastAsia" w:hAnsiTheme="minorHAnsi" w:cs="Arial"/>
                <w:iCs/>
                <w:kern w:val="24"/>
                <w:lang w:eastAsia="en-GB"/>
              </w:rPr>
              <w:t>6%</w:t>
            </w:r>
          </w:p>
        </w:tc>
        <w:tc>
          <w:tcPr>
            <w:tcW w:w="129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E340F" w:rsidRDefault="00FE340F" w:rsidP="00E50C61">
            <w:pP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b/>
                <w:bCs/>
                <w:iCs/>
                <w:kern w:val="24"/>
                <w:sz w:val="22"/>
                <w:szCs w:val="22"/>
                <w:lang w:eastAsia="en-GB"/>
              </w:rPr>
            </w:pPr>
            <w:r>
              <w:rPr>
                <w:rFonts w:asciiTheme="minorHAnsi" w:eastAsiaTheme="minorEastAsia" w:hAnsiTheme="minorHAnsi" w:cs="Arial"/>
                <w:b/>
                <w:bCs/>
                <w:iCs/>
                <w:kern w:val="24"/>
                <w:lang w:eastAsia="en-GB"/>
              </w:rPr>
              <w:t>Asian</w:t>
            </w:r>
          </w:p>
        </w:tc>
        <w:tc>
          <w:tcPr>
            <w:tcW w:w="134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E340F" w:rsidRDefault="00FE340F" w:rsidP="00E50C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iCs/>
                <w:kern w:val="24"/>
                <w:sz w:val="22"/>
                <w:szCs w:val="22"/>
                <w:lang w:eastAsia="en-GB"/>
              </w:rPr>
            </w:pPr>
            <w:r>
              <w:rPr>
                <w:rFonts w:asciiTheme="minorHAnsi" w:eastAsiaTheme="minorEastAsia" w:hAnsiTheme="minorHAnsi" w:cs="Arial"/>
                <w:iCs/>
                <w:kern w:val="24"/>
                <w:lang w:eastAsia="en-GB"/>
              </w:rPr>
              <w:t>22</w:t>
            </w:r>
          </w:p>
        </w:tc>
        <w:tc>
          <w:tcPr>
            <w:tcW w:w="148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E340F" w:rsidRDefault="00FE340F" w:rsidP="00E50C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iCs/>
                <w:kern w:val="24"/>
                <w:sz w:val="22"/>
                <w:szCs w:val="22"/>
                <w:lang w:eastAsia="en-GB"/>
              </w:rPr>
            </w:pPr>
            <w:r>
              <w:rPr>
                <w:rFonts w:asciiTheme="minorHAnsi" w:eastAsiaTheme="minorEastAsia" w:hAnsiTheme="minorHAnsi" w:cs="Arial"/>
                <w:iCs/>
                <w:kern w:val="24"/>
                <w:lang w:eastAsia="en-GB"/>
              </w:rPr>
              <w:t>7%</w:t>
            </w:r>
          </w:p>
        </w:tc>
      </w:tr>
      <w:tr w:rsidR="00FE340F" w:rsidTr="00E50C61">
        <w:trPr>
          <w:jc w:val="center"/>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E340F" w:rsidRDefault="00FE340F" w:rsidP="00E50C61">
            <w:pPr>
              <w:rPr>
                <w:rFonts w:asciiTheme="minorHAnsi" w:eastAsiaTheme="minorEastAsia" w:hAnsiTheme="minorHAnsi" w:cs="Arial"/>
                <w:bCs w:val="0"/>
                <w:iCs/>
                <w:color w:val="auto"/>
                <w:kern w:val="24"/>
                <w:sz w:val="22"/>
                <w:szCs w:val="22"/>
                <w:lang w:eastAsia="en-GB"/>
              </w:rPr>
            </w:pPr>
            <w:r>
              <w:rPr>
                <w:rFonts w:asciiTheme="minorHAnsi" w:eastAsiaTheme="minorEastAsia" w:hAnsiTheme="minorHAnsi" w:cs="Arial"/>
                <w:bCs w:val="0"/>
                <w:iCs/>
                <w:color w:val="auto"/>
                <w:kern w:val="24"/>
                <w:lang w:eastAsia="en-GB"/>
              </w:rPr>
              <w:t>61+</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E340F" w:rsidRDefault="00FE340F" w:rsidP="00E50C61">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iCs/>
                <w:kern w:val="24"/>
                <w:sz w:val="22"/>
                <w:szCs w:val="22"/>
                <w:lang w:eastAsia="en-GB"/>
              </w:rPr>
            </w:pPr>
            <w:r>
              <w:rPr>
                <w:rFonts w:asciiTheme="minorHAnsi" w:eastAsiaTheme="minorEastAsia" w:hAnsiTheme="minorHAnsi" w:cs="Arial"/>
                <w:iCs/>
                <w:kern w:val="24"/>
                <w:lang w:eastAsia="en-GB"/>
              </w:rPr>
              <w:t>12</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FE340F" w:rsidRDefault="00FE340F" w:rsidP="00E50C61">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iCs/>
                <w:kern w:val="24"/>
                <w:sz w:val="22"/>
                <w:szCs w:val="22"/>
                <w:lang w:eastAsia="en-GB"/>
              </w:rPr>
            </w:pPr>
            <w:r>
              <w:rPr>
                <w:rFonts w:asciiTheme="minorHAnsi" w:eastAsiaTheme="minorEastAsia" w:hAnsiTheme="minorHAnsi" w:cs="Arial"/>
                <w:iCs/>
                <w:kern w:val="24"/>
                <w:lang w:eastAsia="en-GB"/>
              </w:rPr>
              <w:t>4%</w:t>
            </w:r>
          </w:p>
        </w:tc>
        <w:tc>
          <w:tcPr>
            <w:tcW w:w="129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E340F" w:rsidRDefault="00FE340F" w:rsidP="00E50C61">
            <w:pP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b/>
                <w:bCs/>
                <w:iCs/>
                <w:kern w:val="24"/>
                <w:sz w:val="22"/>
                <w:szCs w:val="22"/>
                <w:lang w:eastAsia="en-GB"/>
              </w:rPr>
            </w:pPr>
            <w:r>
              <w:rPr>
                <w:rFonts w:asciiTheme="minorHAnsi" w:eastAsiaTheme="minorEastAsia" w:hAnsiTheme="minorHAnsi" w:cs="Arial"/>
                <w:b/>
                <w:bCs/>
                <w:iCs/>
                <w:kern w:val="24"/>
                <w:lang w:eastAsia="en-GB"/>
              </w:rPr>
              <w:t>Mixed</w:t>
            </w:r>
          </w:p>
        </w:tc>
        <w:tc>
          <w:tcPr>
            <w:tcW w:w="134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E340F" w:rsidRDefault="00FE340F" w:rsidP="00E50C61">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iCs/>
                <w:kern w:val="24"/>
                <w:sz w:val="22"/>
                <w:szCs w:val="22"/>
                <w:lang w:eastAsia="en-GB"/>
              </w:rPr>
            </w:pPr>
            <w:r>
              <w:rPr>
                <w:rFonts w:asciiTheme="minorHAnsi" w:eastAsiaTheme="minorEastAsia" w:hAnsiTheme="minorHAnsi" w:cs="Arial"/>
                <w:iCs/>
                <w:kern w:val="24"/>
                <w:lang w:eastAsia="en-GB"/>
              </w:rPr>
              <w:t>9</w:t>
            </w:r>
          </w:p>
        </w:tc>
        <w:tc>
          <w:tcPr>
            <w:tcW w:w="148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E340F" w:rsidRDefault="00FE340F" w:rsidP="00E50C61">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iCs/>
                <w:kern w:val="24"/>
                <w:sz w:val="22"/>
                <w:szCs w:val="22"/>
                <w:lang w:eastAsia="en-GB"/>
              </w:rPr>
            </w:pPr>
            <w:r>
              <w:rPr>
                <w:rFonts w:asciiTheme="minorHAnsi" w:eastAsiaTheme="minorEastAsia" w:hAnsiTheme="minorHAnsi" w:cs="Arial"/>
                <w:iCs/>
                <w:kern w:val="24"/>
                <w:lang w:eastAsia="en-GB"/>
              </w:rPr>
              <w:t>3%</w:t>
            </w:r>
          </w:p>
        </w:tc>
      </w:tr>
      <w:tr w:rsidR="00FE340F" w:rsidTr="00E50C6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E340F" w:rsidRDefault="00FE340F" w:rsidP="00E50C61">
            <w:pPr>
              <w:rPr>
                <w:rFonts w:asciiTheme="minorHAnsi" w:eastAsiaTheme="minorEastAsia" w:hAnsiTheme="minorHAnsi" w:cs="Arial"/>
                <w:bCs w:val="0"/>
                <w:iCs/>
                <w:color w:val="auto"/>
                <w:kern w:val="24"/>
                <w:sz w:val="22"/>
                <w:szCs w:val="22"/>
                <w:lang w:eastAsia="en-GB"/>
              </w:rPr>
            </w:pPr>
            <w:r>
              <w:rPr>
                <w:rFonts w:asciiTheme="minorHAnsi" w:eastAsiaTheme="minorEastAsia" w:hAnsiTheme="minorHAnsi" w:cs="Arial"/>
                <w:bCs w:val="0"/>
                <w:iCs/>
                <w:color w:val="auto"/>
                <w:kern w:val="24"/>
                <w:lang w:eastAsia="en-GB"/>
              </w:rPr>
              <w:t>Total</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E340F" w:rsidRDefault="00FE340F" w:rsidP="00E50C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iCs/>
                <w:kern w:val="24"/>
                <w:sz w:val="22"/>
                <w:szCs w:val="22"/>
                <w:lang w:eastAsia="en-GB"/>
              </w:rPr>
            </w:pPr>
            <w:r>
              <w:rPr>
                <w:rFonts w:asciiTheme="minorHAnsi" w:eastAsiaTheme="minorEastAsia" w:hAnsiTheme="minorHAnsi" w:cs="Arial"/>
                <w:iCs/>
                <w:kern w:val="24"/>
                <w:lang w:eastAsia="en-GB"/>
              </w:rPr>
              <w:t>311</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FE340F" w:rsidRDefault="00FE340F" w:rsidP="00E50C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iCs/>
                <w:kern w:val="24"/>
                <w:sz w:val="22"/>
                <w:szCs w:val="22"/>
                <w:lang w:eastAsia="en-GB"/>
              </w:rPr>
            </w:pPr>
            <w:r>
              <w:rPr>
                <w:rFonts w:asciiTheme="minorHAnsi" w:eastAsiaTheme="minorEastAsia" w:hAnsiTheme="minorHAnsi" w:cs="Arial"/>
                <w:iCs/>
                <w:kern w:val="24"/>
                <w:lang w:eastAsia="en-GB"/>
              </w:rPr>
              <w:t>100%</w:t>
            </w:r>
          </w:p>
        </w:tc>
        <w:tc>
          <w:tcPr>
            <w:tcW w:w="129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E340F" w:rsidRDefault="00FE340F" w:rsidP="00E50C61">
            <w:pP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b/>
                <w:bCs/>
                <w:iCs/>
                <w:kern w:val="24"/>
                <w:sz w:val="22"/>
                <w:szCs w:val="22"/>
                <w:lang w:eastAsia="en-GB"/>
              </w:rPr>
            </w:pPr>
            <w:r>
              <w:rPr>
                <w:rFonts w:asciiTheme="minorHAnsi" w:eastAsiaTheme="minorEastAsia" w:hAnsiTheme="minorHAnsi" w:cs="Arial"/>
                <w:b/>
                <w:bCs/>
                <w:iCs/>
                <w:kern w:val="24"/>
                <w:lang w:eastAsia="en-GB"/>
              </w:rPr>
              <w:t>Total</w:t>
            </w:r>
          </w:p>
        </w:tc>
        <w:tc>
          <w:tcPr>
            <w:tcW w:w="134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E340F" w:rsidRDefault="00FE340F" w:rsidP="00E50C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iCs/>
                <w:kern w:val="24"/>
                <w:sz w:val="22"/>
                <w:szCs w:val="22"/>
                <w:lang w:eastAsia="en-GB"/>
              </w:rPr>
            </w:pPr>
            <w:r>
              <w:rPr>
                <w:rFonts w:asciiTheme="minorHAnsi" w:eastAsiaTheme="minorEastAsia" w:hAnsiTheme="minorHAnsi" w:cs="Arial"/>
                <w:iCs/>
                <w:kern w:val="24"/>
                <w:lang w:eastAsia="en-GB"/>
              </w:rPr>
              <w:t>311</w:t>
            </w:r>
          </w:p>
        </w:tc>
        <w:tc>
          <w:tcPr>
            <w:tcW w:w="148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E340F" w:rsidRDefault="00FE340F" w:rsidP="00E50C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iCs/>
                <w:kern w:val="24"/>
                <w:sz w:val="22"/>
                <w:szCs w:val="22"/>
                <w:lang w:eastAsia="en-GB"/>
              </w:rPr>
            </w:pPr>
            <w:r>
              <w:rPr>
                <w:rFonts w:asciiTheme="minorHAnsi" w:eastAsiaTheme="minorEastAsia" w:hAnsiTheme="minorHAnsi" w:cs="Arial"/>
                <w:iCs/>
                <w:kern w:val="24"/>
                <w:lang w:eastAsia="en-GB"/>
              </w:rPr>
              <w:t>100%</w:t>
            </w:r>
          </w:p>
        </w:tc>
      </w:tr>
    </w:tbl>
    <w:p w:rsidR="00FE340F" w:rsidRDefault="00FE340F" w:rsidP="00FE340F">
      <w:pPr>
        <w:spacing w:after="0" w:line="240" w:lineRule="auto"/>
        <w:rPr>
          <w:rFonts w:eastAsiaTheme="minorEastAsia" w:cs="Arial"/>
          <w:iCs/>
          <w:kern w:val="24"/>
          <w:lang w:eastAsia="en-GB"/>
        </w:rPr>
      </w:pPr>
      <w:r>
        <w:rPr>
          <w:rFonts w:eastAsiaTheme="minorEastAsia" w:cs="Arial"/>
          <w:iCs/>
          <w:kern w:val="24"/>
          <w:lang w:eastAsia="en-GB"/>
        </w:rPr>
        <w:t>Source: Extract from MARAC database</w:t>
      </w:r>
    </w:p>
    <w:p w:rsidR="00FE340F" w:rsidRDefault="00FE340F" w:rsidP="00FE340F">
      <w:pPr>
        <w:spacing w:after="0" w:line="240" w:lineRule="auto"/>
        <w:jc w:val="both"/>
        <w:rPr>
          <w:rFonts w:eastAsiaTheme="minorEastAsia" w:cs="Arial"/>
          <w:iCs/>
          <w:kern w:val="24"/>
          <w:lang w:eastAsia="en-GB"/>
        </w:rPr>
      </w:pPr>
      <w:r>
        <w:rPr>
          <w:rFonts w:eastAsiaTheme="minorEastAsia" w:cs="Arial"/>
          <w:iCs/>
          <w:kern w:val="24"/>
          <w:lang w:eastAsia="en-GB"/>
        </w:rPr>
        <w:lastRenderedPageBreak/>
        <w:t>The primary addresses for this cohort of cases are spread across the Borough, with the majority of victims residing in some of the areas with the highest levels of deprivation such as B</w:t>
      </w:r>
      <w:r w:rsidR="00316FA6">
        <w:rPr>
          <w:rFonts w:eastAsiaTheme="minorEastAsia" w:cs="Arial"/>
          <w:iCs/>
          <w:kern w:val="24"/>
          <w:lang w:eastAsia="en-GB"/>
        </w:rPr>
        <w:t>urnt Oak</w:t>
      </w:r>
      <w:r>
        <w:rPr>
          <w:rFonts w:eastAsiaTheme="minorEastAsia" w:cs="Arial"/>
          <w:iCs/>
          <w:kern w:val="24"/>
          <w:lang w:eastAsia="en-GB"/>
        </w:rPr>
        <w:t xml:space="preserve">, Childs Hill and Colindale. </w:t>
      </w:r>
      <w:r w:rsidR="00316FA6">
        <w:rPr>
          <w:rFonts w:eastAsiaTheme="minorEastAsia" w:cs="Arial"/>
          <w:iCs/>
          <w:kern w:val="24"/>
          <w:lang w:eastAsia="en-GB"/>
        </w:rPr>
        <w:t xml:space="preserve">Also, a large proportion of cases come from Out-of-Borough (OOB). </w:t>
      </w:r>
    </w:p>
    <w:p w:rsidR="00FE340F" w:rsidRDefault="00FE340F" w:rsidP="00FE340F">
      <w:pPr>
        <w:spacing w:after="0" w:line="240" w:lineRule="auto"/>
        <w:rPr>
          <w:rFonts w:eastAsiaTheme="minorEastAsia" w:cs="Arial"/>
          <w:iCs/>
          <w:kern w:val="24"/>
          <w:lang w:eastAsia="en-GB"/>
        </w:rPr>
      </w:pPr>
    </w:p>
    <w:p w:rsidR="00FE340F" w:rsidRDefault="00FE340F" w:rsidP="00FE340F">
      <w:pPr>
        <w:pStyle w:val="Caption"/>
        <w:rPr>
          <w:rFonts w:eastAsiaTheme="minorEastAsia" w:cs="Arial"/>
          <w:iCs/>
          <w:kern w:val="24"/>
          <w:lang w:eastAsia="en-GB"/>
        </w:rPr>
      </w:pPr>
      <w:r>
        <w:t xml:space="preserve">Figure </w:t>
      </w:r>
      <w:fldSimple w:instr=" STYLEREF 1 \s ">
        <w:r w:rsidR="001663C2">
          <w:rPr>
            <w:noProof/>
          </w:rPr>
          <w:t>10</w:t>
        </w:r>
      </w:fldSimple>
      <w:r w:rsidR="00943DC2">
        <w:noBreakHyphen/>
      </w:r>
      <w:fldSimple w:instr=" SEQ Figure \* ARABIC \s 1 ">
        <w:r w:rsidR="001663C2">
          <w:rPr>
            <w:noProof/>
          </w:rPr>
          <w:t>2</w:t>
        </w:r>
      </w:fldSimple>
      <w:r>
        <w:t xml:space="preserve">: </w:t>
      </w:r>
      <w:r w:rsidRPr="00C51918">
        <w:rPr>
          <w:rFonts w:eastAsiaTheme="minorEastAsia" w:cs="Arial"/>
          <w:iCs/>
          <w:kern w:val="24"/>
          <w:lang w:eastAsia="en-GB"/>
        </w:rPr>
        <w:t>Primary address of Domestic Violence victims by Barnet Ward</w:t>
      </w:r>
    </w:p>
    <w:p w:rsidR="00FE340F" w:rsidRDefault="00FE340F" w:rsidP="00FE340F">
      <w:pPr>
        <w:spacing w:after="0" w:line="240" w:lineRule="auto"/>
        <w:rPr>
          <w:lang w:eastAsia="en-GB"/>
        </w:rPr>
      </w:pPr>
      <w:r>
        <w:rPr>
          <w:noProof/>
          <w:lang w:eastAsia="en-GB"/>
        </w:rPr>
        <w:drawing>
          <wp:inline distT="0" distB="0" distL="0" distR="0" wp14:anchorId="5CB6AD8A" wp14:editId="672C7B6C">
            <wp:extent cx="5676900" cy="2533650"/>
            <wp:effectExtent l="0" t="0" r="19050" b="19050"/>
            <wp:docPr id="49177" name="Chart 4917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4"/>
              </a:graphicData>
            </a:graphic>
          </wp:inline>
        </w:drawing>
      </w:r>
    </w:p>
    <w:p w:rsidR="00FE340F" w:rsidRDefault="00FE340F" w:rsidP="00FE340F">
      <w:pPr>
        <w:spacing w:after="0" w:line="240" w:lineRule="auto"/>
        <w:textAlignment w:val="baseline"/>
        <w:rPr>
          <w:rFonts w:eastAsiaTheme="minorEastAsia" w:cs="Arial"/>
          <w:iCs/>
          <w:kern w:val="24"/>
          <w:lang w:eastAsia="en-GB"/>
        </w:rPr>
      </w:pPr>
      <w:r>
        <w:rPr>
          <w:rFonts w:eastAsiaTheme="minorEastAsia"/>
          <w:kern w:val="24"/>
        </w:rPr>
        <w:t xml:space="preserve">Source: </w:t>
      </w:r>
      <w:r>
        <w:rPr>
          <w:rFonts w:eastAsiaTheme="minorEastAsia" w:cs="Arial"/>
          <w:iCs/>
          <w:kern w:val="24"/>
          <w:lang w:eastAsia="en-GB"/>
        </w:rPr>
        <w:t>Extract from MARAC database</w:t>
      </w:r>
    </w:p>
    <w:p w:rsidR="00FE340F" w:rsidRDefault="00FE340F" w:rsidP="00FE340F">
      <w:pPr>
        <w:spacing w:after="0" w:line="240" w:lineRule="auto"/>
        <w:rPr>
          <w:rFonts w:eastAsiaTheme="minorEastAsia" w:cs="Arial"/>
          <w:iCs/>
          <w:kern w:val="24"/>
          <w:lang w:eastAsia="en-GB"/>
        </w:rPr>
      </w:pPr>
    </w:p>
    <w:p w:rsidR="00FE340F" w:rsidRDefault="00FE340F" w:rsidP="00FE340F">
      <w:pPr>
        <w:spacing w:after="0" w:line="240" w:lineRule="auto"/>
        <w:jc w:val="both"/>
        <w:rPr>
          <w:rFonts w:eastAsiaTheme="minorEastAsia" w:cs="Arial"/>
          <w:iCs/>
          <w:kern w:val="24"/>
          <w:lang w:eastAsia="en-GB"/>
        </w:rPr>
      </w:pPr>
      <w:r>
        <w:rPr>
          <w:rFonts w:eastAsiaTheme="minorEastAsia" w:cs="Arial"/>
          <w:iCs/>
          <w:kern w:val="24"/>
          <w:lang w:eastAsia="en-GB"/>
        </w:rPr>
        <w:t xml:space="preserve">Of the 311 cases that were referred, 205 of these had children. The majority of cases involved one child (45%) as shown in Table 3. </w:t>
      </w:r>
    </w:p>
    <w:p w:rsidR="00FE340F" w:rsidRDefault="00FE340F" w:rsidP="00FE340F">
      <w:pPr>
        <w:spacing w:after="0" w:line="240" w:lineRule="auto"/>
        <w:rPr>
          <w:rFonts w:eastAsiaTheme="minorEastAsia" w:cs="Arial"/>
          <w:iCs/>
          <w:kern w:val="24"/>
          <w:lang w:eastAsia="en-GB"/>
        </w:rPr>
      </w:pPr>
    </w:p>
    <w:p w:rsidR="00FE340F" w:rsidRDefault="00FE340F" w:rsidP="00FE340F">
      <w:pPr>
        <w:pStyle w:val="Caption"/>
        <w:keepNext/>
        <w:jc w:val="left"/>
        <w:rPr>
          <w:rFonts w:eastAsiaTheme="minorEastAsia" w:cs="Arial"/>
          <w:b w:val="0"/>
          <w:i/>
          <w:iCs/>
          <w:kern w:val="24"/>
          <w:lang w:eastAsia="en-GB"/>
        </w:rPr>
      </w:pPr>
      <w:r>
        <w:t xml:space="preserve">Table </w:t>
      </w:r>
      <w:fldSimple w:instr=" STYLEREF 1 \s ">
        <w:r w:rsidR="001663C2">
          <w:rPr>
            <w:noProof/>
          </w:rPr>
          <w:t>10</w:t>
        </w:r>
      </w:fldSimple>
      <w:r>
        <w:noBreakHyphen/>
      </w:r>
      <w:fldSimple w:instr=" SEQ Table \* ARABIC \s 1 ">
        <w:r w:rsidR="001663C2">
          <w:rPr>
            <w:noProof/>
          </w:rPr>
          <w:t>3</w:t>
        </w:r>
      </w:fldSimple>
      <w:r>
        <w:t xml:space="preserve">: </w:t>
      </w:r>
      <w:r w:rsidRPr="00C51918">
        <w:rPr>
          <w:rFonts w:eastAsiaTheme="minorEastAsia" w:cs="Arial"/>
          <w:iCs/>
          <w:kern w:val="24"/>
          <w:lang w:eastAsia="en-GB"/>
        </w:rPr>
        <w:t>Number of Children per Family</w:t>
      </w:r>
    </w:p>
    <w:tbl>
      <w:tblPr>
        <w:tblStyle w:val="MediumGrid3-Accent3"/>
        <w:tblW w:w="0" w:type="auto"/>
        <w:jc w:val="center"/>
        <w:tblInd w:w="-6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3"/>
        <w:gridCol w:w="1383"/>
        <w:gridCol w:w="1283"/>
      </w:tblGrid>
      <w:tr w:rsidR="00FE340F" w:rsidTr="00E50C6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5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FE340F" w:rsidRDefault="00FE340F" w:rsidP="00E50C61">
            <w:pPr>
              <w:jc w:val="center"/>
              <w:rPr>
                <w:rFonts w:asciiTheme="minorHAnsi" w:eastAsiaTheme="minorEastAsia" w:hAnsiTheme="minorHAnsi" w:cs="Arial"/>
                <w:iCs/>
                <w:color w:val="auto"/>
                <w:kern w:val="24"/>
                <w:sz w:val="22"/>
                <w:szCs w:val="22"/>
                <w:lang w:eastAsia="en-GB"/>
              </w:rPr>
            </w:pPr>
            <w:r>
              <w:rPr>
                <w:rFonts w:asciiTheme="minorHAnsi" w:eastAsiaTheme="minorEastAsia" w:hAnsiTheme="minorHAnsi" w:cs="Arial"/>
                <w:iCs/>
                <w:color w:val="auto"/>
                <w:kern w:val="24"/>
                <w:lang w:eastAsia="en-GB"/>
              </w:rPr>
              <w:t>Children per Family</w:t>
            </w:r>
          </w:p>
        </w:tc>
        <w:tc>
          <w:tcPr>
            <w:tcW w:w="138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FE340F" w:rsidRDefault="00FE340F" w:rsidP="00E50C61">
            <w:pPr>
              <w:jc w:val="center"/>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cs="Arial"/>
                <w:iCs/>
                <w:color w:val="auto"/>
                <w:kern w:val="24"/>
                <w:sz w:val="22"/>
                <w:szCs w:val="22"/>
                <w:lang w:eastAsia="en-GB"/>
              </w:rPr>
            </w:pPr>
            <w:r>
              <w:rPr>
                <w:rFonts w:asciiTheme="minorHAnsi" w:eastAsiaTheme="minorEastAsia" w:hAnsiTheme="minorHAnsi" w:cs="Arial"/>
                <w:iCs/>
                <w:color w:val="auto"/>
                <w:kern w:val="24"/>
                <w:lang w:eastAsia="en-GB"/>
              </w:rPr>
              <w:t>Number</w:t>
            </w:r>
          </w:p>
        </w:tc>
        <w:tc>
          <w:tcPr>
            <w:tcW w:w="128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FE340F" w:rsidRDefault="00FE340F" w:rsidP="00E50C61">
            <w:pPr>
              <w:jc w:val="center"/>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cs="Arial"/>
                <w:iCs/>
                <w:color w:val="auto"/>
                <w:kern w:val="24"/>
                <w:sz w:val="22"/>
                <w:szCs w:val="22"/>
                <w:lang w:eastAsia="en-GB"/>
              </w:rPr>
            </w:pPr>
            <w:r>
              <w:rPr>
                <w:rFonts w:asciiTheme="minorHAnsi" w:eastAsiaTheme="minorEastAsia" w:hAnsiTheme="minorHAnsi" w:cs="Arial"/>
                <w:iCs/>
                <w:color w:val="auto"/>
                <w:kern w:val="24"/>
                <w:lang w:eastAsia="en-GB"/>
              </w:rPr>
              <w:t>%</w:t>
            </w:r>
          </w:p>
        </w:tc>
      </w:tr>
      <w:tr w:rsidR="00FE340F" w:rsidTr="00E50C6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FE340F" w:rsidRDefault="00FE340F" w:rsidP="00E50C61">
            <w:pPr>
              <w:jc w:val="center"/>
              <w:rPr>
                <w:rFonts w:asciiTheme="minorHAnsi" w:eastAsiaTheme="minorEastAsia" w:hAnsiTheme="minorHAnsi" w:cs="Arial"/>
                <w:iCs/>
                <w:color w:val="auto"/>
                <w:kern w:val="24"/>
                <w:sz w:val="22"/>
                <w:szCs w:val="22"/>
                <w:lang w:eastAsia="en-GB"/>
              </w:rPr>
            </w:pPr>
            <w:r>
              <w:rPr>
                <w:rFonts w:asciiTheme="minorHAnsi" w:eastAsiaTheme="minorEastAsia" w:hAnsiTheme="minorHAnsi" w:cs="Arial"/>
                <w:iCs/>
                <w:color w:val="auto"/>
                <w:kern w:val="24"/>
                <w:lang w:eastAsia="en-GB"/>
              </w:rPr>
              <w:t>1 Child</w:t>
            </w:r>
          </w:p>
        </w:tc>
        <w:tc>
          <w:tcPr>
            <w:tcW w:w="138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FE340F" w:rsidRDefault="00FE340F" w:rsidP="00E50C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iCs/>
                <w:kern w:val="24"/>
                <w:sz w:val="22"/>
                <w:szCs w:val="22"/>
                <w:lang w:eastAsia="en-GB"/>
              </w:rPr>
            </w:pPr>
            <w:r>
              <w:rPr>
                <w:rFonts w:asciiTheme="minorHAnsi" w:eastAsiaTheme="minorEastAsia" w:hAnsiTheme="minorHAnsi" w:cs="Arial"/>
                <w:iCs/>
                <w:kern w:val="24"/>
                <w:lang w:eastAsia="en-GB"/>
              </w:rPr>
              <w:t>93</w:t>
            </w:r>
          </w:p>
        </w:tc>
        <w:tc>
          <w:tcPr>
            <w:tcW w:w="128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FE340F" w:rsidRDefault="00FE340F" w:rsidP="00E50C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iCs/>
                <w:kern w:val="24"/>
                <w:sz w:val="22"/>
                <w:szCs w:val="22"/>
                <w:lang w:eastAsia="en-GB"/>
              </w:rPr>
            </w:pPr>
            <w:r>
              <w:rPr>
                <w:rFonts w:asciiTheme="minorHAnsi" w:eastAsiaTheme="minorEastAsia" w:hAnsiTheme="minorHAnsi" w:cs="Arial"/>
                <w:iCs/>
                <w:kern w:val="24"/>
                <w:lang w:eastAsia="en-GB"/>
              </w:rPr>
              <w:t>45%</w:t>
            </w:r>
          </w:p>
        </w:tc>
      </w:tr>
      <w:tr w:rsidR="00FE340F" w:rsidTr="00E50C61">
        <w:trPr>
          <w:jc w:val="center"/>
        </w:trPr>
        <w:tc>
          <w:tcPr>
            <w:cnfStyle w:val="001000000000" w:firstRow="0" w:lastRow="0" w:firstColumn="1" w:lastColumn="0" w:oddVBand="0" w:evenVBand="0" w:oddHBand="0" w:evenHBand="0" w:firstRowFirstColumn="0" w:firstRowLastColumn="0" w:lastRowFirstColumn="0" w:lastRowLastColumn="0"/>
            <w:tcW w:w="22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FE340F" w:rsidRDefault="00FE340F" w:rsidP="00E50C61">
            <w:pPr>
              <w:jc w:val="center"/>
              <w:rPr>
                <w:rFonts w:asciiTheme="minorHAnsi" w:eastAsiaTheme="minorEastAsia" w:hAnsiTheme="minorHAnsi" w:cs="Arial"/>
                <w:iCs/>
                <w:color w:val="auto"/>
                <w:kern w:val="24"/>
                <w:sz w:val="22"/>
                <w:szCs w:val="22"/>
                <w:lang w:eastAsia="en-GB"/>
              </w:rPr>
            </w:pPr>
            <w:r>
              <w:rPr>
                <w:rFonts w:asciiTheme="minorHAnsi" w:eastAsiaTheme="minorEastAsia" w:hAnsiTheme="minorHAnsi" w:cs="Arial"/>
                <w:iCs/>
                <w:color w:val="auto"/>
                <w:kern w:val="24"/>
                <w:lang w:eastAsia="en-GB"/>
              </w:rPr>
              <w:t>2 Children</w:t>
            </w:r>
          </w:p>
        </w:tc>
        <w:tc>
          <w:tcPr>
            <w:tcW w:w="138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FE340F" w:rsidRDefault="00FE340F" w:rsidP="00E50C61">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iCs/>
                <w:kern w:val="24"/>
                <w:sz w:val="22"/>
                <w:szCs w:val="22"/>
                <w:lang w:eastAsia="en-GB"/>
              </w:rPr>
            </w:pPr>
            <w:r>
              <w:rPr>
                <w:rFonts w:asciiTheme="minorHAnsi" w:eastAsiaTheme="minorEastAsia" w:hAnsiTheme="minorHAnsi" w:cs="Arial"/>
                <w:iCs/>
                <w:kern w:val="24"/>
                <w:lang w:eastAsia="en-GB"/>
              </w:rPr>
              <w:t>64</w:t>
            </w:r>
          </w:p>
        </w:tc>
        <w:tc>
          <w:tcPr>
            <w:tcW w:w="128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FE340F" w:rsidRDefault="00FE340F" w:rsidP="00E50C61">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iCs/>
                <w:kern w:val="24"/>
                <w:sz w:val="22"/>
                <w:szCs w:val="22"/>
                <w:lang w:eastAsia="en-GB"/>
              </w:rPr>
            </w:pPr>
            <w:r>
              <w:rPr>
                <w:rFonts w:asciiTheme="minorHAnsi" w:eastAsiaTheme="minorEastAsia" w:hAnsiTheme="minorHAnsi" w:cs="Arial"/>
                <w:iCs/>
                <w:kern w:val="24"/>
                <w:lang w:eastAsia="en-GB"/>
              </w:rPr>
              <w:t>31%</w:t>
            </w:r>
          </w:p>
        </w:tc>
      </w:tr>
      <w:tr w:rsidR="00FE340F" w:rsidTr="00E50C6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FE340F" w:rsidRDefault="00FE340F" w:rsidP="00E50C61">
            <w:pPr>
              <w:jc w:val="center"/>
              <w:rPr>
                <w:rFonts w:asciiTheme="minorHAnsi" w:eastAsiaTheme="minorEastAsia" w:hAnsiTheme="minorHAnsi" w:cs="Arial"/>
                <w:iCs/>
                <w:color w:val="auto"/>
                <w:kern w:val="24"/>
                <w:sz w:val="22"/>
                <w:szCs w:val="22"/>
                <w:lang w:eastAsia="en-GB"/>
              </w:rPr>
            </w:pPr>
            <w:r>
              <w:rPr>
                <w:rFonts w:asciiTheme="minorHAnsi" w:eastAsiaTheme="minorEastAsia" w:hAnsiTheme="minorHAnsi" w:cs="Arial"/>
                <w:iCs/>
                <w:color w:val="auto"/>
                <w:kern w:val="24"/>
                <w:lang w:eastAsia="en-GB"/>
              </w:rPr>
              <w:t>3 Children</w:t>
            </w:r>
          </w:p>
        </w:tc>
        <w:tc>
          <w:tcPr>
            <w:tcW w:w="138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FE340F" w:rsidRDefault="00FE340F" w:rsidP="00E50C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iCs/>
                <w:kern w:val="24"/>
                <w:sz w:val="22"/>
                <w:szCs w:val="22"/>
                <w:lang w:eastAsia="en-GB"/>
              </w:rPr>
            </w:pPr>
            <w:r>
              <w:rPr>
                <w:rFonts w:asciiTheme="minorHAnsi" w:eastAsiaTheme="minorEastAsia" w:hAnsiTheme="minorHAnsi" w:cs="Arial"/>
                <w:iCs/>
                <w:kern w:val="24"/>
                <w:lang w:eastAsia="en-GB"/>
              </w:rPr>
              <w:t>34</w:t>
            </w:r>
          </w:p>
        </w:tc>
        <w:tc>
          <w:tcPr>
            <w:tcW w:w="128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FE340F" w:rsidRDefault="00FE340F" w:rsidP="00E50C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iCs/>
                <w:kern w:val="24"/>
                <w:sz w:val="22"/>
                <w:szCs w:val="22"/>
                <w:lang w:eastAsia="en-GB"/>
              </w:rPr>
            </w:pPr>
            <w:r>
              <w:rPr>
                <w:rFonts w:asciiTheme="minorHAnsi" w:eastAsiaTheme="minorEastAsia" w:hAnsiTheme="minorHAnsi" w:cs="Arial"/>
                <w:iCs/>
                <w:kern w:val="24"/>
                <w:lang w:eastAsia="en-GB"/>
              </w:rPr>
              <w:t>17%</w:t>
            </w:r>
          </w:p>
        </w:tc>
      </w:tr>
      <w:tr w:rsidR="00FE340F" w:rsidTr="00E50C61">
        <w:trPr>
          <w:jc w:val="center"/>
        </w:trPr>
        <w:tc>
          <w:tcPr>
            <w:cnfStyle w:val="001000000000" w:firstRow="0" w:lastRow="0" w:firstColumn="1" w:lastColumn="0" w:oddVBand="0" w:evenVBand="0" w:oddHBand="0" w:evenHBand="0" w:firstRowFirstColumn="0" w:firstRowLastColumn="0" w:lastRowFirstColumn="0" w:lastRowLastColumn="0"/>
            <w:tcW w:w="22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FE340F" w:rsidRDefault="00FE340F" w:rsidP="00E50C61">
            <w:pPr>
              <w:jc w:val="center"/>
              <w:rPr>
                <w:rFonts w:asciiTheme="minorHAnsi" w:eastAsiaTheme="minorEastAsia" w:hAnsiTheme="minorHAnsi" w:cs="Arial"/>
                <w:iCs/>
                <w:color w:val="auto"/>
                <w:kern w:val="24"/>
                <w:sz w:val="22"/>
                <w:szCs w:val="22"/>
                <w:lang w:eastAsia="en-GB"/>
              </w:rPr>
            </w:pPr>
            <w:r>
              <w:rPr>
                <w:rFonts w:asciiTheme="minorHAnsi" w:eastAsiaTheme="minorEastAsia" w:hAnsiTheme="minorHAnsi" w:cs="Arial"/>
                <w:iCs/>
                <w:color w:val="auto"/>
                <w:kern w:val="24"/>
                <w:lang w:eastAsia="en-GB"/>
              </w:rPr>
              <w:t>4+ Children</w:t>
            </w:r>
          </w:p>
        </w:tc>
        <w:tc>
          <w:tcPr>
            <w:tcW w:w="138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FE340F" w:rsidRDefault="00FE340F" w:rsidP="00E50C61">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iCs/>
                <w:kern w:val="24"/>
                <w:sz w:val="22"/>
                <w:szCs w:val="22"/>
                <w:lang w:eastAsia="en-GB"/>
              </w:rPr>
            </w:pPr>
            <w:r>
              <w:rPr>
                <w:rFonts w:asciiTheme="minorHAnsi" w:eastAsiaTheme="minorEastAsia" w:hAnsiTheme="minorHAnsi" w:cs="Arial"/>
                <w:iCs/>
                <w:kern w:val="24"/>
                <w:lang w:eastAsia="en-GB"/>
              </w:rPr>
              <w:t>14</w:t>
            </w:r>
          </w:p>
        </w:tc>
        <w:tc>
          <w:tcPr>
            <w:tcW w:w="128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FE340F" w:rsidRDefault="00FE340F" w:rsidP="00E50C61">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iCs/>
                <w:kern w:val="24"/>
                <w:sz w:val="22"/>
                <w:szCs w:val="22"/>
                <w:lang w:eastAsia="en-GB"/>
              </w:rPr>
            </w:pPr>
            <w:r>
              <w:rPr>
                <w:rFonts w:asciiTheme="minorHAnsi" w:eastAsiaTheme="minorEastAsia" w:hAnsiTheme="minorHAnsi" w:cs="Arial"/>
                <w:iCs/>
                <w:kern w:val="24"/>
                <w:lang w:eastAsia="en-GB"/>
              </w:rPr>
              <w:t>7%</w:t>
            </w:r>
          </w:p>
        </w:tc>
      </w:tr>
      <w:tr w:rsidR="00FE340F" w:rsidTr="00E50C6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FE340F" w:rsidRDefault="00FE340F" w:rsidP="00E50C61">
            <w:pPr>
              <w:jc w:val="center"/>
              <w:rPr>
                <w:rFonts w:asciiTheme="minorHAnsi" w:eastAsiaTheme="minorEastAsia" w:hAnsiTheme="minorHAnsi" w:cs="Arial"/>
                <w:iCs/>
                <w:color w:val="auto"/>
                <w:kern w:val="24"/>
                <w:sz w:val="22"/>
                <w:szCs w:val="22"/>
                <w:lang w:eastAsia="en-GB"/>
              </w:rPr>
            </w:pPr>
            <w:r>
              <w:rPr>
                <w:rFonts w:asciiTheme="minorHAnsi" w:eastAsiaTheme="minorEastAsia" w:hAnsiTheme="minorHAnsi" w:cs="Arial"/>
                <w:iCs/>
                <w:color w:val="auto"/>
                <w:kern w:val="24"/>
                <w:lang w:eastAsia="en-GB"/>
              </w:rPr>
              <w:t>Total</w:t>
            </w:r>
          </w:p>
        </w:tc>
        <w:tc>
          <w:tcPr>
            <w:tcW w:w="138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FE340F" w:rsidRDefault="00FE340F" w:rsidP="00E50C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iCs/>
                <w:kern w:val="24"/>
                <w:sz w:val="22"/>
                <w:szCs w:val="22"/>
                <w:lang w:eastAsia="en-GB"/>
              </w:rPr>
            </w:pPr>
            <w:r>
              <w:rPr>
                <w:rFonts w:asciiTheme="minorHAnsi" w:eastAsiaTheme="minorEastAsia" w:hAnsiTheme="minorHAnsi" w:cs="Arial"/>
                <w:iCs/>
                <w:kern w:val="24"/>
                <w:lang w:eastAsia="en-GB"/>
              </w:rPr>
              <w:t>205</w:t>
            </w:r>
          </w:p>
        </w:tc>
        <w:tc>
          <w:tcPr>
            <w:tcW w:w="128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FE340F" w:rsidRDefault="00FE340F" w:rsidP="00E50C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iCs/>
                <w:kern w:val="24"/>
                <w:sz w:val="22"/>
                <w:szCs w:val="22"/>
                <w:lang w:eastAsia="en-GB"/>
              </w:rPr>
            </w:pPr>
            <w:r>
              <w:rPr>
                <w:rFonts w:asciiTheme="minorHAnsi" w:eastAsiaTheme="minorEastAsia" w:hAnsiTheme="minorHAnsi" w:cs="Arial"/>
                <w:iCs/>
                <w:kern w:val="24"/>
                <w:lang w:eastAsia="en-GB"/>
              </w:rPr>
              <w:t>100%</w:t>
            </w:r>
          </w:p>
        </w:tc>
      </w:tr>
    </w:tbl>
    <w:p w:rsidR="00FE340F" w:rsidRDefault="00FE340F" w:rsidP="00FE340F">
      <w:pPr>
        <w:spacing w:after="0" w:line="240" w:lineRule="auto"/>
        <w:rPr>
          <w:rFonts w:eastAsiaTheme="minorEastAsia" w:cs="Arial"/>
          <w:iCs/>
          <w:kern w:val="24"/>
          <w:lang w:eastAsia="en-GB"/>
        </w:rPr>
      </w:pPr>
      <w:r>
        <w:rPr>
          <w:rFonts w:eastAsiaTheme="minorEastAsia" w:cs="Arial"/>
          <w:iCs/>
          <w:kern w:val="24"/>
          <w:lang w:eastAsia="en-GB"/>
        </w:rPr>
        <w:t>Source: Extract from MARAC database</w:t>
      </w:r>
    </w:p>
    <w:p w:rsidR="00FE340F" w:rsidRDefault="00FE340F" w:rsidP="00FE340F">
      <w:pPr>
        <w:spacing w:after="0" w:line="240" w:lineRule="auto"/>
        <w:rPr>
          <w:rFonts w:eastAsiaTheme="minorEastAsia" w:cs="Arial"/>
          <w:iCs/>
          <w:kern w:val="24"/>
          <w:lang w:eastAsia="en-GB"/>
        </w:rPr>
      </w:pPr>
    </w:p>
    <w:p w:rsidR="00FE340F" w:rsidRDefault="00FE340F" w:rsidP="00FE340F">
      <w:pPr>
        <w:spacing w:after="0" w:line="240" w:lineRule="auto"/>
        <w:rPr>
          <w:rFonts w:eastAsiaTheme="minorEastAsia" w:cs="Arial"/>
          <w:iCs/>
          <w:kern w:val="24"/>
          <w:lang w:eastAsia="en-GB"/>
        </w:rPr>
      </w:pPr>
      <w:r>
        <w:rPr>
          <w:rFonts w:eastAsiaTheme="minorEastAsia" w:cs="Arial"/>
          <w:iCs/>
          <w:kern w:val="24"/>
          <w:lang w:eastAsia="en-GB"/>
        </w:rPr>
        <w:t>Overall, there were 386 children linked to the 311 referrals made to Barnet’s MARAC. The prevalent age bands of these children were the 0-4 (35%) and 5-9 groups (33%).</w:t>
      </w:r>
    </w:p>
    <w:p w:rsidR="00FE340F" w:rsidRDefault="00FE340F" w:rsidP="00FE340F">
      <w:pPr>
        <w:spacing w:after="0" w:line="240" w:lineRule="auto"/>
        <w:rPr>
          <w:rFonts w:eastAsiaTheme="minorEastAsia" w:cs="Arial"/>
          <w:iCs/>
          <w:kern w:val="24"/>
          <w:lang w:eastAsia="en-GB"/>
        </w:rPr>
      </w:pPr>
    </w:p>
    <w:p w:rsidR="00FE340F" w:rsidRDefault="00FE340F" w:rsidP="00FE340F">
      <w:pPr>
        <w:pStyle w:val="Caption"/>
        <w:keepNext/>
        <w:jc w:val="left"/>
        <w:rPr>
          <w:rFonts w:eastAsiaTheme="minorEastAsia" w:cs="Arial"/>
          <w:b w:val="0"/>
          <w:i/>
          <w:iCs/>
          <w:kern w:val="24"/>
          <w:lang w:eastAsia="en-GB"/>
        </w:rPr>
      </w:pPr>
      <w:r>
        <w:t xml:space="preserve">Table </w:t>
      </w:r>
      <w:fldSimple w:instr=" STYLEREF 1 \s ">
        <w:r w:rsidR="001663C2">
          <w:rPr>
            <w:noProof/>
          </w:rPr>
          <w:t>10</w:t>
        </w:r>
      </w:fldSimple>
      <w:r>
        <w:noBreakHyphen/>
      </w:r>
      <w:fldSimple w:instr=" SEQ Table \* ARABIC \s 1 ">
        <w:r w:rsidR="001663C2">
          <w:rPr>
            <w:noProof/>
          </w:rPr>
          <w:t>4</w:t>
        </w:r>
      </w:fldSimple>
      <w:r w:rsidRPr="00C51918">
        <w:t xml:space="preserve">: </w:t>
      </w:r>
      <w:r w:rsidRPr="00C51918">
        <w:rPr>
          <w:rFonts w:eastAsiaTheme="minorEastAsia" w:cs="Arial"/>
          <w:i/>
          <w:iCs/>
          <w:kern w:val="24"/>
          <w:lang w:eastAsia="en-GB"/>
        </w:rPr>
        <w:t>Age of Children</w:t>
      </w:r>
    </w:p>
    <w:tbl>
      <w:tblPr>
        <w:tblStyle w:val="MediumGrid3-Accent3"/>
        <w:tblW w:w="0" w:type="auto"/>
        <w:jc w:val="center"/>
        <w:tblInd w:w="-2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3"/>
        <w:gridCol w:w="1701"/>
        <w:gridCol w:w="965"/>
      </w:tblGrid>
      <w:tr w:rsidR="00FE340F" w:rsidTr="00E50C6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3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FE340F" w:rsidRDefault="00FE340F" w:rsidP="00E50C61">
            <w:pPr>
              <w:jc w:val="center"/>
              <w:rPr>
                <w:rFonts w:asciiTheme="minorHAnsi" w:eastAsiaTheme="minorEastAsia" w:hAnsiTheme="minorHAnsi" w:cs="Arial"/>
                <w:iCs/>
                <w:color w:val="auto"/>
                <w:kern w:val="24"/>
                <w:sz w:val="22"/>
                <w:szCs w:val="22"/>
                <w:lang w:eastAsia="en-GB"/>
              </w:rPr>
            </w:pPr>
            <w:r>
              <w:rPr>
                <w:rFonts w:asciiTheme="minorHAnsi" w:eastAsiaTheme="minorEastAsia" w:hAnsiTheme="minorHAnsi" w:cs="Arial"/>
                <w:iCs/>
                <w:color w:val="auto"/>
                <w:kern w:val="24"/>
                <w:lang w:eastAsia="en-GB"/>
              </w:rPr>
              <w:t>Age of Children</w:t>
            </w:r>
          </w:p>
        </w:tc>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FE340F" w:rsidRDefault="00FE340F" w:rsidP="00E50C61">
            <w:pPr>
              <w:jc w:val="center"/>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cs="Arial"/>
                <w:iCs/>
                <w:color w:val="auto"/>
                <w:kern w:val="24"/>
                <w:sz w:val="22"/>
                <w:szCs w:val="22"/>
                <w:lang w:eastAsia="en-GB"/>
              </w:rPr>
            </w:pPr>
            <w:r>
              <w:rPr>
                <w:rFonts w:asciiTheme="minorHAnsi" w:eastAsiaTheme="minorEastAsia" w:hAnsiTheme="minorHAnsi" w:cs="Arial"/>
                <w:iCs/>
                <w:color w:val="auto"/>
                <w:kern w:val="24"/>
                <w:lang w:eastAsia="en-GB"/>
              </w:rPr>
              <w:t>Number</w:t>
            </w:r>
          </w:p>
        </w:tc>
        <w:tc>
          <w:tcPr>
            <w:tcW w:w="96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FE340F" w:rsidRDefault="00FE340F" w:rsidP="00E50C61">
            <w:pPr>
              <w:jc w:val="center"/>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cs="Arial"/>
                <w:iCs/>
                <w:color w:val="auto"/>
                <w:kern w:val="24"/>
                <w:sz w:val="22"/>
                <w:szCs w:val="22"/>
                <w:lang w:eastAsia="en-GB"/>
              </w:rPr>
            </w:pPr>
            <w:r>
              <w:rPr>
                <w:rFonts w:asciiTheme="minorHAnsi" w:eastAsiaTheme="minorEastAsia" w:hAnsiTheme="minorHAnsi" w:cs="Arial"/>
                <w:iCs/>
                <w:color w:val="auto"/>
                <w:kern w:val="24"/>
                <w:lang w:eastAsia="en-GB"/>
              </w:rPr>
              <w:t>%</w:t>
            </w:r>
          </w:p>
        </w:tc>
      </w:tr>
      <w:tr w:rsidR="00FE340F" w:rsidTr="00E50C6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3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E340F" w:rsidRDefault="00FE340F" w:rsidP="00E50C61">
            <w:pPr>
              <w:jc w:val="center"/>
              <w:rPr>
                <w:rFonts w:asciiTheme="minorHAnsi" w:eastAsiaTheme="minorEastAsia" w:hAnsiTheme="minorHAnsi" w:cs="Arial"/>
                <w:iCs/>
                <w:color w:val="auto"/>
                <w:kern w:val="24"/>
                <w:sz w:val="22"/>
                <w:szCs w:val="22"/>
                <w:lang w:eastAsia="en-GB"/>
              </w:rPr>
            </w:pPr>
            <w:r>
              <w:rPr>
                <w:rFonts w:asciiTheme="minorHAnsi" w:eastAsiaTheme="minorEastAsia" w:hAnsiTheme="minorHAnsi" w:cs="Arial"/>
                <w:iCs/>
                <w:color w:val="auto"/>
                <w:kern w:val="24"/>
                <w:lang w:eastAsia="en-GB"/>
              </w:rPr>
              <w:t>0-4</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E340F" w:rsidRDefault="00FE340F" w:rsidP="00E50C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iCs/>
                <w:kern w:val="24"/>
                <w:sz w:val="22"/>
                <w:szCs w:val="22"/>
                <w:lang w:eastAsia="en-GB"/>
              </w:rPr>
            </w:pPr>
            <w:r>
              <w:rPr>
                <w:rFonts w:asciiTheme="minorHAnsi" w:eastAsiaTheme="minorEastAsia" w:hAnsiTheme="minorHAnsi" w:cs="Arial"/>
                <w:iCs/>
                <w:kern w:val="24"/>
                <w:lang w:eastAsia="en-GB"/>
              </w:rPr>
              <w:t>137</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E340F" w:rsidRDefault="00FE340F" w:rsidP="00E50C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iCs/>
                <w:kern w:val="24"/>
                <w:sz w:val="22"/>
                <w:szCs w:val="22"/>
                <w:lang w:eastAsia="en-GB"/>
              </w:rPr>
            </w:pPr>
            <w:r>
              <w:rPr>
                <w:rFonts w:asciiTheme="minorHAnsi" w:eastAsiaTheme="minorEastAsia" w:hAnsiTheme="minorHAnsi" w:cs="Arial"/>
                <w:iCs/>
                <w:kern w:val="24"/>
                <w:lang w:eastAsia="en-GB"/>
              </w:rPr>
              <w:t>35%</w:t>
            </w:r>
          </w:p>
        </w:tc>
      </w:tr>
      <w:tr w:rsidR="00FE340F" w:rsidTr="00E50C61">
        <w:trPr>
          <w:jc w:val="center"/>
        </w:trPr>
        <w:tc>
          <w:tcPr>
            <w:cnfStyle w:val="001000000000" w:firstRow="0" w:lastRow="0" w:firstColumn="1" w:lastColumn="0" w:oddVBand="0" w:evenVBand="0" w:oddHBand="0" w:evenHBand="0" w:firstRowFirstColumn="0" w:firstRowLastColumn="0" w:lastRowFirstColumn="0" w:lastRowLastColumn="0"/>
            <w:tcW w:w="183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E340F" w:rsidRDefault="00FE340F" w:rsidP="00E50C61">
            <w:pPr>
              <w:jc w:val="center"/>
              <w:rPr>
                <w:rFonts w:asciiTheme="minorHAnsi" w:eastAsiaTheme="minorEastAsia" w:hAnsiTheme="minorHAnsi" w:cs="Arial"/>
                <w:iCs/>
                <w:color w:val="auto"/>
                <w:kern w:val="24"/>
                <w:sz w:val="22"/>
                <w:szCs w:val="22"/>
                <w:lang w:eastAsia="en-GB"/>
              </w:rPr>
            </w:pPr>
            <w:r>
              <w:rPr>
                <w:rFonts w:asciiTheme="minorHAnsi" w:eastAsiaTheme="minorEastAsia" w:hAnsiTheme="minorHAnsi" w:cs="Arial"/>
                <w:iCs/>
                <w:color w:val="auto"/>
                <w:kern w:val="24"/>
                <w:lang w:eastAsia="en-GB"/>
              </w:rPr>
              <w:t>5 - 9</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E340F" w:rsidRDefault="00FE340F" w:rsidP="00E50C61">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iCs/>
                <w:kern w:val="24"/>
                <w:sz w:val="22"/>
                <w:szCs w:val="22"/>
                <w:lang w:eastAsia="en-GB"/>
              </w:rPr>
            </w:pPr>
            <w:r>
              <w:rPr>
                <w:rFonts w:asciiTheme="minorHAnsi" w:eastAsiaTheme="minorEastAsia" w:hAnsiTheme="minorHAnsi" w:cs="Arial"/>
                <w:iCs/>
                <w:kern w:val="24"/>
                <w:lang w:eastAsia="en-GB"/>
              </w:rPr>
              <w:t>127</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E340F" w:rsidRDefault="00FE340F" w:rsidP="00E50C61">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iCs/>
                <w:kern w:val="24"/>
                <w:sz w:val="22"/>
                <w:szCs w:val="22"/>
                <w:lang w:eastAsia="en-GB"/>
              </w:rPr>
            </w:pPr>
            <w:r>
              <w:rPr>
                <w:rFonts w:asciiTheme="minorHAnsi" w:eastAsiaTheme="minorEastAsia" w:hAnsiTheme="minorHAnsi" w:cs="Arial"/>
                <w:iCs/>
                <w:kern w:val="24"/>
                <w:lang w:eastAsia="en-GB"/>
              </w:rPr>
              <w:t>33%</w:t>
            </w:r>
          </w:p>
        </w:tc>
      </w:tr>
      <w:tr w:rsidR="00FE340F" w:rsidTr="00E50C6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3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E340F" w:rsidRDefault="00FE340F" w:rsidP="00E50C61">
            <w:pPr>
              <w:jc w:val="center"/>
              <w:rPr>
                <w:rFonts w:asciiTheme="minorHAnsi" w:eastAsiaTheme="minorEastAsia" w:hAnsiTheme="minorHAnsi" w:cs="Arial"/>
                <w:iCs/>
                <w:color w:val="auto"/>
                <w:kern w:val="24"/>
                <w:sz w:val="22"/>
                <w:szCs w:val="22"/>
                <w:lang w:eastAsia="en-GB"/>
              </w:rPr>
            </w:pPr>
            <w:r>
              <w:rPr>
                <w:rFonts w:asciiTheme="minorHAnsi" w:eastAsiaTheme="minorEastAsia" w:hAnsiTheme="minorHAnsi" w:cs="Arial"/>
                <w:iCs/>
                <w:color w:val="auto"/>
                <w:kern w:val="24"/>
                <w:lang w:eastAsia="en-GB"/>
              </w:rPr>
              <w:t>10 - 15</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E340F" w:rsidRDefault="00FE340F" w:rsidP="00E50C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iCs/>
                <w:kern w:val="24"/>
                <w:sz w:val="22"/>
                <w:szCs w:val="22"/>
                <w:lang w:eastAsia="en-GB"/>
              </w:rPr>
            </w:pPr>
            <w:r>
              <w:rPr>
                <w:rFonts w:asciiTheme="minorHAnsi" w:eastAsiaTheme="minorEastAsia" w:hAnsiTheme="minorHAnsi" w:cs="Arial"/>
                <w:iCs/>
                <w:kern w:val="24"/>
                <w:lang w:eastAsia="en-GB"/>
              </w:rPr>
              <w:t>92</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E340F" w:rsidRDefault="00FE340F" w:rsidP="00E50C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iCs/>
                <w:kern w:val="24"/>
                <w:sz w:val="22"/>
                <w:szCs w:val="22"/>
                <w:lang w:eastAsia="en-GB"/>
              </w:rPr>
            </w:pPr>
            <w:r>
              <w:rPr>
                <w:rFonts w:asciiTheme="minorHAnsi" w:eastAsiaTheme="minorEastAsia" w:hAnsiTheme="minorHAnsi" w:cs="Arial"/>
                <w:iCs/>
                <w:kern w:val="24"/>
                <w:lang w:eastAsia="en-GB"/>
              </w:rPr>
              <w:t>24%</w:t>
            </w:r>
          </w:p>
        </w:tc>
      </w:tr>
      <w:tr w:rsidR="00FE340F" w:rsidTr="00E50C61">
        <w:trPr>
          <w:jc w:val="center"/>
        </w:trPr>
        <w:tc>
          <w:tcPr>
            <w:cnfStyle w:val="001000000000" w:firstRow="0" w:lastRow="0" w:firstColumn="1" w:lastColumn="0" w:oddVBand="0" w:evenVBand="0" w:oddHBand="0" w:evenHBand="0" w:firstRowFirstColumn="0" w:firstRowLastColumn="0" w:lastRowFirstColumn="0" w:lastRowLastColumn="0"/>
            <w:tcW w:w="183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E340F" w:rsidRDefault="00FE340F" w:rsidP="00E50C61">
            <w:pPr>
              <w:jc w:val="center"/>
              <w:rPr>
                <w:rFonts w:asciiTheme="minorHAnsi" w:eastAsiaTheme="minorEastAsia" w:hAnsiTheme="minorHAnsi" w:cs="Arial"/>
                <w:iCs/>
                <w:color w:val="auto"/>
                <w:kern w:val="24"/>
                <w:sz w:val="22"/>
                <w:szCs w:val="22"/>
                <w:lang w:eastAsia="en-GB"/>
              </w:rPr>
            </w:pPr>
            <w:r>
              <w:rPr>
                <w:rFonts w:asciiTheme="minorHAnsi" w:eastAsiaTheme="minorEastAsia" w:hAnsiTheme="minorHAnsi" w:cs="Arial"/>
                <w:iCs/>
                <w:color w:val="auto"/>
                <w:kern w:val="24"/>
                <w:lang w:eastAsia="en-GB"/>
              </w:rPr>
              <w:t>16+</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E340F" w:rsidRDefault="00FE340F" w:rsidP="00E50C61">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iCs/>
                <w:kern w:val="24"/>
                <w:sz w:val="22"/>
                <w:szCs w:val="22"/>
                <w:lang w:eastAsia="en-GB"/>
              </w:rPr>
            </w:pPr>
            <w:r>
              <w:rPr>
                <w:rFonts w:asciiTheme="minorHAnsi" w:eastAsiaTheme="minorEastAsia" w:hAnsiTheme="minorHAnsi" w:cs="Arial"/>
                <w:iCs/>
                <w:kern w:val="24"/>
                <w:lang w:eastAsia="en-GB"/>
              </w:rPr>
              <w:t>30</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E340F" w:rsidRDefault="00FE340F" w:rsidP="00E50C61">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Arial"/>
                <w:iCs/>
                <w:kern w:val="24"/>
                <w:sz w:val="22"/>
                <w:szCs w:val="22"/>
                <w:lang w:eastAsia="en-GB"/>
              </w:rPr>
            </w:pPr>
            <w:r>
              <w:rPr>
                <w:rFonts w:asciiTheme="minorHAnsi" w:eastAsiaTheme="minorEastAsia" w:hAnsiTheme="minorHAnsi" w:cs="Arial"/>
                <w:iCs/>
                <w:kern w:val="24"/>
                <w:lang w:eastAsia="en-GB"/>
              </w:rPr>
              <w:t>8%</w:t>
            </w:r>
          </w:p>
        </w:tc>
      </w:tr>
      <w:tr w:rsidR="00FE340F" w:rsidTr="00E50C6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3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E340F" w:rsidRDefault="00FE340F" w:rsidP="00E50C61">
            <w:pPr>
              <w:jc w:val="center"/>
              <w:rPr>
                <w:rFonts w:asciiTheme="minorHAnsi" w:eastAsiaTheme="minorEastAsia" w:hAnsiTheme="minorHAnsi" w:cs="Arial"/>
                <w:iCs/>
                <w:color w:val="auto"/>
                <w:kern w:val="24"/>
                <w:sz w:val="22"/>
                <w:szCs w:val="22"/>
                <w:lang w:eastAsia="en-GB"/>
              </w:rPr>
            </w:pPr>
            <w:r>
              <w:rPr>
                <w:rFonts w:asciiTheme="minorHAnsi" w:eastAsiaTheme="minorEastAsia" w:hAnsiTheme="minorHAnsi" w:cs="Arial"/>
                <w:iCs/>
                <w:color w:val="auto"/>
                <w:kern w:val="24"/>
                <w:lang w:eastAsia="en-GB"/>
              </w:rPr>
              <w:t>Total</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E340F" w:rsidRDefault="00FE340F" w:rsidP="00E50C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iCs/>
                <w:kern w:val="24"/>
                <w:sz w:val="22"/>
                <w:szCs w:val="22"/>
                <w:lang w:eastAsia="en-GB"/>
              </w:rPr>
            </w:pPr>
            <w:r>
              <w:rPr>
                <w:rFonts w:asciiTheme="minorHAnsi" w:eastAsiaTheme="minorEastAsia" w:hAnsiTheme="minorHAnsi" w:cs="Arial"/>
                <w:iCs/>
                <w:kern w:val="24"/>
                <w:lang w:eastAsia="en-GB"/>
              </w:rPr>
              <w:t>386</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E340F" w:rsidRDefault="00FE340F" w:rsidP="00E50C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Arial"/>
                <w:iCs/>
                <w:kern w:val="24"/>
                <w:sz w:val="22"/>
                <w:szCs w:val="22"/>
                <w:lang w:eastAsia="en-GB"/>
              </w:rPr>
            </w:pPr>
            <w:r>
              <w:rPr>
                <w:rFonts w:asciiTheme="minorHAnsi" w:eastAsiaTheme="minorEastAsia" w:hAnsiTheme="minorHAnsi" w:cs="Arial"/>
                <w:iCs/>
                <w:kern w:val="24"/>
                <w:lang w:eastAsia="en-GB"/>
              </w:rPr>
              <w:t>100%</w:t>
            </w:r>
          </w:p>
        </w:tc>
      </w:tr>
    </w:tbl>
    <w:p w:rsidR="00FE340F" w:rsidRDefault="00FE340F" w:rsidP="00FE340F">
      <w:pPr>
        <w:spacing w:after="0" w:line="240" w:lineRule="auto"/>
        <w:textAlignment w:val="baseline"/>
        <w:rPr>
          <w:rFonts w:eastAsiaTheme="minorEastAsia" w:cs="Arial"/>
          <w:iCs/>
          <w:kern w:val="24"/>
          <w:lang w:eastAsia="en-GB"/>
        </w:rPr>
      </w:pPr>
      <w:r>
        <w:rPr>
          <w:rFonts w:eastAsiaTheme="minorEastAsia" w:cs="Arial"/>
          <w:iCs/>
          <w:kern w:val="24"/>
          <w:lang w:eastAsia="en-GB"/>
        </w:rPr>
        <w:t>Source: Extract from MARAC database</w:t>
      </w:r>
    </w:p>
    <w:p w:rsidR="00FE340F" w:rsidRDefault="00FE340F" w:rsidP="00FE340F">
      <w:pPr>
        <w:pStyle w:val="Heading3"/>
        <w:rPr>
          <w:rFonts w:eastAsiaTheme="minorEastAsia"/>
        </w:rPr>
      </w:pPr>
      <w:r w:rsidRPr="00A334DB">
        <w:t>Domestic Violence Advocacy and Support Services</w:t>
      </w:r>
    </w:p>
    <w:p w:rsidR="00FE340F" w:rsidRPr="00A334DB" w:rsidRDefault="00FE340F" w:rsidP="00FE340F">
      <w:pPr>
        <w:pStyle w:val="Heading4"/>
      </w:pPr>
      <w:r w:rsidRPr="00A334DB">
        <w:t>Refuge Provision</w:t>
      </w:r>
    </w:p>
    <w:p w:rsidR="00FE340F" w:rsidRDefault="00702B67" w:rsidP="00FE340F">
      <w:pPr>
        <w:spacing w:after="0" w:line="240" w:lineRule="auto"/>
        <w:jc w:val="both"/>
        <w:textAlignment w:val="baseline"/>
        <w:rPr>
          <w:rFonts w:eastAsiaTheme="minorEastAsia" w:cs="Arial"/>
          <w:iCs/>
          <w:kern w:val="24"/>
          <w:lang w:eastAsia="en-GB"/>
        </w:rPr>
      </w:pPr>
      <w:r>
        <w:rPr>
          <w:rFonts w:eastAsiaTheme="minorEastAsia" w:cs="Arial"/>
          <w:iCs/>
          <w:kern w:val="24"/>
          <w:lang w:eastAsia="en-GB"/>
        </w:rPr>
        <w:t>The Council</w:t>
      </w:r>
      <w:r w:rsidR="00FE340F">
        <w:rPr>
          <w:rFonts w:eastAsiaTheme="minorEastAsia" w:cs="Arial"/>
          <w:iCs/>
          <w:kern w:val="24"/>
          <w:lang w:eastAsia="en-GB"/>
        </w:rPr>
        <w:t xml:space="preserve"> currently provide</w:t>
      </w:r>
      <w:r>
        <w:rPr>
          <w:rFonts w:eastAsiaTheme="minorEastAsia" w:cs="Arial"/>
          <w:iCs/>
          <w:kern w:val="24"/>
          <w:lang w:eastAsia="en-GB"/>
        </w:rPr>
        <w:t>s</w:t>
      </w:r>
      <w:r w:rsidR="00FE340F">
        <w:rPr>
          <w:rFonts w:eastAsiaTheme="minorEastAsia" w:cs="Arial"/>
          <w:iCs/>
          <w:kern w:val="24"/>
          <w:lang w:eastAsia="en-GB"/>
        </w:rPr>
        <w:t xml:space="preserve"> 18 bed</w:t>
      </w:r>
      <w:r w:rsidR="00270AEE">
        <w:rPr>
          <w:rFonts w:eastAsiaTheme="minorEastAsia" w:cs="Arial"/>
          <w:iCs/>
          <w:kern w:val="24"/>
          <w:lang w:eastAsia="en-GB"/>
        </w:rPr>
        <w:t xml:space="preserve"> spaces in Barnet</w:t>
      </w:r>
      <w:r w:rsidR="00316FA6">
        <w:rPr>
          <w:rFonts w:eastAsiaTheme="minorEastAsia" w:cs="Arial"/>
          <w:iCs/>
          <w:kern w:val="24"/>
          <w:lang w:eastAsia="en-GB"/>
        </w:rPr>
        <w:t xml:space="preserve"> for women leaving a situation involving domestic violence</w:t>
      </w:r>
      <w:r w:rsidR="00270AEE">
        <w:rPr>
          <w:rFonts w:eastAsiaTheme="minorEastAsia" w:cs="Arial"/>
          <w:iCs/>
          <w:kern w:val="24"/>
          <w:lang w:eastAsia="en-GB"/>
        </w:rPr>
        <w:t>. Between 2013/</w:t>
      </w:r>
      <w:r w:rsidR="00FE340F">
        <w:rPr>
          <w:rFonts w:eastAsiaTheme="minorEastAsia" w:cs="Arial"/>
          <w:iCs/>
          <w:kern w:val="24"/>
          <w:lang w:eastAsia="en-GB"/>
        </w:rPr>
        <w:t>2014 and 2014</w:t>
      </w:r>
      <w:r w:rsidR="00270AEE">
        <w:rPr>
          <w:rFonts w:eastAsiaTheme="minorEastAsia" w:cs="Arial"/>
          <w:iCs/>
          <w:kern w:val="24"/>
          <w:lang w:eastAsia="en-GB"/>
        </w:rPr>
        <w:t>/</w:t>
      </w:r>
      <w:r w:rsidR="00FE340F">
        <w:rPr>
          <w:rFonts w:eastAsiaTheme="minorEastAsia" w:cs="Arial"/>
          <w:iCs/>
          <w:kern w:val="24"/>
          <w:lang w:eastAsia="en-GB"/>
        </w:rPr>
        <w:t>2015, there has been a 98% occupancy rate of the rooms available. The small percentage of non-occupancy allows for the turnover of referrals.</w:t>
      </w:r>
    </w:p>
    <w:p w:rsidR="00FE340F" w:rsidRDefault="00FE340F" w:rsidP="00FE340F">
      <w:pPr>
        <w:spacing w:after="0" w:line="240" w:lineRule="auto"/>
        <w:jc w:val="both"/>
        <w:textAlignment w:val="baseline"/>
        <w:rPr>
          <w:rFonts w:eastAsiaTheme="minorEastAsia" w:cs="Arial"/>
          <w:iCs/>
          <w:kern w:val="24"/>
          <w:lang w:eastAsia="en-GB"/>
        </w:rPr>
      </w:pPr>
    </w:p>
    <w:p w:rsidR="00FE340F" w:rsidRPr="00B1135D" w:rsidRDefault="00FE340F" w:rsidP="00FE340F">
      <w:pPr>
        <w:spacing w:after="0" w:line="240" w:lineRule="auto"/>
        <w:jc w:val="both"/>
        <w:textAlignment w:val="baseline"/>
        <w:rPr>
          <w:rFonts w:eastAsiaTheme="minorEastAsia" w:cs="Arial"/>
          <w:iCs/>
          <w:kern w:val="24"/>
          <w:lang w:eastAsia="en-GB"/>
        </w:rPr>
      </w:pPr>
      <w:r w:rsidRPr="00B1135D">
        <w:rPr>
          <w:rFonts w:eastAsiaTheme="minorEastAsia" w:cs="Arial"/>
          <w:iCs/>
          <w:kern w:val="24"/>
          <w:lang w:eastAsia="en-GB"/>
        </w:rPr>
        <w:t xml:space="preserve">All the women are </w:t>
      </w:r>
      <w:r>
        <w:rPr>
          <w:rFonts w:eastAsiaTheme="minorEastAsia" w:cs="Arial"/>
          <w:iCs/>
          <w:kern w:val="24"/>
          <w:lang w:eastAsia="en-GB"/>
        </w:rPr>
        <w:t xml:space="preserve">Safe Lives (formerly </w:t>
      </w:r>
      <w:r w:rsidRPr="00B1135D">
        <w:rPr>
          <w:rFonts w:eastAsiaTheme="minorEastAsia" w:cs="Arial"/>
          <w:iCs/>
          <w:kern w:val="24"/>
          <w:lang w:eastAsia="en-GB"/>
        </w:rPr>
        <w:t>CAADA</w:t>
      </w:r>
      <w:r>
        <w:rPr>
          <w:rFonts w:eastAsiaTheme="minorEastAsia" w:cs="Arial"/>
          <w:iCs/>
          <w:kern w:val="24"/>
          <w:lang w:eastAsia="en-GB"/>
        </w:rPr>
        <w:t>)</w:t>
      </w:r>
      <w:r w:rsidRPr="00B1135D">
        <w:rPr>
          <w:rFonts w:eastAsiaTheme="minorEastAsia" w:cs="Arial"/>
          <w:iCs/>
          <w:kern w:val="24"/>
          <w:lang w:eastAsia="en-GB"/>
        </w:rPr>
        <w:t xml:space="preserve"> DASH risk assessed and t</w:t>
      </w:r>
      <w:r>
        <w:rPr>
          <w:rFonts w:eastAsiaTheme="minorEastAsia" w:cs="Arial"/>
          <w:iCs/>
          <w:kern w:val="24"/>
          <w:lang w:eastAsia="en-GB"/>
        </w:rPr>
        <w:t xml:space="preserve">hey will only be turned away if </w:t>
      </w:r>
      <w:r w:rsidRPr="00B1135D">
        <w:rPr>
          <w:rFonts w:eastAsiaTheme="minorEastAsia" w:cs="Arial"/>
          <w:iCs/>
          <w:kern w:val="24"/>
          <w:lang w:eastAsia="en-GB"/>
        </w:rPr>
        <w:t>they are deemed unsuitable</w:t>
      </w:r>
      <w:r>
        <w:rPr>
          <w:rFonts w:eastAsiaTheme="minorEastAsia" w:cs="Arial"/>
          <w:iCs/>
          <w:kern w:val="24"/>
          <w:lang w:eastAsia="en-GB"/>
        </w:rPr>
        <w:t xml:space="preserve"> in not meeting the criteria</w:t>
      </w:r>
      <w:r w:rsidRPr="00B1135D">
        <w:rPr>
          <w:rFonts w:eastAsiaTheme="minorEastAsia" w:cs="Arial"/>
          <w:iCs/>
          <w:kern w:val="24"/>
          <w:lang w:eastAsia="en-GB"/>
        </w:rPr>
        <w:t xml:space="preserve"> or</w:t>
      </w:r>
      <w:r w:rsidR="00316FA6">
        <w:rPr>
          <w:rFonts w:eastAsiaTheme="minorEastAsia" w:cs="Arial"/>
          <w:iCs/>
          <w:kern w:val="24"/>
          <w:lang w:eastAsia="en-GB"/>
        </w:rPr>
        <w:t xml:space="preserve"> if</w:t>
      </w:r>
      <w:r w:rsidRPr="00B1135D">
        <w:rPr>
          <w:rFonts w:eastAsiaTheme="minorEastAsia" w:cs="Arial"/>
          <w:iCs/>
          <w:kern w:val="24"/>
          <w:lang w:eastAsia="en-GB"/>
        </w:rPr>
        <w:t xml:space="preserve"> there is no space in the refuge. If the latter is the case, they are still supported by UK Refuges online to find alternative space. </w:t>
      </w:r>
      <w:r>
        <w:rPr>
          <w:rFonts w:eastAsiaTheme="minorEastAsia" w:cs="Arial"/>
          <w:iCs/>
          <w:kern w:val="24"/>
          <w:lang w:eastAsia="en-GB"/>
        </w:rPr>
        <w:t>Housing will remain a critical area of work for</w:t>
      </w:r>
      <w:r w:rsidR="00C923C2">
        <w:rPr>
          <w:rFonts w:eastAsiaTheme="minorEastAsia" w:cs="Arial"/>
          <w:iCs/>
          <w:kern w:val="24"/>
          <w:lang w:eastAsia="en-GB"/>
        </w:rPr>
        <w:t xml:space="preserve"> partners as the refuge requirement increases</w:t>
      </w:r>
      <w:r>
        <w:rPr>
          <w:rFonts w:eastAsiaTheme="minorEastAsia" w:cs="Arial"/>
          <w:iCs/>
          <w:kern w:val="24"/>
          <w:lang w:eastAsia="en-GB"/>
        </w:rPr>
        <w:t xml:space="preserve">. </w:t>
      </w:r>
    </w:p>
    <w:p w:rsidR="00FE340F" w:rsidRPr="00B1135D" w:rsidRDefault="00FE340F" w:rsidP="00FE340F">
      <w:pPr>
        <w:spacing w:after="0" w:line="240" w:lineRule="auto"/>
        <w:jc w:val="both"/>
        <w:textAlignment w:val="baseline"/>
        <w:rPr>
          <w:rFonts w:eastAsiaTheme="minorEastAsia" w:cs="Arial"/>
          <w:iCs/>
          <w:kern w:val="24"/>
          <w:lang w:eastAsia="en-GB"/>
        </w:rPr>
      </w:pPr>
    </w:p>
    <w:p w:rsidR="00FE340F" w:rsidRPr="00B1135D" w:rsidRDefault="00FE340F" w:rsidP="00FE340F">
      <w:pPr>
        <w:spacing w:after="0" w:line="240" w:lineRule="auto"/>
        <w:jc w:val="both"/>
        <w:textAlignment w:val="baseline"/>
        <w:rPr>
          <w:rFonts w:eastAsiaTheme="minorEastAsia" w:cs="Arial"/>
          <w:iCs/>
          <w:kern w:val="24"/>
          <w:lang w:eastAsia="en-GB"/>
        </w:rPr>
      </w:pPr>
      <w:r>
        <w:rPr>
          <w:rFonts w:eastAsiaTheme="minorEastAsia" w:cs="Arial"/>
          <w:iCs/>
          <w:kern w:val="24"/>
          <w:lang w:eastAsia="en-GB"/>
        </w:rPr>
        <w:t xml:space="preserve">Barnet Community Safety Team continues to co-ordinate the local partnership approach </w:t>
      </w:r>
      <w:r w:rsidRPr="00B1135D">
        <w:rPr>
          <w:rFonts w:eastAsiaTheme="minorEastAsia" w:cs="Arial"/>
          <w:iCs/>
          <w:kern w:val="24"/>
          <w:lang w:eastAsia="en-GB"/>
        </w:rPr>
        <w:t>to address violence against women and girls</w:t>
      </w:r>
      <w:r>
        <w:rPr>
          <w:rFonts w:eastAsiaTheme="minorEastAsia" w:cs="Arial"/>
          <w:iCs/>
          <w:kern w:val="24"/>
          <w:lang w:eastAsia="en-GB"/>
        </w:rPr>
        <w:t>. However, a partnership focus to identify victims, provide interventions to reduce repeat victimisation and ensure the safeguarding needs of vulnerable adults and children experiencing domestic violence needs to continue.  The demand placed on services by families experiencing domestic violence will increase if l</w:t>
      </w:r>
      <w:r w:rsidR="00C923C2">
        <w:rPr>
          <w:rFonts w:eastAsiaTheme="minorEastAsia" w:cs="Arial"/>
          <w:iCs/>
          <w:kern w:val="24"/>
          <w:lang w:eastAsia="en-GB"/>
        </w:rPr>
        <w:t xml:space="preserve">eft </w:t>
      </w:r>
      <w:r w:rsidR="00DD3A76">
        <w:rPr>
          <w:rFonts w:eastAsiaTheme="minorEastAsia" w:cs="Arial"/>
          <w:iCs/>
          <w:kern w:val="24"/>
          <w:lang w:eastAsia="en-GB"/>
        </w:rPr>
        <w:t>unsupported;</w:t>
      </w:r>
      <w:r w:rsidR="00C923C2">
        <w:rPr>
          <w:rFonts w:eastAsiaTheme="minorEastAsia" w:cs="Arial"/>
          <w:iCs/>
          <w:kern w:val="24"/>
          <w:lang w:eastAsia="en-GB"/>
        </w:rPr>
        <w:t xml:space="preserve"> therefore it </w:t>
      </w:r>
      <w:r w:rsidR="00DD3A76">
        <w:rPr>
          <w:rFonts w:eastAsiaTheme="minorEastAsia" w:cs="Arial"/>
          <w:iCs/>
          <w:kern w:val="24"/>
          <w:lang w:eastAsia="en-GB"/>
        </w:rPr>
        <w:t>is important</w:t>
      </w:r>
      <w:r>
        <w:rPr>
          <w:rFonts w:eastAsiaTheme="minorEastAsia" w:cs="Arial"/>
          <w:iCs/>
          <w:kern w:val="24"/>
          <w:lang w:eastAsia="en-GB"/>
        </w:rPr>
        <w:t xml:space="preserve"> for partners to recognise the collective benefits</w:t>
      </w:r>
      <w:r w:rsidR="00C923C2">
        <w:rPr>
          <w:rFonts w:eastAsiaTheme="minorEastAsia" w:cs="Arial"/>
          <w:iCs/>
          <w:kern w:val="24"/>
          <w:lang w:eastAsia="en-GB"/>
        </w:rPr>
        <w:t xml:space="preserve"> of prevention</w:t>
      </w:r>
      <w:r>
        <w:rPr>
          <w:rFonts w:eastAsiaTheme="minorEastAsia" w:cs="Arial"/>
          <w:iCs/>
          <w:kern w:val="24"/>
          <w:lang w:eastAsia="en-GB"/>
        </w:rPr>
        <w:t xml:space="preserve"> especially to </w:t>
      </w:r>
      <w:r w:rsidR="00C923C2">
        <w:rPr>
          <w:rFonts w:eastAsiaTheme="minorEastAsia" w:cs="Arial"/>
          <w:iCs/>
          <w:kern w:val="24"/>
          <w:lang w:eastAsia="en-GB"/>
        </w:rPr>
        <w:t>statutory organisations.</w:t>
      </w:r>
    </w:p>
    <w:p w:rsidR="00FE340F" w:rsidRPr="00B1135D" w:rsidRDefault="00FE340F" w:rsidP="00FE340F">
      <w:pPr>
        <w:spacing w:after="0" w:line="240" w:lineRule="auto"/>
        <w:jc w:val="both"/>
        <w:rPr>
          <w:rFonts w:eastAsia="Times New Roman" w:cs="Arial"/>
          <w:lang w:eastAsia="en-GB"/>
        </w:rPr>
      </w:pPr>
    </w:p>
    <w:p w:rsidR="00FE340F" w:rsidRPr="00B1135D" w:rsidRDefault="00FE340F" w:rsidP="00FE340F">
      <w:pPr>
        <w:spacing w:after="0" w:line="240" w:lineRule="auto"/>
        <w:jc w:val="both"/>
        <w:rPr>
          <w:rFonts w:eastAsia="Times New Roman" w:cs="Arial"/>
          <w:lang w:eastAsia="en-GB"/>
        </w:rPr>
      </w:pPr>
      <w:r>
        <w:rPr>
          <w:rFonts w:eastAsia="Times New Roman" w:cs="Arial"/>
          <w:lang w:eastAsia="en-GB"/>
        </w:rPr>
        <w:t>The demand for services continues to rise despite national evidence that domestic violence remains an under</w:t>
      </w:r>
      <w:r w:rsidR="00C923C2">
        <w:rPr>
          <w:rFonts w:eastAsia="Times New Roman" w:cs="Arial"/>
          <w:lang w:eastAsia="en-GB"/>
        </w:rPr>
        <w:t xml:space="preserve"> </w:t>
      </w:r>
      <w:r>
        <w:rPr>
          <w:rFonts w:eastAsia="Times New Roman" w:cs="Arial"/>
          <w:lang w:eastAsia="en-GB"/>
        </w:rPr>
        <w:t xml:space="preserve">reported crime. </w:t>
      </w:r>
      <w:r w:rsidRPr="00D556C9">
        <w:rPr>
          <w:rFonts w:eastAsia="Times New Roman" w:cs="Arial"/>
          <w:lang w:eastAsia="en-GB"/>
        </w:rPr>
        <w:t>Women experience an average of 35 incidents of domestic violence before reporting an incident to the police (</w:t>
      </w:r>
      <w:proofErr w:type="spellStart"/>
      <w:r w:rsidRPr="00D556C9">
        <w:rPr>
          <w:rFonts w:eastAsia="Times New Roman" w:cs="Arial"/>
          <w:lang w:eastAsia="en-GB"/>
        </w:rPr>
        <w:t>Yearnshaw</w:t>
      </w:r>
      <w:proofErr w:type="spellEnd"/>
      <w:r w:rsidRPr="00D556C9">
        <w:rPr>
          <w:rFonts w:eastAsia="Times New Roman" w:cs="Arial"/>
          <w:lang w:eastAsia="en-GB"/>
        </w:rPr>
        <w:t xml:space="preserve"> 1997).</w:t>
      </w:r>
    </w:p>
    <w:p w:rsidR="00FE340F" w:rsidRDefault="00FE340F" w:rsidP="00FE340F">
      <w:pPr>
        <w:pStyle w:val="Heading3"/>
        <w:rPr>
          <w:lang w:eastAsia="en-GB"/>
        </w:rPr>
      </w:pPr>
      <w:r>
        <w:rPr>
          <w:lang w:eastAsia="en-GB"/>
        </w:rPr>
        <w:t>Domestic Violence and Crime</w:t>
      </w:r>
    </w:p>
    <w:p w:rsidR="00A70814" w:rsidRDefault="00A70814" w:rsidP="00A70814">
      <w:pPr>
        <w:jc w:val="both"/>
      </w:pPr>
      <w:r w:rsidRPr="00E06B10">
        <w:t>The rate of domestic abuse incidents (per 1,000 population) recorded by the police in Barnet (18.6) are similar to the national (18.5) and London region</w:t>
      </w:r>
      <w:r>
        <w:t>al (18.8) rates for the year 2012/</w:t>
      </w:r>
      <w:r w:rsidRPr="00E06B10">
        <w:t xml:space="preserve">13. Overall, the Barnet rate of domestic abuse has decreased from </w:t>
      </w:r>
      <w:r>
        <w:t>19.6 in 2010/11 to 18.6 in 2012/</w:t>
      </w:r>
      <w:r w:rsidRPr="00E06B10">
        <w:t>13. Domestic violence can b</w:t>
      </w:r>
      <w:r>
        <w:t>e against any member of a house</w:t>
      </w:r>
      <w:r w:rsidRPr="00E06B10">
        <w:t>hold; however, most commonly the victims of domestic abuse are females and young children.</w:t>
      </w:r>
      <w:r>
        <w:t xml:space="preserve"> </w:t>
      </w:r>
    </w:p>
    <w:p w:rsidR="00FE340F" w:rsidRDefault="00FE340F" w:rsidP="00FE340F">
      <w:pPr>
        <w:autoSpaceDE w:val="0"/>
        <w:autoSpaceDN w:val="0"/>
        <w:adjustRightInd w:val="0"/>
        <w:spacing w:after="0" w:line="240" w:lineRule="auto"/>
        <w:jc w:val="both"/>
        <w:rPr>
          <w:rFonts w:cs="Calibri"/>
          <w:color w:val="000000"/>
          <w:lang w:eastAsia="en-GB"/>
        </w:rPr>
      </w:pPr>
      <w:r>
        <w:rPr>
          <w:rFonts w:cs="Calibri"/>
          <w:color w:val="000000"/>
          <w:lang w:eastAsia="en-GB"/>
        </w:rPr>
        <w:t>Women account for 13.5% of suspects for crime overall. However, 51.5% of victims of violent offences (violent crime, robbery, sexual) are female. 87% of victims of sexual crimes are female. Even these figures are likely to understate the situation as both under-rep</w:t>
      </w:r>
      <w:r w:rsidR="00C923C2">
        <w:rPr>
          <w:rFonts w:cs="Calibri"/>
          <w:color w:val="000000"/>
          <w:lang w:eastAsia="en-GB"/>
        </w:rPr>
        <w:t>orting and repeat victimisation</w:t>
      </w:r>
      <w:r>
        <w:rPr>
          <w:rFonts w:cs="Calibri"/>
          <w:color w:val="000000"/>
          <w:lang w:eastAsia="en-GB"/>
        </w:rPr>
        <w:t xml:space="preserve"> are common features of domestic violence. </w:t>
      </w:r>
    </w:p>
    <w:p w:rsidR="00FE340F" w:rsidRDefault="00FE340F" w:rsidP="00FE340F">
      <w:pPr>
        <w:autoSpaceDE w:val="0"/>
        <w:autoSpaceDN w:val="0"/>
        <w:adjustRightInd w:val="0"/>
        <w:spacing w:after="0" w:line="240" w:lineRule="auto"/>
        <w:jc w:val="both"/>
        <w:rPr>
          <w:rFonts w:cs="Calibri"/>
          <w:color w:val="000000"/>
          <w:lang w:eastAsia="en-GB"/>
        </w:rPr>
      </w:pPr>
    </w:p>
    <w:p w:rsidR="00A70814" w:rsidRDefault="00A70814" w:rsidP="00A70814">
      <w:pPr>
        <w:jc w:val="both"/>
      </w:pPr>
      <w:r>
        <w:t xml:space="preserve">VAWG </w:t>
      </w:r>
      <w:r w:rsidRPr="00E06B10">
        <w:t xml:space="preserve">could have different manifestations such as rape, sexual violence, and female genital mutilation, which are reported below. </w:t>
      </w:r>
    </w:p>
    <w:p w:rsidR="00FE340F" w:rsidRPr="002E01F7" w:rsidRDefault="00FE340F" w:rsidP="00FE340F">
      <w:pPr>
        <w:autoSpaceDE w:val="0"/>
        <w:autoSpaceDN w:val="0"/>
        <w:adjustRightInd w:val="0"/>
        <w:spacing w:after="0" w:line="240" w:lineRule="auto"/>
        <w:jc w:val="both"/>
        <w:rPr>
          <w:rFonts w:cs="Calibri"/>
          <w:color w:val="000000"/>
          <w:lang w:eastAsia="en-GB"/>
        </w:rPr>
      </w:pPr>
      <w:r w:rsidRPr="002E01F7">
        <w:rPr>
          <w:rFonts w:cs="Calibri"/>
          <w:color w:val="000000"/>
          <w:lang w:eastAsia="en-GB"/>
        </w:rPr>
        <w:t>Nationally, the VAWG agenda is rising in prominence, reflecting national concerns. It is important that Barnet</w:t>
      </w:r>
      <w:r>
        <w:rPr>
          <w:rFonts w:cs="Calibri"/>
          <w:color w:val="000000"/>
          <w:lang w:eastAsia="en-GB"/>
        </w:rPr>
        <w:t xml:space="preserve"> partners</w:t>
      </w:r>
      <w:r w:rsidRPr="002E01F7">
        <w:rPr>
          <w:rFonts w:cs="Calibri"/>
          <w:color w:val="000000"/>
          <w:lang w:eastAsia="en-GB"/>
        </w:rPr>
        <w:t xml:space="preserve"> both understands the local picture of violence towards women and girls and </w:t>
      </w:r>
      <w:r>
        <w:rPr>
          <w:rFonts w:cs="Calibri"/>
          <w:color w:val="000000"/>
          <w:lang w:eastAsia="en-GB"/>
        </w:rPr>
        <w:t>are</w:t>
      </w:r>
      <w:r w:rsidRPr="002E01F7">
        <w:rPr>
          <w:rFonts w:cs="Calibri"/>
          <w:color w:val="000000"/>
          <w:lang w:eastAsia="en-GB"/>
        </w:rPr>
        <w:t xml:space="preserve"> able to act to reduce harm towards women and girls who are at risk. </w:t>
      </w:r>
    </w:p>
    <w:p w:rsidR="00FE340F" w:rsidRPr="002E01F7" w:rsidRDefault="00FE340F" w:rsidP="00FE340F">
      <w:pPr>
        <w:autoSpaceDE w:val="0"/>
        <w:autoSpaceDN w:val="0"/>
        <w:adjustRightInd w:val="0"/>
        <w:spacing w:after="0" w:line="240" w:lineRule="auto"/>
        <w:jc w:val="both"/>
        <w:rPr>
          <w:rFonts w:cs="Calibri"/>
          <w:color w:val="000000"/>
          <w:lang w:eastAsia="en-GB"/>
        </w:rPr>
      </w:pPr>
    </w:p>
    <w:p w:rsidR="00FE340F" w:rsidRDefault="00C923C2" w:rsidP="00FE340F">
      <w:pPr>
        <w:spacing w:after="240"/>
        <w:jc w:val="both"/>
        <w:rPr>
          <w:rFonts w:cs="Calibri"/>
          <w:color w:val="000000"/>
          <w:lang w:eastAsia="en-GB"/>
        </w:rPr>
      </w:pPr>
      <w:r>
        <w:rPr>
          <w:rFonts w:cs="Calibri"/>
          <w:color w:val="000000"/>
          <w:lang w:eastAsia="en-GB"/>
        </w:rPr>
        <w:t>R</w:t>
      </w:r>
      <w:r w:rsidR="00FE340F" w:rsidRPr="002E01F7">
        <w:rPr>
          <w:rFonts w:cs="Calibri"/>
          <w:color w:val="000000"/>
          <w:lang w:eastAsia="en-GB"/>
        </w:rPr>
        <w:t xml:space="preserve">esponding to domestic violence alone costs Barnet an estimated £38 million a year. By responding to </w:t>
      </w:r>
      <w:r w:rsidR="00FE340F">
        <w:rPr>
          <w:rFonts w:cs="Calibri"/>
          <w:color w:val="000000"/>
          <w:lang w:eastAsia="en-GB"/>
        </w:rPr>
        <w:t xml:space="preserve">DV and </w:t>
      </w:r>
      <w:r>
        <w:rPr>
          <w:rFonts w:cs="Calibri"/>
          <w:color w:val="000000"/>
          <w:lang w:eastAsia="en-GB"/>
        </w:rPr>
        <w:t xml:space="preserve">VAWG early </w:t>
      </w:r>
      <w:r w:rsidR="00FE340F" w:rsidRPr="002E01F7">
        <w:rPr>
          <w:rFonts w:cs="Calibri"/>
          <w:color w:val="000000"/>
          <w:lang w:eastAsia="en-GB"/>
        </w:rPr>
        <w:t>and</w:t>
      </w:r>
      <w:r>
        <w:rPr>
          <w:rFonts w:cs="Calibri"/>
          <w:color w:val="000000"/>
          <w:lang w:eastAsia="en-GB"/>
        </w:rPr>
        <w:t xml:space="preserve"> seeking to prevent it</w:t>
      </w:r>
      <w:r w:rsidR="00DD3A76" w:rsidRPr="002E01F7">
        <w:rPr>
          <w:rFonts w:cs="Calibri"/>
          <w:color w:val="000000"/>
          <w:lang w:eastAsia="en-GB"/>
        </w:rPr>
        <w:t xml:space="preserve">, </w:t>
      </w:r>
      <w:r w:rsidR="00DD3A76">
        <w:rPr>
          <w:rFonts w:cs="Calibri"/>
          <w:color w:val="000000"/>
          <w:lang w:eastAsia="en-GB"/>
        </w:rPr>
        <w:t>there</w:t>
      </w:r>
      <w:r>
        <w:rPr>
          <w:rFonts w:cs="Calibri"/>
          <w:color w:val="000000"/>
          <w:lang w:eastAsia="en-GB"/>
        </w:rPr>
        <w:t xml:space="preserve"> is potential to make </w:t>
      </w:r>
      <w:r w:rsidR="00FE340F" w:rsidRPr="002E01F7">
        <w:rPr>
          <w:rFonts w:cs="Calibri"/>
          <w:color w:val="000000"/>
          <w:lang w:eastAsia="en-GB"/>
        </w:rPr>
        <w:t>significant savings</w:t>
      </w:r>
      <w:r w:rsidR="00FE340F">
        <w:rPr>
          <w:rFonts w:cs="Calibri"/>
          <w:color w:val="000000"/>
          <w:lang w:eastAsia="en-GB"/>
        </w:rPr>
        <w:t xml:space="preserve"> across the partnership</w:t>
      </w:r>
      <w:r w:rsidR="00FE340F" w:rsidRPr="002E01F7">
        <w:rPr>
          <w:rFonts w:cs="Calibri"/>
          <w:color w:val="000000"/>
          <w:lang w:eastAsia="en-GB"/>
        </w:rPr>
        <w:t xml:space="preserve"> and, most importantly, reduce the harm it causes to victims, their families and the wider community.</w:t>
      </w:r>
    </w:p>
    <w:p w:rsidR="00FE340F" w:rsidRDefault="006914DA" w:rsidP="00FE340F">
      <w:pPr>
        <w:pStyle w:val="Heading3"/>
      </w:pPr>
      <w:r>
        <w:t>Key F</w:t>
      </w:r>
      <w:r w:rsidR="00FE340F">
        <w:t>acts</w:t>
      </w:r>
    </w:p>
    <w:p w:rsidR="00FE340F" w:rsidRDefault="00FE340F" w:rsidP="00FE340F">
      <w:pPr>
        <w:spacing w:after="0"/>
        <w:jc w:val="both"/>
        <w:rPr>
          <w:i/>
          <w:color w:val="262626"/>
        </w:rPr>
      </w:pPr>
      <w:r>
        <w:rPr>
          <w:i/>
          <w:color w:val="262626"/>
        </w:rPr>
        <w:t>The figures below relate to the 2013 calendar year unless otherwise stated.</w:t>
      </w:r>
    </w:p>
    <w:p w:rsidR="00FE340F" w:rsidRDefault="00FE340F" w:rsidP="008921BF">
      <w:pPr>
        <w:numPr>
          <w:ilvl w:val="0"/>
          <w:numId w:val="64"/>
        </w:numPr>
        <w:spacing w:after="0" w:line="240" w:lineRule="auto"/>
        <w:contextualSpacing/>
        <w:jc w:val="both"/>
        <w:rPr>
          <w:color w:val="262626"/>
        </w:rPr>
      </w:pPr>
      <w:r>
        <w:rPr>
          <w:color w:val="262626"/>
        </w:rPr>
        <w:t xml:space="preserve">Sexual crime:  87% of victims are female. There has been a </w:t>
      </w:r>
      <w:r w:rsidR="00C923C2">
        <w:rPr>
          <w:color w:val="262626"/>
        </w:rPr>
        <w:t>sharp</w:t>
      </w:r>
      <w:r>
        <w:rPr>
          <w:color w:val="262626"/>
        </w:rPr>
        <w:t xml:space="preserve"> increase in the number of female victims aged 14 years. </w:t>
      </w:r>
    </w:p>
    <w:p w:rsidR="00FE340F" w:rsidRDefault="00FE340F" w:rsidP="008921BF">
      <w:pPr>
        <w:numPr>
          <w:ilvl w:val="0"/>
          <w:numId w:val="64"/>
        </w:numPr>
        <w:spacing w:after="0" w:line="240" w:lineRule="auto"/>
        <w:contextualSpacing/>
        <w:jc w:val="both"/>
        <w:rPr>
          <w:color w:val="262626"/>
        </w:rPr>
      </w:pPr>
      <w:r>
        <w:rPr>
          <w:color w:val="262626"/>
        </w:rPr>
        <w:t>Violent crime: 52% of victims are female.</w:t>
      </w:r>
    </w:p>
    <w:p w:rsidR="00FE340F" w:rsidRDefault="00FE340F" w:rsidP="008921BF">
      <w:pPr>
        <w:numPr>
          <w:ilvl w:val="0"/>
          <w:numId w:val="64"/>
        </w:numPr>
        <w:spacing w:after="0" w:line="240" w:lineRule="auto"/>
        <w:contextualSpacing/>
        <w:jc w:val="both"/>
        <w:rPr>
          <w:color w:val="262626"/>
        </w:rPr>
      </w:pPr>
      <w:r>
        <w:rPr>
          <w:color w:val="262626"/>
        </w:rPr>
        <w:t>Even these figures are likely to understate the situation as violent crime and hate crime are among the most underreported crime types.</w:t>
      </w:r>
    </w:p>
    <w:p w:rsidR="00FE340F" w:rsidRDefault="00FE340F" w:rsidP="008921BF">
      <w:pPr>
        <w:numPr>
          <w:ilvl w:val="0"/>
          <w:numId w:val="64"/>
        </w:numPr>
        <w:spacing w:after="0" w:line="240" w:lineRule="auto"/>
        <w:contextualSpacing/>
        <w:jc w:val="both"/>
        <w:rPr>
          <w:color w:val="262626"/>
        </w:rPr>
      </w:pPr>
      <w:r>
        <w:rPr>
          <w:color w:val="262626"/>
        </w:rPr>
        <w:lastRenderedPageBreak/>
        <w:t>In Barnet violent crime is the crime type with the single largest cost associated with it, and sexual offences have the second highest associated</w:t>
      </w:r>
      <w:r w:rsidR="00C923C2">
        <w:rPr>
          <w:color w:val="262626"/>
        </w:rPr>
        <w:t xml:space="preserve"> cost</w:t>
      </w:r>
      <w:r>
        <w:rPr>
          <w:color w:val="262626"/>
        </w:rPr>
        <w:t xml:space="preserve">. Both of these crime types have a majority of female victims. </w:t>
      </w:r>
    </w:p>
    <w:p w:rsidR="00FE340F" w:rsidRDefault="00FE340F" w:rsidP="008921BF">
      <w:pPr>
        <w:numPr>
          <w:ilvl w:val="0"/>
          <w:numId w:val="64"/>
        </w:numPr>
        <w:spacing w:after="0" w:line="240" w:lineRule="auto"/>
        <w:contextualSpacing/>
        <w:jc w:val="both"/>
        <w:rPr>
          <w:color w:val="262626"/>
        </w:rPr>
      </w:pPr>
      <w:r>
        <w:rPr>
          <w:color w:val="262626"/>
        </w:rPr>
        <w:t xml:space="preserve">In fact, reported violent crime and sexual crime against women in Barnet accounts for an estimated 28% of the total cost of crime </w:t>
      </w:r>
      <w:r w:rsidR="00C923C2">
        <w:rPr>
          <w:color w:val="262626"/>
        </w:rPr>
        <w:t>i</w:t>
      </w:r>
      <w:r>
        <w:rPr>
          <w:color w:val="262626"/>
        </w:rPr>
        <w:t xml:space="preserve">n the Borough (in contrast residential burglaries account for 14% and robbery around 8%). </w:t>
      </w:r>
    </w:p>
    <w:p w:rsidR="00FE340F" w:rsidRDefault="00FE340F" w:rsidP="008921BF">
      <w:pPr>
        <w:numPr>
          <w:ilvl w:val="0"/>
          <w:numId w:val="64"/>
        </w:numPr>
        <w:spacing w:after="0" w:line="240" w:lineRule="auto"/>
        <w:contextualSpacing/>
        <w:jc w:val="both"/>
        <w:rPr>
          <w:color w:val="262626"/>
        </w:rPr>
      </w:pPr>
      <w:r>
        <w:rPr>
          <w:color w:val="262626"/>
        </w:rPr>
        <w:t>Women experience an average of 35 incidents of domestic violence before reporting an incident to the police (</w:t>
      </w:r>
      <w:proofErr w:type="spellStart"/>
      <w:r>
        <w:rPr>
          <w:color w:val="262626"/>
        </w:rPr>
        <w:t>Yearnshaw</w:t>
      </w:r>
      <w:proofErr w:type="spellEnd"/>
      <w:r>
        <w:rPr>
          <w:color w:val="262626"/>
        </w:rPr>
        <w:t xml:space="preserve"> 1997).</w:t>
      </w:r>
    </w:p>
    <w:p w:rsidR="00FE340F" w:rsidRPr="009C062F" w:rsidRDefault="00FE340F" w:rsidP="008921BF">
      <w:pPr>
        <w:numPr>
          <w:ilvl w:val="0"/>
          <w:numId w:val="64"/>
        </w:numPr>
        <w:spacing w:after="0" w:line="240" w:lineRule="auto"/>
        <w:contextualSpacing/>
        <w:jc w:val="both"/>
        <w:rPr>
          <w:rFonts w:eastAsia="Calibri"/>
          <w:color w:val="0D0D0D"/>
        </w:rPr>
      </w:pPr>
      <w:r>
        <w:rPr>
          <w:color w:val="262626"/>
        </w:rPr>
        <w:t xml:space="preserve">76% of all DV incidents are repeat </w:t>
      </w:r>
      <w:r w:rsidR="00C923C2">
        <w:rPr>
          <w:color w:val="262626"/>
        </w:rPr>
        <w:t xml:space="preserve">offences </w:t>
      </w:r>
      <w:r>
        <w:rPr>
          <w:color w:val="262626"/>
        </w:rPr>
        <w:t>(National estimate 2009/10</w:t>
      </w:r>
      <w:r>
        <w:rPr>
          <w:rStyle w:val="FootnoteReference"/>
          <w:color w:val="262626"/>
        </w:rPr>
        <w:footnoteReference w:id="159"/>
      </w:r>
      <w:r>
        <w:rPr>
          <w:color w:val="262626"/>
        </w:rPr>
        <w:t>).</w:t>
      </w:r>
    </w:p>
    <w:p w:rsidR="009C062F" w:rsidRDefault="009C062F" w:rsidP="009C062F">
      <w:pPr>
        <w:pStyle w:val="Heading3"/>
      </w:pPr>
      <w:r>
        <w:t>Summary</w:t>
      </w:r>
    </w:p>
    <w:p w:rsidR="009C062F" w:rsidRDefault="009C062F" w:rsidP="009C062F">
      <w:pPr>
        <w:spacing w:after="0"/>
        <w:jc w:val="both"/>
        <w:rPr>
          <w:color w:val="262626"/>
        </w:rPr>
      </w:pPr>
      <w:r>
        <w:rPr>
          <w:color w:val="262626"/>
        </w:rPr>
        <w:t>There has been an upward trend in the volume of reported domestic violence offences in Barnet. This increase is likely to be due to an increase in willingness to report and record appropriately, rather than an underlying increase in the actual prevalence rate of domestic violence</w:t>
      </w:r>
      <w:r>
        <w:rPr>
          <w:rStyle w:val="FootnoteReference"/>
          <w:color w:val="262626"/>
        </w:rPr>
        <w:footnoteReference w:id="160"/>
      </w:r>
      <w:r>
        <w:rPr>
          <w:color w:val="262626"/>
        </w:rPr>
        <w:t xml:space="preserve">. This is a positive development and reflects concerted effort at the national, London and Borough level to raise awareness and reporting of domestic violence.   Efforts to raise awareness amongst practitioners about the importance of making referrals to MARAC has also yielded positive results with the number of cases being risk managed by MARAC increasing significantly in 2013/14. </w:t>
      </w:r>
    </w:p>
    <w:p w:rsidR="00A70814" w:rsidRPr="00E06B10" w:rsidRDefault="00A70814" w:rsidP="009C062F">
      <w:pPr>
        <w:pStyle w:val="Heading2"/>
      </w:pPr>
      <w:bookmarkStart w:id="992" w:name="_Toc431225240"/>
      <w:r w:rsidRPr="00E06B10">
        <w:t xml:space="preserve">Rape and </w:t>
      </w:r>
      <w:r>
        <w:t>Other Sexual V</w:t>
      </w:r>
      <w:r w:rsidRPr="00E06B10">
        <w:t>iolence</w:t>
      </w:r>
      <w:bookmarkEnd w:id="992"/>
    </w:p>
    <w:p w:rsidR="00A70814" w:rsidRPr="00E06B10" w:rsidRDefault="00A70814" w:rsidP="00A70814">
      <w:pPr>
        <w:jc w:val="both"/>
      </w:pPr>
      <w:r w:rsidRPr="00E06B10">
        <w:t xml:space="preserve">The latest </w:t>
      </w:r>
      <w:hyperlink r:id="rId225" w:history="1">
        <w:r w:rsidRPr="00E06B10">
          <w:rPr>
            <w:rStyle w:val="Hyperlink"/>
          </w:rPr>
          <w:t xml:space="preserve">crime </w:t>
        </w:r>
        <w:r>
          <w:rPr>
            <w:rStyle w:val="Hyperlink"/>
          </w:rPr>
          <w:t>figures</w:t>
        </w:r>
        <w:r w:rsidRPr="00E06B10">
          <w:rPr>
            <w:rStyle w:val="Hyperlink"/>
          </w:rPr>
          <w:t xml:space="preserve"> released by the Metropolitan Police</w:t>
        </w:r>
      </w:hyperlink>
      <w:r w:rsidRPr="00E06B10">
        <w:t xml:space="preserve"> show that in </w:t>
      </w:r>
      <w:r>
        <w:t xml:space="preserve">the </w:t>
      </w:r>
      <w:r w:rsidRPr="00E06B10">
        <w:t xml:space="preserve">London </w:t>
      </w:r>
      <w:r>
        <w:t>Borough</w:t>
      </w:r>
      <w:r w:rsidRPr="00E06B10">
        <w:t xml:space="preserve"> of Barnet 150 incidences of rape were reported in the 1</w:t>
      </w:r>
      <w:r>
        <w:t>2 months up to March 2015 (2014/</w:t>
      </w:r>
      <w:r w:rsidRPr="00E06B10">
        <w:t>15) compared to 113 rape incidences in the previous 1</w:t>
      </w:r>
      <w:r>
        <w:t>2 months up to March 2014 (2013/</w:t>
      </w:r>
      <w:r w:rsidRPr="00E06B10">
        <w:t xml:space="preserve">14). These statistics reveal that the rape crimes increased by 32.7% in Barnet compared to </w:t>
      </w:r>
      <w:r>
        <w:t xml:space="preserve">a </w:t>
      </w:r>
      <w:r w:rsidRPr="00E06B10">
        <w:t>20.4% increase for the whole</w:t>
      </w:r>
      <w:r>
        <w:t xml:space="preserve"> of </w:t>
      </w:r>
      <w:r w:rsidRPr="00E06B10">
        <w:t>London in the last 12 months.</w:t>
      </w:r>
      <w:r w:rsidRPr="00E06B10">
        <w:rPr>
          <w:rStyle w:val="FootnoteReference"/>
        </w:rPr>
        <w:footnoteReference w:id="161"/>
      </w:r>
      <w:r w:rsidRPr="00E06B10">
        <w:t>The other sexual offences, which include indecent assault and unlawful (under age) sexual intercourse, were also up by about 14% in Barnet in the last 12 months i.e. 277 incidences in 2014</w:t>
      </w:r>
      <w:r>
        <w:t>/</w:t>
      </w:r>
      <w:r w:rsidRPr="00E06B10">
        <w:t>15 vs. 243 incidences in 2013</w:t>
      </w:r>
      <w:r>
        <w:t>/</w:t>
      </w:r>
      <w:r w:rsidRPr="00E06B10">
        <w:t>14.</w:t>
      </w:r>
      <w:r w:rsidRPr="00E06B10">
        <w:fldChar w:fldCharType="begin"/>
      </w:r>
      <w:r w:rsidRPr="00E06B10">
        <w:instrText xml:space="preserve"> NOTEREF _Ref418669600 \f \h </w:instrText>
      </w:r>
      <w:r>
        <w:instrText xml:space="preserve"> \* MERGEFORMAT </w:instrText>
      </w:r>
      <w:r w:rsidRPr="00E06B10">
        <w:fldChar w:fldCharType="separate"/>
      </w:r>
      <w:r w:rsidRPr="001663C2">
        <w:rPr>
          <w:rStyle w:val="FootnoteReference"/>
        </w:rPr>
        <w:t>105</w:t>
      </w:r>
      <w:r w:rsidRPr="00E06B10">
        <w:fldChar w:fldCharType="end"/>
      </w:r>
    </w:p>
    <w:p w:rsidR="00A70814" w:rsidRPr="00E06B10" w:rsidRDefault="00A70814" w:rsidP="009C062F">
      <w:pPr>
        <w:pStyle w:val="Heading2"/>
      </w:pPr>
      <w:bookmarkStart w:id="993" w:name="_Toc431225241"/>
      <w:r w:rsidRPr="00E06B10">
        <w:t>Female Genital Mutilation (FGM)</w:t>
      </w:r>
      <w:bookmarkEnd w:id="993"/>
    </w:p>
    <w:p w:rsidR="00A70814" w:rsidRDefault="00A70814" w:rsidP="00A70814">
      <w:pPr>
        <w:jc w:val="both"/>
      </w:pPr>
      <w:r w:rsidRPr="00E06B10">
        <w:t>Female genital mutilation (FGM) has been defined by the WHO as “all procedures that involve the partial or total removal of the external female genitalia or other injury to the female genital organs for non-medical reasons”.</w:t>
      </w:r>
      <w:r w:rsidRPr="00E06B10">
        <w:rPr>
          <w:rStyle w:val="FootnoteReference"/>
        </w:rPr>
        <w:footnoteReference w:id="162"/>
      </w:r>
      <w:r w:rsidRPr="00E06B10">
        <w:t xml:space="preserve"> Mostly prevalent in some communities of African and Middle Eastern origin, FGM is a harmful practice that has both short term and long term health, social and psychological effects on the girls and women and it viol</w:t>
      </w:r>
      <w:r>
        <w:t>a</w:t>
      </w:r>
      <w:r w:rsidRPr="00E06B10">
        <w:t>t</w:t>
      </w:r>
      <w:r>
        <w:t>e</w:t>
      </w:r>
      <w:r w:rsidRPr="00E06B10">
        <w:t>s their reproductive health and human rights.</w:t>
      </w:r>
      <w:r w:rsidRPr="00E06B10">
        <w:rPr>
          <w:rStyle w:val="FootnoteReference"/>
        </w:rPr>
        <w:footnoteReference w:id="163"/>
      </w:r>
      <w:r w:rsidRPr="00E06B10">
        <w:t xml:space="preserve"> The </w:t>
      </w:r>
      <w:hyperlink r:id="rId226" w:history="1">
        <w:r w:rsidRPr="00E06B10">
          <w:rPr>
            <w:rStyle w:val="Hyperlink"/>
          </w:rPr>
          <w:t>United Nation passed a resolution in 2012 that calls for elimination of FGM</w:t>
        </w:r>
      </w:hyperlink>
      <w:r w:rsidRPr="00E06B10">
        <w:t xml:space="preserve">. In the UK, </w:t>
      </w:r>
      <w:hyperlink r:id="rId227" w:history="1">
        <w:r w:rsidRPr="00E06B10">
          <w:rPr>
            <w:rStyle w:val="Hyperlink"/>
          </w:rPr>
          <w:t>FGM is illegal</w:t>
        </w:r>
      </w:hyperlink>
      <w:r w:rsidRPr="00E06B10">
        <w:t xml:space="preserve"> and the </w:t>
      </w:r>
      <w:hyperlink r:id="rId228" w:history="1">
        <w:r w:rsidRPr="00E06B10">
          <w:rPr>
            <w:rStyle w:val="Hyperlink"/>
          </w:rPr>
          <w:t>NHS provides specialised FGM health services</w:t>
        </w:r>
      </w:hyperlink>
      <w:r w:rsidRPr="00E06B10">
        <w:t xml:space="preserve"> to women and girls. </w:t>
      </w:r>
    </w:p>
    <w:p w:rsidR="00A70814" w:rsidRDefault="00A70814" w:rsidP="00A70814">
      <w:pPr>
        <w:jc w:val="both"/>
      </w:pPr>
      <w:r w:rsidRPr="00E06B10">
        <w:t xml:space="preserve">There are no direct statistics </w:t>
      </w:r>
      <w:r>
        <w:t xml:space="preserve">with respect to </w:t>
      </w:r>
      <w:r w:rsidRPr="00E06B10">
        <w:t>FGM cases i</w:t>
      </w:r>
      <w:r>
        <w:t>n</w:t>
      </w:r>
      <w:r w:rsidRPr="00E06B10">
        <w:t xml:space="preserve"> </w:t>
      </w:r>
      <w:r>
        <w:t xml:space="preserve">the </w:t>
      </w:r>
      <w:r w:rsidRPr="00E06B10">
        <w:t xml:space="preserve">London </w:t>
      </w:r>
      <w:r>
        <w:t>Borough</w:t>
      </w:r>
      <w:r w:rsidRPr="00E06B10">
        <w:t xml:space="preserve"> of Barnet. However, </w:t>
      </w:r>
      <w:hyperlink r:id="rId229" w:history="1">
        <w:r w:rsidRPr="00E06B10">
          <w:rPr>
            <w:rStyle w:val="Hyperlink"/>
          </w:rPr>
          <w:t xml:space="preserve">acute hospital NHS healthcare trusts are required to submit FGM prevalence aggregated data on identified FGM cases on </w:t>
        </w:r>
        <w:r>
          <w:rPr>
            <w:rStyle w:val="Hyperlink"/>
          </w:rPr>
          <w:t xml:space="preserve">a </w:t>
        </w:r>
        <w:r w:rsidRPr="00E06B10">
          <w:rPr>
            <w:rStyle w:val="Hyperlink"/>
          </w:rPr>
          <w:t>monthly basis since 1</w:t>
        </w:r>
        <w:r w:rsidRPr="00E06B10">
          <w:rPr>
            <w:rStyle w:val="Hyperlink"/>
            <w:vertAlign w:val="superscript"/>
          </w:rPr>
          <w:t>st</w:t>
        </w:r>
        <w:r w:rsidRPr="00E06B10">
          <w:rPr>
            <w:rStyle w:val="Hyperlink"/>
          </w:rPr>
          <w:t xml:space="preserve"> September 2014</w:t>
        </w:r>
      </w:hyperlink>
      <w:r w:rsidRPr="00E06B10">
        <w:t>.</w:t>
      </w:r>
      <w:r>
        <w:t xml:space="preserve"> </w:t>
      </w:r>
      <w:r w:rsidRPr="00E06B10">
        <w:t xml:space="preserve">The </w:t>
      </w:r>
      <w:hyperlink r:id="rId230" w:history="1">
        <w:r w:rsidRPr="00E06B10">
          <w:rPr>
            <w:rStyle w:val="Hyperlink"/>
          </w:rPr>
          <w:t>monthly FGM prevalence data</w:t>
        </w:r>
      </w:hyperlink>
      <w:r w:rsidRPr="00E06B10">
        <w:t xml:space="preserve"> by the Royal Free London NHS Foundation Trust, which provides healthcare to most of the Barnet population, is shown </w:t>
      </w:r>
      <w:r w:rsidRPr="00A70814">
        <w:t>in Figure 10-3.</w:t>
      </w:r>
    </w:p>
    <w:p w:rsidR="00A70814" w:rsidRPr="00E06B10" w:rsidRDefault="00A70814" w:rsidP="00A70814">
      <w:pPr>
        <w:jc w:val="both"/>
      </w:pPr>
      <w:r w:rsidRPr="00E06B10">
        <w:lastRenderedPageBreak/>
        <w:t xml:space="preserve"> These data are an indicator but not an actual picture of FGM in Barnet because the FGM patients might be referred to other hospitals. The actual FGM profile in Barnet would take some time to be </w:t>
      </w:r>
      <w:r>
        <w:t>recognised</w:t>
      </w:r>
      <w:r w:rsidRPr="00E06B10">
        <w:t xml:space="preserve">, especially after the return of </w:t>
      </w:r>
      <w:hyperlink r:id="rId231" w:history="1">
        <w:r w:rsidRPr="00E06B10">
          <w:rPr>
            <w:rStyle w:val="Hyperlink"/>
          </w:rPr>
          <w:t>FGM enhanced datasets</w:t>
        </w:r>
      </w:hyperlink>
      <w:r w:rsidRPr="00E06B10">
        <w:t>, which beg</w:t>
      </w:r>
      <w:r>
        <w:t>a</w:t>
      </w:r>
      <w:r w:rsidRPr="00E06B10">
        <w:t xml:space="preserve">n in April 2015. However, to tackle FGM in the </w:t>
      </w:r>
      <w:r>
        <w:t>Borough</w:t>
      </w:r>
      <w:r w:rsidRPr="00E06B10">
        <w:t xml:space="preserve">, the </w:t>
      </w:r>
      <w:hyperlink r:id="rId232" w:history="1">
        <w:r w:rsidRPr="00E06B10">
          <w:rPr>
            <w:rStyle w:val="Hyperlink"/>
          </w:rPr>
          <w:t>Barnet Multi-agency Safeguarding Hub (MASH) team has been setup that provides advice to women, girls, parents and carers on FGM</w:t>
        </w:r>
      </w:hyperlink>
      <w:r w:rsidRPr="00E06B10">
        <w:t xml:space="preserve"> and the steps that need to be taken to protect women and girls from FGM and its effects. </w:t>
      </w:r>
    </w:p>
    <w:p w:rsidR="00A70814" w:rsidRDefault="00A70814" w:rsidP="00A70814">
      <w:pPr>
        <w:pStyle w:val="Caption"/>
      </w:pPr>
      <w:r>
        <w:t xml:space="preserve">Figure </w:t>
      </w:r>
      <w:fldSimple w:instr=" STYLEREF 1 \s ">
        <w:r>
          <w:rPr>
            <w:noProof/>
          </w:rPr>
          <w:t>10</w:t>
        </w:r>
      </w:fldSimple>
      <w:r>
        <w:noBreakHyphen/>
      </w:r>
      <w:fldSimple w:instr=" SEQ Figure \* ARABIC \s 1 ">
        <w:r>
          <w:rPr>
            <w:noProof/>
          </w:rPr>
          <w:t>3</w:t>
        </w:r>
      </w:fldSimple>
      <w:r>
        <w:t xml:space="preserve">: </w:t>
      </w:r>
      <w:r w:rsidRPr="00E06B10">
        <w:t>Active Caseloads of FGM at Royal Free London NHS Foundation Trust</w:t>
      </w:r>
    </w:p>
    <w:p w:rsidR="00A70814" w:rsidRPr="00E6060A" w:rsidRDefault="00A70814" w:rsidP="00A70814">
      <w:pPr>
        <w:spacing w:after="0"/>
        <w:jc w:val="center"/>
      </w:pPr>
      <w:r w:rsidRPr="00E6060A">
        <w:rPr>
          <w:noProof/>
          <w:lang w:eastAsia="en-GB"/>
        </w:rPr>
        <w:drawing>
          <wp:inline distT="0" distB="0" distL="0" distR="0" wp14:anchorId="6391A4E2" wp14:editId="656F4CC3">
            <wp:extent cx="3689497" cy="2073349"/>
            <wp:effectExtent l="0" t="0" r="635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extLst>
                        <a:ext uri="{28A0092B-C50C-407E-A947-70E740481C1C}">
                          <a14:useLocalDpi xmlns:a14="http://schemas.microsoft.com/office/drawing/2010/main" val="0"/>
                        </a:ext>
                      </a:extLst>
                    </a:blip>
                    <a:stretch>
                      <a:fillRect/>
                    </a:stretch>
                  </pic:blipFill>
                  <pic:spPr>
                    <a:xfrm>
                      <a:off x="0" y="0"/>
                      <a:ext cx="3693486" cy="2075591"/>
                    </a:xfrm>
                    <a:prstGeom prst="rect">
                      <a:avLst/>
                    </a:prstGeom>
                  </pic:spPr>
                </pic:pic>
              </a:graphicData>
            </a:graphic>
          </wp:inline>
        </w:drawing>
      </w:r>
    </w:p>
    <w:p w:rsidR="00A70814" w:rsidRPr="008A799C" w:rsidRDefault="00A70814" w:rsidP="00A70814">
      <w:pPr>
        <w:pStyle w:val="FootnoteText"/>
        <w:rPr>
          <w:rFonts w:asciiTheme="minorHAnsi" w:hAnsiTheme="minorHAnsi"/>
          <w:sz w:val="22"/>
          <w:szCs w:val="22"/>
          <w:highlight w:val="yellow"/>
        </w:rPr>
      </w:pPr>
      <w:r w:rsidRPr="008A799C">
        <w:rPr>
          <w:rFonts w:asciiTheme="minorHAnsi" w:hAnsiTheme="minorHAnsi"/>
          <w:sz w:val="22"/>
          <w:szCs w:val="22"/>
        </w:rPr>
        <w:t xml:space="preserve">Source: HSCIC, </w:t>
      </w:r>
      <w:hyperlink r:id="rId234" w:history="1">
        <w:r w:rsidRPr="008A799C">
          <w:rPr>
            <w:rStyle w:val="Hyperlink"/>
            <w:rFonts w:asciiTheme="minorHAnsi" w:hAnsiTheme="minorHAnsi"/>
            <w:sz w:val="22"/>
            <w:szCs w:val="22"/>
          </w:rPr>
          <w:t>FGM Experimental Statistics</w:t>
        </w:r>
      </w:hyperlink>
      <w:r w:rsidRPr="008A799C">
        <w:rPr>
          <w:rStyle w:val="Hyperlink"/>
          <w:rFonts w:asciiTheme="minorHAnsi" w:hAnsiTheme="minorHAnsi"/>
          <w:sz w:val="22"/>
          <w:szCs w:val="22"/>
        </w:rPr>
        <w:t xml:space="preserve"> (Feb 2015)</w:t>
      </w:r>
    </w:p>
    <w:p w:rsidR="00FE340F" w:rsidRDefault="00FE340F" w:rsidP="00FE340F">
      <w:pPr>
        <w:pStyle w:val="Heading2"/>
        <w:rPr>
          <w:lang w:eastAsia="en-GB"/>
        </w:rPr>
      </w:pPr>
      <w:bookmarkStart w:id="994" w:name="_Toc426723414"/>
      <w:bookmarkStart w:id="995" w:name="_Toc431225242"/>
      <w:r w:rsidRPr="00BE35CC">
        <w:rPr>
          <w:lang w:eastAsia="en-GB"/>
        </w:rPr>
        <w:t>Youth Crime</w:t>
      </w:r>
      <w:bookmarkEnd w:id="994"/>
      <w:bookmarkEnd w:id="995"/>
    </w:p>
    <w:p w:rsidR="00FE340F" w:rsidRPr="002E01F7" w:rsidRDefault="00C923C2" w:rsidP="00FE340F">
      <w:pPr>
        <w:autoSpaceDE w:val="0"/>
        <w:autoSpaceDN w:val="0"/>
        <w:adjustRightInd w:val="0"/>
        <w:spacing w:after="0" w:line="240" w:lineRule="auto"/>
        <w:jc w:val="both"/>
        <w:rPr>
          <w:rFonts w:cs="Calibri"/>
          <w:lang w:eastAsia="en-GB"/>
        </w:rPr>
      </w:pPr>
      <w:r>
        <w:rPr>
          <w:rFonts w:cs="Calibri"/>
          <w:color w:val="000000"/>
          <w:lang w:eastAsia="en-GB"/>
        </w:rPr>
        <w:t>T</w:t>
      </w:r>
      <w:r w:rsidR="00FE340F" w:rsidRPr="002E01F7">
        <w:rPr>
          <w:rFonts w:cs="Calibri"/>
          <w:color w:val="000000"/>
          <w:lang w:eastAsia="en-GB"/>
        </w:rPr>
        <w:t xml:space="preserve">hrough </w:t>
      </w:r>
      <w:r>
        <w:rPr>
          <w:rFonts w:cs="Calibri"/>
          <w:color w:val="000000"/>
          <w:lang w:eastAsia="en-GB"/>
        </w:rPr>
        <w:t>consultation young people have told the Council</w:t>
      </w:r>
      <w:r w:rsidR="00FE340F" w:rsidRPr="002E01F7">
        <w:rPr>
          <w:rFonts w:cs="Calibri"/>
          <w:color w:val="000000"/>
          <w:lang w:eastAsia="en-GB"/>
        </w:rPr>
        <w:t xml:space="preserve"> that safety is on</w:t>
      </w:r>
      <w:r>
        <w:rPr>
          <w:rFonts w:cs="Calibri"/>
          <w:color w:val="000000"/>
          <w:lang w:eastAsia="en-GB"/>
        </w:rPr>
        <w:t>e of their top priorities. S</w:t>
      </w:r>
      <w:r w:rsidR="00FE340F" w:rsidRPr="002E01F7">
        <w:rPr>
          <w:rFonts w:cs="Calibri"/>
          <w:color w:val="000000"/>
          <w:lang w:eastAsia="en-GB"/>
        </w:rPr>
        <w:t xml:space="preserve">urvey results showed that compared to the population average, </w:t>
      </w:r>
      <w:r w:rsidR="00FE340F" w:rsidRPr="002E01F7">
        <w:rPr>
          <w:rFonts w:cs="Calibri"/>
          <w:lang w:eastAsia="en-GB"/>
        </w:rPr>
        <w:t>people aged 19 or under</w:t>
      </w:r>
      <w:r>
        <w:rPr>
          <w:rFonts w:cs="Calibri"/>
          <w:lang w:eastAsia="en-GB"/>
        </w:rPr>
        <w:t xml:space="preserve"> </w:t>
      </w:r>
      <w:r w:rsidR="00FE340F" w:rsidRPr="002E01F7">
        <w:rPr>
          <w:rFonts w:cs="Calibri"/>
          <w:lang w:eastAsia="en-GB"/>
        </w:rPr>
        <w:t>were over 55% more likely to feel ‘very worried’ about the risk of being physically assaulted</w:t>
      </w:r>
      <w:r w:rsidR="00FE340F" w:rsidRPr="00C923C2">
        <w:rPr>
          <w:rFonts w:cs="Calibri"/>
          <w:lang w:eastAsia="en-GB"/>
        </w:rPr>
        <w:t>.</w:t>
      </w:r>
    </w:p>
    <w:p w:rsidR="00FE340F" w:rsidRPr="002E01F7" w:rsidRDefault="00FE340F" w:rsidP="00FE340F">
      <w:pPr>
        <w:autoSpaceDE w:val="0"/>
        <w:autoSpaceDN w:val="0"/>
        <w:adjustRightInd w:val="0"/>
        <w:spacing w:after="0" w:line="240" w:lineRule="auto"/>
        <w:jc w:val="both"/>
        <w:rPr>
          <w:rFonts w:cs="Calibri"/>
          <w:lang w:eastAsia="en-GB"/>
        </w:rPr>
      </w:pPr>
    </w:p>
    <w:p w:rsidR="00FE340F" w:rsidRPr="002E01F7" w:rsidRDefault="00FE340F" w:rsidP="00FE340F">
      <w:pPr>
        <w:autoSpaceDE w:val="0"/>
        <w:autoSpaceDN w:val="0"/>
        <w:adjustRightInd w:val="0"/>
        <w:spacing w:after="0" w:line="240" w:lineRule="auto"/>
        <w:jc w:val="both"/>
        <w:rPr>
          <w:rFonts w:cs="Calibri"/>
          <w:lang w:eastAsia="en-GB"/>
        </w:rPr>
      </w:pPr>
      <w:r w:rsidRPr="002E01F7">
        <w:rPr>
          <w:rFonts w:cs="Calibri"/>
          <w:lang w:eastAsia="en-GB"/>
        </w:rPr>
        <w:t xml:space="preserve">Barnet is one of the safest </w:t>
      </w:r>
      <w:r>
        <w:rPr>
          <w:rFonts w:cs="Calibri"/>
          <w:lang w:eastAsia="en-GB"/>
        </w:rPr>
        <w:t>Borough</w:t>
      </w:r>
      <w:r w:rsidRPr="002E01F7">
        <w:rPr>
          <w:rFonts w:cs="Calibri"/>
          <w:lang w:eastAsia="en-GB"/>
        </w:rPr>
        <w:t>s in London</w:t>
      </w:r>
      <w:r w:rsidR="00C923C2">
        <w:rPr>
          <w:rFonts w:cs="Calibri"/>
          <w:lang w:eastAsia="en-GB"/>
        </w:rPr>
        <w:t xml:space="preserve">. </w:t>
      </w:r>
      <w:r w:rsidRPr="002E01F7">
        <w:rPr>
          <w:rFonts w:cs="Calibri"/>
          <w:lang w:eastAsia="en-GB"/>
        </w:rPr>
        <w:t xml:space="preserve">Barnet’s rate of violence with injury rate of 4.2 per 1,000 population in the last 12 months is one of the lowest out of all London </w:t>
      </w:r>
      <w:r>
        <w:rPr>
          <w:rFonts w:cs="Calibri"/>
          <w:lang w:eastAsia="en-GB"/>
        </w:rPr>
        <w:t>Borough</w:t>
      </w:r>
      <w:r w:rsidRPr="002E01F7">
        <w:rPr>
          <w:rFonts w:cs="Calibri"/>
          <w:lang w:eastAsia="en-GB"/>
        </w:rPr>
        <w:t xml:space="preserve">s, and also out of the 15 comparison areas in Barnet’s ‘Most Similar Group’. </w:t>
      </w:r>
    </w:p>
    <w:p w:rsidR="00FE340F" w:rsidRPr="002E01F7" w:rsidRDefault="00FE340F" w:rsidP="00FE340F">
      <w:pPr>
        <w:autoSpaceDE w:val="0"/>
        <w:autoSpaceDN w:val="0"/>
        <w:adjustRightInd w:val="0"/>
        <w:spacing w:after="0" w:line="240" w:lineRule="auto"/>
        <w:jc w:val="both"/>
        <w:rPr>
          <w:rFonts w:cs="Calibri"/>
          <w:lang w:eastAsia="en-GB"/>
        </w:rPr>
      </w:pPr>
    </w:p>
    <w:p w:rsidR="00FE340F" w:rsidRPr="002E01F7" w:rsidRDefault="00FE340F" w:rsidP="00FE340F">
      <w:pPr>
        <w:autoSpaceDE w:val="0"/>
        <w:autoSpaceDN w:val="0"/>
        <w:adjustRightInd w:val="0"/>
        <w:spacing w:after="0" w:line="240" w:lineRule="auto"/>
        <w:jc w:val="both"/>
        <w:rPr>
          <w:rFonts w:cs="Calibri"/>
          <w:lang w:eastAsia="en-GB"/>
        </w:rPr>
      </w:pPr>
      <w:r w:rsidRPr="002E01F7">
        <w:rPr>
          <w:rFonts w:cs="Calibri"/>
          <w:lang w:eastAsia="en-GB"/>
        </w:rPr>
        <w:t xml:space="preserve">As would be expected, however, violent offences (including violence towards young people) are not distributed uniformly across the </w:t>
      </w:r>
      <w:r>
        <w:rPr>
          <w:rFonts w:cs="Calibri"/>
          <w:lang w:eastAsia="en-GB"/>
        </w:rPr>
        <w:t>Borough</w:t>
      </w:r>
      <w:r w:rsidRPr="002E01F7">
        <w:rPr>
          <w:rFonts w:cs="Calibri"/>
          <w:lang w:eastAsia="en-GB"/>
        </w:rPr>
        <w:t xml:space="preserve">.  </w:t>
      </w:r>
    </w:p>
    <w:p w:rsidR="00FE340F" w:rsidRPr="007374E3" w:rsidRDefault="00FE340F" w:rsidP="00FE340F">
      <w:pPr>
        <w:pStyle w:val="Heading3"/>
        <w:rPr>
          <w:lang w:eastAsia="en-GB"/>
        </w:rPr>
      </w:pPr>
      <w:r>
        <w:rPr>
          <w:lang w:eastAsia="en-GB"/>
        </w:rPr>
        <w:t>Key Facts</w:t>
      </w:r>
      <w:r w:rsidRPr="007374E3">
        <w:rPr>
          <w:lang w:eastAsia="en-GB"/>
        </w:rPr>
        <w:t xml:space="preserve"> </w:t>
      </w:r>
    </w:p>
    <w:p w:rsidR="00FE340F" w:rsidRPr="002E01F7" w:rsidRDefault="00FE340F" w:rsidP="008921BF">
      <w:pPr>
        <w:numPr>
          <w:ilvl w:val="0"/>
          <w:numId w:val="64"/>
        </w:numPr>
        <w:spacing w:after="0" w:line="259" w:lineRule="auto"/>
        <w:jc w:val="both"/>
        <w:rPr>
          <w:color w:val="262626"/>
        </w:rPr>
      </w:pPr>
      <w:r w:rsidRPr="002E01F7">
        <w:rPr>
          <w:color w:val="262626"/>
        </w:rPr>
        <w:t>The peak victim age for offences with violent contact between the victim and offender (robbery, violence, and sexual offences) is: 15 to 33 years (52% of victims are in this range)</w:t>
      </w:r>
      <w:r>
        <w:rPr>
          <w:color w:val="262626"/>
        </w:rPr>
        <w:t>.</w:t>
      </w:r>
      <w:r w:rsidRPr="002E01F7">
        <w:rPr>
          <w:color w:val="262626"/>
        </w:rPr>
        <w:t xml:space="preserve"> </w:t>
      </w:r>
    </w:p>
    <w:p w:rsidR="00FE340F" w:rsidRPr="002E01F7" w:rsidRDefault="00FE340F" w:rsidP="008921BF">
      <w:pPr>
        <w:numPr>
          <w:ilvl w:val="0"/>
          <w:numId w:val="64"/>
        </w:numPr>
        <w:spacing w:after="0" w:line="240" w:lineRule="auto"/>
        <w:contextualSpacing/>
        <w:jc w:val="both"/>
        <w:rPr>
          <w:color w:val="262626"/>
        </w:rPr>
      </w:pPr>
      <w:r w:rsidRPr="002E01F7">
        <w:rPr>
          <w:color w:val="262626"/>
        </w:rPr>
        <w:t xml:space="preserve">The peak victim age for </w:t>
      </w:r>
      <w:r>
        <w:rPr>
          <w:color w:val="262626"/>
        </w:rPr>
        <w:t>r</w:t>
      </w:r>
      <w:r w:rsidRPr="002E01F7">
        <w:rPr>
          <w:color w:val="262626"/>
        </w:rPr>
        <w:t>obbery is:  14 to 18 years old (33% of</w:t>
      </w:r>
      <w:r w:rsidR="00C923C2">
        <w:rPr>
          <w:color w:val="262626"/>
        </w:rPr>
        <w:t xml:space="preserve"> all</w:t>
      </w:r>
      <w:r w:rsidRPr="002E01F7">
        <w:rPr>
          <w:color w:val="262626"/>
        </w:rPr>
        <w:t xml:space="preserve"> male victims in this range)</w:t>
      </w:r>
      <w:r>
        <w:rPr>
          <w:color w:val="262626"/>
        </w:rPr>
        <w:t>.</w:t>
      </w:r>
      <w:r w:rsidRPr="002E01F7">
        <w:rPr>
          <w:color w:val="262626"/>
        </w:rPr>
        <w:t xml:space="preserve"> </w:t>
      </w:r>
    </w:p>
    <w:p w:rsidR="00FE340F" w:rsidRPr="002E01F7" w:rsidRDefault="00FE340F" w:rsidP="008921BF">
      <w:pPr>
        <w:numPr>
          <w:ilvl w:val="0"/>
          <w:numId w:val="64"/>
        </w:numPr>
        <w:spacing w:after="0" w:line="240" w:lineRule="auto"/>
        <w:contextualSpacing/>
        <w:jc w:val="both"/>
        <w:rPr>
          <w:color w:val="262626"/>
        </w:rPr>
      </w:pPr>
      <w:r w:rsidRPr="002E01F7">
        <w:rPr>
          <w:color w:val="262626"/>
        </w:rPr>
        <w:t xml:space="preserve">The peak victim age for </w:t>
      </w:r>
      <w:r>
        <w:rPr>
          <w:color w:val="262626"/>
        </w:rPr>
        <w:t>s</w:t>
      </w:r>
      <w:r w:rsidRPr="002E01F7">
        <w:rPr>
          <w:color w:val="262626"/>
        </w:rPr>
        <w:t xml:space="preserve">exual crime is: 14 to 22 (38% of </w:t>
      </w:r>
      <w:r w:rsidR="00C923C2">
        <w:rPr>
          <w:color w:val="262626"/>
        </w:rPr>
        <w:t xml:space="preserve">all </w:t>
      </w:r>
      <w:r w:rsidRPr="002E01F7">
        <w:rPr>
          <w:color w:val="262626"/>
        </w:rPr>
        <w:t>female victims in this range)</w:t>
      </w:r>
      <w:r>
        <w:rPr>
          <w:color w:val="262626"/>
        </w:rPr>
        <w:t>.</w:t>
      </w:r>
    </w:p>
    <w:p w:rsidR="00FE340F" w:rsidRPr="002E01F7" w:rsidRDefault="00FE340F" w:rsidP="008921BF">
      <w:pPr>
        <w:numPr>
          <w:ilvl w:val="0"/>
          <w:numId w:val="64"/>
        </w:numPr>
        <w:spacing w:after="0" w:line="240" w:lineRule="auto"/>
        <w:contextualSpacing/>
        <w:jc w:val="both"/>
        <w:rPr>
          <w:color w:val="262626"/>
        </w:rPr>
      </w:pPr>
      <w:r w:rsidRPr="002E01F7">
        <w:rPr>
          <w:color w:val="262626"/>
        </w:rPr>
        <w:t xml:space="preserve">The </w:t>
      </w:r>
      <w:r w:rsidR="00C923C2">
        <w:rPr>
          <w:color w:val="262626"/>
        </w:rPr>
        <w:t>‘V</w:t>
      </w:r>
      <w:r w:rsidRPr="002E01F7">
        <w:rPr>
          <w:color w:val="262626"/>
        </w:rPr>
        <w:t xml:space="preserve">oice of the </w:t>
      </w:r>
      <w:r w:rsidR="00C923C2">
        <w:rPr>
          <w:color w:val="262626"/>
        </w:rPr>
        <w:t>C</w:t>
      </w:r>
      <w:r w:rsidRPr="002E01F7">
        <w:rPr>
          <w:color w:val="262626"/>
        </w:rPr>
        <w:t>hild</w:t>
      </w:r>
      <w:r w:rsidR="00C923C2">
        <w:rPr>
          <w:color w:val="262626"/>
        </w:rPr>
        <w:t>’</w:t>
      </w:r>
      <w:r w:rsidRPr="002E01F7">
        <w:rPr>
          <w:color w:val="262626"/>
        </w:rPr>
        <w:t xml:space="preserve"> consultation exercises seek feedback from young people about the </w:t>
      </w:r>
      <w:r>
        <w:rPr>
          <w:color w:val="262626"/>
        </w:rPr>
        <w:t>Borough</w:t>
      </w:r>
      <w:r w:rsidR="00C923C2">
        <w:rPr>
          <w:color w:val="262626"/>
        </w:rPr>
        <w:t>. This has established that s</w:t>
      </w:r>
      <w:r w:rsidRPr="002E01F7">
        <w:rPr>
          <w:color w:val="262626"/>
        </w:rPr>
        <w:t>afety is a priority for many young people</w:t>
      </w:r>
      <w:r w:rsidR="00C923C2">
        <w:rPr>
          <w:color w:val="262626"/>
        </w:rPr>
        <w:t>; that some young people do no</w:t>
      </w:r>
      <w:r w:rsidRPr="002E01F7">
        <w:rPr>
          <w:color w:val="262626"/>
        </w:rPr>
        <w:t xml:space="preserve">t feel safe being in some parts of the </w:t>
      </w:r>
      <w:r>
        <w:rPr>
          <w:color w:val="262626"/>
        </w:rPr>
        <w:t>Borough</w:t>
      </w:r>
      <w:r w:rsidRPr="002E01F7">
        <w:rPr>
          <w:color w:val="262626"/>
        </w:rPr>
        <w:t xml:space="preserve"> in the day time and in the evening</w:t>
      </w:r>
      <w:r w:rsidR="00DD3A76">
        <w:rPr>
          <w:color w:val="262626"/>
        </w:rPr>
        <w:t xml:space="preserve">, </w:t>
      </w:r>
      <w:r w:rsidR="00DD3A76" w:rsidRPr="002E01F7">
        <w:rPr>
          <w:color w:val="262626"/>
        </w:rPr>
        <w:t>and</w:t>
      </w:r>
      <w:r w:rsidRPr="002E01F7">
        <w:rPr>
          <w:color w:val="262626"/>
        </w:rPr>
        <w:t xml:space="preserve"> not necessarily always in the areas of deprivation</w:t>
      </w:r>
      <w:r>
        <w:rPr>
          <w:color w:val="262626"/>
        </w:rPr>
        <w:t>.</w:t>
      </w:r>
    </w:p>
    <w:p w:rsidR="00FE340F" w:rsidRPr="002E01F7" w:rsidRDefault="00FE340F" w:rsidP="008921BF">
      <w:pPr>
        <w:numPr>
          <w:ilvl w:val="0"/>
          <w:numId w:val="64"/>
        </w:numPr>
        <w:spacing w:after="0" w:line="240" w:lineRule="auto"/>
        <w:contextualSpacing/>
        <w:jc w:val="both"/>
        <w:rPr>
          <w:color w:val="262626"/>
        </w:rPr>
      </w:pPr>
      <w:r w:rsidRPr="002E01F7">
        <w:rPr>
          <w:color w:val="262626"/>
        </w:rPr>
        <w:t>Most arrested suspects are males aged between 15 to 35 years (57% of arrests), peaking between 16 to 24 years old.</w:t>
      </w:r>
    </w:p>
    <w:p w:rsidR="00FE340F" w:rsidRPr="003F66EE" w:rsidRDefault="00FE340F" w:rsidP="008921BF">
      <w:pPr>
        <w:numPr>
          <w:ilvl w:val="0"/>
          <w:numId w:val="64"/>
        </w:numPr>
        <w:spacing w:after="0" w:line="240" w:lineRule="auto"/>
        <w:contextualSpacing/>
        <w:jc w:val="both"/>
        <w:rPr>
          <w:color w:val="262626"/>
          <w:sz w:val="24"/>
          <w:szCs w:val="24"/>
        </w:rPr>
      </w:pPr>
      <w:r w:rsidRPr="003F66EE">
        <w:rPr>
          <w:color w:val="262626"/>
        </w:rPr>
        <w:t>Violent crime is one of the main crime types for both under</w:t>
      </w:r>
      <w:r w:rsidR="00226F8B">
        <w:rPr>
          <w:color w:val="262626"/>
        </w:rPr>
        <w:t xml:space="preserve"> </w:t>
      </w:r>
      <w:r w:rsidRPr="003F66EE">
        <w:rPr>
          <w:color w:val="262626"/>
        </w:rPr>
        <w:t>reporting and repeat-victimisation</w:t>
      </w:r>
      <w:r w:rsidR="00C923C2">
        <w:rPr>
          <w:color w:val="262626"/>
        </w:rPr>
        <w:t>.</w:t>
      </w:r>
      <w:r w:rsidRPr="003F66EE">
        <w:rPr>
          <w:color w:val="262626"/>
        </w:rPr>
        <w:t xml:space="preserve"> </w:t>
      </w:r>
      <w:r w:rsidR="00C923C2">
        <w:rPr>
          <w:color w:val="262626"/>
        </w:rPr>
        <w:t>A</w:t>
      </w:r>
      <w:r w:rsidRPr="003F66EE">
        <w:rPr>
          <w:color w:val="262626"/>
        </w:rPr>
        <w:t>necdotally (based on a review</w:t>
      </w:r>
      <w:r w:rsidR="00C923C2">
        <w:rPr>
          <w:color w:val="262626"/>
        </w:rPr>
        <w:t xml:space="preserve"> of</w:t>
      </w:r>
      <w:r w:rsidRPr="003F66EE">
        <w:rPr>
          <w:color w:val="262626"/>
        </w:rPr>
        <w:t xml:space="preserve"> local intelligence) this appears to be particularly the case where young people are the victims</w:t>
      </w:r>
      <w:r w:rsidR="00226F8B">
        <w:rPr>
          <w:color w:val="262626"/>
        </w:rPr>
        <w:t>. This makes it</w:t>
      </w:r>
      <w:r w:rsidRPr="003F66EE">
        <w:rPr>
          <w:color w:val="262626"/>
        </w:rPr>
        <w:t xml:space="preserve"> more difficult to identify and intervene to reduce the risks associated with on-</w:t>
      </w:r>
      <w:r w:rsidR="00DD3A76" w:rsidRPr="003F66EE">
        <w:rPr>
          <w:color w:val="262626"/>
        </w:rPr>
        <w:t>going victimisation</w:t>
      </w:r>
      <w:r>
        <w:rPr>
          <w:color w:val="262626"/>
        </w:rPr>
        <w:t>.</w:t>
      </w:r>
      <w:r w:rsidRPr="003F66EE">
        <w:rPr>
          <w:b/>
          <w:color w:val="262626"/>
          <w:sz w:val="24"/>
          <w:szCs w:val="24"/>
        </w:rPr>
        <w:t xml:space="preserve"> </w:t>
      </w:r>
    </w:p>
    <w:p w:rsidR="00FE340F" w:rsidRPr="00746433" w:rsidRDefault="00FE340F" w:rsidP="00FE340F">
      <w:pPr>
        <w:pStyle w:val="Heading2"/>
        <w:rPr>
          <w:lang w:eastAsia="en-GB"/>
        </w:rPr>
      </w:pPr>
      <w:bookmarkStart w:id="996" w:name="_Toc426723415"/>
      <w:bookmarkStart w:id="997" w:name="_Toc431225243"/>
      <w:r w:rsidRPr="00746433">
        <w:rPr>
          <w:lang w:eastAsia="en-GB"/>
        </w:rPr>
        <w:lastRenderedPageBreak/>
        <w:t>Gang Activity</w:t>
      </w:r>
      <w:bookmarkEnd w:id="996"/>
      <w:bookmarkEnd w:id="997"/>
      <w:r w:rsidRPr="00746433">
        <w:rPr>
          <w:lang w:eastAsia="en-GB"/>
        </w:rPr>
        <w:t xml:space="preserve"> </w:t>
      </w:r>
    </w:p>
    <w:p w:rsidR="00FE340F" w:rsidRPr="002E01F7" w:rsidRDefault="00FE340F" w:rsidP="00FE340F">
      <w:pPr>
        <w:autoSpaceDE w:val="0"/>
        <w:autoSpaceDN w:val="0"/>
        <w:adjustRightInd w:val="0"/>
        <w:spacing w:after="0" w:line="240" w:lineRule="auto"/>
        <w:jc w:val="both"/>
        <w:rPr>
          <w:rFonts w:cs="Calibri"/>
          <w:color w:val="000000"/>
          <w:lang w:eastAsia="en-GB"/>
        </w:rPr>
      </w:pPr>
      <w:r w:rsidRPr="002E01F7">
        <w:rPr>
          <w:rFonts w:cs="Calibri"/>
          <w:color w:val="000000"/>
          <w:lang w:eastAsia="en-GB"/>
        </w:rPr>
        <w:t xml:space="preserve">Barnet is one of the safest London </w:t>
      </w:r>
      <w:r>
        <w:rPr>
          <w:rFonts w:cs="Calibri"/>
          <w:color w:val="000000"/>
          <w:lang w:eastAsia="en-GB"/>
        </w:rPr>
        <w:t>Borough</w:t>
      </w:r>
      <w:r w:rsidRPr="002E01F7">
        <w:rPr>
          <w:rFonts w:cs="Calibri"/>
          <w:color w:val="000000"/>
          <w:lang w:eastAsia="en-GB"/>
        </w:rPr>
        <w:t>s with the overall crime rate falling</w:t>
      </w:r>
      <w:r w:rsidR="00226F8B">
        <w:rPr>
          <w:rFonts w:cs="Calibri"/>
          <w:color w:val="000000"/>
          <w:lang w:eastAsia="en-GB"/>
        </w:rPr>
        <w:t>. Fr</w:t>
      </w:r>
      <w:r w:rsidRPr="002E01F7">
        <w:rPr>
          <w:rFonts w:cs="Calibri"/>
          <w:color w:val="000000"/>
          <w:lang w:eastAsia="en-GB"/>
        </w:rPr>
        <w:t>om June to August 2013 Barnet had the lowest rate of Violence with Injury per 1</w:t>
      </w:r>
      <w:r w:rsidR="00226F8B">
        <w:rPr>
          <w:rFonts w:cs="Calibri"/>
          <w:color w:val="000000"/>
          <w:lang w:eastAsia="en-GB"/>
        </w:rPr>
        <w:t>,</w:t>
      </w:r>
      <w:r w:rsidRPr="002E01F7">
        <w:rPr>
          <w:rFonts w:cs="Calibri"/>
          <w:color w:val="000000"/>
          <w:lang w:eastAsia="en-GB"/>
        </w:rPr>
        <w:t xml:space="preserve">000 population of all 32 London </w:t>
      </w:r>
      <w:r>
        <w:rPr>
          <w:rFonts w:cs="Calibri"/>
          <w:color w:val="000000"/>
          <w:lang w:eastAsia="en-GB"/>
        </w:rPr>
        <w:t>Borough</w:t>
      </w:r>
      <w:r w:rsidRPr="002E01F7">
        <w:rPr>
          <w:rFonts w:cs="Calibri"/>
          <w:color w:val="000000"/>
          <w:lang w:eastAsia="en-GB"/>
        </w:rPr>
        <w:t xml:space="preserve">s. Between April </w:t>
      </w:r>
      <w:r>
        <w:rPr>
          <w:rFonts w:cs="Calibri"/>
          <w:color w:val="000000"/>
          <w:lang w:eastAsia="en-GB"/>
        </w:rPr>
        <w:t>and</w:t>
      </w:r>
      <w:r w:rsidRPr="002E01F7">
        <w:rPr>
          <w:rFonts w:cs="Calibri"/>
          <w:color w:val="000000"/>
          <w:lang w:eastAsia="en-GB"/>
        </w:rPr>
        <w:t xml:space="preserve"> September 2013 Barnet has seen reductions in most types of violent crime in comparison with the s</w:t>
      </w:r>
      <w:r w:rsidR="00226F8B">
        <w:rPr>
          <w:rFonts w:cs="Calibri"/>
          <w:color w:val="000000"/>
          <w:lang w:eastAsia="en-GB"/>
        </w:rPr>
        <w:t>ame period in the previous year;</w:t>
      </w:r>
      <w:r w:rsidRPr="002E01F7">
        <w:rPr>
          <w:rFonts w:cs="Calibri"/>
          <w:color w:val="000000"/>
          <w:lang w:eastAsia="en-GB"/>
        </w:rPr>
        <w:t xml:space="preserve"> Serious Youth Violence, Knife Crime, Gun crime, Robbery, and Non DV Violence with Injury all reduced significantly. </w:t>
      </w:r>
    </w:p>
    <w:p w:rsidR="00FE340F" w:rsidRPr="002E01F7" w:rsidRDefault="00FE340F" w:rsidP="00FE340F">
      <w:pPr>
        <w:autoSpaceDE w:val="0"/>
        <w:autoSpaceDN w:val="0"/>
        <w:adjustRightInd w:val="0"/>
        <w:spacing w:after="0" w:line="240" w:lineRule="auto"/>
        <w:jc w:val="both"/>
        <w:rPr>
          <w:rFonts w:cs="Calibri"/>
          <w:color w:val="000000"/>
          <w:lang w:eastAsia="en-GB"/>
        </w:rPr>
      </w:pPr>
    </w:p>
    <w:p w:rsidR="00FE340F" w:rsidRPr="005B1091" w:rsidRDefault="00FE340F" w:rsidP="00FE340F">
      <w:pPr>
        <w:autoSpaceDE w:val="0"/>
        <w:autoSpaceDN w:val="0"/>
        <w:adjustRightInd w:val="0"/>
        <w:spacing w:after="0" w:line="240" w:lineRule="auto"/>
        <w:jc w:val="both"/>
        <w:rPr>
          <w:rFonts w:cs="Calibri"/>
          <w:color w:val="000000"/>
          <w:sz w:val="23"/>
          <w:szCs w:val="23"/>
          <w:lang w:eastAsia="en-GB"/>
        </w:rPr>
      </w:pPr>
      <w:r w:rsidRPr="002E01F7">
        <w:rPr>
          <w:rFonts w:cs="Calibri"/>
          <w:color w:val="000000"/>
          <w:lang w:eastAsia="en-GB"/>
        </w:rPr>
        <w:t>At the same time the SCPB research revealed anecdotal evidence about serious youth violence and gang activity from youth workers, the youth offending service, Intensive Family Focus practitioners, and local community groups such as Barnet Group, ‘Get Outta the Gang’ and Graham</w:t>
      </w:r>
      <w:r>
        <w:rPr>
          <w:rFonts w:cs="Calibri"/>
          <w:color w:val="000000"/>
          <w:lang w:eastAsia="en-GB"/>
        </w:rPr>
        <w:t>e</w:t>
      </w:r>
      <w:r w:rsidRPr="002E01F7">
        <w:rPr>
          <w:rFonts w:cs="Calibri"/>
          <w:color w:val="000000"/>
          <w:lang w:eastAsia="en-GB"/>
        </w:rPr>
        <w:t xml:space="preserve"> Park Community Development Group. The practitioners said that they were working with young people affected by serious youth violence and gangs mainly in the west of the </w:t>
      </w:r>
      <w:r>
        <w:rPr>
          <w:rFonts w:cs="Calibri"/>
          <w:color w:val="000000"/>
          <w:lang w:eastAsia="en-GB"/>
        </w:rPr>
        <w:t>Borough</w:t>
      </w:r>
      <w:r w:rsidRPr="002E01F7">
        <w:rPr>
          <w:rFonts w:cs="Calibri"/>
          <w:color w:val="000000"/>
          <w:lang w:eastAsia="en-GB"/>
        </w:rPr>
        <w:t xml:space="preserve">, but including other areas such as North Finchley. </w:t>
      </w:r>
    </w:p>
    <w:p w:rsidR="00FE340F" w:rsidRPr="005B1091" w:rsidRDefault="00FE340F" w:rsidP="00FE340F">
      <w:pPr>
        <w:pStyle w:val="Heading3"/>
        <w:rPr>
          <w:lang w:eastAsia="en-GB"/>
        </w:rPr>
      </w:pPr>
      <w:r w:rsidRPr="005B1091">
        <w:rPr>
          <w:lang w:eastAsia="en-GB"/>
        </w:rPr>
        <w:t xml:space="preserve">Problem Profile - offences not evenly distributed –Burnt Oak highlighted </w:t>
      </w:r>
    </w:p>
    <w:p w:rsidR="00FE340F" w:rsidRPr="002E01F7" w:rsidRDefault="00FE340F" w:rsidP="00FE340F">
      <w:pPr>
        <w:autoSpaceDE w:val="0"/>
        <w:autoSpaceDN w:val="0"/>
        <w:adjustRightInd w:val="0"/>
        <w:spacing w:after="0" w:line="240" w:lineRule="auto"/>
        <w:jc w:val="both"/>
        <w:rPr>
          <w:rFonts w:cs="Calibri"/>
          <w:color w:val="000000"/>
          <w:lang w:eastAsia="en-GB"/>
        </w:rPr>
      </w:pPr>
      <w:r w:rsidRPr="002E01F7">
        <w:rPr>
          <w:rFonts w:cs="Calibri"/>
          <w:color w:val="000000"/>
          <w:lang w:eastAsia="en-GB"/>
        </w:rPr>
        <w:t>The research began with a hypothesis that suggested offences were not evenl</w:t>
      </w:r>
      <w:r w:rsidR="00226F8B">
        <w:rPr>
          <w:rFonts w:cs="Calibri"/>
          <w:color w:val="000000"/>
          <w:lang w:eastAsia="en-GB"/>
        </w:rPr>
        <w:t xml:space="preserve">y distributed and </w:t>
      </w:r>
      <w:r w:rsidRPr="002E01F7">
        <w:rPr>
          <w:rFonts w:cs="Calibri"/>
          <w:color w:val="000000"/>
          <w:lang w:eastAsia="en-GB"/>
        </w:rPr>
        <w:t>set out to create a problem pro</w:t>
      </w:r>
      <w:r w:rsidR="00226F8B">
        <w:rPr>
          <w:rFonts w:cs="Calibri"/>
          <w:color w:val="000000"/>
          <w:lang w:eastAsia="en-GB"/>
        </w:rPr>
        <w:t>file analysing existing data. Analysis</w:t>
      </w:r>
      <w:r w:rsidRPr="002E01F7">
        <w:rPr>
          <w:rFonts w:cs="Calibri"/>
          <w:color w:val="000000"/>
          <w:lang w:eastAsia="en-GB"/>
        </w:rPr>
        <w:t xml:space="preserve"> found that offences are not distributed evenly and Burnt Oak </w:t>
      </w:r>
      <w:r>
        <w:rPr>
          <w:rFonts w:cs="Calibri"/>
          <w:color w:val="000000"/>
          <w:lang w:eastAsia="en-GB"/>
        </w:rPr>
        <w:t>(</w:t>
      </w:r>
      <w:r w:rsidRPr="002E01F7">
        <w:rPr>
          <w:rFonts w:cs="Calibri"/>
          <w:color w:val="000000"/>
          <w:lang w:eastAsia="en-GB"/>
        </w:rPr>
        <w:t>HA8</w:t>
      </w:r>
      <w:r>
        <w:rPr>
          <w:rFonts w:cs="Calibri"/>
          <w:color w:val="000000"/>
          <w:lang w:eastAsia="en-GB"/>
        </w:rPr>
        <w:t>)</w:t>
      </w:r>
      <w:r w:rsidRPr="002E01F7">
        <w:rPr>
          <w:rFonts w:cs="Calibri"/>
          <w:color w:val="000000"/>
          <w:lang w:eastAsia="en-GB"/>
        </w:rPr>
        <w:t xml:space="preserve"> is highlighted as both the short</w:t>
      </w:r>
      <w:r>
        <w:rPr>
          <w:rFonts w:cs="Calibri"/>
          <w:color w:val="000000"/>
          <w:lang w:eastAsia="en-GB"/>
        </w:rPr>
        <w:t>-</w:t>
      </w:r>
      <w:r w:rsidRPr="002E01F7">
        <w:rPr>
          <w:rFonts w:cs="Calibri"/>
          <w:color w:val="000000"/>
          <w:lang w:eastAsia="en-GB"/>
        </w:rPr>
        <w:t xml:space="preserve"> and long</w:t>
      </w:r>
      <w:r>
        <w:rPr>
          <w:rFonts w:cs="Calibri"/>
          <w:color w:val="000000"/>
          <w:lang w:eastAsia="en-GB"/>
        </w:rPr>
        <w:t>-</w:t>
      </w:r>
      <w:r w:rsidRPr="002E01F7">
        <w:rPr>
          <w:rFonts w:cs="Calibri"/>
          <w:color w:val="000000"/>
          <w:lang w:eastAsia="en-GB"/>
        </w:rPr>
        <w:t>term hotspot for violence in Barnet</w:t>
      </w:r>
      <w:r w:rsidR="00226F8B">
        <w:rPr>
          <w:rFonts w:cs="Calibri"/>
          <w:color w:val="000000"/>
          <w:lang w:eastAsia="en-GB"/>
        </w:rPr>
        <w:t>,</w:t>
      </w:r>
      <w:r w:rsidRPr="002E01F7">
        <w:rPr>
          <w:rFonts w:cs="Calibri"/>
          <w:color w:val="000000"/>
          <w:lang w:eastAsia="en-GB"/>
        </w:rPr>
        <w:t xml:space="preserve"> with data showing an increase in offences resulting in injury in this area, going against the overall downward trend in the </w:t>
      </w:r>
      <w:r>
        <w:rPr>
          <w:rFonts w:cs="Calibri"/>
          <w:color w:val="000000"/>
          <w:lang w:eastAsia="en-GB"/>
        </w:rPr>
        <w:t>Borough</w:t>
      </w:r>
      <w:r w:rsidRPr="002E01F7">
        <w:rPr>
          <w:rFonts w:cs="Calibri"/>
          <w:color w:val="000000"/>
          <w:lang w:eastAsia="en-GB"/>
        </w:rPr>
        <w:t xml:space="preserve">. Victims in this area also tend to be younger on average than the rest of the </w:t>
      </w:r>
      <w:r>
        <w:rPr>
          <w:rFonts w:cs="Calibri"/>
          <w:color w:val="000000"/>
          <w:lang w:eastAsia="en-GB"/>
        </w:rPr>
        <w:t>Borough</w:t>
      </w:r>
      <w:r w:rsidRPr="002E01F7">
        <w:rPr>
          <w:rFonts w:cs="Calibri"/>
          <w:color w:val="000000"/>
          <w:lang w:eastAsia="en-GB"/>
        </w:rPr>
        <w:t xml:space="preserve">. </w:t>
      </w:r>
    </w:p>
    <w:p w:rsidR="00FE340F" w:rsidRPr="002E01F7" w:rsidRDefault="00FE340F" w:rsidP="00FE340F">
      <w:pPr>
        <w:autoSpaceDE w:val="0"/>
        <w:autoSpaceDN w:val="0"/>
        <w:adjustRightInd w:val="0"/>
        <w:spacing w:after="0" w:line="240" w:lineRule="auto"/>
        <w:jc w:val="both"/>
        <w:rPr>
          <w:rFonts w:cs="Calibri"/>
          <w:color w:val="000000"/>
          <w:lang w:eastAsia="en-GB"/>
        </w:rPr>
      </w:pPr>
    </w:p>
    <w:p w:rsidR="00FE340F" w:rsidRDefault="00FE340F" w:rsidP="008921BF">
      <w:pPr>
        <w:numPr>
          <w:ilvl w:val="0"/>
          <w:numId w:val="69"/>
        </w:numPr>
        <w:spacing w:after="0" w:line="259" w:lineRule="auto"/>
        <w:rPr>
          <w:rFonts w:cs="Calibri"/>
          <w:color w:val="000000"/>
          <w:lang w:eastAsia="en-GB"/>
        </w:rPr>
      </w:pPr>
      <w:r w:rsidRPr="002E01F7">
        <w:rPr>
          <w:rFonts w:cs="Calibri"/>
          <w:color w:val="000000"/>
          <w:lang w:eastAsia="en-GB"/>
        </w:rPr>
        <w:t>HA8</w:t>
      </w:r>
      <w:r w:rsidR="00226F8B">
        <w:rPr>
          <w:rFonts w:cs="Calibri"/>
          <w:color w:val="000000"/>
          <w:lang w:eastAsia="en-GB"/>
        </w:rPr>
        <w:t xml:space="preserve"> also has</w:t>
      </w:r>
      <w:r w:rsidRPr="002E01F7">
        <w:rPr>
          <w:rFonts w:cs="Calibri"/>
          <w:color w:val="000000"/>
          <w:lang w:eastAsia="en-GB"/>
        </w:rPr>
        <w:t xml:space="preserve"> the highest percentage of offences resulting in injury that were committed by 15-17 year olds over a three year period from October 2010. </w:t>
      </w:r>
    </w:p>
    <w:p w:rsidR="00FE340F" w:rsidRPr="00791EA6" w:rsidRDefault="00FE340F" w:rsidP="008921BF">
      <w:pPr>
        <w:numPr>
          <w:ilvl w:val="0"/>
          <w:numId w:val="69"/>
        </w:numPr>
        <w:spacing w:after="0" w:line="259" w:lineRule="auto"/>
        <w:rPr>
          <w:rFonts w:cs="Calibri"/>
          <w:color w:val="000000"/>
          <w:lang w:eastAsia="en-GB"/>
        </w:rPr>
      </w:pPr>
      <w:r w:rsidRPr="00791EA6">
        <w:rPr>
          <w:rFonts w:cs="Calibri"/>
          <w:color w:val="000000"/>
          <w:lang w:eastAsia="en-GB"/>
        </w:rPr>
        <w:t>Graham</w:t>
      </w:r>
      <w:r>
        <w:rPr>
          <w:rFonts w:cs="Calibri"/>
          <w:color w:val="000000"/>
          <w:lang w:eastAsia="en-GB"/>
        </w:rPr>
        <w:t>e</w:t>
      </w:r>
      <w:r w:rsidRPr="00791EA6">
        <w:rPr>
          <w:rFonts w:cs="Calibri"/>
          <w:color w:val="000000"/>
          <w:lang w:eastAsia="en-GB"/>
        </w:rPr>
        <w:t xml:space="preserve"> Park </w:t>
      </w:r>
      <w:r>
        <w:rPr>
          <w:rFonts w:cs="Calibri"/>
          <w:color w:val="000000"/>
          <w:lang w:eastAsia="en-GB"/>
        </w:rPr>
        <w:t>(NW9</w:t>
      </w:r>
      <w:r w:rsidR="00DD3A76">
        <w:rPr>
          <w:rFonts w:cs="Calibri"/>
          <w:color w:val="000000"/>
          <w:lang w:eastAsia="en-GB"/>
        </w:rPr>
        <w:t>)</w:t>
      </w:r>
      <w:r w:rsidR="00DD3A76" w:rsidRPr="00791EA6">
        <w:rPr>
          <w:rFonts w:cs="Calibri"/>
          <w:color w:val="000000"/>
          <w:lang w:eastAsia="en-GB"/>
        </w:rPr>
        <w:t xml:space="preserve"> is</w:t>
      </w:r>
      <w:r w:rsidRPr="00791EA6">
        <w:rPr>
          <w:rFonts w:cs="Calibri"/>
          <w:color w:val="000000"/>
          <w:lang w:eastAsia="en-GB"/>
        </w:rPr>
        <w:t xml:space="preserve"> the area with the second highest volume of these offences but has seen a gradual downward trend over the same period. </w:t>
      </w:r>
    </w:p>
    <w:p w:rsidR="00FE340F" w:rsidRPr="005B1091" w:rsidRDefault="00FE340F" w:rsidP="00FE340F">
      <w:pPr>
        <w:pStyle w:val="Heading3"/>
        <w:rPr>
          <w:lang w:eastAsia="en-GB"/>
        </w:rPr>
      </w:pPr>
      <w:r w:rsidRPr="005B1091">
        <w:rPr>
          <w:lang w:eastAsia="en-GB"/>
        </w:rPr>
        <w:t xml:space="preserve">Knife </w:t>
      </w:r>
      <w:r w:rsidR="006914DA">
        <w:rPr>
          <w:lang w:eastAsia="en-GB"/>
        </w:rPr>
        <w:t>U</w:t>
      </w:r>
      <w:r w:rsidRPr="005B1091">
        <w:rPr>
          <w:lang w:eastAsia="en-GB"/>
        </w:rPr>
        <w:t xml:space="preserve">sed to </w:t>
      </w:r>
      <w:r w:rsidR="006914DA">
        <w:rPr>
          <w:lang w:eastAsia="en-GB"/>
        </w:rPr>
        <w:t>I</w:t>
      </w:r>
      <w:r w:rsidRPr="005B1091">
        <w:rPr>
          <w:lang w:eastAsia="en-GB"/>
        </w:rPr>
        <w:t xml:space="preserve">nflict </w:t>
      </w:r>
      <w:r w:rsidR="006914DA">
        <w:rPr>
          <w:lang w:eastAsia="en-GB"/>
        </w:rPr>
        <w:t>I</w:t>
      </w:r>
      <w:r w:rsidRPr="005B1091">
        <w:rPr>
          <w:lang w:eastAsia="en-GB"/>
        </w:rPr>
        <w:t xml:space="preserve">njury </w:t>
      </w:r>
      <w:r w:rsidR="006914DA">
        <w:rPr>
          <w:lang w:eastAsia="en-GB"/>
        </w:rPr>
        <w:t>O</w:t>
      </w:r>
      <w:r w:rsidRPr="005B1091">
        <w:rPr>
          <w:lang w:eastAsia="en-GB"/>
        </w:rPr>
        <w:t xml:space="preserve">ffences (excluding Domestic Violence offences) </w:t>
      </w:r>
    </w:p>
    <w:p w:rsidR="00FE340F" w:rsidRPr="002E01F7" w:rsidRDefault="00FE340F" w:rsidP="00FE340F">
      <w:pPr>
        <w:autoSpaceDE w:val="0"/>
        <w:autoSpaceDN w:val="0"/>
        <w:adjustRightInd w:val="0"/>
        <w:spacing w:after="0" w:line="240" w:lineRule="auto"/>
        <w:jc w:val="both"/>
        <w:rPr>
          <w:rFonts w:cs="Calibri"/>
          <w:lang w:eastAsia="en-GB"/>
        </w:rPr>
      </w:pPr>
      <w:r w:rsidRPr="002E01F7">
        <w:rPr>
          <w:rFonts w:cs="Calibri"/>
          <w:lang w:eastAsia="en-GB"/>
        </w:rPr>
        <w:t>Over the last three years from October 2010 to 2013 there were 23 offences where a knife was used</w:t>
      </w:r>
      <w:r w:rsidR="00226F8B">
        <w:rPr>
          <w:rFonts w:cs="Calibri"/>
          <w:lang w:eastAsia="en-GB"/>
        </w:rPr>
        <w:t xml:space="preserve"> to inflict an injury in the Burnt Oak</w:t>
      </w:r>
      <w:r w:rsidRPr="002E01F7">
        <w:rPr>
          <w:rFonts w:cs="Calibri"/>
          <w:lang w:eastAsia="en-GB"/>
        </w:rPr>
        <w:t xml:space="preserve"> area</w:t>
      </w:r>
      <w:r w:rsidR="00226F8B">
        <w:rPr>
          <w:rFonts w:cs="Calibri"/>
          <w:lang w:eastAsia="en-GB"/>
        </w:rPr>
        <w:t xml:space="preserve">, </w:t>
      </w:r>
      <w:r w:rsidRPr="002E01F7">
        <w:rPr>
          <w:rFonts w:cs="Calibri"/>
          <w:lang w:eastAsia="en-GB"/>
        </w:rPr>
        <w:t>accounting for 25.6% of such incidents across Barnet.</w:t>
      </w:r>
    </w:p>
    <w:p w:rsidR="00FE340F" w:rsidRPr="002E01F7" w:rsidRDefault="00FE340F" w:rsidP="00FE340F">
      <w:pPr>
        <w:autoSpaceDE w:val="0"/>
        <w:autoSpaceDN w:val="0"/>
        <w:adjustRightInd w:val="0"/>
        <w:spacing w:after="0" w:line="240" w:lineRule="auto"/>
        <w:jc w:val="both"/>
        <w:rPr>
          <w:rFonts w:cs="Calibri"/>
          <w:lang w:eastAsia="en-GB"/>
        </w:rPr>
      </w:pPr>
      <w:r w:rsidRPr="002E01F7">
        <w:rPr>
          <w:rFonts w:cs="Calibri"/>
          <w:lang w:eastAsia="en-GB"/>
        </w:rPr>
        <w:t xml:space="preserve"> </w:t>
      </w:r>
    </w:p>
    <w:p w:rsidR="00FE340F" w:rsidRPr="002E01F7" w:rsidRDefault="00FE340F" w:rsidP="00FE340F">
      <w:pPr>
        <w:autoSpaceDE w:val="0"/>
        <w:autoSpaceDN w:val="0"/>
        <w:adjustRightInd w:val="0"/>
        <w:spacing w:after="0" w:line="240" w:lineRule="auto"/>
        <w:jc w:val="both"/>
        <w:rPr>
          <w:rFonts w:cs="Calibri"/>
          <w:lang w:eastAsia="en-GB"/>
        </w:rPr>
      </w:pPr>
      <w:r w:rsidRPr="002E01F7">
        <w:rPr>
          <w:rFonts w:cs="Calibri"/>
          <w:lang w:eastAsia="en-GB"/>
        </w:rPr>
        <w:t>The locations with the highest number of offences over this three year period are: HA8 which corresponds to the Burnt Oak area (23 offences); NW9 which corresponds to the Colindale</w:t>
      </w:r>
      <w:r w:rsidR="00226F8B">
        <w:rPr>
          <w:rFonts w:cs="Calibri"/>
          <w:lang w:eastAsia="en-GB"/>
        </w:rPr>
        <w:t xml:space="preserve"> and Grahame Park Estate area (ten</w:t>
      </w:r>
      <w:r w:rsidRPr="002E01F7">
        <w:rPr>
          <w:rFonts w:cs="Calibri"/>
          <w:lang w:eastAsia="en-GB"/>
        </w:rPr>
        <w:t xml:space="preserve"> offences); EN5 which incl</w:t>
      </w:r>
      <w:r w:rsidR="00226F8B">
        <w:rPr>
          <w:rFonts w:cs="Calibri"/>
          <w:lang w:eastAsia="en-GB"/>
        </w:rPr>
        <w:t>udes the Dollis Valley Estate (eight</w:t>
      </w:r>
      <w:r w:rsidRPr="002E01F7">
        <w:rPr>
          <w:rFonts w:cs="Calibri"/>
          <w:lang w:eastAsia="en-GB"/>
        </w:rPr>
        <w:t xml:space="preserve"> offences); and NW2</w:t>
      </w:r>
      <w:r w:rsidR="00226F8B">
        <w:rPr>
          <w:rFonts w:cs="Calibri"/>
          <w:lang w:eastAsia="en-GB"/>
        </w:rPr>
        <w:t>which corresponds to the Cricklewood area</w:t>
      </w:r>
      <w:r w:rsidRPr="002E01F7">
        <w:rPr>
          <w:rFonts w:cs="Calibri"/>
          <w:lang w:eastAsia="en-GB"/>
        </w:rPr>
        <w:t xml:space="preserve"> </w:t>
      </w:r>
      <w:r w:rsidR="00226F8B">
        <w:rPr>
          <w:rFonts w:cs="Calibri"/>
          <w:lang w:eastAsia="en-GB"/>
        </w:rPr>
        <w:t>(eight</w:t>
      </w:r>
      <w:r w:rsidRPr="002E01F7">
        <w:rPr>
          <w:rFonts w:cs="Calibri"/>
          <w:lang w:eastAsia="en-GB"/>
        </w:rPr>
        <w:t xml:space="preserve"> offences</w:t>
      </w:r>
      <w:r w:rsidR="00226F8B">
        <w:rPr>
          <w:rFonts w:cs="Calibri"/>
          <w:lang w:eastAsia="en-GB"/>
        </w:rPr>
        <w:t>)</w:t>
      </w:r>
      <w:r w:rsidRPr="002E01F7">
        <w:rPr>
          <w:rFonts w:cs="Calibri"/>
          <w:lang w:eastAsia="en-GB"/>
        </w:rPr>
        <w:t xml:space="preserve">. </w:t>
      </w:r>
    </w:p>
    <w:p w:rsidR="00FE340F" w:rsidRPr="005B1091" w:rsidRDefault="00FE340F" w:rsidP="00FE340F">
      <w:pPr>
        <w:pStyle w:val="Heading3"/>
        <w:rPr>
          <w:lang w:eastAsia="en-GB"/>
        </w:rPr>
      </w:pPr>
      <w:r w:rsidRPr="005B1091">
        <w:rPr>
          <w:lang w:eastAsia="en-GB"/>
        </w:rPr>
        <w:t xml:space="preserve">Age of Gang </w:t>
      </w:r>
      <w:proofErr w:type="spellStart"/>
      <w:r w:rsidRPr="005B1091">
        <w:rPr>
          <w:lang w:eastAsia="en-GB"/>
        </w:rPr>
        <w:t>Nominals</w:t>
      </w:r>
      <w:proofErr w:type="spellEnd"/>
      <w:r w:rsidRPr="005B1091">
        <w:rPr>
          <w:lang w:eastAsia="en-GB"/>
        </w:rPr>
        <w:t xml:space="preserve"> </w:t>
      </w:r>
    </w:p>
    <w:p w:rsidR="00FE340F" w:rsidRPr="005B1091" w:rsidRDefault="00FE340F" w:rsidP="00FE340F">
      <w:pPr>
        <w:autoSpaceDE w:val="0"/>
        <w:autoSpaceDN w:val="0"/>
        <w:adjustRightInd w:val="0"/>
        <w:spacing w:after="0" w:line="240" w:lineRule="auto"/>
        <w:jc w:val="both"/>
        <w:rPr>
          <w:rFonts w:cs="Calibri"/>
          <w:sz w:val="23"/>
          <w:szCs w:val="23"/>
          <w:lang w:eastAsia="en-GB"/>
        </w:rPr>
      </w:pPr>
      <w:r w:rsidRPr="002E01F7">
        <w:rPr>
          <w:rFonts w:cs="Calibri"/>
          <w:lang w:eastAsia="en-GB"/>
        </w:rPr>
        <w:t xml:space="preserve">Individuals who have been identified by the police as ‘gang </w:t>
      </w:r>
      <w:proofErr w:type="spellStart"/>
      <w:r w:rsidRPr="002E01F7">
        <w:rPr>
          <w:rFonts w:cs="Calibri"/>
          <w:lang w:eastAsia="en-GB"/>
        </w:rPr>
        <w:t>nominals</w:t>
      </w:r>
      <w:proofErr w:type="spellEnd"/>
      <w:r w:rsidRPr="002E01F7">
        <w:rPr>
          <w:rFonts w:cs="Calibri"/>
          <w:lang w:eastAsia="en-GB"/>
        </w:rPr>
        <w:t xml:space="preserve">’ are collated in a list referred to as the police Gangs Matrix. Crime and related data is brought together and a score is calculated for each individual indicating their risk of harm. Analysis of the Barnet Gangs Matrix showed that 59% of the most serious offenders rated as Red or Amber (red being the most serious) are aged 19 years or younger. </w:t>
      </w:r>
    </w:p>
    <w:p w:rsidR="00FE340F" w:rsidRPr="005B1091" w:rsidRDefault="00FE340F" w:rsidP="00FE340F">
      <w:pPr>
        <w:pStyle w:val="Heading3"/>
        <w:rPr>
          <w:lang w:eastAsia="en-GB"/>
        </w:rPr>
      </w:pPr>
      <w:r w:rsidRPr="005B1091">
        <w:rPr>
          <w:lang w:eastAsia="en-GB"/>
        </w:rPr>
        <w:t xml:space="preserve">Causal factors: Groups </w:t>
      </w:r>
      <w:r w:rsidR="006914DA">
        <w:rPr>
          <w:lang w:eastAsia="en-GB"/>
        </w:rPr>
        <w:t>I</w:t>
      </w:r>
      <w:r w:rsidRPr="005B1091">
        <w:rPr>
          <w:lang w:eastAsia="en-GB"/>
        </w:rPr>
        <w:t xml:space="preserve">nvolved in </w:t>
      </w:r>
      <w:r w:rsidR="006914DA">
        <w:rPr>
          <w:lang w:eastAsia="en-GB"/>
        </w:rPr>
        <w:t>S</w:t>
      </w:r>
      <w:r w:rsidRPr="005B1091">
        <w:rPr>
          <w:lang w:eastAsia="en-GB"/>
        </w:rPr>
        <w:t xml:space="preserve">treet </w:t>
      </w:r>
      <w:r w:rsidR="006914DA">
        <w:rPr>
          <w:lang w:eastAsia="en-GB"/>
        </w:rPr>
        <w:t>S</w:t>
      </w:r>
      <w:r w:rsidRPr="005B1091">
        <w:rPr>
          <w:lang w:eastAsia="en-GB"/>
        </w:rPr>
        <w:t xml:space="preserve">upply of </w:t>
      </w:r>
      <w:r w:rsidR="006914DA">
        <w:rPr>
          <w:lang w:eastAsia="en-GB"/>
        </w:rPr>
        <w:t>D</w:t>
      </w:r>
      <w:r w:rsidRPr="005B1091">
        <w:rPr>
          <w:lang w:eastAsia="en-GB"/>
        </w:rPr>
        <w:t xml:space="preserve">rugs – links to violence </w:t>
      </w:r>
    </w:p>
    <w:p w:rsidR="00FE340F" w:rsidRPr="002E01F7" w:rsidRDefault="00FE340F" w:rsidP="00FE340F">
      <w:pPr>
        <w:autoSpaceDE w:val="0"/>
        <w:autoSpaceDN w:val="0"/>
        <w:adjustRightInd w:val="0"/>
        <w:spacing w:after="0" w:line="240" w:lineRule="auto"/>
        <w:jc w:val="both"/>
        <w:rPr>
          <w:rFonts w:cs="Calibri"/>
          <w:lang w:eastAsia="en-GB"/>
        </w:rPr>
      </w:pPr>
      <w:r w:rsidRPr="002E01F7">
        <w:rPr>
          <w:rFonts w:cs="Calibri"/>
          <w:lang w:eastAsia="en-GB"/>
        </w:rPr>
        <w:t>Evidence has also suggested that drug supply is the main business related to gangs in Barnet</w:t>
      </w:r>
      <w:r w:rsidR="00226F8B">
        <w:rPr>
          <w:rFonts w:cs="Calibri"/>
          <w:lang w:eastAsia="en-GB"/>
        </w:rPr>
        <w:t>. T</w:t>
      </w:r>
      <w:r w:rsidRPr="002E01F7">
        <w:rPr>
          <w:rFonts w:cs="Calibri"/>
          <w:lang w:eastAsia="en-GB"/>
        </w:rPr>
        <w:t xml:space="preserve">he activities of particular gangs have also generated youth violence. </w:t>
      </w:r>
    </w:p>
    <w:p w:rsidR="00FE340F" w:rsidRPr="002E01F7" w:rsidRDefault="00FE340F" w:rsidP="00FE340F">
      <w:pPr>
        <w:autoSpaceDE w:val="0"/>
        <w:autoSpaceDN w:val="0"/>
        <w:adjustRightInd w:val="0"/>
        <w:spacing w:after="0" w:line="240" w:lineRule="auto"/>
        <w:jc w:val="both"/>
        <w:rPr>
          <w:rFonts w:cs="Calibri"/>
          <w:lang w:eastAsia="en-GB"/>
        </w:rPr>
      </w:pPr>
    </w:p>
    <w:p w:rsidR="00FE340F" w:rsidRPr="002E01F7" w:rsidRDefault="00FE340F" w:rsidP="00FE340F">
      <w:pPr>
        <w:autoSpaceDE w:val="0"/>
        <w:autoSpaceDN w:val="0"/>
        <w:adjustRightInd w:val="0"/>
        <w:spacing w:after="0" w:line="240" w:lineRule="auto"/>
        <w:jc w:val="both"/>
        <w:rPr>
          <w:rFonts w:cs="Calibri"/>
          <w:lang w:eastAsia="en-GB"/>
        </w:rPr>
      </w:pPr>
      <w:r w:rsidRPr="002E01F7">
        <w:rPr>
          <w:rFonts w:cs="Calibri"/>
          <w:lang w:eastAsia="en-GB"/>
        </w:rPr>
        <w:lastRenderedPageBreak/>
        <w:t>The most common offence types that individuals on the Gangs Matrix have been arrested for relate to violence, drugs and weapons</w:t>
      </w:r>
      <w:r w:rsidR="00226F8B">
        <w:rPr>
          <w:rFonts w:cs="Calibri"/>
          <w:lang w:eastAsia="en-GB"/>
        </w:rPr>
        <w:t>,</w:t>
      </w:r>
      <w:r w:rsidRPr="002E01F7">
        <w:rPr>
          <w:rFonts w:cs="Calibri"/>
          <w:lang w:eastAsia="en-GB"/>
        </w:rPr>
        <w:t xml:space="preserve"> supporting the link between violence and drugs. Violence generated as a result of the drug dealing / supply activity tends to either be: </w:t>
      </w:r>
    </w:p>
    <w:p w:rsidR="00FE340F" w:rsidRPr="002E01F7" w:rsidRDefault="00FE340F" w:rsidP="00FE340F">
      <w:pPr>
        <w:autoSpaceDE w:val="0"/>
        <w:autoSpaceDN w:val="0"/>
        <w:adjustRightInd w:val="0"/>
        <w:spacing w:after="0" w:line="240" w:lineRule="auto"/>
        <w:jc w:val="both"/>
        <w:rPr>
          <w:rFonts w:cs="Calibri"/>
          <w:lang w:eastAsia="en-GB"/>
        </w:rPr>
      </w:pPr>
    </w:p>
    <w:p w:rsidR="00FE340F" w:rsidRPr="002E01F7" w:rsidRDefault="00226F8B" w:rsidP="008921BF">
      <w:pPr>
        <w:pStyle w:val="ListParagraph"/>
        <w:numPr>
          <w:ilvl w:val="0"/>
          <w:numId w:val="68"/>
        </w:numPr>
        <w:autoSpaceDE w:val="0"/>
        <w:autoSpaceDN w:val="0"/>
        <w:adjustRightInd w:val="0"/>
        <w:spacing w:after="0" w:line="240" w:lineRule="auto"/>
        <w:jc w:val="both"/>
        <w:rPr>
          <w:rFonts w:cs="Calibri"/>
          <w:lang w:eastAsia="en-GB"/>
        </w:rPr>
      </w:pPr>
      <w:r>
        <w:rPr>
          <w:rFonts w:cs="Calibri"/>
          <w:lang w:eastAsia="en-GB"/>
        </w:rPr>
        <w:t xml:space="preserve">A </w:t>
      </w:r>
      <w:r w:rsidR="00FE340F" w:rsidRPr="002E01F7">
        <w:rPr>
          <w:rFonts w:cs="Calibri"/>
          <w:lang w:eastAsia="en-GB"/>
        </w:rPr>
        <w:t>group fighting a rival group (e.g</w:t>
      </w:r>
      <w:r>
        <w:rPr>
          <w:rFonts w:cs="Calibri"/>
          <w:lang w:eastAsia="en-GB"/>
        </w:rPr>
        <w:t xml:space="preserve">. defending drug dealing zones, </w:t>
      </w:r>
      <w:r w:rsidR="00FE340F" w:rsidRPr="002E01F7">
        <w:rPr>
          <w:rFonts w:cs="Calibri"/>
          <w:lang w:eastAsia="en-GB"/>
        </w:rPr>
        <w:t>trying to move into another group</w:t>
      </w:r>
      <w:r w:rsidR="00FE340F">
        <w:rPr>
          <w:rFonts w:cs="Calibri"/>
          <w:lang w:eastAsia="en-GB"/>
        </w:rPr>
        <w:t>’</w:t>
      </w:r>
      <w:r>
        <w:rPr>
          <w:rFonts w:cs="Calibri"/>
          <w:lang w:eastAsia="en-GB"/>
        </w:rPr>
        <w:t xml:space="preserve">s zones of control </w:t>
      </w:r>
      <w:r w:rsidR="00FE340F" w:rsidRPr="002E01F7">
        <w:rPr>
          <w:rFonts w:cs="Calibri"/>
          <w:lang w:eastAsia="en-GB"/>
        </w:rPr>
        <w:t>or</w:t>
      </w:r>
      <w:r>
        <w:rPr>
          <w:rFonts w:cs="Calibri"/>
          <w:lang w:eastAsia="en-GB"/>
        </w:rPr>
        <w:t xml:space="preserve"> another dispute.</w:t>
      </w:r>
      <w:r w:rsidR="00FE340F" w:rsidRPr="002E01F7">
        <w:rPr>
          <w:rFonts w:cs="Calibri"/>
          <w:lang w:eastAsia="en-GB"/>
        </w:rPr>
        <w:t xml:space="preserve"> </w:t>
      </w:r>
    </w:p>
    <w:p w:rsidR="00FE340F" w:rsidRPr="002E01F7" w:rsidRDefault="00FE340F" w:rsidP="008921BF">
      <w:pPr>
        <w:pStyle w:val="ListParagraph"/>
        <w:numPr>
          <w:ilvl w:val="0"/>
          <w:numId w:val="68"/>
        </w:numPr>
        <w:autoSpaceDE w:val="0"/>
        <w:autoSpaceDN w:val="0"/>
        <w:adjustRightInd w:val="0"/>
        <w:spacing w:after="0" w:line="240" w:lineRule="auto"/>
        <w:jc w:val="both"/>
        <w:rPr>
          <w:rFonts w:cs="Calibri"/>
          <w:lang w:eastAsia="en-GB"/>
        </w:rPr>
      </w:pPr>
      <w:r w:rsidRPr="002E01F7">
        <w:rPr>
          <w:rFonts w:cs="Calibri"/>
          <w:lang w:eastAsia="en-GB"/>
        </w:rPr>
        <w:t>Fighting within a group (e.g. for control, or a falling out over a dispute).</w:t>
      </w:r>
    </w:p>
    <w:p w:rsidR="00FE340F" w:rsidRPr="006A777D" w:rsidRDefault="00FE340F" w:rsidP="00FE340F">
      <w:pPr>
        <w:pStyle w:val="Heading2"/>
        <w:rPr>
          <w:lang w:eastAsia="en-GB"/>
        </w:rPr>
      </w:pPr>
      <w:bookmarkStart w:id="998" w:name="_Toc426723416"/>
      <w:bookmarkStart w:id="999" w:name="_Toc431225244"/>
      <w:r w:rsidRPr="006A777D">
        <w:rPr>
          <w:lang w:eastAsia="en-GB"/>
        </w:rPr>
        <w:t>Re-Offending</w:t>
      </w:r>
      <w:bookmarkEnd w:id="998"/>
      <w:bookmarkEnd w:id="999"/>
    </w:p>
    <w:p w:rsidR="00FE340F" w:rsidRPr="002E01F7" w:rsidRDefault="00FE340F" w:rsidP="00FE340F">
      <w:pPr>
        <w:autoSpaceDE w:val="0"/>
        <w:autoSpaceDN w:val="0"/>
        <w:adjustRightInd w:val="0"/>
        <w:spacing w:after="0" w:line="240" w:lineRule="auto"/>
        <w:jc w:val="both"/>
        <w:rPr>
          <w:rFonts w:cs="Calibri"/>
          <w:color w:val="000000"/>
          <w:lang w:eastAsia="en-GB"/>
        </w:rPr>
      </w:pPr>
      <w:r w:rsidRPr="002E01F7">
        <w:rPr>
          <w:rFonts w:cs="Calibri"/>
          <w:color w:val="000000"/>
          <w:lang w:eastAsia="en-GB"/>
        </w:rPr>
        <w:t xml:space="preserve">A reduction in offending has translated into less crime, fewer victims of crime and a reduction in the costs relating to crime. </w:t>
      </w:r>
      <w:r w:rsidR="00226F8B">
        <w:rPr>
          <w:rFonts w:cs="Calibri"/>
          <w:color w:val="000000"/>
          <w:lang w:eastAsia="en-GB"/>
        </w:rPr>
        <w:t xml:space="preserve">However, it is known </w:t>
      </w:r>
      <w:r w:rsidRPr="002E01F7">
        <w:rPr>
          <w:rFonts w:cs="Calibri"/>
          <w:color w:val="000000"/>
          <w:lang w:eastAsia="en-GB"/>
        </w:rPr>
        <w:t xml:space="preserve">that a small proportion of the most prolific offenders are responsible for a disproportionately large amount of crime. National studies and local analysis show that substance misuse (drugs and alcohol) is a significant causal factor for both acquisitive and violent offending. </w:t>
      </w:r>
    </w:p>
    <w:p w:rsidR="00FE340F" w:rsidRPr="002E01F7" w:rsidRDefault="00FE340F" w:rsidP="00FE340F">
      <w:pPr>
        <w:autoSpaceDE w:val="0"/>
        <w:autoSpaceDN w:val="0"/>
        <w:adjustRightInd w:val="0"/>
        <w:spacing w:after="0" w:line="240" w:lineRule="auto"/>
        <w:jc w:val="both"/>
        <w:rPr>
          <w:rFonts w:cs="Calibri"/>
          <w:color w:val="000000"/>
          <w:lang w:eastAsia="en-GB"/>
        </w:rPr>
      </w:pPr>
    </w:p>
    <w:p w:rsidR="00FE340F" w:rsidRPr="002E01F7" w:rsidRDefault="00FE340F" w:rsidP="00FE340F">
      <w:pPr>
        <w:jc w:val="both"/>
        <w:rPr>
          <w:rFonts w:cs="Calibri"/>
          <w:color w:val="000000"/>
          <w:lang w:eastAsia="en-GB"/>
        </w:rPr>
      </w:pPr>
      <w:r w:rsidRPr="002E01F7">
        <w:rPr>
          <w:rFonts w:cs="Calibri"/>
          <w:color w:val="000000"/>
          <w:lang w:eastAsia="en-GB"/>
        </w:rPr>
        <w:t>By focusing on reducing the offending of this prolific cohort, in particular through the work of the Integrated Offende</w:t>
      </w:r>
      <w:r w:rsidR="00702B67">
        <w:rPr>
          <w:rFonts w:cs="Calibri"/>
          <w:color w:val="000000"/>
          <w:lang w:eastAsia="en-GB"/>
        </w:rPr>
        <w:t xml:space="preserve">r Management (IOM) Programme, the level of </w:t>
      </w:r>
      <w:r w:rsidRPr="002E01F7">
        <w:rPr>
          <w:rFonts w:cs="Calibri"/>
          <w:color w:val="000000"/>
          <w:lang w:eastAsia="en-GB"/>
        </w:rPr>
        <w:t>overall crime</w:t>
      </w:r>
      <w:r w:rsidR="00702B67">
        <w:rPr>
          <w:rFonts w:cs="Calibri"/>
          <w:color w:val="000000"/>
          <w:lang w:eastAsia="en-GB"/>
        </w:rPr>
        <w:t xml:space="preserve"> has decreased</w:t>
      </w:r>
      <w:r w:rsidRPr="002E01F7">
        <w:rPr>
          <w:rFonts w:cs="Calibri"/>
          <w:color w:val="000000"/>
          <w:lang w:eastAsia="en-GB"/>
        </w:rPr>
        <w:t xml:space="preserve"> </w:t>
      </w:r>
      <w:r w:rsidR="00702B67">
        <w:rPr>
          <w:rFonts w:cs="Calibri"/>
          <w:color w:val="000000"/>
          <w:lang w:eastAsia="en-GB"/>
        </w:rPr>
        <w:t xml:space="preserve">which has </w:t>
      </w:r>
      <w:r w:rsidRPr="002E01F7">
        <w:rPr>
          <w:rFonts w:cs="Calibri"/>
          <w:color w:val="000000"/>
          <w:lang w:eastAsia="en-GB"/>
        </w:rPr>
        <w:t>reduce</w:t>
      </w:r>
      <w:r w:rsidR="00702B67">
        <w:rPr>
          <w:rFonts w:cs="Calibri"/>
          <w:color w:val="000000"/>
          <w:lang w:eastAsia="en-GB"/>
        </w:rPr>
        <w:t>d</w:t>
      </w:r>
      <w:r w:rsidRPr="002E01F7">
        <w:rPr>
          <w:rFonts w:cs="Calibri"/>
          <w:color w:val="000000"/>
          <w:lang w:eastAsia="en-GB"/>
        </w:rPr>
        <w:t xml:space="preserve"> the number of people in Barnet who become victims of crime. </w:t>
      </w:r>
      <w:r w:rsidR="004F1B96">
        <w:rPr>
          <w:rFonts w:cs="Calibri"/>
          <w:color w:val="000000"/>
          <w:lang w:eastAsia="en-GB"/>
        </w:rPr>
        <w:t xml:space="preserve">The Council intends </w:t>
      </w:r>
      <w:r w:rsidRPr="002E01F7">
        <w:rPr>
          <w:rFonts w:cs="Calibri"/>
          <w:color w:val="000000"/>
          <w:lang w:eastAsia="en-GB"/>
        </w:rPr>
        <w:t>to continue developing this programme to deliver further reductions in offending and crime.</w:t>
      </w:r>
    </w:p>
    <w:p w:rsidR="00FE340F" w:rsidRPr="00F265F7" w:rsidRDefault="006914DA" w:rsidP="00FE340F">
      <w:pPr>
        <w:pStyle w:val="Heading3"/>
      </w:pPr>
      <w:r>
        <w:t>Key F</w:t>
      </w:r>
      <w:r w:rsidR="00FE340F">
        <w:t>acts</w:t>
      </w:r>
    </w:p>
    <w:p w:rsidR="00FE340F" w:rsidRPr="002E01F7" w:rsidRDefault="00FE340F" w:rsidP="008921BF">
      <w:pPr>
        <w:numPr>
          <w:ilvl w:val="0"/>
          <w:numId w:val="69"/>
        </w:numPr>
        <w:spacing w:after="0" w:line="259" w:lineRule="auto"/>
        <w:rPr>
          <w:color w:val="262626"/>
        </w:rPr>
      </w:pPr>
      <w:r w:rsidRPr="002E01F7">
        <w:rPr>
          <w:color w:val="262626"/>
        </w:rPr>
        <w:t xml:space="preserve">Approximately 68% of arrested suspects live in the </w:t>
      </w:r>
      <w:r>
        <w:rPr>
          <w:color w:val="262626"/>
        </w:rPr>
        <w:t>Borough</w:t>
      </w:r>
      <w:r w:rsidRPr="002E01F7">
        <w:rPr>
          <w:color w:val="262626"/>
        </w:rPr>
        <w:t xml:space="preserve">, 32% come from outside the </w:t>
      </w:r>
      <w:r>
        <w:rPr>
          <w:color w:val="262626"/>
        </w:rPr>
        <w:t>Borough</w:t>
      </w:r>
      <w:r w:rsidRPr="002E01F7">
        <w:rPr>
          <w:color w:val="262626"/>
        </w:rPr>
        <w:t xml:space="preserve"> (the proportions vary from crime type to type)</w:t>
      </w:r>
      <w:r>
        <w:rPr>
          <w:color w:val="262626"/>
        </w:rPr>
        <w:t>.</w:t>
      </w:r>
    </w:p>
    <w:p w:rsidR="00FE340F" w:rsidRPr="002E01F7" w:rsidRDefault="00FE340F" w:rsidP="008921BF">
      <w:pPr>
        <w:numPr>
          <w:ilvl w:val="0"/>
          <w:numId w:val="69"/>
        </w:numPr>
        <w:spacing w:after="0" w:line="259" w:lineRule="auto"/>
        <w:rPr>
          <w:color w:val="262626"/>
        </w:rPr>
      </w:pPr>
      <w:r w:rsidRPr="002E01F7">
        <w:rPr>
          <w:color w:val="262626"/>
        </w:rPr>
        <w:t>86.5% of arrested suspects are male, 13.5% are female</w:t>
      </w:r>
      <w:r>
        <w:rPr>
          <w:color w:val="262626"/>
        </w:rPr>
        <w:t>.</w:t>
      </w:r>
    </w:p>
    <w:p w:rsidR="00FE340F" w:rsidRPr="002E01F7" w:rsidRDefault="00FE340F" w:rsidP="008921BF">
      <w:pPr>
        <w:numPr>
          <w:ilvl w:val="0"/>
          <w:numId w:val="69"/>
        </w:numPr>
        <w:spacing w:after="0" w:line="259" w:lineRule="auto"/>
        <w:rPr>
          <w:color w:val="262626"/>
        </w:rPr>
      </w:pPr>
      <w:r w:rsidRPr="002E01F7">
        <w:rPr>
          <w:color w:val="262626"/>
        </w:rPr>
        <w:t>Peak age for arrests in Barnet is 16-24 year old (35% of all arrests)</w:t>
      </w:r>
      <w:r>
        <w:rPr>
          <w:color w:val="262626"/>
        </w:rPr>
        <w:t>.</w:t>
      </w:r>
    </w:p>
    <w:p w:rsidR="00FE340F" w:rsidRPr="002E01F7" w:rsidRDefault="00FE340F" w:rsidP="008921BF">
      <w:pPr>
        <w:numPr>
          <w:ilvl w:val="0"/>
          <w:numId w:val="69"/>
        </w:numPr>
        <w:spacing w:after="0" w:line="259" w:lineRule="auto"/>
        <w:rPr>
          <w:color w:val="262626"/>
        </w:rPr>
      </w:pPr>
      <w:r w:rsidRPr="002E01F7">
        <w:rPr>
          <w:color w:val="262626"/>
        </w:rPr>
        <w:t>Barnet IOM has reduced the conviction rate of offenders on the programme by 36%</w:t>
      </w:r>
      <w:r>
        <w:rPr>
          <w:color w:val="262626"/>
        </w:rPr>
        <w:t>.</w:t>
      </w:r>
      <w:r w:rsidRPr="002E01F7">
        <w:rPr>
          <w:color w:val="262626"/>
        </w:rPr>
        <w:t xml:space="preserve"> </w:t>
      </w:r>
    </w:p>
    <w:p w:rsidR="00FE340F" w:rsidRPr="002E01F7" w:rsidRDefault="00FE340F" w:rsidP="008921BF">
      <w:pPr>
        <w:numPr>
          <w:ilvl w:val="0"/>
          <w:numId w:val="69"/>
        </w:numPr>
        <w:spacing w:after="0" w:line="259" w:lineRule="auto"/>
        <w:rPr>
          <w:color w:val="262626"/>
        </w:rPr>
      </w:pPr>
      <w:r w:rsidRPr="002E01F7">
        <w:rPr>
          <w:color w:val="262626"/>
        </w:rPr>
        <w:t>The burglary arrest rate of the IOM cohort has fallen from 2.5 per month to 1.6 per month, equating to an estimated 120 fewer households becoming victims annually, an estimated annual cost saving of around £470,000</w:t>
      </w:r>
      <w:r>
        <w:rPr>
          <w:color w:val="262626"/>
        </w:rPr>
        <w:t>.</w:t>
      </w:r>
    </w:p>
    <w:p w:rsidR="00FE340F" w:rsidRPr="00F265F7" w:rsidRDefault="00FE340F" w:rsidP="00FE340F">
      <w:pPr>
        <w:pStyle w:val="Heading3"/>
      </w:pPr>
      <w:r>
        <w:t>Summary</w:t>
      </w:r>
    </w:p>
    <w:p w:rsidR="00FE340F" w:rsidRDefault="00FE340F" w:rsidP="00FE340F">
      <w:pPr>
        <w:spacing w:after="0"/>
        <w:rPr>
          <w:color w:val="262626"/>
          <w:sz w:val="24"/>
          <w:szCs w:val="24"/>
        </w:rPr>
      </w:pPr>
      <w:r w:rsidRPr="002E01F7">
        <w:rPr>
          <w:color w:val="262626"/>
        </w:rPr>
        <w:t>The Integrated Offender Management scheme, introduced in June 2012</w:t>
      </w:r>
      <w:r>
        <w:rPr>
          <w:color w:val="262626"/>
        </w:rPr>
        <w:t>,</w:t>
      </w:r>
      <w:r w:rsidRPr="002E01F7">
        <w:rPr>
          <w:color w:val="262626"/>
        </w:rPr>
        <w:t xml:space="preserve"> has achieved significant reductions in the offending rate of its cohort, a cohort who were selected due to the prolific, repeat and cyclical nature of their offending.  These reductions contributed towards overall </w:t>
      </w:r>
      <w:r>
        <w:rPr>
          <w:color w:val="262626"/>
        </w:rPr>
        <w:t>Borough</w:t>
      </w:r>
      <w:r w:rsidRPr="002E01F7">
        <w:rPr>
          <w:color w:val="262626"/>
        </w:rPr>
        <w:t xml:space="preserve"> level reductions in re-offending rates, crime rates, and in particular reducing the number of people becoming victims of burglary in Barnet.</w:t>
      </w:r>
    </w:p>
    <w:p w:rsidR="00FE340F" w:rsidRPr="007E799F" w:rsidRDefault="00FE340F" w:rsidP="00FE340F">
      <w:pPr>
        <w:pStyle w:val="Heading2"/>
      </w:pPr>
      <w:bookmarkStart w:id="1000" w:name="_Toc426723417"/>
      <w:bookmarkStart w:id="1001" w:name="_Toc431225245"/>
      <w:r w:rsidRPr="007E799F">
        <w:t xml:space="preserve">Changing </w:t>
      </w:r>
      <w:r w:rsidR="006914DA">
        <w:t>Crime Trends and Changing E</w:t>
      </w:r>
      <w:r w:rsidRPr="007E799F">
        <w:t xml:space="preserve">nvironmental </w:t>
      </w:r>
      <w:r w:rsidR="006914DA">
        <w:t>C</w:t>
      </w:r>
      <w:r w:rsidRPr="007E799F">
        <w:t>onditions</w:t>
      </w:r>
      <w:bookmarkEnd w:id="1000"/>
      <w:bookmarkEnd w:id="1001"/>
      <w:r w:rsidRPr="007E799F">
        <w:t xml:space="preserve"> </w:t>
      </w:r>
    </w:p>
    <w:p w:rsidR="00FE340F" w:rsidRPr="00845272" w:rsidRDefault="00FE340F" w:rsidP="00FE340F">
      <w:pPr>
        <w:pStyle w:val="Heading3"/>
        <w:rPr>
          <w:lang w:eastAsia="en-GB"/>
        </w:rPr>
      </w:pPr>
      <w:r w:rsidRPr="00845272">
        <w:rPr>
          <w:lang w:eastAsia="en-GB"/>
        </w:rPr>
        <w:t xml:space="preserve">Stolen </w:t>
      </w:r>
      <w:r w:rsidR="006914DA">
        <w:rPr>
          <w:lang w:eastAsia="en-GB"/>
        </w:rPr>
        <w:t>P</w:t>
      </w:r>
      <w:r w:rsidRPr="00845272">
        <w:rPr>
          <w:lang w:eastAsia="en-GB"/>
        </w:rPr>
        <w:t xml:space="preserve">roperty </w:t>
      </w:r>
      <w:r w:rsidR="006914DA">
        <w:rPr>
          <w:lang w:eastAsia="en-GB"/>
        </w:rPr>
        <w:t>T</w:t>
      </w:r>
      <w:r w:rsidRPr="00845272">
        <w:rPr>
          <w:lang w:eastAsia="en-GB"/>
        </w:rPr>
        <w:t xml:space="preserve">rends </w:t>
      </w:r>
    </w:p>
    <w:p w:rsidR="00FE340F" w:rsidRPr="00791EA6" w:rsidRDefault="00FE340F" w:rsidP="008921BF">
      <w:pPr>
        <w:pStyle w:val="ListParagraph"/>
        <w:numPr>
          <w:ilvl w:val="0"/>
          <w:numId w:val="71"/>
        </w:numPr>
        <w:spacing w:after="0"/>
        <w:ind w:left="426" w:hanging="426"/>
        <w:jc w:val="both"/>
        <w:rPr>
          <w:rFonts w:cs="Arial"/>
          <w:color w:val="000000"/>
        </w:rPr>
      </w:pPr>
      <w:r w:rsidRPr="00791EA6">
        <w:rPr>
          <w:rFonts w:cs="Arial"/>
          <w:color w:val="000000"/>
        </w:rPr>
        <w:t>The number of crimes where cash or Sat-</w:t>
      </w:r>
      <w:proofErr w:type="spellStart"/>
      <w:r w:rsidRPr="00791EA6">
        <w:rPr>
          <w:rFonts w:cs="Arial"/>
          <w:color w:val="000000"/>
        </w:rPr>
        <w:t>Navs</w:t>
      </w:r>
      <w:proofErr w:type="spellEnd"/>
      <w:r w:rsidRPr="00791EA6">
        <w:rPr>
          <w:rFonts w:cs="Arial"/>
          <w:color w:val="000000"/>
        </w:rPr>
        <w:t xml:space="preserve"> are stolen has reduced. </w:t>
      </w:r>
    </w:p>
    <w:p w:rsidR="00FE340F" w:rsidRPr="00791EA6" w:rsidRDefault="00FE340F" w:rsidP="008921BF">
      <w:pPr>
        <w:pStyle w:val="ListParagraph"/>
        <w:numPr>
          <w:ilvl w:val="0"/>
          <w:numId w:val="71"/>
        </w:numPr>
        <w:spacing w:after="0"/>
        <w:ind w:left="426" w:hanging="426"/>
        <w:jc w:val="both"/>
        <w:rPr>
          <w:rFonts w:cs="Arial"/>
          <w:color w:val="000000"/>
        </w:rPr>
      </w:pPr>
      <w:r w:rsidRPr="00791EA6">
        <w:rPr>
          <w:rFonts w:cs="Arial"/>
          <w:color w:val="000000"/>
        </w:rPr>
        <w:t xml:space="preserve">The number of laptops stolen increased over most of the last decade (with a peak in 2011) but has since been falling slightly. </w:t>
      </w:r>
    </w:p>
    <w:p w:rsidR="00FE340F" w:rsidRPr="00791EA6" w:rsidRDefault="00FE340F" w:rsidP="008921BF">
      <w:pPr>
        <w:pStyle w:val="ListParagraph"/>
        <w:numPr>
          <w:ilvl w:val="0"/>
          <w:numId w:val="71"/>
        </w:numPr>
        <w:spacing w:after="0"/>
        <w:ind w:left="426" w:hanging="426"/>
        <w:jc w:val="both"/>
        <w:rPr>
          <w:rFonts w:cs="Arial"/>
          <w:color w:val="000000"/>
        </w:rPr>
      </w:pPr>
      <w:r w:rsidRPr="00791EA6">
        <w:rPr>
          <w:rFonts w:cs="Arial"/>
          <w:color w:val="000000"/>
        </w:rPr>
        <w:t xml:space="preserve">In 2013 the volume of catalytic convertors stolen increased. </w:t>
      </w:r>
    </w:p>
    <w:p w:rsidR="00FE340F" w:rsidRPr="00791EA6" w:rsidRDefault="00FE340F" w:rsidP="008921BF">
      <w:pPr>
        <w:pStyle w:val="ListParagraph"/>
        <w:numPr>
          <w:ilvl w:val="0"/>
          <w:numId w:val="71"/>
        </w:numPr>
        <w:spacing w:after="0"/>
        <w:ind w:left="426" w:hanging="426"/>
        <w:jc w:val="both"/>
        <w:rPr>
          <w:rFonts w:cs="Arial"/>
          <w:color w:val="000000"/>
        </w:rPr>
      </w:pPr>
      <w:r w:rsidRPr="00791EA6">
        <w:rPr>
          <w:rFonts w:cs="Arial"/>
          <w:color w:val="000000"/>
        </w:rPr>
        <w:t xml:space="preserve">Over the last three years there has been an upward trend in the volume of power tools stolen. </w:t>
      </w:r>
    </w:p>
    <w:p w:rsidR="00FE340F" w:rsidRPr="00845272" w:rsidRDefault="006914DA" w:rsidP="00FE340F">
      <w:pPr>
        <w:pStyle w:val="Heading3"/>
        <w:rPr>
          <w:lang w:eastAsia="en-GB"/>
        </w:rPr>
      </w:pPr>
      <w:r>
        <w:rPr>
          <w:lang w:eastAsia="en-GB"/>
        </w:rPr>
        <w:lastRenderedPageBreak/>
        <w:t>Residential Burglary T</w:t>
      </w:r>
      <w:r w:rsidR="00FE340F" w:rsidRPr="00845272">
        <w:rPr>
          <w:lang w:eastAsia="en-GB"/>
        </w:rPr>
        <w:t xml:space="preserve">rends </w:t>
      </w:r>
    </w:p>
    <w:p w:rsidR="00FE340F" w:rsidRPr="002E01F7" w:rsidRDefault="00FE340F" w:rsidP="00FE340F">
      <w:pPr>
        <w:autoSpaceDE w:val="0"/>
        <w:autoSpaceDN w:val="0"/>
        <w:adjustRightInd w:val="0"/>
        <w:spacing w:after="0" w:line="240" w:lineRule="auto"/>
        <w:jc w:val="both"/>
        <w:rPr>
          <w:rFonts w:cs="Calibri"/>
          <w:color w:val="000000"/>
          <w:lang w:eastAsia="en-GB"/>
        </w:rPr>
      </w:pPr>
      <w:r w:rsidRPr="002E01F7">
        <w:rPr>
          <w:rFonts w:cs="Calibri"/>
          <w:color w:val="000000"/>
          <w:lang w:eastAsia="en-GB"/>
        </w:rPr>
        <w:t xml:space="preserve">Between 2008 </w:t>
      </w:r>
      <w:r>
        <w:rPr>
          <w:rFonts w:cs="Calibri"/>
          <w:color w:val="000000"/>
          <w:lang w:eastAsia="en-GB"/>
        </w:rPr>
        <w:t>and 2012</w:t>
      </w:r>
      <w:r w:rsidRPr="002E01F7">
        <w:rPr>
          <w:rFonts w:cs="Calibri"/>
          <w:color w:val="000000"/>
          <w:lang w:eastAsia="en-GB"/>
        </w:rPr>
        <w:t xml:space="preserve"> the market value of gold increased by over 400%. In the same period, demand for vehicles stolen with their own keys increased. As a result, more burglars started travelling to target places whe</w:t>
      </w:r>
      <w:r>
        <w:rPr>
          <w:rFonts w:cs="Calibri"/>
          <w:color w:val="000000"/>
          <w:lang w:eastAsia="en-GB"/>
        </w:rPr>
        <w:t xml:space="preserve">re they </w:t>
      </w:r>
      <w:r w:rsidR="00226F8B">
        <w:rPr>
          <w:rFonts w:cs="Calibri"/>
          <w:color w:val="000000"/>
          <w:lang w:eastAsia="en-GB"/>
        </w:rPr>
        <w:t xml:space="preserve">could locate </w:t>
      </w:r>
      <w:r>
        <w:rPr>
          <w:rFonts w:cs="Calibri"/>
          <w:color w:val="000000"/>
          <w:lang w:eastAsia="en-GB"/>
        </w:rPr>
        <w:t>gold and cars.</w:t>
      </w:r>
    </w:p>
    <w:p w:rsidR="00FE340F" w:rsidRPr="006240C9" w:rsidRDefault="00FE340F" w:rsidP="00FE340F">
      <w:pPr>
        <w:autoSpaceDE w:val="0"/>
        <w:autoSpaceDN w:val="0"/>
        <w:adjustRightInd w:val="0"/>
        <w:spacing w:after="0" w:line="240" w:lineRule="auto"/>
        <w:rPr>
          <w:rFonts w:cs="Calibri"/>
          <w:color w:val="000000"/>
          <w:sz w:val="23"/>
          <w:szCs w:val="23"/>
          <w:lang w:eastAsia="en-GB"/>
        </w:rPr>
      </w:pPr>
    </w:p>
    <w:p w:rsidR="00FE340F" w:rsidRPr="00845272" w:rsidRDefault="00FE340F" w:rsidP="00FE340F">
      <w:pPr>
        <w:autoSpaceDE w:val="0"/>
        <w:autoSpaceDN w:val="0"/>
        <w:adjustRightInd w:val="0"/>
        <w:spacing w:after="0" w:line="240" w:lineRule="auto"/>
        <w:jc w:val="both"/>
        <w:rPr>
          <w:rFonts w:cs="Calibri"/>
          <w:color w:val="000000"/>
          <w:sz w:val="23"/>
          <w:szCs w:val="23"/>
          <w:lang w:eastAsia="en-GB"/>
        </w:rPr>
      </w:pPr>
      <w:r w:rsidRPr="002E01F7">
        <w:rPr>
          <w:rFonts w:cs="Calibri"/>
          <w:color w:val="000000"/>
          <w:lang w:eastAsia="en-GB"/>
        </w:rPr>
        <w:t xml:space="preserve">These burglars favour areas where they are most likely to find houses (not flats) with gold jewellery inside, expensive cars on the drive and a relatively low concentration of police officers compared to other parts of London. The reversal of the upward trend in the price of gold around April 2013 has helped reduce the cross-border and vehicle-related element of Barnet’s burglary problem. </w:t>
      </w:r>
    </w:p>
    <w:p w:rsidR="00FE340F" w:rsidRPr="00845272" w:rsidRDefault="006914DA" w:rsidP="00FE340F">
      <w:pPr>
        <w:pStyle w:val="Heading3"/>
        <w:rPr>
          <w:lang w:eastAsia="en-GB"/>
        </w:rPr>
      </w:pPr>
      <w:r>
        <w:rPr>
          <w:lang w:eastAsia="en-GB"/>
        </w:rPr>
        <w:t>Offending T</w:t>
      </w:r>
      <w:r w:rsidR="00FE340F" w:rsidRPr="00845272">
        <w:rPr>
          <w:lang w:eastAsia="en-GB"/>
        </w:rPr>
        <w:t xml:space="preserve">rends </w:t>
      </w:r>
    </w:p>
    <w:p w:rsidR="00FE340F" w:rsidRPr="002E01F7" w:rsidRDefault="00FE340F" w:rsidP="00FE340F">
      <w:pPr>
        <w:autoSpaceDE w:val="0"/>
        <w:autoSpaceDN w:val="0"/>
        <w:adjustRightInd w:val="0"/>
        <w:spacing w:after="0" w:line="240" w:lineRule="auto"/>
        <w:jc w:val="both"/>
        <w:rPr>
          <w:rFonts w:cs="Calibri"/>
          <w:color w:val="000000"/>
          <w:lang w:eastAsia="en-GB"/>
        </w:rPr>
      </w:pPr>
      <w:r w:rsidRPr="002E01F7">
        <w:rPr>
          <w:rFonts w:cs="Calibri"/>
          <w:color w:val="000000"/>
          <w:lang w:eastAsia="en-GB"/>
        </w:rPr>
        <w:t xml:space="preserve">The Integrated Offender Management programme has helped to reduce re-offending among some of the most prolific offenders (the IOM ‘cohort’), and this is contributing to crime reductions in Barnet. </w:t>
      </w:r>
    </w:p>
    <w:p w:rsidR="00FE340F" w:rsidRPr="002E01F7" w:rsidRDefault="00FE340F" w:rsidP="00FE340F">
      <w:pPr>
        <w:autoSpaceDE w:val="0"/>
        <w:autoSpaceDN w:val="0"/>
        <w:adjustRightInd w:val="0"/>
        <w:spacing w:after="0" w:line="240" w:lineRule="auto"/>
        <w:jc w:val="both"/>
        <w:rPr>
          <w:rFonts w:cs="Calibri"/>
          <w:color w:val="000000"/>
          <w:lang w:eastAsia="en-GB"/>
        </w:rPr>
      </w:pPr>
    </w:p>
    <w:p w:rsidR="00FE340F" w:rsidRDefault="00FE340F" w:rsidP="00FE340F">
      <w:pPr>
        <w:autoSpaceDE w:val="0"/>
        <w:autoSpaceDN w:val="0"/>
        <w:adjustRightInd w:val="0"/>
        <w:spacing w:after="0" w:line="240" w:lineRule="auto"/>
        <w:jc w:val="both"/>
        <w:rPr>
          <w:rFonts w:cs="Calibri"/>
          <w:color w:val="000000"/>
          <w:lang w:eastAsia="en-GB"/>
        </w:rPr>
      </w:pPr>
      <w:r w:rsidRPr="002E01F7">
        <w:rPr>
          <w:rFonts w:cs="Calibri"/>
          <w:color w:val="000000"/>
          <w:lang w:eastAsia="en-GB"/>
        </w:rPr>
        <w:t xml:space="preserve">Between April </w:t>
      </w:r>
      <w:r>
        <w:rPr>
          <w:rFonts w:cs="Calibri"/>
          <w:color w:val="000000"/>
          <w:lang w:eastAsia="en-GB"/>
        </w:rPr>
        <w:t>and</w:t>
      </w:r>
      <w:r w:rsidRPr="002E01F7">
        <w:rPr>
          <w:rFonts w:cs="Calibri"/>
          <w:color w:val="000000"/>
          <w:lang w:eastAsia="en-GB"/>
        </w:rPr>
        <w:t xml:space="preserve"> September 2013</w:t>
      </w:r>
      <w:r w:rsidR="00226F8B">
        <w:rPr>
          <w:rFonts w:cs="Calibri"/>
          <w:color w:val="000000"/>
          <w:lang w:eastAsia="en-GB"/>
        </w:rPr>
        <w:t>,</w:t>
      </w:r>
      <w:r w:rsidRPr="002E01F7">
        <w:rPr>
          <w:rFonts w:cs="Calibri"/>
          <w:color w:val="000000"/>
          <w:lang w:eastAsia="en-GB"/>
        </w:rPr>
        <w:t xml:space="preserve"> around 60 of the 336 fewer residential burglaries in Barnet were likely to have been due to reduced criminal activity by the IOM cohort. Tackling repeat offending successfully will be pivotal to achieving further crime reductions. </w:t>
      </w:r>
    </w:p>
    <w:p w:rsidR="00FE340F" w:rsidRPr="002E01F7" w:rsidRDefault="00FE340F" w:rsidP="00FE340F">
      <w:pPr>
        <w:autoSpaceDE w:val="0"/>
        <w:autoSpaceDN w:val="0"/>
        <w:adjustRightInd w:val="0"/>
        <w:spacing w:after="0" w:line="240" w:lineRule="auto"/>
        <w:jc w:val="both"/>
        <w:rPr>
          <w:rFonts w:cs="Calibri"/>
          <w:color w:val="000000"/>
          <w:lang w:eastAsia="en-GB"/>
        </w:rPr>
      </w:pPr>
    </w:p>
    <w:p w:rsidR="00FE340F" w:rsidRPr="002E01F7" w:rsidRDefault="00702B67" w:rsidP="00FE340F">
      <w:pPr>
        <w:jc w:val="both"/>
        <w:rPr>
          <w:rFonts w:cs="Calibri"/>
          <w:b/>
          <w:u w:val="single"/>
          <w:lang w:eastAsia="en-GB"/>
        </w:rPr>
      </w:pPr>
      <w:r>
        <w:rPr>
          <w:rFonts w:cs="Calibri"/>
          <w:color w:val="000000"/>
          <w:lang w:eastAsia="en-GB"/>
        </w:rPr>
        <w:t>Based on the Council’s figures, it is estimated</w:t>
      </w:r>
      <w:r w:rsidR="00FE340F" w:rsidRPr="002E01F7">
        <w:rPr>
          <w:rFonts w:cs="Calibri"/>
          <w:color w:val="000000"/>
          <w:lang w:eastAsia="en-GB"/>
        </w:rPr>
        <w:t xml:space="preserve"> that the top 200 offenders in the </w:t>
      </w:r>
      <w:r w:rsidR="00FE340F">
        <w:rPr>
          <w:rFonts w:cs="Calibri"/>
          <w:color w:val="000000"/>
          <w:lang w:eastAsia="en-GB"/>
        </w:rPr>
        <w:t>Borough</w:t>
      </w:r>
      <w:r w:rsidR="00FE340F" w:rsidRPr="002E01F7">
        <w:rPr>
          <w:rFonts w:cs="Calibri"/>
          <w:color w:val="000000"/>
          <w:lang w:eastAsia="en-GB"/>
        </w:rPr>
        <w:t xml:space="preserve"> are, between them, committing around 5,000 crimes every two years.</w:t>
      </w:r>
    </w:p>
    <w:p w:rsidR="00FE340F" w:rsidRPr="007374E3" w:rsidRDefault="006914DA" w:rsidP="00FE340F">
      <w:pPr>
        <w:pStyle w:val="Heading2"/>
        <w:rPr>
          <w:rFonts w:ascii="Cambria" w:hAnsi="Cambria" w:cs="Cambria"/>
          <w:lang w:eastAsia="en-GB"/>
        </w:rPr>
      </w:pPr>
      <w:bookmarkStart w:id="1002" w:name="_Toc426723419"/>
      <w:bookmarkStart w:id="1003" w:name="_Toc431225246"/>
      <w:r>
        <w:rPr>
          <w:lang w:eastAsia="en-GB"/>
        </w:rPr>
        <w:t>Feedback from Barnet Residents about Community S</w:t>
      </w:r>
      <w:r w:rsidR="00FE340F" w:rsidRPr="007374E3">
        <w:rPr>
          <w:lang w:eastAsia="en-GB"/>
        </w:rPr>
        <w:t>afety</w:t>
      </w:r>
      <w:bookmarkEnd w:id="1002"/>
      <w:bookmarkEnd w:id="1003"/>
      <w:r w:rsidR="00FE340F" w:rsidRPr="007374E3">
        <w:rPr>
          <w:lang w:eastAsia="en-GB"/>
        </w:rPr>
        <w:t xml:space="preserve"> </w:t>
      </w:r>
    </w:p>
    <w:p w:rsidR="00FE340F" w:rsidRPr="002E01F7" w:rsidRDefault="00FE340F" w:rsidP="00FE340F">
      <w:pPr>
        <w:autoSpaceDE w:val="0"/>
        <w:autoSpaceDN w:val="0"/>
        <w:adjustRightInd w:val="0"/>
        <w:spacing w:after="0" w:line="240" w:lineRule="auto"/>
        <w:jc w:val="both"/>
        <w:rPr>
          <w:rFonts w:cs="Calibri"/>
          <w:color w:val="000000"/>
          <w:lang w:eastAsia="en-GB"/>
        </w:rPr>
      </w:pPr>
      <w:r w:rsidRPr="002E01F7">
        <w:rPr>
          <w:rFonts w:cs="Calibri"/>
          <w:color w:val="000000"/>
          <w:lang w:eastAsia="en-GB"/>
        </w:rPr>
        <w:t xml:space="preserve">During the last two years some 5,100 Barnet residents have taken part in consultation surveys, which either focused specifically on crime and community safety or included a significant section on the subject. </w:t>
      </w:r>
    </w:p>
    <w:p w:rsidR="00FE340F" w:rsidRPr="002E01F7" w:rsidRDefault="00FE340F" w:rsidP="00FE340F">
      <w:pPr>
        <w:autoSpaceDE w:val="0"/>
        <w:autoSpaceDN w:val="0"/>
        <w:adjustRightInd w:val="0"/>
        <w:spacing w:after="0" w:line="240" w:lineRule="auto"/>
        <w:jc w:val="both"/>
        <w:rPr>
          <w:rFonts w:cs="Calibri"/>
          <w:color w:val="000000"/>
          <w:lang w:eastAsia="en-GB"/>
        </w:rPr>
      </w:pPr>
    </w:p>
    <w:p w:rsidR="00FE340F" w:rsidRPr="002E01F7" w:rsidRDefault="00FE340F" w:rsidP="00FE340F">
      <w:pPr>
        <w:autoSpaceDE w:val="0"/>
        <w:autoSpaceDN w:val="0"/>
        <w:adjustRightInd w:val="0"/>
        <w:spacing w:after="0" w:line="240" w:lineRule="auto"/>
        <w:jc w:val="both"/>
        <w:rPr>
          <w:rFonts w:cs="Calibri"/>
          <w:color w:val="000000"/>
          <w:lang w:eastAsia="en-GB"/>
        </w:rPr>
      </w:pPr>
      <w:r w:rsidRPr="002E01F7">
        <w:rPr>
          <w:rFonts w:cs="Calibri"/>
          <w:color w:val="000000"/>
          <w:lang w:eastAsia="en-GB"/>
        </w:rPr>
        <w:t>The ma</w:t>
      </w:r>
      <w:r w:rsidR="00702B67">
        <w:rPr>
          <w:rFonts w:cs="Calibri"/>
          <w:color w:val="000000"/>
          <w:lang w:eastAsia="en-GB"/>
        </w:rPr>
        <w:t>in surveys which have guided the Council’s</w:t>
      </w:r>
      <w:r w:rsidRPr="002E01F7">
        <w:rPr>
          <w:rFonts w:cs="Calibri"/>
          <w:color w:val="000000"/>
          <w:lang w:eastAsia="en-GB"/>
        </w:rPr>
        <w:t xml:space="preserve"> assessment are the Residents</w:t>
      </w:r>
      <w:r>
        <w:rPr>
          <w:rFonts w:cs="Calibri"/>
          <w:color w:val="000000"/>
          <w:lang w:eastAsia="en-GB"/>
        </w:rPr>
        <w:t>’</w:t>
      </w:r>
      <w:r w:rsidRPr="002E01F7">
        <w:rPr>
          <w:rFonts w:cs="Calibri"/>
          <w:color w:val="000000"/>
          <w:lang w:eastAsia="en-GB"/>
        </w:rPr>
        <w:t xml:space="preserve"> Perception Survey (RPS) and the Public Attitude Survey (PAS), both have been carried out by separate independent market research companies. </w:t>
      </w:r>
    </w:p>
    <w:p w:rsidR="00FE340F" w:rsidRPr="002E01F7" w:rsidRDefault="00FE340F" w:rsidP="00FE340F">
      <w:pPr>
        <w:autoSpaceDE w:val="0"/>
        <w:autoSpaceDN w:val="0"/>
        <w:adjustRightInd w:val="0"/>
        <w:spacing w:after="0" w:line="240" w:lineRule="auto"/>
        <w:jc w:val="both"/>
        <w:rPr>
          <w:rFonts w:cs="Calibri"/>
          <w:color w:val="000000"/>
          <w:lang w:eastAsia="en-GB"/>
        </w:rPr>
      </w:pPr>
    </w:p>
    <w:p w:rsidR="00FE340F" w:rsidRPr="002E01F7" w:rsidRDefault="00FE340F" w:rsidP="00FE340F">
      <w:pPr>
        <w:autoSpaceDE w:val="0"/>
        <w:autoSpaceDN w:val="0"/>
        <w:adjustRightInd w:val="0"/>
        <w:spacing w:after="0" w:line="240" w:lineRule="auto"/>
        <w:jc w:val="both"/>
        <w:rPr>
          <w:rFonts w:cs="Calibri"/>
          <w:b/>
          <w:bCs/>
          <w:color w:val="000000"/>
          <w:lang w:eastAsia="en-GB"/>
        </w:rPr>
      </w:pPr>
      <w:r w:rsidRPr="002E01F7">
        <w:rPr>
          <w:rFonts w:cs="Calibri"/>
          <w:color w:val="000000"/>
          <w:lang w:eastAsia="en-GB"/>
        </w:rPr>
        <w:t xml:space="preserve">In addition, there have been a number of smaller or one-off consultations that are highly relevant to community safety issues. </w:t>
      </w:r>
    </w:p>
    <w:p w:rsidR="00FE340F" w:rsidRPr="007374E3" w:rsidRDefault="00FE340F" w:rsidP="00FE340F">
      <w:pPr>
        <w:pStyle w:val="Heading3"/>
        <w:rPr>
          <w:lang w:eastAsia="en-GB"/>
        </w:rPr>
      </w:pPr>
      <w:r w:rsidRPr="007374E3">
        <w:rPr>
          <w:lang w:eastAsia="en-GB"/>
        </w:rPr>
        <w:t xml:space="preserve">Key </w:t>
      </w:r>
      <w:r w:rsidR="006914DA">
        <w:rPr>
          <w:lang w:eastAsia="en-GB"/>
        </w:rPr>
        <w:t>F</w:t>
      </w:r>
      <w:r w:rsidRPr="007374E3">
        <w:rPr>
          <w:lang w:eastAsia="en-GB"/>
        </w:rPr>
        <w:t xml:space="preserve">indings from this </w:t>
      </w:r>
      <w:r w:rsidR="006914DA">
        <w:rPr>
          <w:lang w:eastAsia="en-GB"/>
        </w:rPr>
        <w:t>R</w:t>
      </w:r>
      <w:r w:rsidRPr="007374E3">
        <w:rPr>
          <w:lang w:eastAsia="en-GB"/>
        </w:rPr>
        <w:t xml:space="preserve">esearch </w:t>
      </w:r>
    </w:p>
    <w:p w:rsidR="00FE340F" w:rsidRPr="002E01F7" w:rsidRDefault="00FE340F" w:rsidP="008921BF">
      <w:pPr>
        <w:pStyle w:val="ListParagraph"/>
        <w:numPr>
          <w:ilvl w:val="0"/>
          <w:numId w:val="67"/>
        </w:numPr>
        <w:autoSpaceDE w:val="0"/>
        <w:autoSpaceDN w:val="0"/>
        <w:adjustRightInd w:val="0"/>
        <w:spacing w:after="34" w:line="240" w:lineRule="auto"/>
        <w:jc w:val="both"/>
        <w:rPr>
          <w:rFonts w:cs="Calibri"/>
          <w:color w:val="000000"/>
          <w:lang w:eastAsia="en-GB"/>
        </w:rPr>
      </w:pPr>
      <w:r w:rsidRPr="002E01F7">
        <w:rPr>
          <w:rFonts w:cs="Calibri"/>
          <w:color w:val="000000"/>
          <w:lang w:eastAsia="en-GB"/>
        </w:rPr>
        <w:t xml:space="preserve">Overall community confidence in the police and local authority in Barnet is strong and most indicators show this improving over the last year. </w:t>
      </w:r>
    </w:p>
    <w:p w:rsidR="00FE340F" w:rsidRPr="002E01F7" w:rsidRDefault="00FE340F" w:rsidP="008921BF">
      <w:pPr>
        <w:pStyle w:val="ListParagraph"/>
        <w:numPr>
          <w:ilvl w:val="0"/>
          <w:numId w:val="67"/>
        </w:numPr>
        <w:autoSpaceDE w:val="0"/>
        <w:autoSpaceDN w:val="0"/>
        <w:adjustRightInd w:val="0"/>
        <w:spacing w:after="34" w:line="240" w:lineRule="auto"/>
        <w:jc w:val="both"/>
        <w:rPr>
          <w:rFonts w:cs="Calibri"/>
          <w:color w:val="000000"/>
          <w:lang w:eastAsia="en-GB"/>
        </w:rPr>
      </w:pPr>
      <w:r w:rsidRPr="002E01F7">
        <w:rPr>
          <w:rFonts w:cs="Calibri"/>
          <w:color w:val="000000"/>
          <w:lang w:eastAsia="en-GB"/>
        </w:rPr>
        <w:t xml:space="preserve">Confidence in policing is above the London average. </w:t>
      </w:r>
    </w:p>
    <w:p w:rsidR="00FE340F" w:rsidRPr="002E01F7" w:rsidRDefault="00FE340F" w:rsidP="008921BF">
      <w:pPr>
        <w:pStyle w:val="ListParagraph"/>
        <w:numPr>
          <w:ilvl w:val="0"/>
          <w:numId w:val="67"/>
        </w:numPr>
        <w:autoSpaceDE w:val="0"/>
        <w:autoSpaceDN w:val="0"/>
        <w:adjustRightInd w:val="0"/>
        <w:spacing w:after="34" w:line="240" w:lineRule="auto"/>
        <w:jc w:val="both"/>
        <w:rPr>
          <w:rFonts w:cs="Calibri"/>
          <w:color w:val="000000"/>
          <w:lang w:eastAsia="en-GB"/>
        </w:rPr>
      </w:pPr>
      <w:r w:rsidRPr="002E01F7">
        <w:rPr>
          <w:rFonts w:cs="Calibri"/>
          <w:color w:val="000000"/>
          <w:lang w:eastAsia="en-GB"/>
        </w:rPr>
        <w:t xml:space="preserve">Confidence that the police understand community concerns and can be relied upon to be there when you need them is above the London average. </w:t>
      </w:r>
    </w:p>
    <w:p w:rsidR="00FE340F" w:rsidRPr="002E01F7" w:rsidRDefault="00FE340F" w:rsidP="008921BF">
      <w:pPr>
        <w:pStyle w:val="ListParagraph"/>
        <w:numPr>
          <w:ilvl w:val="0"/>
          <w:numId w:val="67"/>
        </w:numPr>
        <w:autoSpaceDE w:val="0"/>
        <w:autoSpaceDN w:val="0"/>
        <w:adjustRightInd w:val="0"/>
        <w:spacing w:after="34" w:line="240" w:lineRule="auto"/>
        <w:jc w:val="both"/>
        <w:rPr>
          <w:rFonts w:cs="Calibri"/>
          <w:color w:val="000000"/>
          <w:lang w:eastAsia="en-GB"/>
        </w:rPr>
      </w:pPr>
      <w:r w:rsidRPr="002E01F7">
        <w:rPr>
          <w:rFonts w:cs="Calibri"/>
          <w:color w:val="000000"/>
          <w:lang w:eastAsia="en-GB"/>
        </w:rPr>
        <w:t xml:space="preserve">Community cohesion remains strong. </w:t>
      </w:r>
    </w:p>
    <w:p w:rsidR="00FE340F" w:rsidRPr="001F68B5" w:rsidRDefault="00FE340F" w:rsidP="008921BF">
      <w:pPr>
        <w:pStyle w:val="ListParagraph"/>
        <w:numPr>
          <w:ilvl w:val="0"/>
          <w:numId w:val="67"/>
        </w:numPr>
        <w:autoSpaceDE w:val="0"/>
        <w:autoSpaceDN w:val="0"/>
        <w:adjustRightInd w:val="0"/>
        <w:spacing w:after="0" w:line="240" w:lineRule="auto"/>
        <w:jc w:val="both"/>
        <w:rPr>
          <w:rFonts w:cs="Calibri"/>
          <w:color w:val="000000"/>
          <w:sz w:val="23"/>
          <w:szCs w:val="23"/>
          <w:lang w:eastAsia="en-GB"/>
        </w:rPr>
      </w:pPr>
      <w:r w:rsidRPr="001F68B5">
        <w:rPr>
          <w:rFonts w:cs="Calibri"/>
          <w:color w:val="000000"/>
          <w:lang w:eastAsia="en-GB"/>
        </w:rPr>
        <w:t xml:space="preserve">Litter and rubbish left around is a top ASB concern. </w:t>
      </w:r>
    </w:p>
    <w:p w:rsidR="00FE340F" w:rsidRPr="007374E3" w:rsidRDefault="006914DA" w:rsidP="00FE340F">
      <w:pPr>
        <w:pStyle w:val="Heading3"/>
        <w:rPr>
          <w:lang w:eastAsia="en-GB"/>
        </w:rPr>
      </w:pPr>
      <w:r>
        <w:rPr>
          <w:lang w:eastAsia="en-GB"/>
        </w:rPr>
        <w:t>Young P</w:t>
      </w:r>
      <w:r w:rsidR="00FE340F" w:rsidRPr="007374E3">
        <w:rPr>
          <w:lang w:eastAsia="en-GB"/>
        </w:rPr>
        <w:t xml:space="preserve">eople’s </w:t>
      </w:r>
      <w:r>
        <w:rPr>
          <w:lang w:eastAsia="en-GB"/>
        </w:rPr>
        <w:t>P</w:t>
      </w:r>
      <w:r w:rsidR="00FE340F" w:rsidRPr="007374E3">
        <w:rPr>
          <w:lang w:eastAsia="en-GB"/>
        </w:rPr>
        <w:t xml:space="preserve">erspective </w:t>
      </w:r>
    </w:p>
    <w:p w:rsidR="00FE340F" w:rsidRPr="00535448" w:rsidRDefault="00FE340F" w:rsidP="00FE340F">
      <w:pPr>
        <w:autoSpaceDE w:val="0"/>
        <w:autoSpaceDN w:val="0"/>
        <w:adjustRightInd w:val="0"/>
        <w:spacing w:after="0" w:line="240" w:lineRule="auto"/>
        <w:jc w:val="both"/>
        <w:rPr>
          <w:rFonts w:cs="Calibri"/>
          <w:color w:val="000000"/>
          <w:lang w:eastAsia="en-GB"/>
        </w:rPr>
      </w:pPr>
      <w:r w:rsidRPr="00535448">
        <w:rPr>
          <w:rFonts w:cs="Calibri"/>
          <w:color w:val="000000"/>
          <w:lang w:eastAsia="en-GB"/>
        </w:rPr>
        <w:t>Views of young people about youth crime and safety provide a perspective of the perceptions and circumstances surround</w:t>
      </w:r>
      <w:r w:rsidR="00226F8B">
        <w:rPr>
          <w:rFonts w:cs="Calibri"/>
          <w:color w:val="000000"/>
          <w:lang w:eastAsia="en-GB"/>
        </w:rPr>
        <w:t>ing this peak victim age group.</w:t>
      </w:r>
    </w:p>
    <w:p w:rsidR="00FE340F" w:rsidRDefault="00FE340F" w:rsidP="00FE340F">
      <w:pPr>
        <w:autoSpaceDE w:val="0"/>
        <w:autoSpaceDN w:val="0"/>
        <w:adjustRightInd w:val="0"/>
        <w:spacing w:after="0" w:line="240" w:lineRule="auto"/>
        <w:jc w:val="both"/>
        <w:rPr>
          <w:rFonts w:cs="Calibri"/>
          <w:b/>
          <w:color w:val="000000"/>
          <w:lang w:eastAsia="en-GB"/>
        </w:rPr>
      </w:pPr>
    </w:p>
    <w:p w:rsidR="00A70814" w:rsidRDefault="00A70814" w:rsidP="00FE340F">
      <w:pPr>
        <w:autoSpaceDE w:val="0"/>
        <w:autoSpaceDN w:val="0"/>
        <w:adjustRightInd w:val="0"/>
        <w:spacing w:after="0" w:line="240" w:lineRule="auto"/>
        <w:jc w:val="both"/>
        <w:rPr>
          <w:rFonts w:cs="Calibri"/>
          <w:b/>
          <w:color w:val="000000"/>
          <w:lang w:eastAsia="en-GB"/>
        </w:rPr>
      </w:pPr>
    </w:p>
    <w:p w:rsidR="00A70814" w:rsidRDefault="00A70814" w:rsidP="00FE340F">
      <w:pPr>
        <w:autoSpaceDE w:val="0"/>
        <w:autoSpaceDN w:val="0"/>
        <w:adjustRightInd w:val="0"/>
        <w:spacing w:after="0" w:line="240" w:lineRule="auto"/>
        <w:jc w:val="both"/>
        <w:rPr>
          <w:rFonts w:cs="Calibri"/>
          <w:b/>
          <w:color w:val="000000"/>
          <w:lang w:eastAsia="en-GB"/>
        </w:rPr>
      </w:pPr>
    </w:p>
    <w:p w:rsidR="00FE340F" w:rsidRPr="001F68B5" w:rsidRDefault="00FE340F" w:rsidP="00FE340F">
      <w:pPr>
        <w:autoSpaceDE w:val="0"/>
        <w:autoSpaceDN w:val="0"/>
        <w:adjustRightInd w:val="0"/>
        <w:spacing w:after="0" w:line="240" w:lineRule="auto"/>
        <w:jc w:val="both"/>
        <w:rPr>
          <w:rFonts w:cs="Calibri"/>
          <w:b/>
          <w:color w:val="000000"/>
          <w:lang w:eastAsia="en-GB"/>
        </w:rPr>
      </w:pPr>
      <w:r w:rsidRPr="001F68B5">
        <w:rPr>
          <w:rFonts w:cs="Calibri"/>
          <w:b/>
          <w:color w:val="000000"/>
          <w:lang w:eastAsia="en-GB"/>
        </w:rPr>
        <w:t xml:space="preserve">Safety is a </w:t>
      </w:r>
      <w:r>
        <w:rPr>
          <w:rFonts w:cs="Calibri"/>
          <w:b/>
          <w:color w:val="000000"/>
          <w:lang w:eastAsia="en-GB"/>
        </w:rPr>
        <w:t>priority for many young people:</w:t>
      </w:r>
    </w:p>
    <w:p w:rsidR="00FE340F" w:rsidRPr="00535448" w:rsidRDefault="00FE340F" w:rsidP="008921BF">
      <w:pPr>
        <w:pStyle w:val="ListParagraph"/>
        <w:numPr>
          <w:ilvl w:val="0"/>
          <w:numId w:val="66"/>
        </w:numPr>
        <w:autoSpaceDE w:val="0"/>
        <w:autoSpaceDN w:val="0"/>
        <w:adjustRightInd w:val="0"/>
        <w:spacing w:after="34" w:line="240" w:lineRule="auto"/>
        <w:jc w:val="both"/>
        <w:rPr>
          <w:rFonts w:cs="Calibri"/>
          <w:color w:val="000000"/>
          <w:lang w:eastAsia="en-GB"/>
        </w:rPr>
      </w:pPr>
      <w:r w:rsidRPr="00535448">
        <w:rPr>
          <w:rFonts w:cs="Calibri"/>
          <w:color w:val="000000"/>
          <w:lang w:eastAsia="en-GB"/>
        </w:rPr>
        <w:lastRenderedPageBreak/>
        <w:t xml:space="preserve">Young people said they were particularly less likely to feel safe in some of the more isolated, poorly lit locations in the winter months when it gets dark early. </w:t>
      </w:r>
    </w:p>
    <w:p w:rsidR="00FE340F" w:rsidRPr="00535448" w:rsidRDefault="00FE340F" w:rsidP="008921BF">
      <w:pPr>
        <w:pStyle w:val="ListParagraph"/>
        <w:numPr>
          <w:ilvl w:val="0"/>
          <w:numId w:val="66"/>
        </w:numPr>
        <w:autoSpaceDE w:val="0"/>
        <w:autoSpaceDN w:val="0"/>
        <w:adjustRightInd w:val="0"/>
        <w:spacing w:after="0" w:line="240" w:lineRule="auto"/>
        <w:jc w:val="both"/>
        <w:rPr>
          <w:rFonts w:cs="Calibri"/>
          <w:color w:val="000000"/>
          <w:lang w:eastAsia="en-GB"/>
        </w:rPr>
      </w:pPr>
      <w:r w:rsidRPr="00535448">
        <w:rPr>
          <w:rFonts w:cs="Calibri"/>
          <w:color w:val="000000"/>
          <w:lang w:eastAsia="en-GB"/>
        </w:rPr>
        <w:t xml:space="preserve">Young people can feel the pressure to engage in negative activities for various reasons, which include peer pressure and family circumstances. </w:t>
      </w:r>
    </w:p>
    <w:p w:rsidR="00FE340F" w:rsidRPr="00535448" w:rsidRDefault="00FE340F" w:rsidP="00FE340F">
      <w:pPr>
        <w:autoSpaceDE w:val="0"/>
        <w:autoSpaceDN w:val="0"/>
        <w:adjustRightInd w:val="0"/>
        <w:spacing w:after="0" w:line="240" w:lineRule="auto"/>
        <w:jc w:val="both"/>
        <w:rPr>
          <w:rFonts w:cs="Calibri"/>
          <w:color w:val="000000"/>
          <w:lang w:eastAsia="en-GB"/>
        </w:rPr>
      </w:pPr>
      <w:r w:rsidRPr="00535448">
        <w:rPr>
          <w:rFonts w:cs="Calibri"/>
          <w:b/>
          <w:bCs/>
          <w:color w:val="000000"/>
          <w:lang w:eastAsia="en-GB"/>
        </w:rPr>
        <w:t xml:space="preserve"> </w:t>
      </w:r>
    </w:p>
    <w:p w:rsidR="00FE340F" w:rsidRPr="001F68B5" w:rsidRDefault="00FE340F" w:rsidP="00FE340F">
      <w:pPr>
        <w:autoSpaceDE w:val="0"/>
        <w:autoSpaceDN w:val="0"/>
        <w:adjustRightInd w:val="0"/>
        <w:spacing w:after="0" w:line="240" w:lineRule="auto"/>
        <w:jc w:val="both"/>
        <w:rPr>
          <w:rFonts w:cs="Calibri"/>
          <w:b/>
          <w:color w:val="000000"/>
          <w:lang w:eastAsia="en-GB"/>
        </w:rPr>
      </w:pPr>
      <w:r w:rsidRPr="001F68B5">
        <w:rPr>
          <w:rFonts w:cs="Calibri"/>
          <w:b/>
          <w:color w:val="000000"/>
          <w:lang w:eastAsia="en-GB"/>
        </w:rPr>
        <w:t xml:space="preserve">Barnet residents have told us that they want us to: </w:t>
      </w:r>
    </w:p>
    <w:p w:rsidR="00FE340F" w:rsidRPr="00535448" w:rsidRDefault="00226F8B" w:rsidP="008921BF">
      <w:pPr>
        <w:pStyle w:val="ListParagraph"/>
        <w:numPr>
          <w:ilvl w:val="0"/>
          <w:numId w:val="65"/>
        </w:numPr>
        <w:autoSpaceDE w:val="0"/>
        <w:autoSpaceDN w:val="0"/>
        <w:adjustRightInd w:val="0"/>
        <w:spacing w:after="34" w:line="240" w:lineRule="auto"/>
        <w:jc w:val="both"/>
        <w:rPr>
          <w:rFonts w:cs="Calibri"/>
          <w:color w:val="000000"/>
          <w:lang w:eastAsia="en-GB"/>
        </w:rPr>
      </w:pPr>
      <w:r>
        <w:rPr>
          <w:rFonts w:cs="Calibri"/>
          <w:color w:val="000000"/>
          <w:lang w:eastAsia="en-GB"/>
        </w:rPr>
        <w:t>K</w:t>
      </w:r>
      <w:r w:rsidR="00FE340F" w:rsidRPr="00535448">
        <w:rPr>
          <w:rFonts w:cs="Calibri"/>
          <w:color w:val="000000"/>
          <w:lang w:eastAsia="en-GB"/>
        </w:rPr>
        <w:t xml:space="preserve">eep the </w:t>
      </w:r>
      <w:r w:rsidR="00702B67">
        <w:rPr>
          <w:rFonts w:cs="Calibri"/>
          <w:color w:val="000000"/>
          <w:lang w:eastAsia="en-GB"/>
        </w:rPr>
        <w:t>community informed about what the Council is</w:t>
      </w:r>
      <w:r w:rsidR="00FE340F" w:rsidRPr="00535448">
        <w:rPr>
          <w:rFonts w:cs="Calibri"/>
          <w:color w:val="000000"/>
          <w:lang w:eastAsia="en-GB"/>
        </w:rPr>
        <w:t xml:space="preserve"> doing to tackle crime and ASB</w:t>
      </w:r>
      <w:r w:rsidR="00702B67">
        <w:rPr>
          <w:rFonts w:cs="Calibri"/>
          <w:color w:val="000000"/>
          <w:lang w:eastAsia="en-GB"/>
        </w:rPr>
        <w:t>.</w:t>
      </w:r>
      <w:r w:rsidR="00FE340F" w:rsidRPr="00535448">
        <w:rPr>
          <w:rFonts w:cs="Calibri"/>
          <w:color w:val="000000"/>
          <w:lang w:eastAsia="en-GB"/>
        </w:rPr>
        <w:t xml:space="preserve"> </w:t>
      </w:r>
    </w:p>
    <w:p w:rsidR="00FE340F" w:rsidRPr="00535448" w:rsidRDefault="00226F8B" w:rsidP="008921BF">
      <w:pPr>
        <w:pStyle w:val="ListParagraph"/>
        <w:numPr>
          <w:ilvl w:val="0"/>
          <w:numId w:val="65"/>
        </w:numPr>
        <w:autoSpaceDE w:val="0"/>
        <w:autoSpaceDN w:val="0"/>
        <w:adjustRightInd w:val="0"/>
        <w:spacing w:after="0" w:line="240" w:lineRule="auto"/>
        <w:jc w:val="both"/>
        <w:rPr>
          <w:rFonts w:cs="Calibri"/>
          <w:color w:val="000000"/>
          <w:lang w:eastAsia="en-GB"/>
        </w:rPr>
      </w:pPr>
      <w:r>
        <w:rPr>
          <w:rFonts w:cs="Calibri"/>
          <w:color w:val="000000"/>
          <w:lang w:eastAsia="en-GB"/>
        </w:rPr>
        <w:t>W</w:t>
      </w:r>
      <w:r w:rsidR="00FE340F" w:rsidRPr="00535448">
        <w:rPr>
          <w:rFonts w:cs="Calibri"/>
          <w:color w:val="000000"/>
          <w:lang w:eastAsia="en-GB"/>
        </w:rPr>
        <w:t xml:space="preserve">ork together with the community to reduce rubbish and litter concerns. </w:t>
      </w:r>
    </w:p>
    <w:p w:rsidR="007E799F" w:rsidRDefault="007E799F" w:rsidP="007E799F">
      <w:pPr>
        <w:jc w:val="both"/>
      </w:pPr>
    </w:p>
    <w:p w:rsidR="00E04DAC" w:rsidRDefault="00E04DAC">
      <w:pPr>
        <w:rPr>
          <w:rFonts w:asciiTheme="majorHAnsi" w:eastAsiaTheme="majorEastAsia" w:hAnsiTheme="majorHAnsi" w:cstheme="majorBidi"/>
          <w:b/>
          <w:bCs/>
          <w:color w:val="365F91" w:themeColor="accent1" w:themeShade="BF"/>
          <w:sz w:val="28"/>
          <w:szCs w:val="28"/>
        </w:rPr>
      </w:pPr>
      <w:r>
        <w:br w:type="page"/>
      </w:r>
    </w:p>
    <w:p w:rsidR="003450E1" w:rsidRDefault="003450E1" w:rsidP="003450E1">
      <w:pPr>
        <w:pStyle w:val="Heading1"/>
      </w:pPr>
      <w:bookmarkStart w:id="1004" w:name="_Toc431225247"/>
      <w:r>
        <w:lastRenderedPageBreak/>
        <w:t>Community Assets</w:t>
      </w:r>
      <w:bookmarkEnd w:id="1004"/>
    </w:p>
    <w:bookmarkStart w:id="1005" w:name="_Toc431225248"/>
    <w:p w:rsidR="00A67211" w:rsidRPr="00B67DCC" w:rsidRDefault="00BC27A1" w:rsidP="00A67211">
      <w:pPr>
        <w:pStyle w:val="Heading2"/>
      </w:pPr>
      <w:r>
        <w:rPr>
          <w:noProof/>
          <w:lang w:eastAsia="en-GB"/>
        </w:rPr>
        <mc:AlternateContent>
          <mc:Choice Requires="wps">
            <w:drawing>
              <wp:anchor distT="0" distB="0" distL="114300" distR="114300" simplePos="0" relativeHeight="251790336" behindDoc="1" locked="0" layoutInCell="1" allowOverlap="1" wp14:anchorId="3087CB7B" wp14:editId="64960114">
                <wp:simplePos x="0" y="0"/>
                <wp:positionH relativeFrom="column">
                  <wp:posOffset>-138223</wp:posOffset>
                </wp:positionH>
                <wp:positionV relativeFrom="paragraph">
                  <wp:posOffset>57681</wp:posOffset>
                </wp:positionV>
                <wp:extent cx="6038850" cy="4561367"/>
                <wp:effectExtent l="0" t="0" r="0" b="0"/>
                <wp:wrapNone/>
                <wp:docPr id="49167" name="Rectangle 49167"/>
                <wp:cNvGraphicFramePr/>
                <a:graphic xmlns:a="http://schemas.openxmlformats.org/drawingml/2006/main">
                  <a:graphicData uri="http://schemas.microsoft.com/office/word/2010/wordprocessingShape">
                    <wps:wsp>
                      <wps:cNvSpPr/>
                      <wps:spPr>
                        <a:xfrm>
                          <a:off x="0" y="0"/>
                          <a:ext cx="6038850" cy="4561367"/>
                        </a:xfrm>
                        <a:prstGeom prst="rect">
                          <a:avLst/>
                        </a:prstGeom>
                        <a:solidFill>
                          <a:srgbClr val="4F81BD">
                            <a:lumMod val="20000"/>
                            <a:lumOff val="80000"/>
                            <a:alpha val="7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9167" o:spid="_x0000_s1026" style="position:absolute;margin-left:-10.9pt;margin-top:4.55pt;width:475.5pt;height:359.15pt;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" fillcolor="#dce6f2" stroked="f" strokeweight="2pt">
                <v:fill opacity="46003f"/>
              </v:rect>
            </w:pict>
          </mc:Fallback>
        </mc:AlternateContent>
      </w:r>
      <w:r w:rsidR="006914DA">
        <w:t>Key F</w:t>
      </w:r>
      <w:r w:rsidR="00A67211">
        <w:t>act</w:t>
      </w:r>
      <w:r w:rsidR="00A67211" w:rsidRPr="00B67DCC">
        <w:t>s</w:t>
      </w:r>
      <w:bookmarkEnd w:id="1005"/>
    </w:p>
    <w:p w:rsidR="00A67211" w:rsidRDefault="00A67211" w:rsidP="008921BF">
      <w:pPr>
        <w:pStyle w:val="ListParagraph"/>
        <w:numPr>
          <w:ilvl w:val="0"/>
          <w:numId w:val="121"/>
        </w:numPr>
        <w:jc w:val="both"/>
      </w:pPr>
      <w:r>
        <w:t>Barnet has a strong foundation for an asset-based approach with 88% of residents satisfied with their local area and high levels of local capacity</w:t>
      </w:r>
      <w:r w:rsidR="00EF4B54">
        <w:t>.</w:t>
      </w:r>
    </w:p>
    <w:p w:rsidR="00A67211" w:rsidRDefault="00A67211" w:rsidP="008921BF">
      <w:pPr>
        <w:pStyle w:val="ListParagraph"/>
        <w:numPr>
          <w:ilvl w:val="0"/>
          <w:numId w:val="121"/>
        </w:numPr>
        <w:jc w:val="both"/>
      </w:pPr>
      <w:r>
        <w:t>90% of residents agree that they help their neighbours out when needed and 28% volunteer regularly (weekly or monthly)</w:t>
      </w:r>
      <w:r w:rsidR="00EF4B54">
        <w:t>.</w:t>
      </w:r>
    </w:p>
    <w:p w:rsidR="00A67211" w:rsidRDefault="00A67211" w:rsidP="008921BF">
      <w:pPr>
        <w:pStyle w:val="ListParagraph"/>
        <w:numPr>
          <w:ilvl w:val="0"/>
          <w:numId w:val="121"/>
        </w:numPr>
        <w:jc w:val="both"/>
      </w:pPr>
      <w:r>
        <w:t xml:space="preserve">Charities Commission and Council data suggests that there were 1235 registered charities operating in Barnet as of February 2015; 51.7% from in or near Barnet and 48.3% from outside the </w:t>
      </w:r>
      <w:r w:rsidR="00037414">
        <w:t>Borough</w:t>
      </w:r>
      <w:r w:rsidR="00EF4B54">
        <w:t>.</w:t>
      </w:r>
    </w:p>
    <w:p w:rsidR="00A67211" w:rsidRDefault="00A67211" w:rsidP="008921BF">
      <w:pPr>
        <w:pStyle w:val="ListParagraph"/>
        <w:numPr>
          <w:ilvl w:val="0"/>
          <w:numId w:val="121"/>
        </w:numPr>
        <w:jc w:val="both"/>
      </w:pPr>
      <w:r>
        <w:t>Education and training is the most commonly identified benefit provided (due in part to the number of schools which are registered charities), followed by religious activities, general charitable purposes, and the prevention and relief of poverty</w:t>
      </w:r>
      <w:r w:rsidR="00EF4B54">
        <w:t>.</w:t>
      </w:r>
    </w:p>
    <w:p w:rsidR="00A67211" w:rsidRDefault="00A67211" w:rsidP="008921BF">
      <w:pPr>
        <w:pStyle w:val="ListParagraph"/>
        <w:numPr>
          <w:ilvl w:val="0"/>
          <w:numId w:val="121"/>
        </w:numPr>
        <w:jc w:val="both"/>
      </w:pPr>
      <w:r>
        <w:t>The highest numbers of local charities are based in Golders Green (74 organisations), Edgware (48 organisations) and Garden Suburb (46 organisations), likely to reflect high levels of charitable activity among and serving the local Jewish community</w:t>
      </w:r>
      <w:r w:rsidR="00086723">
        <w:t>.</w:t>
      </w:r>
    </w:p>
    <w:p w:rsidR="00A67211" w:rsidRDefault="00A67211" w:rsidP="008921BF">
      <w:pPr>
        <w:pStyle w:val="ListParagraph"/>
        <w:numPr>
          <w:ilvl w:val="0"/>
          <w:numId w:val="121"/>
        </w:numPr>
        <w:jc w:val="both"/>
      </w:pPr>
      <w:r>
        <w:t>The resources the Council makes available to local voluntary organisations include grant funding and use of physical assets from the Council’s property portfolio – as well as the funds spent with voluntary and community sector (VCS) organisations when commissioning local services</w:t>
      </w:r>
      <w:r w:rsidR="00086723">
        <w:t>.</w:t>
      </w:r>
    </w:p>
    <w:p w:rsidR="00A67211" w:rsidRDefault="00A67211" w:rsidP="008921BF">
      <w:pPr>
        <w:pStyle w:val="ListParagraph"/>
        <w:numPr>
          <w:ilvl w:val="0"/>
          <w:numId w:val="121"/>
        </w:numPr>
        <w:jc w:val="both"/>
      </w:pPr>
      <w:r>
        <w:t>337 charities identify older people as their beneficiaries; 647 identify children and young people; 353 benefit people with disabilities</w:t>
      </w:r>
      <w:r w:rsidR="00086723">
        <w:t>.</w:t>
      </w:r>
    </w:p>
    <w:p w:rsidR="00A67211" w:rsidRDefault="00A67211" w:rsidP="008921BF">
      <w:pPr>
        <w:pStyle w:val="ListParagraph"/>
        <w:numPr>
          <w:ilvl w:val="0"/>
          <w:numId w:val="121"/>
        </w:numPr>
        <w:jc w:val="both"/>
      </w:pPr>
      <w:r>
        <w:t>In terms of both health and disability-related charitable activities, less than 20% of charities (225) identify their charitable purpose as the advancement of health.</w:t>
      </w:r>
    </w:p>
    <w:p w:rsidR="00A67211" w:rsidRPr="00595194" w:rsidRDefault="006914DA" w:rsidP="00A67211">
      <w:pPr>
        <w:pStyle w:val="Heading2"/>
      </w:pPr>
      <w:bookmarkStart w:id="1006" w:name="_Toc431225249"/>
      <w:r>
        <w:t>Strategic I</w:t>
      </w:r>
      <w:r w:rsidR="00A67211">
        <w:t>ssues</w:t>
      </w:r>
      <w:bookmarkEnd w:id="1006"/>
    </w:p>
    <w:p w:rsidR="00C5241D" w:rsidRPr="00C5241D" w:rsidRDefault="00C5241D" w:rsidP="008921BF">
      <w:pPr>
        <w:pStyle w:val="ListParagraph"/>
        <w:numPr>
          <w:ilvl w:val="0"/>
          <w:numId w:val="122"/>
        </w:numPr>
        <w:jc w:val="both"/>
        <w:rPr>
          <w:rFonts w:cs="Arial"/>
          <w:szCs w:val="24"/>
        </w:rPr>
      </w:pPr>
      <w:r w:rsidRPr="00C5241D">
        <w:rPr>
          <w:rFonts w:cs="Arial"/>
          <w:szCs w:val="24"/>
        </w:rPr>
        <w:t>Key areas of activity in relation to the voluntary and community sector over the next five years include:</w:t>
      </w:r>
    </w:p>
    <w:p w:rsidR="00C5241D" w:rsidRPr="00C5241D" w:rsidRDefault="00C5241D" w:rsidP="008921BF">
      <w:pPr>
        <w:pStyle w:val="ListParagraph"/>
        <w:numPr>
          <w:ilvl w:val="1"/>
          <w:numId w:val="123"/>
        </w:numPr>
        <w:ind w:left="1071" w:hanging="357"/>
        <w:jc w:val="both"/>
        <w:rPr>
          <w:rFonts w:cs="Arial"/>
          <w:szCs w:val="24"/>
        </w:rPr>
      </w:pPr>
      <w:r w:rsidRPr="00C5241D">
        <w:rPr>
          <w:rFonts w:cs="Arial"/>
          <w:szCs w:val="24"/>
        </w:rPr>
        <w:t xml:space="preserve">In adult social care and health, </w:t>
      </w:r>
      <w:r w:rsidRPr="00C5241D">
        <w:rPr>
          <w:rFonts w:cs="Arial"/>
          <w:b/>
          <w:szCs w:val="24"/>
        </w:rPr>
        <w:t>increased community care to reduce the need for services by meeting people’s daily needs</w:t>
      </w:r>
      <w:r w:rsidRPr="00C5241D">
        <w:rPr>
          <w:rFonts w:cs="Arial"/>
          <w:szCs w:val="24"/>
        </w:rPr>
        <w:t>, as well as providing activities which reduce isolation and have other preventative benefits.</w:t>
      </w:r>
    </w:p>
    <w:p w:rsidR="00C5241D" w:rsidRPr="00C5241D" w:rsidRDefault="00C5241D" w:rsidP="008921BF">
      <w:pPr>
        <w:pStyle w:val="ListParagraph"/>
        <w:numPr>
          <w:ilvl w:val="1"/>
          <w:numId w:val="123"/>
        </w:numPr>
        <w:ind w:left="1071" w:hanging="357"/>
        <w:jc w:val="both"/>
        <w:rPr>
          <w:rFonts w:cs="Arial"/>
          <w:szCs w:val="24"/>
        </w:rPr>
      </w:pPr>
      <w:r w:rsidRPr="00C5241D">
        <w:rPr>
          <w:rFonts w:cs="Arial"/>
          <w:szCs w:val="24"/>
        </w:rPr>
        <w:t xml:space="preserve">In children’s services, as well as preventative activity, </w:t>
      </w:r>
      <w:r w:rsidRPr="00C5241D">
        <w:rPr>
          <w:rFonts w:cs="Arial"/>
          <w:b/>
          <w:szCs w:val="24"/>
        </w:rPr>
        <w:t>increased childcare in community settings;</w:t>
      </w:r>
      <w:r w:rsidRPr="00C5241D">
        <w:rPr>
          <w:rFonts w:cs="Arial"/>
          <w:szCs w:val="24"/>
        </w:rPr>
        <w:t xml:space="preserve"> more diverse community provision particularly around mental health, and increased community involvement in the governance of services such as children’s centres or libraries.</w:t>
      </w:r>
    </w:p>
    <w:p w:rsidR="00C5241D" w:rsidRPr="00C5241D" w:rsidRDefault="00C5241D" w:rsidP="008921BF">
      <w:pPr>
        <w:pStyle w:val="ListParagraph"/>
        <w:numPr>
          <w:ilvl w:val="1"/>
          <w:numId w:val="123"/>
        </w:numPr>
        <w:ind w:left="1071" w:hanging="357"/>
        <w:jc w:val="both"/>
        <w:rPr>
          <w:rFonts w:cs="Arial"/>
          <w:szCs w:val="24"/>
        </w:rPr>
      </w:pPr>
      <w:r w:rsidRPr="00C5241D">
        <w:rPr>
          <w:rFonts w:cs="Arial"/>
          <w:b/>
          <w:szCs w:val="24"/>
        </w:rPr>
        <w:t>Working with</w:t>
      </w:r>
      <w:r w:rsidR="0047721F">
        <w:rPr>
          <w:rFonts w:cs="Arial"/>
          <w:b/>
          <w:szCs w:val="24"/>
        </w:rPr>
        <w:t xml:space="preserve"> voluntary and community</w:t>
      </w:r>
      <w:r w:rsidRPr="00C5241D">
        <w:rPr>
          <w:rFonts w:cs="Arial"/>
          <w:b/>
          <w:szCs w:val="24"/>
        </w:rPr>
        <w:t xml:space="preserve"> </w:t>
      </w:r>
      <w:r w:rsidR="0047721F">
        <w:rPr>
          <w:rFonts w:cs="Arial"/>
          <w:b/>
          <w:szCs w:val="24"/>
        </w:rPr>
        <w:t>(</w:t>
      </w:r>
      <w:r w:rsidRPr="00C5241D">
        <w:rPr>
          <w:rFonts w:cs="Arial"/>
          <w:b/>
          <w:szCs w:val="24"/>
        </w:rPr>
        <w:t>VCS</w:t>
      </w:r>
      <w:r w:rsidR="0047721F">
        <w:rPr>
          <w:rFonts w:cs="Arial"/>
          <w:b/>
          <w:szCs w:val="24"/>
        </w:rPr>
        <w:t>)</w:t>
      </w:r>
      <w:r w:rsidRPr="00C5241D">
        <w:rPr>
          <w:rFonts w:cs="Arial"/>
          <w:b/>
          <w:szCs w:val="24"/>
        </w:rPr>
        <w:t xml:space="preserve"> groups to target areas with higher levels of social isolation</w:t>
      </w:r>
      <w:r w:rsidRPr="00C5241D">
        <w:rPr>
          <w:rFonts w:cs="Arial"/>
          <w:szCs w:val="24"/>
        </w:rPr>
        <w:t>, to encourage greater social contact and develop new volunteering opportunities, particularly in the Borough’s parks and green spaces.</w:t>
      </w:r>
    </w:p>
    <w:p w:rsidR="00C5241D" w:rsidRPr="00C5241D" w:rsidRDefault="00C5241D" w:rsidP="008921BF">
      <w:pPr>
        <w:pStyle w:val="ListParagraph"/>
        <w:numPr>
          <w:ilvl w:val="1"/>
          <w:numId w:val="123"/>
        </w:numPr>
        <w:ind w:left="1071" w:hanging="357"/>
        <w:jc w:val="both"/>
        <w:rPr>
          <w:rFonts w:cs="Arial"/>
          <w:b/>
          <w:szCs w:val="24"/>
        </w:rPr>
      </w:pPr>
      <w:r w:rsidRPr="00C5241D">
        <w:rPr>
          <w:rFonts w:cs="Arial"/>
          <w:szCs w:val="24"/>
        </w:rPr>
        <w:t xml:space="preserve">In housing, growth and regeneration, </w:t>
      </w:r>
      <w:r w:rsidRPr="00C5241D">
        <w:rPr>
          <w:rFonts w:cs="Arial"/>
          <w:b/>
          <w:szCs w:val="24"/>
        </w:rPr>
        <w:t>supporting people affected by welfare reforms and/or on-going poverty.</w:t>
      </w:r>
    </w:p>
    <w:p w:rsidR="00C5241D" w:rsidRPr="00C5241D" w:rsidRDefault="00C5241D" w:rsidP="008921BF">
      <w:pPr>
        <w:pStyle w:val="ListParagraph"/>
        <w:numPr>
          <w:ilvl w:val="1"/>
          <w:numId w:val="123"/>
        </w:numPr>
        <w:ind w:left="1071" w:hanging="357"/>
        <w:jc w:val="both"/>
        <w:rPr>
          <w:rFonts w:cs="Arial"/>
          <w:b/>
          <w:szCs w:val="24"/>
        </w:rPr>
      </w:pPr>
      <w:r w:rsidRPr="00C5241D">
        <w:rPr>
          <w:rFonts w:cs="Arial"/>
          <w:szCs w:val="24"/>
        </w:rPr>
        <w:t xml:space="preserve">In environmental services, </w:t>
      </w:r>
      <w:r w:rsidRPr="00C5241D">
        <w:rPr>
          <w:rFonts w:cs="Arial"/>
          <w:b/>
          <w:szCs w:val="24"/>
        </w:rPr>
        <w:t>getting more people proactively engaged in developing and maintaining their local areas.</w:t>
      </w:r>
    </w:p>
    <w:p w:rsidR="00C5241D" w:rsidRPr="00C5241D" w:rsidRDefault="00C5241D" w:rsidP="008921BF">
      <w:pPr>
        <w:pStyle w:val="ListParagraph"/>
        <w:numPr>
          <w:ilvl w:val="0"/>
          <w:numId w:val="122"/>
        </w:numPr>
        <w:jc w:val="both"/>
        <w:rPr>
          <w:rFonts w:cs="Arial"/>
          <w:szCs w:val="24"/>
        </w:rPr>
      </w:pPr>
      <w:r w:rsidRPr="00C5241D">
        <w:rPr>
          <w:rFonts w:cs="Arial"/>
          <w:b/>
          <w:szCs w:val="24"/>
        </w:rPr>
        <w:t>Local community sports provision is reasonably well matched to need. There is however the potential to develop this further in areas where childhood obesity rates are high</w:t>
      </w:r>
      <w:r w:rsidRPr="00C5241D">
        <w:rPr>
          <w:rFonts w:cs="Arial"/>
          <w:szCs w:val="24"/>
        </w:rPr>
        <w:t xml:space="preserve"> (Colindale, Burnt Oak and Underhill).</w:t>
      </w:r>
    </w:p>
    <w:p w:rsidR="00C5241D" w:rsidRPr="00C5241D" w:rsidRDefault="00C5241D" w:rsidP="008921BF">
      <w:pPr>
        <w:pStyle w:val="ListParagraph"/>
        <w:numPr>
          <w:ilvl w:val="0"/>
          <w:numId w:val="122"/>
        </w:numPr>
        <w:jc w:val="both"/>
        <w:rPr>
          <w:rFonts w:cs="Arial"/>
          <w:szCs w:val="24"/>
        </w:rPr>
      </w:pPr>
      <w:r w:rsidRPr="00C5241D">
        <w:rPr>
          <w:rFonts w:cs="Arial"/>
          <w:b/>
          <w:szCs w:val="24"/>
        </w:rPr>
        <w:lastRenderedPageBreak/>
        <w:t>Local VCS provision for children is relatively low in the areas where the population of children and young people is forecast to be amongst the highest in the future</w:t>
      </w:r>
      <w:r w:rsidRPr="00C5241D">
        <w:rPr>
          <w:rFonts w:cs="Arial"/>
          <w:szCs w:val="24"/>
        </w:rPr>
        <w:t xml:space="preserve"> (Colindale).</w:t>
      </w:r>
    </w:p>
    <w:p w:rsidR="00C5241D" w:rsidRDefault="00C5241D" w:rsidP="008921BF">
      <w:pPr>
        <w:pStyle w:val="ListParagraph"/>
        <w:numPr>
          <w:ilvl w:val="0"/>
          <w:numId w:val="122"/>
        </w:numPr>
        <w:jc w:val="both"/>
        <w:rPr>
          <w:rFonts w:cs="Arial"/>
          <w:b/>
          <w:szCs w:val="24"/>
        </w:rPr>
      </w:pPr>
      <w:r w:rsidRPr="00C5241D">
        <w:rPr>
          <w:rFonts w:cs="Arial"/>
          <w:szCs w:val="24"/>
        </w:rPr>
        <w:t xml:space="preserve">VCS activity relating to economic development and unemployment is well developed in Colindale and Burnt Oak, the wards with the highest unemployment rates in Barnet.  </w:t>
      </w:r>
      <w:r w:rsidRPr="00C5241D">
        <w:rPr>
          <w:rFonts w:cs="Arial"/>
          <w:b/>
          <w:szCs w:val="24"/>
        </w:rPr>
        <w:t>There is however weaker VCS provision in East Finchley and Underhill, wards which also have significant levels of deprivation.</w:t>
      </w:r>
    </w:p>
    <w:p w:rsidR="00532AC0" w:rsidRPr="003A7DF4" w:rsidRDefault="00532AC0" w:rsidP="008921BF">
      <w:pPr>
        <w:pStyle w:val="ListParagraph"/>
        <w:numPr>
          <w:ilvl w:val="0"/>
          <w:numId w:val="122"/>
        </w:numPr>
        <w:jc w:val="both"/>
      </w:pPr>
      <w:r>
        <w:t xml:space="preserve">There is a particular gap around </w:t>
      </w:r>
      <w:r w:rsidRPr="00532AC0">
        <w:rPr>
          <w:b/>
        </w:rPr>
        <w:t>place-based or environmental VCS groups</w:t>
      </w:r>
      <w:r>
        <w:t xml:space="preserve"> and/or the relationships the Council maintains with them.  The Council needs to consider how to develop and strengthen this sector, as well as strengthen its own links with other existing relevant organisations such as residents’ associations.</w:t>
      </w:r>
    </w:p>
    <w:p w:rsidR="00C5241D" w:rsidRPr="00C5241D" w:rsidRDefault="00C5241D" w:rsidP="008921BF">
      <w:pPr>
        <w:pStyle w:val="ListParagraph"/>
        <w:numPr>
          <w:ilvl w:val="0"/>
          <w:numId w:val="122"/>
        </w:numPr>
        <w:jc w:val="both"/>
        <w:rPr>
          <w:rFonts w:cs="Arial"/>
          <w:szCs w:val="24"/>
        </w:rPr>
      </w:pPr>
      <w:r w:rsidRPr="00C5241D">
        <w:rPr>
          <w:rFonts w:cs="Arial"/>
          <w:szCs w:val="24"/>
        </w:rPr>
        <w:t>More generally, there are opportunities to:</w:t>
      </w:r>
    </w:p>
    <w:p w:rsidR="00C5241D" w:rsidRPr="00C5241D" w:rsidRDefault="00DD3A76" w:rsidP="008921BF">
      <w:pPr>
        <w:pStyle w:val="ListParagraph"/>
        <w:numPr>
          <w:ilvl w:val="0"/>
          <w:numId w:val="124"/>
        </w:numPr>
        <w:ind w:left="1071" w:hanging="357"/>
        <w:jc w:val="both"/>
        <w:rPr>
          <w:rFonts w:cs="Arial"/>
          <w:szCs w:val="24"/>
        </w:rPr>
      </w:pPr>
      <w:r w:rsidRPr="00C5241D">
        <w:rPr>
          <w:rFonts w:cs="Arial"/>
          <w:b/>
          <w:szCs w:val="24"/>
        </w:rPr>
        <w:t>Support</w:t>
      </w:r>
      <w:r w:rsidR="00C5241D" w:rsidRPr="00C5241D">
        <w:rPr>
          <w:rFonts w:cs="Arial"/>
          <w:b/>
          <w:szCs w:val="24"/>
        </w:rPr>
        <w:t xml:space="preserve"> and develop the broader volunteering base through diversifying the offer to volunteers</w:t>
      </w:r>
      <w:r w:rsidR="00C5241D" w:rsidRPr="00C5241D">
        <w:rPr>
          <w:rFonts w:cs="Arial"/>
          <w:szCs w:val="24"/>
        </w:rPr>
        <w:t xml:space="preserve">, promoting opportunities such as </w:t>
      </w:r>
      <w:proofErr w:type="spellStart"/>
      <w:r w:rsidR="00C5241D" w:rsidRPr="00C5241D">
        <w:rPr>
          <w:rFonts w:cs="Arial"/>
          <w:szCs w:val="24"/>
        </w:rPr>
        <w:t>timebanking</w:t>
      </w:r>
      <w:proofErr w:type="spellEnd"/>
      <w:r w:rsidR="00C5241D" w:rsidRPr="00C5241D">
        <w:rPr>
          <w:rFonts w:cs="Arial"/>
          <w:szCs w:val="24"/>
        </w:rPr>
        <w:t>, employer supported volunteering, corporate social responsibility and community action (coordinated through the core volunteer offer).</w:t>
      </w:r>
    </w:p>
    <w:p w:rsidR="00C5241D" w:rsidRPr="00C5241D" w:rsidRDefault="00DD3A76" w:rsidP="008921BF">
      <w:pPr>
        <w:pStyle w:val="ListParagraph"/>
        <w:numPr>
          <w:ilvl w:val="0"/>
          <w:numId w:val="124"/>
        </w:numPr>
        <w:ind w:left="1071" w:hanging="357"/>
        <w:jc w:val="both"/>
        <w:rPr>
          <w:rFonts w:cs="Arial"/>
          <w:b/>
          <w:szCs w:val="24"/>
        </w:rPr>
      </w:pPr>
      <w:r w:rsidRPr="00C5241D">
        <w:rPr>
          <w:rFonts w:cs="Arial"/>
          <w:b/>
          <w:szCs w:val="24"/>
        </w:rPr>
        <w:t>Rethink</w:t>
      </w:r>
      <w:r w:rsidR="00C5241D" w:rsidRPr="00C5241D">
        <w:rPr>
          <w:rFonts w:cs="Arial"/>
          <w:b/>
          <w:szCs w:val="24"/>
        </w:rPr>
        <w:t xml:space="preserve"> physical asset provision, including the lower levels of physical community assets present in the North West and centre of the Borough.</w:t>
      </w:r>
    </w:p>
    <w:p w:rsidR="00C5241D" w:rsidRPr="00C5241D" w:rsidRDefault="00DD3A76" w:rsidP="008921BF">
      <w:pPr>
        <w:pStyle w:val="ListParagraph"/>
        <w:numPr>
          <w:ilvl w:val="0"/>
          <w:numId w:val="124"/>
        </w:numPr>
        <w:ind w:left="1071" w:hanging="357"/>
        <w:jc w:val="both"/>
        <w:rPr>
          <w:rFonts w:cs="Arial"/>
          <w:szCs w:val="24"/>
        </w:rPr>
      </w:pPr>
      <w:r w:rsidRPr="00C5241D">
        <w:rPr>
          <w:rFonts w:cs="Arial"/>
          <w:szCs w:val="24"/>
        </w:rPr>
        <w:t>Respond</w:t>
      </w:r>
      <w:r w:rsidR="00C5241D" w:rsidRPr="00C5241D">
        <w:rPr>
          <w:rFonts w:cs="Arial"/>
          <w:szCs w:val="24"/>
        </w:rPr>
        <w:t xml:space="preserve"> to the fact that a significant proportion of local charitable activity in Barnet is focused within faith communities, and this capacity could be engaged with better to deliver health and wellbeing outcomes.  </w:t>
      </w:r>
    </w:p>
    <w:p w:rsidR="00A67211" w:rsidRDefault="00A67211" w:rsidP="00A67211">
      <w:pPr>
        <w:pStyle w:val="Heading2"/>
      </w:pPr>
      <w:bookmarkStart w:id="1007" w:name="_Toc431225250"/>
      <w:r>
        <w:t>Overview</w:t>
      </w:r>
      <w:bookmarkEnd w:id="1007"/>
    </w:p>
    <w:p w:rsidR="00A67211" w:rsidRPr="00B67DCC" w:rsidRDefault="006914DA" w:rsidP="00A67211">
      <w:pPr>
        <w:pStyle w:val="Heading3"/>
      </w:pPr>
      <w:r>
        <w:t>What is a C</w:t>
      </w:r>
      <w:r w:rsidR="00A67211" w:rsidRPr="00B67DCC">
        <w:t xml:space="preserve">ommunity </w:t>
      </w:r>
      <w:r>
        <w:t>A</w:t>
      </w:r>
      <w:r w:rsidR="00A67211" w:rsidRPr="00B67DCC">
        <w:t>sset?</w:t>
      </w:r>
    </w:p>
    <w:p w:rsidR="00A67211" w:rsidRDefault="00A67211" w:rsidP="00086723">
      <w:pPr>
        <w:jc w:val="both"/>
      </w:pPr>
      <w:r>
        <w:t xml:space="preserve">In a health and wellbeing context, a </w:t>
      </w:r>
      <w:r w:rsidRPr="00C9784A">
        <w:rPr>
          <w:b/>
        </w:rPr>
        <w:t>community asset</w:t>
      </w:r>
      <w:r>
        <w:t xml:space="preserve"> is, broadly speaking, ‘any factor or resource which enhances the ability of individuals, communities, and populations to maintain and sustain health and wellbeing’ (Morgan, NICE, 2009).  Assets could include:</w:t>
      </w:r>
    </w:p>
    <w:p w:rsidR="00A67211" w:rsidRDefault="00A67211" w:rsidP="008921BF">
      <w:pPr>
        <w:pStyle w:val="ListParagraph"/>
        <w:numPr>
          <w:ilvl w:val="0"/>
          <w:numId w:val="120"/>
        </w:numPr>
        <w:jc w:val="both"/>
      </w:pPr>
      <w:r>
        <w:t>local residents’ skills and knowledge</w:t>
      </w:r>
    </w:p>
    <w:p w:rsidR="00A67211" w:rsidRDefault="00A67211" w:rsidP="008921BF">
      <w:pPr>
        <w:pStyle w:val="ListParagraph"/>
        <w:numPr>
          <w:ilvl w:val="0"/>
          <w:numId w:val="120"/>
        </w:numPr>
        <w:jc w:val="both"/>
      </w:pPr>
      <w:r>
        <w:t>voluntary activity by individuals, including friendships and neighbourliness as well as volunteering</w:t>
      </w:r>
    </w:p>
    <w:p w:rsidR="00A67211" w:rsidRDefault="00A67211" w:rsidP="008921BF">
      <w:pPr>
        <w:pStyle w:val="ListParagraph"/>
        <w:numPr>
          <w:ilvl w:val="0"/>
          <w:numId w:val="120"/>
        </w:numPr>
        <w:jc w:val="both"/>
      </w:pPr>
      <w:r>
        <w:t>community networks and connections</w:t>
      </w:r>
    </w:p>
    <w:p w:rsidR="00A67211" w:rsidRDefault="00A67211" w:rsidP="008921BF">
      <w:pPr>
        <w:pStyle w:val="ListParagraph"/>
        <w:numPr>
          <w:ilvl w:val="0"/>
          <w:numId w:val="120"/>
        </w:numPr>
        <w:jc w:val="both"/>
      </w:pPr>
      <w:r>
        <w:t>local voluntary and community sector (VCS) organisations</w:t>
      </w:r>
    </w:p>
    <w:p w:rsidR="00A67211" w:rsidRDefault="00DD3A76" w:rsidP="008921BF">
      <w:pPr>
        <w:pStyle w:val="ListParagraph"/>
        <w:numPr>
          <w:ilvl w:val="0"/>
          <w:numId w:val="120"/>
        </w:numPr>
        <w:jc w:val="both"/>
      </w:pPr>
      <w:r>
        <w:t>Resources</w:t>
      </w:r>
      <w:r w:rsidR="00A67211">
        <w:t xml:space="preserve"> from public and private sector organisations (including assets in the more classic sense, such as money, land and buildings).</w:t>
      </w:r>
    </w:p>
    <w:p w:rsidR="00A67211" w:rsidRPr="009150C5" w:rsidRDefault="00A67211" w:rsidP="00A67211">
      <w:pPr>
        <w:pStyle w:val="Heading3"/>
      </w:pPr>
      <w:r>
        <w:t>E</w:t>
      </w:r>
      <w:r w:rsidRPr="009150C5">
        <w:t xml:space="preserve">vidence for </w:t>
      </w:r>
      <w:r w:rsidR="006914DA">
        <w:t>A</w:t>
      </w:r>
      <w:r w:rsidRPr="009150C5">
        <w:t xml:space="preserve">sset-based </w:t>
      </w:r>
      <w:r w:rsidR="006914DA">
        <w:t>A</w:t>
      </w:r>
      <w:r w:rsidRPr="009150C5">
        <w:t xml:space="preserve">pproaches, and the </w:t>
      </w:r>
      <w:r w:rsidR="006914DA">
        <w:t>C</w:t>
      </w:r>
      <w:r w:rsidRPr="009150C5">
        <w:t>ontext in Barnet</w:t>
      </w:r>
    </w:p>
    <w:p w:rsidR="00A67211" w:rsidRDefault="00A67211" w:rsidP="00086723">
      <w:pPr>
        <w:jc w:val="both"/>
      </w:pPr>
      <w:r>
        <w:t>Recent thinking on asset based approaches in a health and wellbeing context has tended to focus on a</w:t>
      </w:r>
      <w:r w:rsidRPr="00C9784A">
        <w:rPr>
          <w:b/>
        </w:rPr>
        <w:t>sset-based community development</w:t>
      </w:r>
      <w:r w:rsidRPr="00D04997">
        <w:t xml:space="preserve"> (ABCD)</w:t>
      </w:r>
      <w:r>
        <w:t>.  This</w:t>
      </w:r>
      <w:r w:rsidRPr="00D04997">
        <w:t xml:space="preserve"> is an approach to improving outcomes for </w:t>
      </w:r>
      <w:r w:rsidR="00646045">
        <w:t>communities which build</w:t>
      </w:r>
      <w:r>
        <w:t xml:space="preserve"> on the broad </w:t>
      </w:r>
      <w:r w:rsidRPr="00D04997">
        <w:t>definition of a community asset</w:t>
      </w:r>
      <w:r>
        <w:t xml:space="preserve"> set out above</w:t>
      </w:r>
      <w:r w:rsidRPr="00D04997">
        <w:t xml:space="preserve">.  Rather than focusing on a community’s needs (or ‘deficits’), ABCD ‘starts by focusing on the skills, knowledge, resources, connections and potential within a community; and building on what is working and what it is that people care about’ (Developing the power of strong inclusive communities, Think Local Act Personal, 2014).  </w:t>
      </w:r>
      <w:r>
        <w:t xml:space="preserve">The ability to identify assets – and mobilise them, getting local people participating in their communities and the decisions which affect them – is therefore also key.  </w:t>
      </w:r>
    </w:p>
    <w:p w:rsidR="00A67211" w:rsidRDefault="00A67211" w:rsidP="00086723">
      <w:pPr>
        <w:jc w:val="both"/>
      </w:pPr>
      <w:r>
        <w:lastRenderedPageBreak/>
        <w:t xml:space="preserve">In Barnet, residents already tend to indicate that they have positive feelings about their local area.  In autumn 2014, 88% of residents indicated that they were satisfied with their local area as a place to live; significantly higher than the national average (Residents’ Perception Survey, </w:t>
      </w:r>
      <w:r w:rsidR="00DD3A76">
        <w:t>autumn</w:t>
      </w:r>
      <w:r>
        <w:t xml:space="preserve"> 2014).  This is a strong foundation for an asset based approach.</w:t>
      </w:r>
    </w:p>
    <w:p w:rsidR="00A67211" w:rsidRPr="0069369D" w:rsidRDefault="00A67211" w:rsidP="00086723">
      <w:pPr>
        <w:jc w:val="both"/>
        <w:rPr>
          <w:b/>
          <w:lang w:val="en"/>
        </w:rPr>
      </w:pPr>
      <w:r>
        <w:t xml:space="preserve">Linked to community assets is the concept of </w:t>
      </w:r>
      <w:r w:rsidRPr="004013B3">
        <w:rPr>
          <w:b/>
        </w:rPr>
        <w:t>social capital</w:t>
      </w:r>
      <w:r>
        <w:t xml:space="preserve"> - </w:t>
      </w:r>
      <w:r>
        <w:rPr>
          <w:lang w:val="en"/>
        </w:rPr>
        <w:t xml:space="preserve">‘the connections that are made between people who live in the same area or are part of the same community, and who are able to do things with and for each other. Strong </w:t>
      </w:r>
      <w:proofErr w:type="spellStart"/>
      <w:r>
        <w:rPr>
          <w:lang w:val="en"/>
        </w:rPr>
        <w:t>neighbourhoods</w:t>
      </w:r>
      <w:proofErr w:type="spellEnd"/>
      <w:r>
        <w:rPr>
          <w:lang w:val="en"/>
        </w:rPr>
        <w:t>, clubs and groups help create a sense of community, enabling people to trust each other, work together and look out for each other’ (Think Local Act Personal, 2009).  Social networks and social capital are consistently linked with better health outcomes – associated with reduced illness and death rates (</w:t>
      </w:r>
      <w:proofErr w:type="spellStart"/>
      <w:r>
        <w:rPr>
          <w:lang w:val="en"/>
        </w:rPr>
        <w:t>Berkman</w:t>
      </w:r>
      <w:proofErr w:type="spellEnd"/>
      <w:r>
        <w:rPr>
          <w:lang w:val="en"/>
        </w:rPr>
        <w:t xml:space="preserve"> &amp; </w:t>
      </w:r>
      <w:proofErr w:type="spellStart"/>
      <w:r>
        <w:rPr>
          <w:lang w:val="en"/>
        </w:rPr>
        <w:t>Kawachi</w:t>
      </w:r>
      <w:proofErr w:type="spellEnd"/>
      <w:r>
        <w:rPr>
          <w:lang w:val="en"/>
        </w:rPr>
        <w:t>, 2000), for example – and is also linked with improvements to other outcomes, such as decreases in crime (Sampson et al, 1997) and increased educational attainment (</w:t>
      </w:r>
      <w:proofErr w:type="spellStart"/>
      <w:r>
        <w:rPr>
          <w:lang w:val="en"/>
        </w:rPr>
        <w:t>Ripfa</w:t>
      </w:r>
      <w:proofErr w:type="spellEnd"/>
      <w:r>
        <w:rPr>
          <w:lang w:val="en"/>
        </w:rPr>
        <w:t xml:space="preserve">, 2012).  In Barnet, social networks are reasonably strong; 84% of residents feeling that people from different backgrounds get on well together as of spring 2014.  This is in line with the national average (Residents’ Perception Survey, </w:t>
      </w:r>
      <w:r w:rsidR="00DD3A76">
        <w:rPr>
          <w:lang w:val="en"/>
        </w:rPr>
        <w:t>spring</w:t>
      </w:r>
      <w:r>
        <w:rPr>
          <w:lang w:val="en"/>
        </w:rPr>
        <w:t xml:space="preserve"> 2014).  </w:t>
      </w:r>
    </w:p>
    <w:p w:rsidR="00A67211" w:rsidRPr="00E225CE" w:rsidRDefault="00A67211" w:rsidP="00086723">
      <w:pPr>
        <w:jc w:val="both"/>
      </w:pPr>
      <w:r w:rsidRPr="00E225CE">
        <w:rPr>
          <w:lang w:val="en"/>
        </w:rPr>
        <w:t xml:space="preserve">The level of </w:t>
      </w:r>
      <w:r w:rsidRPr="00E225CE">
        <w:rPr>
          <w:b/>
          <w:lang w:val="en"/>
        </w:rPr>
        <w:t>p</w:t>
      </w:r>
      <w:proofErr w:type="spellStart"/>
      <w:r w:rsidRPr="00E225CE">
        <w:rPr>
          <w:b/>
        </w:rPr>
        <w:t>articipation</w:t>
      </w:r>
      <w:proofErr w:type="spellEnd"/>
      <w:r w:rsidRPr="00E225CE">
        <w:rPr>
          <w:b/>
        </w:rPr>
        <w:t xml:space="preserve"> in civic life</w:t>
      </w:r>
      <w:r w:rsidR="0047721F">
        <w:t>, such as neighbourly activity,</w:t>
      </w:r>
      <w:r w:rsidRPr="00E225CE">
        <w:t xml:space="preserve"> peer to peer support, and volunteering, is also considered a community asset.  Participation has qualitative benefits – promoting wellbeing for people of all ages (New Economics Foundation, 2008) – as well as providing quantitative benefits in terms of the extra capacity contributed by individuals who are involved in voluntary activity.</w:t>
      </w:r>
    </w:p>
    <w:p w:rsidR="00A67211" w:rsidRDefault="00A67211" w:rsidP="00086723">
      <w:pPr>
        <w:tabs>
          <w:tab w:val="left" w:pos="900"/>
        </w:tabs>
        <w:jc w:val="both"/>
      </w:pPr>
      <w:r>
        <w:t xml:space="preserve">Voluntary and community activity also helps to </w:t>
      </w:r>
      <w:r w:rsidRPr="00E5474A">
        <w:rPr>
          <w:b/>
        </w:rPr>
        <w:t xml:space="preserve">manage </w:t>
      </w:r>
      <w:r>
        <w:rPr>
          <w:b/>
        </w:rPr>
        <w:t>people’s need for</w:t>
      </w:r>
      <w:r w:rsidRPr="00E5474A">
        <w:rPr>
          <w:b/>
        </w:rPr>
        <w:t xml:space="preserve"> public services</w:t>
      </w:r>
      <w:r>
        <w:t xml:space="preserve"> by preventing individuals from reaching a point where they need funded support.  Such activity can involve help with the activities of daily living (such as shopping or cooking) or of maintaining living environments (</w:t>
      </w:r>
      <w:r w:rsidR="00267895">
        <w:t>such as housework or gardening),</w:t>
      </w:r>
      <w:r>
        <w:t xml:space="preserve"> this can be carried out by organised groups or by informal social networks including friends or neighbours.  Voluntary and community groups often provide social activities which </w:t>
      </w:r>
      <w:r w:rsidRPr="00112D76">
        <w:rPr>
          <w:b/>
        </w:rPr>
        <w:t>promote inclusion and reduce isolation</w:t>
      </w:r>
      <w:r>
        <w:t xml:space="preserve">, which can also help prevent people from getting to the point where they need more intensive services.  </w:t>
      </w:r>
    </w:p>
    <w:p w:rsidR="00A67211" w:rsidRDefault="00A67211" w:rsidP="00086723">
      <w:pPr>
        <w:tabs>
          <w:tab w:val="left" w:pos="900"/>
        </w:tabs>
        <w:jc w:val="both"/>
      </w:pPr>
      <w:r>
        <w:t xml:space="preserve">Residents of Barnet perceive themselves as neighbourly – as of spring 2014, 90% of residents agreed that they help their neighbours out when needed, with 57% strongly agreeing.  The proportion of residents who agree that their neighbours help each other out when needed is slightly lower at 80%, with 44% strongly agreeing.  (Residents’ Perception Survey, </w:t>
      </w:r>
      <w:r w:rsidR="00DD3A76">
        <w:t>spring</w:t>
      </w:r>
      <w:r>
        <w:t xml:space="preserve"> 2014).  </w:t>
      </w:r>
    </w:p>
    <w:p w:rsidR="00A67211" w:rsidRPr="009150C5" w:rsidRDefault="00A67211" w:rsidP="00A67211">
      <w:pPr>
        <w:pStyle w:val="Heading2"/>
      </w:pPr>
      <w:bookmarkStart w:id="1008" w:name="_Toc431225251"/>
      <w:r w:rsidRPr="009150C5">
        <w:t xml:space="preserve">Barnet’s </w:t>
      </w:r>
      <w:r w:rsidR="006914DA">
        <w:t>Community A</w:t>
      </w:r>
      <w:r w:rsidRPr="009150C5">
        <w:t>ssets</w:t>
      </w:r>
      <w:bookmarkEnd w:id="1008"/>
    </w:p>
    <w:p w:rsidR="00A67211" w:rsidRPr="009150C5" w:rsidRDefault="00A67211" w:rsidP="00A67211">
      <w:pPr>
        <w:pStyle w:val="Heading3"/>
      </w:pPr>
      <w:r w:rsidRPr="009150C5">
        <w:t>Volunteering in Barnet</w:t>
      </w:r>
    </w:p>
    <w:p w:rsidR="00A67211" w:rsidRDefault="00A67211" w:rsidP="00086723">
      <w:pPr>
        <w:jc w:val="both"/>
      </w:pPr>
      <w:r>
        <w:t>28% of Barnet residents report that they give unpaid help to groups, clubs or organisations at least once a week or once a month, as of spring 2014.  This is comparable to the most recent national benchmarking data (the</w:t>
      </w:r>
      <w:r w:rsidR="00267895">
        <w:t xml:space="preserve"> Cabinet Office Community Life S</w:t>
      </w:r>
      <w:r>
        <w:t xml:space="preserve">urvey 2013/14), in which 27% of people reported regular formal volunteering of this kind.  Regular volunteering saw a large rise both locally and nationally in 2012/13, generally attributed to the knock-on effect of the London Olympics, and declined slightly in subsequent years.  Levels of infrequent volunteering tend to be much higher, with national data suggesting that the proportion of people who volunteer annually exceeds 40%.  </w:t>
      </w:r>
    </w:p>
    <w:p w:rsidR="00A67211" w:rsidRDefault="00A67211" w:rsidP="00086723">
      <w:pPr>
        <w:jc w:val="both"/>
      </w:pPr>
      <w:r>
        <w:lastRenderedPageBreak/>
        <w:t>The Council commissions a volunteering brokerage service, which matches potential volunteers to volunteering opportunities.  As of 2015</w:t>
      </w:r>
      <w:r w:rsidR="00267895">
        <w:t>/</w:t>
      </w:r>
      <w:r>
        <w:t>16 this was provided by Groundwork London</w:t>
      </w:r>
      <w:r>
        <w:rPr>
          <w:b/>
        </w:rPr>
        <w:t>.</w:t>
      </w:r>
      <w:r>
        <w:t xml:space="preserve">  Some specialist volunteer services run alongside this, including, in 2015/16, Active Volunteering by Disabled People, a project supporting people with disabilities to volunteer.  </w:t>
      </w:r>
    </w:p>
    <w:p w:rsidR="00A67211" w:rsidRDefault="00A67211" w:rsidP="00086723">
      <w:pPr>
        <w:jc w:val="both"/>
      </w:pPr>
      <w:r>
        <w:t xml:space="preserve">In Barnet, faith-based communities have a number of specialist volunteering structures such as the Jewish Volunteering Network, which promotes volunteering opportunities to the Jewish community.  </w:t>
      </w:r>
    </w:p>
    <w:p w:rsidR="00A67211" w:rsidRPr="00146269" w:rsidRDefault="00A67211" w:rsidP="00086723">
      <w:pPr>
        <w:jc w:val="both"/>
      </w:pPr>
      <w:r>
        <w:t xml:space="preserve">Formal volunteer brokerage services are complemented by initiatives such as </w:t>
      </w:r>
      <w:proofErr w:type="spellStart"/>
      <w:r>
        <w:t>timebanking</w:t>
      </w:r>
      <w:proofErr w:type="spellEnd"/>
      <w:r>
        <w:t xml:space="preserve">, a service which helps individual residents exchange time and skills.  In 2015/16 there were two </w:t>
      </w:r>
      <w:proofErr w:type="spellStart"/>
      <w:r>
        <w:t>Timebank</w:t>
      </w:r>
      <w:proofErr w:type="spellEnd"/>
      <w:r>
        <w:t xml:space="preserve"> networks in Barnet, one run by CommUNITY Barnet, covering Burnt Oak, Colindale, Edgware and West Hendon, and the other covering the rest of the </w:t>
      </w:r>
      <w:r w:rsidR="00037414">
        <w:t>Borough</w:t>
      </w:r>
      <w:r w:rsidR="00267895">
        <w:t xml:space="preserve">, run by </w:t>
      </w:r>
      <w:proofErr w:type="spellStart"/>
      <w:r w:rsidR="00267895">
        <w:t>Timebank</w:t>
      </w:r>
      <w:proofErr w:type="spellEnd"/>
      <w:r w:rsidR="00267895">
        <w:t xml:space="preserve"> UK. </w:t>
      </w:r>
      <w:r>
        <w:t xml:space="preserve">In its first year of operation </w:t>
      </w:r>
      <w:r w:rsidRPr="00B37EEF">
        <w:t xml:space="preserve">the </w:t>
      </w:r>
      <w:r w:rsidR="00037414">
        <w:t>Borough</w:t>
      </w:r>
      <w:r w:rsidRPr="00B37EEF">
        <w:t xml:space="preserve">-wide </w:t>
      </w:r>
      <w:proofErr w:type="spellStart"/>
      <w:r w:rsidRPr="00B37EEF">
        <w:t>Timebank</w:t>
      </w:r>
      <w:proofErr w:type="spellEnd"/>
      <w:r w:rsidRPr="00B37EEF">
        <w:t xml:space="preserve"> </w:t>
      </w:r>
      <w:r>
        <w:t xml:space="preserve">registered 138 members and exchanged 400 hours of activities.  </w:t>
      </w:r>
      <w:proofErr w:type="spellStart"/>
      <w:r>
        <w:t>Timebank</w:t>
      </w:r>
      <w:proofErr w:type="spellEnd"/>
      <w:r>
        <w:t xml:space="preserve"> runs on a hub and spoke model with the potential for other organisations to host </w:t>
      </w:r>
      <w:proofErr w:type="spellStart"/>
      <w:r>
        <w:t>timebank</w:t>
      </w:r>
      <w:proofErr w:type="spellEnd"/>
      <w:r>
        <w:t xml:space="preserve"> facilities in the future and plans to roll out an additional three hubs in the next five years.  </w:t>
      </w:r>
    </w:p>
    <w:p w:rsidR="00A67211" w:rsidRPr="009150C5" w:rsidRDefault="006914DA" w:rsidP="00086723">
      <w:pPr>
        <w:pStyle w:val="Heading3"/>
        <w:jc w:val="both"/>
      </w:pPr>
      <w:r>
        <w:t>Council-initiated VCS A</w:t>
      </w:r>
      <w:r w:rsidR="00A67211">
        <w:t>ctivity</w:t>
      </w:r>
    </w:p>
    <w:p w:rsidR="00A67211" w:rsidRDefault="00A67211" w:rsidP="00086723">
      <w:pPr>
        <w:jc w:val="both"/>
      </w:pPr>
      <w:r>
        <w:t xml:space="preserve">As well as its mechanisms for involving residents and service users in decision making, the Council commissions a number of specific community development programmes.  In 2015/16 these included a public health programme, known as Ageing Well or Altogether Better, which works with people in a number of localities across the </w:t>
      </w:r>
      <w:r w:rsidR="00037414">
        <w:t>Borough</w:t>
      </w:r>
      <w:r>
        <w:t xml:space="preserve"> to increase community capacity, reduce isolation and help older people live longer as part of their communities.  Each locality has a steering group which devises a range of activities appropriate to that community and its needs.  In 2015/16 there were four localities – Burnt Oak, East Finchley, Edgware &amp; </w:t>
      </w:r>
      <w:proofErr w:type="spellStart"/>
      <w:r>
        <w:t>Stonegrove</w:t>
      </w:r>
      <w:proofErr w:type="spellEnd"/>
      <w:r>
        <w:t xml:space="preserve"> and High Barnet &amp; Underhill.</w:t>
      </w:r>
    </w:p>
    <w:p w:rsidR="00A67211" w:rsidRPr="00146269" w:rsidRDefault="00A67211" w:rsidP="00086723">
      <w:pPr>
        <w:jc w:val="both"/>
      </w:pPr>
      <w:r>
        <w:t>There were also a number of small-scale place-based schemes – six ‘Adopt-a-Place’ schemes (as of November 2014) in which volunteers were working with the Council to maintain a local environmental feature – for example, litter picking in a street, or watering a flowerbed.</w:t>
      </w:r>
    </w:p>
    <w:p w:rsidR="00A67211" w:rsidRPr="009150C5" w:rsidRDefault="006914DA" w:rsidP="00086723">
      <w:pPr>
        <w:pStyle w:val="Heading3"/>
        <w:jc w:val="both"/>
      </w:pPr>
      <w:r>
        <w:t>The B</w:t>
      </w:r>
      <w:r w:rsidR="00A67211">
        <w:t>roader VCS in Barnet</w:t>
      </w:r>
    </w:p>
    <w:p w:rsidR="00A67211" w:rsidRDefault="00A67211" w:rsidP="00086723">
      <w:pPr>
        <w:jc w:val="both"/>
      </w:pPr>
      <w:r>
        <w:t>There is also a broad range of voluntary and community organisations operating in Barnet and which have come into being independently of the Council.   The largest available dataset is drawn from the Charities Commission register of charities, and suggests that there are 1</w:t>
      </w:r>
      <w:r w:rsidR="00267895">
        <w:t>,</w:t>
      </w:r>
      <w:r>
        <w:t xml:space="preserve">235 registered charities operating in Barnet.  638 (51.7%) are based in or near Barnet and 597 (48.3%) come from outside the </w:t>
      </w:r>
      <w:r w:rsidR="00037414">
        <w:t>Borough</w:t>
      </w:r>
      <w:r>
        <w:rPr>
          <w:rStyle w:val="FootnoteReference"/>
          <w:b/>
        </w:rPr>
        <w:footnoteReference w:id="164"/>
      </w:r>
      <w:r w:rsidR="00267895">
        <w:t>.</w:t>
      </w:r>
      <w:r>
        <w:t xml:space="preserve">   Local and national </w:t>
      </w:r>
      <w:r w:rsidR="009C63DF">
        <w:t>research estimates</w:t>
      </w:r>
      <w:r>
        <w:t xml:space="preserve"> the number of less </w:t>
      </w:r>
      <w:r w:rsidR="00267895">
        <w:t>formal,</w:t>
      </w:r>
      <w:r>
        <w:t xml:space="preserve"> ‘below the radar’</w:t>
      </w:r>
      <w:r w:rsidR="00267895">
        <w:t>,</w:t>
      </w:r>
      <w:r>
        <w:t xml:space="preserve"> organisations may be much larger.  These are organisations such as grassroots or neighbourhood </w:t>
      </w:r>
      <w:r w:rsidR="009C63DF">
        <w:t>groups,</w:t>
      </w:r>
      <w:r>
        <w:t xml:space="preserve"> including residents’ and community associations.  In 2015, local research by the Young Foundation found over 300 different ‘below the radar’ groups operating within one square mile of Golders Green tube station (Young Foundation, 2015). National research estimates 3.66 ‘below the radar’ </w:t>
      </w:r>
      <w:r w:rsidR="009C63DF">
        <w:t>organisations per</w:t>
      </w:r>
      <w:r>
        <w:t xml:space="preserve"> 1,000 population (NCVO, 2010, cited in CommUNITY Barnet, 2013).</w:t>
      </w:r>
    </w:p>
    <w:p w:rsidR="00A67211" w:rsidRDefault="00A67211" w:rsidP="00086723">
      <w:pPr>
        <w:jc w:val="both"/>
      </w:pPr>
      <w:r>
        <w:t xml:space="preserve">The registered charities that operate in Barnet serve different client groups.  Table </w:t>
      </w:r>
      <w:r w:rsidR="00E04DAC">
        <w:t>11</w:t>
      </w:r>
      <w:r w:rsidR="00E374FD">
        <w:t>-</w:t>
      </w:r>
      <w:r>
        <w:t xml:space="preserve">1 shows the breakdown of client groups.  (Each charity can select more than one client group; percentages are </w:t>
      </w:r>
      <w:r>
        <w:lastRenderedPageBreak/>
        <w:t xml:space="preserve">given to show the proportion of the total number of charities in Barnet which serves this client group.)    </w:t>
      </w:r>
    </w:p>
    <w:p w:rsidR="00A67211" w:rsidRPr="009E4945" w:rsidRDefault="00E374FD" w:rsidP="00E374FD">
      <w:pPr>
        <w:pStyle w:val="Caption"/>
        <w:rPr>
          <w:b w:val="0"/>
          <w:i/>
        </w:rPr>
      </w:pPr>
      <w:r>
        <w:t xml:space="preserve">Table </w:t>
      </w:r>
      <w:fldSimple w:instr=" STYLEREF 1 \s ">
        <w:r w:rsidR="001663C2">
          <w:rPr>
            <w:noProof/>
          </w:rPr>
          <w:t>11</w:t>
        </w:r>
      </w:fldSimple>
      <w:r w:rsidR="000C02C2">
        <w:noBreakHyphen/>
      </w:r>
      <w:fldSimple w:instr=" SEQ Table \* ARABIC \s 1 ">
        <w:r w:rsidR="001663C2">
          <w:rPr>
            <w:noProof/>
          </w:rPr>
          <w:t>1</w:t>
        </w:r>
      </w:fldSimple>
      <w:r w:rsidR="00A67211" w:rsidRPr="00E374FD">
        <w:t>: Client groups served by charities operating in Barnet</w:t>
      </w:r>
      <w:r w:rsidR="00A67211">
        <w:rPr>
          <w:i/>
        </w:rPr>
        <w:t xml:space="preserve"> </w:t>
      </w:r>
    </w:p>
    <w:tbl>
      <w:tblPr>
        <w:tblW w:w="7840" w:type="dxa"/>
        <w:jc w:val="center"/>
        <w:tblInd w:w="93" w:type="dxa"/>
        <w:tblLook w:val="04A0" w:firstRow="1" w:lastRow="0" w:firstColumn="1" w:lastColumn="0" w:noHBand="0" w:noVBand="1"/>
      </w:tblPr>
      <w:tblGrid>
        <w:gridCol w:w="4268"/>
        <w:gridCol w:w="1984"/>
        <w:gridCol w:w="1588"/>
      </w:tblGrid>
      <w:tr w:rsidR="00A67211" w:rsidRPr="003E5BA6" w:rsidTr="00086723">
        <w:trPr>
          <w:jc w:val="center"/>
        </w:trPr>
        <w:tc>
          <w:tcPr>
            <w:tcW w:w="4268" w:type="dxa"/>
            <w:tcBorders>
              <w:top w:val="single" w:sz="4" w:space="0" w:color="auto"/>
              <w:left w:val="single" w:sz="4" w:space="0" w:color="auto"/>
              <w:bottom w:val="single" w:sz="8" w:space="0" w:color="auto"/>
              <w:right w:val="single" w:sz="4" w:space="0" w:color="auto"/>
            </w:tcBorders>
            <w:shd w:val="clear" w:color="000000" w:fill="BFBFBF"/>
            <w:noWrap/>
            <w:vAlign w:val="bottom"/>
            <w:hideMark/>
          </w:tcPr>
          <w:p w:rsidR="00A67211" w:rsidRPr="003E5BA6" w:rsidRDefault="00A67211" w:rsidP="009C2F03">
            <w:pPr>
              <w:spacing w:after="0" w:line="240" w:lineRule="auto"/>
              <w:jc w:val="center"/>
              <w:rPr>
                <w:rFonts w:ascii="Calibri" w:eastAsia="Times New Roman" w:hAnsi="Calibri" w:cs="Times New Roman"/>
                <w:b/>
                <w:bCs/>
                <w:color w:val="000000"/>
                <w:lang w:eastAsia="en-GB"/>
              </w:rPr>
            </w:pPr>
            <w:r w:rsidRPr="003E5BA6">
              <w:rPr>
                <w:rFonts w:ascii="Calibri" w:eastAsia="Times New Roman" w:hAnsi="Calibri" w:cs="Times New Roman"/>
                <w:b/>
                <w:bCs/>
                <w:color w:val="000000"/>
                <w:lang w:eastAsia="en-GB"/>
              </w:rPr>
              <w:t>Service Users</w:t>
            </w:r>
          </w:p>
        </w:tc>
        <w:tc>
          <w:tcPr>
            <w:tcW w:w="1984" w:type="dxa"/>
            <w:tcBorders>
              <w:top w:val="single" w:sz="4" w:space="0" w:color="auto"/>
              <w:left w:val="nil"/>
              <w:bottom w:val="single" w:sz="8" w:space="0" w:color="auto"/>
              <w:right w:val="single" w:sz="8" w:space="0" w:color="auto"/>
            </w:tcBorders>
            <w:shd w:val="clear" w:color="000000" w:fill="BFBFBF"/>
            <w:noWrap/>
            <w:vAlign w:val="bottom"/>
            <w:hideMark/>
          </w:tcPr>
          <w:p w:rsidR="00A67211" w:rsidRPr="003E5BA6" w:rsidRDefault="00A67211" w:rsidP="009C2F03">
            <w:pPr>
              <w:spacing w:after="0" w:line="240" w:lineRule="auto"/>
              <w:jc w:val="center"/>
              <w:rPr>
                <w:rFonts w:ascii="Calibri" w:eastAsia="Times New Roman" w:hAnsi="Calibri" w:cs="Times New Roman"/>
                <w:b/>
                <w:bCs/>
                <w:color w:val="000000"/>
                <w:lang w:eastAsia="en-GB"/>
              </w:rPr>
            </w:pPr>
            <w:r w:rsidRPr="003E5BA6">
              <w:rPr>
                <w:rFonts w:ascii="Calibri" w:eastAsia="Times New Roman" w:hAnsi="Calibri" w:cs="Times New Roman"/>
                <w:b/>
                <w:bCs/>
                <w:color w:val="000000"/>
                <w:lang w:eastAsia="en-GB"/>
              </w:rPr>
              <w:t>Number</w:t>
            </w:r>
          </w:p>
        </w:tc>
        <w:tc>
          <w:tcPr>
            <w:tcW w:w="1588" w:type="dxa"/>
            <w:tcBorders>
              <w:top w:val="single" w:sz="4" w:space="0" w:color="auto"/>
              <w:left w:val="single" w:sz="4" w:space="0" w:color="auto"/>
              <w:bottom w:val="single" w:sz="8" w:space="0" w:color="auto"/>
              <w:right w:val="single" w:sz="8" w:space="0" w:color="auto"/>
            </w:tcBorders>
            <w:shd w:val="clear" w:color="000000" w:fill="BFBFBF"/>
            <w:noWrap/>
            <w:vAlign w:val="bottom"/>
            <w:hideMark/>
          </w:tcPr>
          <w:p w:rsidR="00A67211" w:rsidRPr="003E5BA6" w:rsidRDefault="00A67211" w:rsidP="009C2F03">
            <w:pPr>
              <w:spacing w:after="0" w:line="240" w:lineRule="auto"/>
              <w:jc w:val="center"/>
              <w:rPr>
                <w:rFonts w:ascii="Calibri" w:eastAsia="Times New Roman" w:hAnsi="Calibri" w:cs="Times New Roman"/>
                <w:b/>
                <w:bCs/>
                <w:color w:val="000000"/>
                <w:lang w:eastAsia="en-GB"/>
              </w:rPr>
            </w:pPr>
            <w:r w:rsidRPr="003E5BA6">
              <w:rPr>
                <w:rFonts w:ascii="Calibri" w:eastAsia="Times New Roman" w:hAnsi="Calibri" w:cs="Times New Roman"/>
                <w:b/>
                <w:bCs/>
                <w:color w:val="000000"/>
                <w:lang w:eastAsia="en-GB"/>
              </w:rPr>
              <w:t>Percentage</w:t>
            </w:r>
          </w:p>
        </w:tc>
      </w:tr>
      <w:tr w:rsidR="00A67211" w:rsidRPr="003E5BA6" w:rsidTr="00086723">
        <w:trPr>
          <w:jc w:val="center"/>
        </w:trPr>
        <w:tc>
          <w:tcPr>
            <w:tcW w:w="4268" w:type="dxa"/>
            <w:tcBorders>
              <w:top w:val="nil"/>
              <w:left w:val="single" w:sz="4" w:space="0" w:color="auto"/>
              <w:bottom w:val="single" w:sz="4" w:space="0" w:color="auto"/>
              <w:right w:val="single" w:sz="4" w:space="0" w:color="auto"/>
            </w:tcBorders>
            <w:shd w:val="clear" w:color="000000" w:fill="FFFFFF"/>
            <w:vAlign w:val="center"/>
            <w:hideMark/>
          </w:tcPr>
          <w:p w:rsidR="00A67211" w:rsidRPr="003E5BA6" w:rsidRDefault="00A67211" w:rsidP="009C2F03">
            <w:pPr>
              <w:spacing w:after="0" w:line="240" w:lineRule="auto"/>
              <w:rPr>
                <w:rFonts w:ascii="Calibri" w:eastAsia="Times New Roman" w:hAnsi="Calibri" w:cs="Times New Roman"/>
                <w:lang w:eastAsia="en-GB"/>
              </w:rPr>
            </w:pPr>
            <w:r w:rsidRPr="003E5BA6">
              <w:rPr>
                <w:rFonts w:ascii="Calibri" w:eastAsia="Times New Roman" w:hAnsi="Calibri" w:cs="Times New Roman"/>
                <w:lang w:eastAsia="en-GB"/>
              </w:rPr>
              <w:t>Children / Young People</w:t>
            </w:r>
          </w:p>
        </w:tc>
        <w:tc>
          <w:tcPr>
            <w:tcW w:w="1984" w:type="dxa"/>
            <w:tcBorders>
              <w:top w:val="nil"/>
              <w:left w:val="nil"/>
              <w:bottom w:val="single" w:sz="4" w:space="0" w:color="auto"/>
              <w:right w:val="single" w:sz="8" w:space="0" w:color="auto"/>
            </w:tcBorders>
            <w:shd w:val="clear" w:color="auto" w:fill="auto"/>
            <w:noWrap/>
            <w:vAlign w:val="center"/>
            <w:hideMark/>
          </w:tcPr>
          <w:p w:rsidR="00A67211" w:rsidRPr="003E5BA6" w:rsidRDefault="00A67211" w:rsidP="009C2F03">
            <w:pPr>
              <w:spacing w:after="0" w:line="240" w:lineRule="auto"/>
              <w:jc w:val="center"/>
              <w:rPr>
                <w:rFonts w:ascii="Calibri" w:eastAsia="Times New Roman" w:hAnsi="Calibri" w:cs="Times New Roman"/>
                <w:color w:val="000000"/>
                <w:lang w:eastAsia="en-GB"/>
              </w:rPr>
            </w:pPr>
            <w:r w:rsidRPr="003E5BA6">
              <w:rPr>
                <w:rFonts w:ascii="Calibri" w:eastAsia="Times New Roman" w:hAnsi="Calibri" w:cs="Times New Roman"/>
                <w:color w:val="000000"/>
                <w:lang w:eastAsia="en-GB"/>
              </w:rPr>
              <w:t>647</w:t>
            </w:r>
          </w:p>
        </w:tc>
        <w:tc>
          <w:tcPr>
            <w:tcW w:w="1588" w:type="dxa"/>
            <w:tcBorders>
              <w:top w:val="nil"/>
              <w:left w:val="single" w:sz="4" w:space="0" w:color="auto"/>
              <w:bottom w:val="single" w:sz="4" w:space="0" w:color="auto"/>
              <w:right w:val="single" w:sz="8" w:space="0" w:color="auto"/>
            </w:tcBorders>
            <w:shd w:val="clear" w:color="auto" w:fill="auto"/>
            <w:noWrap/>
            <w:vAlign w:val="center"/>
            <w:hideMark/>
          </w:tcPr>
          <w:p w:rsidR="00A67211" w:rsidRPr="003E5BA6" w:rsidRDefault="00A67211" w:rsidP="009C2F03">
            <w:pPr>
              <w:spacing w:after="0" w:line="240" w:lineRule="auto"/>
              <w:jc w:val="center"/>
              <w:rPr>
                <w:rFonts w:ascii="Calibri" w:eastAsia="Times New Roman" w:hAnsi="Calibri" w:cs="Times New Roman"/>
                <w:color w:val="000000"/>
                <w:lang w:eastAsia="en-GB"/>
              </w:rPr>
            </w:pPr>
            <w:r w:rsidRPr="003E5BA6">
              <w:rPr>
                <w:rFonts w:ascii="Calibri" w:eastAsia="Times New Roman" w:hAnsi="Calibri" w:cs="Times New Roman"/>
                <w:color w:val="000000"/>
                <w:lang w:eastAsia="en-GB"/>
              </w:rPr>
              <w:t>52.4%</w:t>
            </w:r>
          </w:p>
        </w:tc>
      </w:tr>
      <w:tr w:rsidR="00A67211" w:rsidRPr="003E5BA6" w:rsidTr="00086723">
        <w:trPr>
          <w:jc w:val="center"/>
        </w:trPr>
        <w:tc>
          <w:tcPr>
            <w:tcW w:w="4268" w:type="dxa"/>
            <w:tcBorders>
              <w:top w:val="nil"/>
              <w:left w:val="single" w:sz="4" w:space="0" w:color="auto"/>
              <w:bottom w:val="single" w:sz="4" w:space="0" w:color="auto"/>
              <w:right w:val="single" w:sz="4" w:space="0" w:color="auto"/>
            </w:tcBorders>
            <w:shd w:val="clear" w:color="000000" w:fill="FFFFFF"/>
            <w:vAlign w:val="center"/>
            <w:hideMark/>
          </w:tcPr>
          <w:p w:rsidR="00A67211" w:rsidRPr="003E5BA6" w:rsidRDefault="00A67211" w:rsidP="009C2F03">
            <w:pPr>
              <w:spacing w:after="0" w:line="240" w:lineRule="auto"/>
              <w:rPr>
                <w:rFonts w:ascii="Calibri" w:eastAsia="Times New Roman" w:hAnsi="Calibri" w:cs="Times New Roman"/>
                <w:lang w:eastAsia="en-GB"/>
              </w:rPr>
            </w:pPr>
            <w:r w:rsidRPr="003E5BA6">
              <w:rPr>
                <w:rFonts w:ascii="Calibri" w:eastAsia="Times New Roman" w:hAnsi="Calibri" w:cs="Times New Roman"/>
                <w:lang w:eastAsia="en-GB"/>
              </w:rPr>
              <w:t>Elderly / Old People</w:t>
            </w:r>
          </w:p>
        </w:tc>
        <w:tc>
          <w:tcPr>
            <w:tcW w:w="1984" w:type="dxa"/>
            <w:tcBorders>
              <w:top w:val="nil"/>
              <w:left w:val="nil"/>
              <w:bottom w:val="single" w:sz="4" w:space="0" w:color="auto"/>
              <w:right w:val="single" w:sz="8" w:space="0" w:color="auto"/>
            </w:tcBorders>
            <w:shd w:val="clear" w:color="auto" w:fill="auto"/>
            <w:noWrap/>
            <w:vAlign w:val="center"/>
            <w:hideMark/>
          </w:tcPr>
          <w:p w:rsidR="00A67211" w:rsidRPr="003E5BA6" w:rsidRDefault="00A67211" w:rsidP="009C2F03">
            <w:pPr>
              <w:spacing w:after="0" w:line="240" w:lineRule="auto"/>
              <w:jc w:val="center"/>
              <w:rPr>
                <w:rFonts w:ascii="Calibri" w:eastAsia="Times New Roman" w:hAnsi="Calibri" w:cs="Times New Roman"/>
                <w:color w:val="000000"/>
                <w:lang w:eastAsia="en-GB"/>
              </w:rPr>
            </w:pPr>
            <w:r w:rsidRPr="003E5BA6">
              <w:rPr>
                <w:rFonts w:ascii="Calibri" w:eastAsia="Times New Roman" w:hAnsi="Calibri" w:cs="Times New Roman"/>
                <w:color w:val="000000"/>
                <w:lang w:eastAsia="en-GB"/>
              </w:rPr>
              <w:t>337</w:t>
            </w:r>
          </w:p>
        </w:tc>
        <w:tc>
          <w:tcPr>
            <w:tcW w:w="1588" w:type="dxa"/>
            <w:tcBorders>
              <w:top w:val="nil"/>
              <w:left w:val="single" w:sz="4" w:space="0" w:color="auto"/>
              <w:bottom w:val="single" w:sz="4" w:space="0" w:color="auto"/>
              <w:right w:val="single" w:sz="8" w:space="0" w:color="auto"/>
            </w:tcBorders>
            <w:shd w:val="clear" w:color="auto" w:fill="auto"/>
            <w:noWrap/>
            <w:vAlign w:val="center"/>
            <w:hideMark/>
          </w:tcPr>
          <w:p w:rsidR="00A67211" w:rsidRPr="003E5BA6" w:rsidRDefault="00A67211" w:rsidP="009C2F03">
            <w:pPr>
              <w:spacing w:after="0" w:line="240" w:lineRule="auto"/>
              <w:jc w:val="center"/>
              <w:rPr>
                <w:rFonts w:ascii="Calibri" w:eastAsia="Times New Roman" w:hAnsi="Calibri" w:cs="Times New Roman"/>
                <w:color w:val="000000"/>
                <w:lang w:eastAsia="en-GB"/>
              </w:rPr>
            </w:pPr>
            <w:r w:rsidRPr="003E5BA6">
              <w:rPr>
                <w:rFonts w:ascii="Calibri" w:eastAsia="Times New Roman" w:hAnsi="Calibri" w:cs="Times New Roman"/>
                <w:color w:val="000000"/>
                <w:lang w:eastAsia="en-GB"/>
              </w:rPr>
              <w:t>27.3%</w:t>
            </w:r>
          </w:p>
        </w:tc>
      </w:tr>
      <w:tr w:rsidR="00A67211" w:rsidRPr="003E5BA6" w:rsidTr="00086723">
        <w:trPr>
          <w:jc w:val="center"/>
        </w:trPr>
        <w:tc>
          <w:tcPr>
            <w:tcW w:w="4268" w:type="dxa"/>
            <w:tcBorders>
              <w:top w:val="nil"/>
              <w:left w:val="single" w:sz="4" w:space="0" w:color="auto"/>
              <w:bottom w:val="single" w:sz="4" w:space="0" w:color="auto"/>
              <w:right w:val="single" w:sz="4" w:space="0" w:color="auto"/>
            </w:tcBorders>
            <w:shd w:val="clear" w:color="000000" w:fill="FFFFFF"/>
            <w:vAlign w:val="center"/>
            <w:hideMark/>
          </w:tcPr>
          <w:p w:rsidR="00A67211" w:rsidRPr="003E5BA6" w:rsidRDefault="00A67211" w:rsidP="009C2F03">
            <w:pPr>
              <w:spacing w:after="0" w:line="240" w:lineRule="auto"/>
              <w:rPr>
                <w:rFonts w:ascii="Calibri" w:eastAsia="Times New Roman" w:hAnsi="Calibri" w:cs="Times New Roman"/>
                <w:lang w:eastAsia="en-GB"/>
              </w:rPr>
            </w:pPr>
            <w:r w:rsidRPr="003E5BA6">
              <w:rPr>
                <w:rFonts w:ascii="Calibri" w:eastAsia="Times New Roman" w:hAnsi="Calibri" w:cs="Times New Roman"/>
                <w:lang w:eastAsia="en-GB"/>
              </w:rPr>
              <w:t>People With Disabilities</w:t>
            </w:r>
          </w:p>
        </w:tc>
        <w:tc>
          <w:tcPr>
            <w:tcW w:w="1984" w:type="dxa"/>
            <w:tcBorders>
              <w:top w:val="nil"/>
              <w:left w:val="nil"/>
              <w:bottom w:val="single" w:sz="4" w:space="0" w:color="auto"/>
              <w:right w:val="single" w:sz="8" w:space="0" w:color="auto"/>
            </w:tcBorders>
            <w:shd w:val="clear" w:color="auto" w:fill="auto"/>
            <w:noWrap/>
            <w:vAlign w:val="center"/>
            <w:hideMark/>
          </w:tcPr>
          <w:p w:rsidR="00A67211" w:rsidRPr="003E5BA6" w:rsidRDefault="00A67211" w:rsidP="009C2F03">
            <w:pPr>
              <w:spacing w:after="0" w:line="240" w:lineRule="auto"/>
              <w:jc w:val="center"/>
              <w:rPr>
                <w:rFonts w:ascii="Calibri" w:eastAsia="Times New Roman" w:hAnsi="Calibri" w:cs="Times New Roman"/>
                <w:color w:val="000000"/>
                <w:lang w:eastAsia="en-GB"/>
              </w:rPr>
            </w:pPr>
            <w:r w:rsidRPr="003E5BA6">
              <w:rPr>
                <w:rFonts w:ascii="Calibri" w:eastAsia="Times New Roman" w:hAnsi="Calibri" w:cs="Times New Roman"/>
                <w:color w:val="000000"/>
                <w:lang w:eastAsia="en-GB"/>
              </w:rPr>
              <w:t>353</w:t>
            </w:r>
          </w:p>
        </w:tc>
        <w:tc>
          <w:tcPr>
            <w:tcW w:w="1588" w:type="dxa"/>
            <w:tcBorders>
              <w:top w:val="nil"/>
              <w:left w:val="single" w:sz="4" w:space="0" w:color="auto"/>
              <w:bottom w:val="single" w:sz="4" w:space="0" w:color="auto"/>
              <w:right w:val="single" w:sz="8" w:space="0" w:color="auto"/>
            </w:tcBorders>
            <w:shd w:val="clear" w:color="auto" w:fill="auto"/>
            <w:noWrap/>
            <w:vAlign w:val="center"/>
            <w:hideMark/>
          </w:tcPr>
          <w:p w:rsidR="00A67211" w:rsidRPr="003E5BA6" w:rsidRDefault="00A67211" w:rsidP="009C2F03">
            <w:pPr>
              <w:spacing w:after="0" w:line="240" w:lineRule="auto"/>
              <w:jc w:val="center"/>
              <w:rPr>
                <w:rFonts w:ascii="Calibri" w:eastAsia="Times New Roman" w:hAnsi="Calibri" w:cs="Times New Roman"/>
                <w:color w:val="000000"/>
                <w:lang w:eastAsia="en-GB"/>
              </w:rPr>
            </w:pPr>
            <w:r w:rsidRPr="003E5BA6">
              <w:rPr>
                <w:rFonts w:ascii="Calibri" w:eastAsia="Times New Roman" w:hAnsi="Calibri" w:cs="Times New Roman"/>
                <w:color w:val="000000"/>
                <w:lang w:eastAsia="en-GB"/>
              </w:rPr>
              <w:t>28.6%</w:t>
            </w:r>
          </w:p>
        </w:tc>
      </w:tr>
      <w:tr w:rsidR="00A67211" w:rsidRPr="003E5BA6" w:rsidTr="00086723">
        <w:trPr>
          <w:jc w:val="center"/>
        </w:trPr>
        <w:tc>
          <w:tcPr>
            <w:tcW w:w="4268" w:type="dxa"/>
            <w:tcBorders>
              <w:top w:val="nil"/>
              <w:left w:val="single" w:sz="4" w:space="0" w:color="auto"/>
              <w:bottom w:val="single" w:sz="4" w:space="0" w:color="auto"/>
              <w:right w:val="single" w:sz="4" w:space="0" w:color="auto"/>
            </w:tcBorders>
            <w:shd w:val="clear" w:color="000000" w:fill="FFFFFF"/>
            <w:vAlign w:val="center"/>
            <w:hideMark/>
          </w:tcPr>
          <w:p w:rsidR="00A67211" w:rsidRPr="003E5BA6" w:rsidRDefault="00A67211" w:rsidP="009C2F03">
            <w:pPr>
              <w:spacing w:after="0" w:line="240" w:lineRule="auto"/>
              <w:rPr>
                <w:rFonts w:ascii="Calibri" w:eastAsia="Times New Roman" w:hAnsi="Calibri" w:cs="Times New Roman"/>
                <w:lang w:eastAsia="en-GB"/>
              </w:rPr>
            </w:pPr>
            <w:r w:rsidRPr="003E5BA6">
              <w:rPr>
                <w:rFonts w:ascii="Calibri" w:eastAsia="Times New Roman" w:hAnsi="Calibri" w:cs="Times New Roman"/>
                <w:lang w:eastAsia="en-GB"/>
              </w:rPr>
              <w:t>People of a Particular Ethnic or Racial Origin</w:t>
            </w:r>
          </w:p>
        </w:tc>
        <w:tc>
          <w:tcPr>
            <w:tcW w:w="1984" w:type="dxa"/>
            <w:tcBorders>
              <w:top w:val="nil"/>
              <w:left w:val="nil"/>
              <w:bottom w:val="single" w:sz="4" w:space="0" w:color="auto"/>
              <w:right w:val="single" w:sz="8" w:space="0" w:color="auto"/>
            </w:tcBorders>
            <w:shd w:val="clear" w:color="auto" w:fill="auto"/>
            <w:noWrap/>
            <w:vAlign w:val="center"/>
            <w:hideMark/>
          </w:tcPr>
          <w:p w:rsidR="00A67211" w:rsidRPr="003E5BA6" w:rsidRDefault="00A67211" w:rsidP="009C2F03">
            <w:pPr>
              <w:spacing w:after="0" w:line="240" w:lineRule="auto"/>
              <w:jc w:val="center"/>
              <w:rPr>
                <w:rFonts w:ascii="Calibri" w:eastAsia="Times New Roman" w:hAnsi="Calibri" w:cs="Times New Roman"/>
                <w:color w:val="000000"/>
                <w:lang w:eastAsia="en-GB"/>
              </w:rPr>
            </w:pPr>
            <w:r w:rsidRPr="003E5BA6">
              <w:rPr>
                <w:rFonts w:ascii="Calibri" w:eastAsia="Times New Roman" w:hAnsi="Calibri" w:cs="Times New Roman"/>
                <w:color w:val="000000"/>
                <w:lang w:eastAsia="en-GB"/>
              </w:rPr>
              <w:t>280</w:t>
            </w:r>
          </w:p>
        </w:tc>
        <w:tc>
          <w:tcPr>
            <w:tcW w:w="1588" w:type="dxa"/>
            <w:tcBorders>
              <w:top w:val="nil"/>
              <w:left w:val="single" w:sz="4" w:space="0" w:color="auto"/>
              <w:bottom w:val="single" w:sz="4" w:space="0" w:color="auto"/>
              <w:right w:val="single" w:sz="8" w:space="0" w:color="auto"/>
            </w:tcBorders>
            <w:shd w:val="clear" w:color="auto" w:fill="auto"/>
            <w:noWrap/>
            <w:vAlign w:val="center"/>
            <w:hideMark/>
          </w:tcPr>
          <w:p w:rsidR="00A67211" w:rsidRPr="003E5BA6" w:rsidRDefault="00A67211" w:rsidP="009C2F03">
            <w:pPr>
              <w:spacing w:after="0" w:line="240" w:lineRule="auto"/>
              <w:jc w:val="center"/>
              <w:rPr>
                <w:rFonts w:ascii="Calibri" w:eastAsia="Times New Roman" w:hAnsi="Calibri" w:cs="Times New Roman"/>
                <w:color w:val="000000"/>
                <w:lang w:eastAsia="en-GB"/>
              </w:rPr>
            </w:pPr>
            <w:r w:rsidRPr="003E5BA6">
              <w:rPr>
                <w:rFonts w:ascii="Calibri" w:eastAsia="Times New Roman" w:hAnsi="Calibri" w:cs="Times New Roman"/>
                <w:color w:val="000000"/>
                <w:lang w:eastAsia="en-GB"/>
              </w:rPr>
              <w:t>22.7%</w:t>
            </w:r>
          </w:p>
        </w:tc>
      </w:tr>
      <w:tr w:rsidR="00A67211" w:rsidRPr="003E5BA6" w:rsidTr="00086723">
        <w:trPr>
          <w:jc w:val="center"/>
        </w:trPr>
        <w:tc>
          <w:tcPr>
            <w:tcW w:w="4268" w:type="dxa"/>
            <w:tcBorders>
              <w:top w:val="nil"/>
              <w:left w:val="single" w:sz="4" w:space="0" w:color="auto"/>
              <w:bottom w:val="single" w:sz="4" w:space="0" w:color="auto"/>
              <w:right w:val="single" w:sz="4" w:space="0" w:color="auto"/>
            </w:tcBorders>
            <w:shd w:val="clear" w:color="000000" w:fill="FFFFFF"/>
            <w:vAlign w:val="center"/>
            <w:hideMark/>
          </w:tcPr>
          <w:p w:rsidR="00A67211" w:rsidRPr="003E5BA6" w:rsidRDefault="00A67211" w:rsidP="009C2F03">
            <w:pPr>
              <w:spacing w:after="0" w:line="240" w:lineRule="auto"/>
              <w:rPr>
                <w:rFonts w:ascii="Calibri" w:eastAsia="Times New Roman" w:hAnsi="Calibri" w:cs="Times New Roman"/>
                <w:lang w:eastAsia="en-GB"/>
              </w:rPr>
            </w:pPr>
            <w:r w:rsidRPr="003E5BA6">
              <w:rPr>
                <w:rFonts w:ascii="Calibri" w:eastAsia="Times New Roman" w:hAnsi="Calibri" w:cs="Times New Roman"/>
                <w:lang w:eastAsia="en-GB"/>
              </w:rPr>
              <w:t>Other Charities or Voluntary Bodies</w:t>
            </w:r>
          </w:p>
        </w:tc>
        <w:tc>
          <w:tcPr>
            <w:tcW w:w="1984" w:type="dxa"/>
            <w:tcBorders>
              <w:top w:val="nil"/>
              <w:left w:val="nil"/>
              <w:bottom w:val="single" w:sz="4" w:space="0" w:color="auto"/>
              <w:right w:val="single" w:sz="8" w:space="0" w:color="auto"/>
            </w:tcBorders>
            <w:shd w:val="clear" w:color="auto" w:fill="auto"/>
            <w:noWrap/>
            <w:vAlign w:val="center"/>
            <w:hideMark/>
          </w:tcPr>
          <w:p w:rsidR="00A67211" w:rsidRPr="003E5BA6" w:rsidRDefault="00A67211" w:rsidP="009C2F03">
            <w:pPr>
              <w:spacing w:after="0" w:line="240" w:lineRule="auto"/>
              <w:jc w:val="center"/>
              <w:rPr>
                <w:rFonts w:ascii="Calibri" w:eastAsia="Times New Roman" w:hAnsi="Calibri" w:cs="Times New Roman"/>
                <w:color w:val="000000"/>
                <w:lang w:eastAsia="en-GB"/>
              </w:rPr>
            </w:pPr>
            <w:r w:rsidRPr="003E5BA6">
              <w:rPr>
                <w:rFonts w:ascii="Calibri" w:eastAsia="Times New Roman" w:hAnsi="Calibri" w:cs="Times New Roman"/>
                <w:color w:val="000000"/>
                <w:lang w:eastAsia="en-GB"/>
              </w:rPr>
              <w:t>267</w:t>
            </w:r>
          </w:p>
        </w:tc>
        <w:tc>
          <w:tcPr>
            <w:tcW w:w="1588" w:type="dxa"/>
            <w:tcBorders>
              <w:top w:val="nil"/>
              <w:left w:val="single" w:sz="4" w:space="0" w:color="auto"/>
              <w:bottom w:val="single" w:sz="4" w:space="0" w:color="auto"/>
              <w:right w:val="single" w:sz="8" w:space="0" w:color="auto"/>
            </w:tcBorders>
            <w:shd w:val="clear" w:color="auto" w:fill="auto"/>
            <w:noWrap/>
            <w:vAlign w:val="center"/>
            <w:hideMark/>
          </w:tcPr>
          <w:p w:rsidR="00A67211" w:rsidRPr="003E5BA6" w:rsidRDefault="00A67211" w:rsidP="009C2F03">
            <w:pPr>
              <w:spacing w:after="0" w:line="240" w:lineRule="auto"/>
              <w:jc w:val="center"/>
              <w:rPr>
                <w:rFonts w:ascii="Calibri" w:eastAsia="Times New Roman" w:hAnsi="Calibri" w:cs="Times New Roman"/>
                <w:color w:val="000000"/>
                <w:lang w:eastAsia="en-GB"/>
              </w:rPr>
            </w:pPr>
            <w:r w:rsidRPr="003E5BA6">
              <w:rPr>
                <w:rFonts w:ascii="Calibri" w:eastAsia="Times New Roman" w:hAnsi="Calibri" w:cs="Times New Roman"/>
                <w:color w:val="000000"/>
                <w:lang w:eastAsia="en-GB"/>
              </w:rPr>
              <w:t>21.6%</w:t>
            </w:r>
          </w:p>
        </w:tc>
      </w:tr>
      <w:tr w:rsidR="00A67211" w:rsidRPr="003E5BA6" w:rsidTr="00086723">
        <w:trPr>
          <w:jc w:val="center"/>
        </w:trPr>
        <w:tc>
          <w:tcPr>
            <w:tcW w:w="4268" w:type="dxa"/>
            <w:tcBorders>
              <w:top w:val="nil"/>
              <w:left w:val="single" w:sz="4" w:space="0" w:color="auto"/>
              <w:bottom w:val="single" w:sz="4" w:space="0" w:color="auto"/>
              <w:right w:val="single" w:sz="4" w:space="0" w:color="auto"/>
            </w:tcBorders>
            <w:shd w:val="clear" w:color="000000" w:fill="FFFFFF"/>
            <w:vAlign w:val="center"/>
            <w:hideMark/>
          </w:tcPr>
          <w:p w:rsidR="00A67211" w:rsidRPr="003E5BA6" w:rsidRDefault="00A67211" w:rsidP="009C2F03">
            <w:pPr>
              <w:spacing w:after="0" w:line="240" w:lineRule="auto"/>
              <w:rPr>
                <w:rFonts w:ascii="Calibri" w:eastAsia="Times New Roman" w:hAnsi="Calibri" w:cs="Times New Roman"/>
                <w:lang w:eastAsia="en-GB"/>
              </w:rPr>
            </w:pPr>
            <w:r w:rsidRPr="003E5BA6">
              <w:rPr>
                <w:rFonts w:ascii="Calibri" w:eastAsia="Times New Roman" w:hAnsi="Calibri" w:cs="Times New Roman"/>
                <w:lang w:eastAsia="en-GB"/>
              </w:rPr>
              <w:t>Other Defined Groups</w:t>
            </w:r>
          </w:p>
        </w:tc>
        <w:tc>
          <w:tcPr>
            <w:tcW w:w="1984" w:type="dxa"/>
            <w:tcBorders>
              <w:top w:val="nil"/>
              <w:left w:val="nil"/>
              <w:bottom w:val="single" w:sz="4" w:space="0" w:color="auto"/>
              <w:right w:val="single" w:sz="8" w:space="0" w:color="auto"/>
            </w:tcBorders>
            <w:shd w:val="clear" w:color="auto" w:fill="auto"/>
            <w:noWrap/>
            <w:vAlign w:val="center"/>
            <w:hideMark/>
          </w:tcPr>
          <w:p w:rsidR="00A67211" w:rsidRPr="003E5BA6" w:rsidRDefault="00A67211" w:rsidP="009C2F03">
            <w:pPr>
              <w:spacing w:after="0" w:line="240" w:lineRule="auto"/>
              <w:jc w:val="center"/>
              <w:rPr>
                <w:rFonts w:ascii="Calibri" w:eastAsia="Times New Roman" w:hAnsi="Calibri" w:cs="Times New Roman"/>
                <w:color w:val="000000"/>
                <w:lang w:eastAsia="en-GB"/>
              </w:rPr>
            </w:pPr>
            <w:r w:rsidRPr="003E5BA6">
              <w:rPr>
                <w:rFonts w:ascii="Calibri" w:eastAsia="Times New Roman" w:hAnsi="Calibri" w:cs="Times New Roman"/>
                <w:color w:val="000000"/>
                <w:lang w:eastAsia="en-GB"/>
              </w:rPr>
              <w:t>165</w:t>
            </w:r>
          </w:p>
        </w:tc>
        <w:tc>
          <w:tcPr>
            <w:tcW w:w="1588" w:type="dxa"/>
            <w:tcBorders>
              <w:top w:val="nil"/>
              <w:left w:val="single" w:sz="4" w:space="0" w:color="auto"/>
              <w:bottom w:val="single" w:sz="4" w:space="0" w:color="auto"/>
              <w:right w:val="single" w:sz="8" w:space="0" w:color="auto"/>
            </w:tcBorders>
            <w:shd w:val="clear" w:color="auto" w:fill="auto"/>
            <w:noWrap/>
            <w:vAlign w:val="center"/>
            <w:hideMark/>
          </w:tcPr>
          <w:p w:rsidR="00A67211" w:rsidRPr="003E5BA6" w:rsidRDefault="00A67211" w:rsidP="009C2F03">
            <w:pPr>
              <w:spacing w:after="0" w:line="240" w:lineRule="auto"/>
              <w:jc w:val="center"/>
              <w:rPr>
                <w:rFonts w:ascii="Calibri" w:eastAsia="Times New Roman" w:hAnsi="Calibri" w:cs="Times New Roman"/>
                <w:color w:val="000000"/>
                <w:lang w:eastAsia="en-GB"/>
              </w:rPr>
            </w:pPr>
            <w:r w:rsidRPr="003E5BA6">
              <w:rPr>
                <w:rFonts w:ascii="Calibri" w:eastAsia="Times New Roman" w:hAnsi="Calibri" w:cs="Times New Roman"/>
                <w:color w:val="000000"/>
                <w:lang w:eastAsia="en-GB"/>
              </w:rPr>
              <w:t>13.4%</w:t>
            </w:r>
          </w:p>
        </w:tc>
      </w:tr>
      <w:tr w:rsidR="00A67211" w:rsidRPr="003E5BA6" w:rsidTr="00086723">
        <w:trPr>
          <w:jc w:val="center"/>
        </w:trPr>
        <w:tc>
          <w:tcPr>
            <w:tcW w:w="4268" w:type="dxa"/>
            <w:tcBorders>
              <w:top w:val="nil"/>
              <w:left w:val="single" w:sz="4" w:space="0" w:color="auto"/>
              <w:bottom w:val="single" w:sz="8" w:space="0" w:color="auto"/>
              <w:right w:val="single" w:sz="4" w:space="0" w:color="auto"/>
            </w:tcBorders>
            <w:shd w:val="clear" w:color="000000" w:fill="FFFFFF"/>
            <w:vAlign w:val="center"/>
            <w:hideMark/>
          </w:tcPr>
          <w:p w:rsidR="00A67211" w:rsidRPr="003E5BA6" w:rsidRDefault="00A67211" w:rsidP="009C2F03">
            <w:pPr>
              <w:spacing w:after="0" w:line="240" w:lineRule="auto"/>
              <w:rPr>
                <w:rFonts w:ascii="Calibri" w:eastAsia="Times New Roman" w:hAnsi="Calibri" w:cs="Times New Roman"/>
                <w:lang w:eastAsia="en-GB"/>
              </w:rPr>
            </w:pPr>
            <w:r w:rsidRPr="003E5BA6">
              <w:rPr>
                <w:rFonts w:ascii="Calibri" w:eastAsia="Times New Roman" w:hAnsi="Calibri" w:cs="Times New Roman"/>
                <w:lang w:eastAsia="en-GB"/>
              </w:rPr>
              <w:t>The General Public / Mankind</w:t>
            </w:r>
          </w:p>
        </w:tc>
        <w:tc>
          <w:tcPr>
            <w:tcW w:w="1984" w:type="dxa"/>
            <w:tcBorders>
              <w:top w:val="nil"/>
              <w:left w:val="nil"/>
              <w:bottom w:val="single" w:sz="8" w:space="0" w:color="auto"/>
              <w:right w:val="single" w:sz="8" w:space="0" w:color="auto"/>
            </w:tcBorders>
            <w:shd w:val="clear" w:color="auto" w:fill="auto"/>
            <w:noWrap/>
            <w:vAlign w:val="center"/>
            <w:hideMark/>
          </w:tcPr>
          <w:p w:rsidR="00A67211" w:rsidRPr="003E5BA6" w:rsidRDefault="00A67211" w:rsidP="009C2F03">
            <w:pPr>
              <w:spacing w:after="0" w:line="240" w:lineRule="auto"/>
              <w:jc w:val="center"/>
              <w:rPr>
                <w:rFonts w:ascii="Calibri" w:eastAsia="Times New Roman" w:hAnsi="Calibri" w:cs="Times New Roman"/>
                <w:color w:val="000000"/>
                <w:lang w:eastAsia="en-GB"/>
              </w:rPr>
            </w:pPr>
            <w:r w:rsidRPr="003E5BA6">
              <w:rPr>
                <w:rFonts w:ascii="Calibri" w:eastAsia="Times New Roman" w:hAnsi="Calibri" w:cs="Times New Roman"/>
                <w:color w:val="000000"/>
                <w:lang w:eastAsia="en-GB"/>
              </w:rPr>
              <w:t>416</w:t>
            </w:r>
          </w:p>
        </w:tc>
        <w:tc>
          <w:tcPr>
            <w:tcW w:w="1588" w:type="dxa"/>
            <w:tcBorders>
              <w:top w:val="nil"/>
              <w:left w:val="single" w:sz="4" w:space="0" w:color="auto"/>
              <w:bottom w:val="single" w:sz="4" w:space="0" w:color="auto"/>
              <w:right w:val="single" w:sz="8" w:space="0" w:color="auto"/>
            </w:tcBorders>
            <w:shd w:val="clear" w:color="auto" w:fill="auto"/>
            <w:noWrap/>
            <w:vAlign w:val="center"/>
            <w:hideMark/>
          </w:tcPr>
          <w:p w:rsidR="00A67211" w:rsidRPr="003E5BA6" w:rsidRDefault="00A67211" w:rsidP="009C2F03">
            <w:pPr>
              <w:spacing w:after="0" w:line="240" w:lineRule="auto"/>
              <w:jc w:val="center"/>
              <w:rPr>
                <w:rFonts w:ascii="Calibri" w:eastAsia="Times New Roman" w:hAnsi="Calibri" w:cs="Times New Roman"/>
                <w:color w:val="000000"/>
                <w:lang w:eastAsia="en-GB"/>
              </w:rPr>
            </w:pPr>
            <w:r w:rsidRPr="003E5BA6">
              <w:rPr>
                <w:rFonts w:ascii="Calibri" w:eastAsia="Times New Roman" w:hAnsi="Calibri" w:cs="Times New Roman"/>
                <w:color w:val="000000"/>
                <w:lang w:eastAsia="en-GB"/>
              </w:rPr>
              <w:t>33.7%</w:t>
            </w:r>
          </w:p>
        </w:tc>
      </w:tr>
    </w:tbl>
    <w:p w:rsidR="00A67211" w:rsidRDefault="00A67211" w:rsidP="006914DA">
      <w:pPr>
        <w:spacing w:after="0" w:line="240" w:lineRule="auto"/>
      </w:pPr>
    </w:p>
    <w:p w:rsidR="00A67211" w:rsidRDefault="00A67211" w:rsidP="006914DA">
      <w:pPr>
        <w:spacing w:after="0" w:line="240" w:lineRule="auto"/>
        <w:jc w:val="both"/>
      </w:pPr>
      <w:r>
        <w:t xml:space="preserve">The Charities Commission register also gives information on the types of social and community benefit the charities operating in Barnet provide, shown in Table </w:t>
      </w:r>
      <w:r w:rsidR="00E374FD">
        <w:t>1</w:t>
      </w:r>
      <w:r w:rsidR="00E04DAC">
        <w:t>1</w:t>
      </w:r>
      <w:r w:rsidR="00E374FD">
        <w:t>-</w:t>
      </w:r>
      <w:r>
        <w:t xml:space="preserve">2 below.  (Again, each charity can select more than one purpose or benefit; percentages are given to show the proportion of the total number of charities in Barnet which offer this purpose or benefit.)     The high proportion of charities aimed at children and young people (in Table </w:t>
      </w:r>
      <w:r w:rsidR="00E04DAC">
        <w:t>11</w:t>
      </w:r>
      <w:r w:rsidR="00E374FD">
        <w:t>-</w:t>
      </w:r>
      <w:r>
        <w:t xml:space="preserve">1) and at providing education and training (in Table </w:t>
      </w:r>
      <w:r w:rsidR="00E04DAC">
        <w:t>11-</w:t>
      </w:r>
      <w:r>
        <w:t xml:space="preserve">2) is in part due to the number of schools which are also registered charities.  </w:t>
      </w:r>
    </w:p>
    <w:p w:rsidR="006914DA" w:rsidRDefault="006914DA" w:rsidP="006914DA">
      <w:pPr>
        <w:spacing w:after="0" w:line="240" w:lineRule="auto"/>
        <w:jc w:val="both"/>
      </w:pPr>
    </w:p>
    <w:p w:rsidR="00A67211" w:rsidRPr="00E374FD" w:rsidRDefault="00E374FD" w:rsidP="00E374FD">
      <w:pPr>
        <w:pStyle w:val="Caption"/>
        <w:rPr>
          <w:b w:val="0"/>
        </w:rPr>
      </w:pPr>
      <w:r>
        <w:t xml:space="preserve">Table </w:t>
      </w:r>
      <w:fldSimple w:instr=" STYLEREF 1 \s ">
        <w:r w:rsidR="001663C2">
          <w:rPr>
            <w:noProof/>
          </w:rPr>
          <w:t>11</w:t>
        </w:r>
      </w:fldSimple>
      <w:r w:rsidR="000C02C2">
        <w:noBreakHyphen/>
      </w:r>
      <w:fldSimple w:instr=" SEQ Table \* ARABIC \s 1 ">
        <w:r w:rsidR="001663C2">
          <w:rPr>
            <w:noProof/>
          </w:rPr>
          <w:t>2</w:t>
        </w:r>
      </w:fldSimple>
      <w:r w:rsidR="00A67211" w:rsidRPr="00E374FD">
        <w:t>: Social and community benefit provided by charities operating in Barnet</w:t>
      </w:r>
    </w:p>
    <w:tbl>
      <w:tblPr>
        <w:tblW w:w="7840" w:type="dxa"/>
        <w:jc w:val="center"/>
        <w:tblLook w:val="04A0" w:firstRow="1" w:lastRow="0" w:firstColumn="1" w:lastColumn="0" w:noHBand="0" w:noVBand="1"/>
      </w:tblPr>
      <w:tblGrid>
        <w:gridCol w:w="4268"/>
        <w:gridCol w:w="1984"/>
        <w:gridCol w:w="1588"/>
      </w:tblGrid>
      <w:tr w:rsidR="00A67211" w:rsidRPr="00114793" w:rsidTr="00086723">
        <w:trPr>
          <w:trHeight w:val="20"/>
          <w:jc w:val="center"/>
        </w:trPr>
        <w:tc>
          <w:tcPr>
            <w:tcW w:w="4268" w:type="dxa"/>
            <w:tcBorders>
              <w:top w:val="single" w:sz="4" w:space="0" w:color="auto"/>
              <w:left w:val="single" w:sz="4" w:space="0" w:color="auto"/>
              <w:bottom w:val="single" w:sz="8" w:space="0" w:color="auto"/>
              <w:right w:val="single" w:sz="4" w:space="0" w:color="auto"/>
            </w:tcBorders>
            <w:shd w:val="clear" w:color="000000" w:fill="BFBFBF"/>
            <w:noWrap/>
            <w:vAlign w:val="bottom"/>
            <w:hideMark/>
          </w:tcPr>
          <w:p w:rsidR="00A67211" w:rsidRPr="00114793" w:rsidRDefault="00A67211" w:rsidP="009C2F03">
            <w:pPr>
              <w:spacing w:after="0" w:line="240" w:lineRule="auto"/>
              <w:jc w:val="center"/>
              <w:rPr>
                <w:rFonts w:ascii="Calibri" w:eastAsia="Times New Roman" w:hAnsi="Calibri" w:cs="Times New Roman"/>
                <w:b/>
                <w:bCs/>
                <w:color w:val="000000"/>
                <w:lang w:eastAsia="en-GB"/>
              </w:rPr>
            </w:pPr>
            <w:r w:rsidRPr="00114793">
              <w:rPr>
                <w:rFonts w:ascii="Calibri" w:eastAsia="Times New Roman" w:hAnsi="Calibri" w:cs="Times New Roman"/>
                <w:b/>
                <w:bCs/>
                <w:color w:val="000000"/>
                <w:lang w:eastAsia="en-GB"/>
              </w:rPr>
              <w:t>Type</w:t>
            </w:r>
            <w:r>
              <w:rPr>
                <w:rFonts w:ascii="Calibri" w:eastAsia="Times New Roman" w:hAnsi="Calibri" w:cs="Times New Roman"/>
                <w:b/>
                <w:bCs/>
                <w:color w:val="000000"/>
                <w:lang w:eastAsia="en-GB"/>
              </w:rPr>
              <w:t xml:space="preserve"> of benefit</w:t>
            </w:r>
          </w:p>
        </w:tc>
        <w:tc>
          <w:tcPr>
            <w:tcW w:w="1984" w:type="dxa"/>
            <w:tcBorders>
              <w:top w:val="single" w:sz="4" w:space="0" w:color="auto"/>
              <w:left w:val="nil"/>
              <w:bottom w:val="single" w:sz="8" w:space="0" w:color="auto"/>
              <w:right w:val="single" w:sz="8" w:space="0" w:color="auto"/>
            </w:tcBorders>
            <w:shd w:val="clear" w:color="000000" w:fill="BFBFBF"/>
            <w:noWrap/>
            <w:vAlign w:val="bottom"/>
            <w:hideMark/>
          </w:tcPr>
          <w:p w:rsidR="00A67211" w:rsidRPr="00114793" w:rsidRDefault="00A67211" w:rsidP="009C2F03">
            <w:pPr>
              <w:spacing w:after="0" w:line="240" w:lineRule="auto"/>
              <w:jc w:val="center"/>
              <w:rPr>
                <w:rFonts w:ascii="Calibri" w:eastAsia="Times New Roman" w:hAnsi="Calibri" w:cs="Times New Roman"/>
                <w:b/>
                <w:bCs/>
                <w:color w:val="000000"/>
                <w:lang w:eastAsia="en-GB"/>
              </w:rPr>
            </w:pPr>
            <w:r w:rsidRPr="00114793">
              <w:rPr>
                <w:rFonts w:ascii="Calibri" w:eastAsia="Times New Roman" w:hAnsi="Calibri" w:cs="Times New Roman"/>
                <w:b/>
                <w:bCs/>
                <w:color w:val="000000"/>
                <w:lang w:eastAsia="en-GB"/>
              </w:rPr>
              <w:t>Number</w:t>
            </w:r>
          </w:p>
        </w:tc>
        <w:tc>
          <w:tcPr>
            <w:tcW w:w="1588" w:type="dxa"/>
            <w:tcBorders>
              <w:top w:val="single" w:sz="4" w:space="0" w:color="auto"/>
              <w:left w:val="single" w:sz="4" w:space="0" w:color="auto"/>
              <w:bottom w:val="single" w:sz="8" w:space="0" w:color="auto"/>
              <w:right w:val="single" w:sz="8" w:space="0" w:color="auto"/>
            </w:tcBorders>
            <w:shd w:val="clear" w:color="000000" w:fill="BFBFBF"/>
            <w:noWrap/>
            <w:vAlign w:val="bottom"/>
            <w:hideMark/>
          </w:tcPr>
          <w:p w:rsidR="00A67211" w:rsidRPr="00114793" w:rsidRDefault="00A67211" w:rsidP="009C2F03">
            <w:pPr>
              <w:spacing w:after="0" w:line="240" w:lineRule="auto"/>
              <w:jc w:val="center"/>
              <w:rPr>
                <w:rFonts w:ascii="Calibri" w:eastAsia="Times New Roman" w:hAnsi="Calibri" w:cs="Times New Roman"/>
                <w:b/>
                <w:bCs/>
                <w:color w:val="000000"/>
                <w:lang w:eastAsia="en-GB"/>
              </w:rPr>
            </w:pPr>
            <w:r w:rsidRPr="00114793">
              <w:rPr>
                <w:rFonts w:ascii="Calibri" w:eastAsia="Times New Roman" w:hAnsi="Calibri" w:cs="Times New Roman"/>
                <w:b/>
                <w:bCs/>
                <w:color w:val="000000"/>
                <w:lang w:eastAsia="en-GB"/>
              </w:rPr>
              <w:t>Percentage</w:t>
            </w:r>
          </w:p>
        </w:tc>
      </w:tr>
      <w:tr w:rsidR="00A67211" w:rsidRPr="00114793" w:rsidTr="00086723">
        <w:trPr>
          <w:trHeight w:val="20"/>
          <w:jc w:val="center"/>
        </w:trPr>
        <w:tc>
          <w:tcPr>
            <w:tcW w:w="4268" w:type="dxa"/>
            <w:tcBorders>
              <w:top w:val="nil"/>
              <w:left w:val="single" w:sz="4" w:space="0" w:color="auto"/>
              <w:bottom w:val="single" w:sz="4" w:space="0" w:color="auto"/>
              <w:right w:val="single" w:sz="4" w:space="0" w:color="auto"/>
            </w:tcBorders>
            <w:shd w:val="clear" w:color="auto" w:fill="auto"/>
            <w:vAlign w:val="center"/>
            <w:hideMark/>
          </w:tcPr>
          <w:p w:rsidR="00A67211" w:rsidRPr="00114793" w:rsidRDefault="00A67211" w:rsidP="009C2F03">
            <w:pPr>
              <w:spacing w:after="0" w:line="240" w:lineRule="auto"/>
              <w:rPr>
                <w:rFonts w:ascii="Calibri" w:eastAsia="Times New Roman" w:hAnsi="Calibri" w:cs="Times New Roman"/>
                <w:color w:val="000000"/>
                <w:lang w:eastAsia="en-GB"/>
              </w:rPr>
            </w:pPr>
            <w:r w:rsidRPr="00114793">
              <w:rPr>
                <w:rFonts w:ascii="Calibri" w:eastAsia="Times New Roman" w:hAnsi="Calibri" w:cs="Times New Roman"/>
                <w:color w:val="000000"/>
                <w:lang w:eastAsia="en-GB"/>
              </w:rPr>
              <w:t>Education / Training</w:t>
            </w:r>
          </w:p>
        </w:tc>
        <w:tc>
          <w:tcPr>
            <w:tcW w:w="1984" w:type="dxa"/>
            <w:tcBorders>
              <w:top w:val="nil"/>
              <w:left w:val="nil"/>
              <w:bottom w:val="single" w:sz="4" w:space="0" w:color="auto"/>
              <w:right w:val="single" w:sz="8" w:space="0" w:color="auto"/>
            </w:tcBorders>
            <w:shd w:val="clear" w:color="auto" w:fill="auto"/>
            <w:noWrap/>
            <w:vAlign w:val="center"/>
            <w:hideMark/>
          </w:tcPr>
          <w:p w:rsidR="00A67211" w:rsidRPr="00114793" w:rsidRDefault="00A67211" w:rsidP="009C2F03">
            <w:pPr>
              <w:spacing w:after="0" w:line="240" w:lineRule="auto"/>
              <w:jc w:val="center"/>
              <w:rPr>
                <w:rFonts w:ascii="Calibri" w:eastAsia="Times New Roman" w:hAnsi="Calibri" w:cs="Times New Roman"/>
                <w:color w:val="000000"/>
                <w:lang w:eastAsia="en-GB"/>
              </w:rPr>
            </w:pPr>
            <w:r w:rsidRPr="00114793">
              <w:rPr>
                <w:rFonts w:ascii="Calibri" w:eastAsia="Times New Roman" w:hAnsi="Calibri" w:cs="Times New Roman"/>
                <w:color w:val="000000"/>
                <w:lang w:eastAsia="en-GB"/>
              </w:rPr>
              <w:t>689</w:t>
            </w:r>
          </w:p>
        </w:tc>
        <w:tc>
          <w:tcPr>
            <w:tcW w:w="1588" w:type="dxa"/>
            <w:tcBorders>
              <w:top w:val="nil"/>
              <w:left w:val="single" w:sz="4" w:space="0" w:color="auto"/>
              <w:bottom w:val="single" w:sz="4" w:space="0" w:color="auto"/>
              <w:right w:val="single" w:sz="8" w:space="0" w:color="auto"/>
            </w:tcBorders>
            <w:shd w:val="clear" w:color="auto" w:fill="auto"/>
            <w:noWrap/>
            <w:vAlign w:val="center"/>
            <w:hideMark/>
          </w:tcPr>
          <w:p w:rsidR="00A67211" w:rsidRPr="00114793" w:rsidRDefault="00A67211" w:rsidP="009C2F03">
            <w:pPr>
              <w:spacing w:after="0" w:line="240" w:lineRule="auto"/>
              <w:jc w:val="center"/>
              <w:rPr>
                <w:rFonts w:ascii="Calibri" w:eastAsia="Times New Roman" w:hAnsi="Calibri" w:cs="Times New Roman"/>
                <w:color w:val="000000"/>
                <w:lang w:eastAsia="en-GB"/>
              </w:rPr>
            </w:pPr>
            <w:r w:rsidRPr="00114793">
              <w:rPr>
                <w:rFonts w:ascii="Calibri" w:eastAsia="Times New Roman" w:hAnsi="Calibri" w:cs="Times New Roman"/>
                <w:color w:val="000000"/>
                <w:lang w:eastAsia="en-GB"/>
              </w:rPr>
              <w:t>55.8%</w:t>
            </w:r>
          </w:p>
        </w:tc>
      </w:tr>
      <w:tr w:rsidR="00A67211" w:rsidRPr="00114793" w:rsidTr="00086723">
        <w:trPr>
          <w:trHeight w:val="20"/>
          <w:jc w:val="center"/>
        </w:trPr>
        <w:tc>
          <w:tcPr>
            <w:tcW w:w="4268" w:type="dxa"/>
            <w:tcBorders>
              <w:top w:val="nil"/>
              <w:left w:val="single" w:sz="4" w:space="0" w:color="auto"/>
              <w:bottom w:val="single" w:sz="4" w:space="0" w:color="auto"/>
              <w:right w:val="single" w:sz="4" w:space="0" w:color="auto"/>
            </w:tcBorders>
            <w:shd w:val="clear" w:color="auto" w:fill="auto"/>
            <w:vAlign w:val="center"/>
            <w:hideMark/>
          </w:tcPr>
          <w:p w:rsidR="00A67211" w:rsidRPr="00114793" w:rsidRDefault="00A67211" w:rsidP="009C2F03">
            <w:pPr>
              <w:spacing w:after="0" w:line="240" w:lineRule="auto"/>
              <w:rPr>
                <w:rFonts w:ascii="Calibri" w:eastAsia="Times New Roman" w:hAnsi="Calibri" w:cs="Times New Roman"/>
                <w:color w:val="000000"/>
                <w:lang w:eastAsia="en-GB"/>
              </w:rPr>
            </w:pPr>
            <w:r w:rsidRPr="00114793">
              <w:rPr>
                <w:rFonts w:ascii="Calibri" w:eastAsia="Times New Roman" w:hAnsi="Calibri" w:cs="Times New Roman"/>
                <w:color w:val="000000"/>
                <w:lang w:eastAsia="en-GB"/>
              </w:rPr>
              <w:t>Religious Activities</w:t>
            </w:r>
          </w:p>
        </w:tc>
        <w:tc>
          <w:tcPr>
            <w:tcW w:w="1984" w:type="dxa"/>
            <w:tcBorders>
              <w:top w:val="nil"/>
              <w:left w:val="nil"/>
              <w:bottom w:val="single" w:sz="4" w:space="0" w:color="auto"/>
              <w:right w:val="single" w:sz="8" w:space="0" w:color="auto"/>
            </w:tcBorders>
            <w:shd w:val="clear" w:color="auto" w:fill="auto"/>
            <w:noWrap/>
            <w:vAlign w:val="center"/>
            <w:hideMark/>
          </w:tcPr>
          <w:p w:rsidR="00A67211" w:rsidRPr="00114793" w:rsidRDefault="00A67211" w:rsidP="009C2F03">
            <w:pPr>
              <w:spacing w:after="0" w:line="240" w:lineRule="auto"/>
              <w:jc w:val="center"/>
              <w:rPr>
                <w:rFonts w:ascii="Calibri" w:eastAsia="Times New Roman" w:hAnsi="Calibri" w:cs="Times New Roman"/>
                <w:color w:val="000000"/>
                <w:lang w:eastAsia="en-GB"/>
              </w:rPr>
            </w:pPr>
            <w:r w:rsidRPr="00114793">
              <w:rPr>
                <w:rFonts w:ascii="Calibri" w:eastAsia="Times New Roman" w:hAnsi="Calibri" w:cs="Times New Roman"/>
                <w:color w:val="000000"/>
                <w:lang w:eastAsia="en-GB"/>
              </w:rPr>
              <w:t>364</w:t>
            </w:r>
          </w:p>
        </w:tc>
        <w:tc>
          <w:tcPr>
            <w:tcW w:w="1588" w:type="dxa"/>
            <w:tcBorders>
              <w:top w:val="nil"/>
              <w:left w:val="single" w:sz="4" w:space="0" w:color="auto"/>
              <w:bottom w:val="single" w:sz="4" w:space="0" w:color="auto"/>
              <w:right w:val="single" w:sz="8" w:space="0" w:color="auto"/>
            </w:tcBorders>
            <w:shd w:val="clear" w:color="auto" w:fill="auto"/>
            <w:noWrap/>
            <w:vAlign w:val="center"/>
            <w:hideMark/>
          </w:tcPr>
          <w:p w:rsidR="00A67211" w:rsidRPr="00114793" w:rsidRDefault="00A67211" w:rsidP="009C2F03">
            <w:pPr>
              <w:spacing w:after="0" w:line="240" w:lineRule="auto"/>
              <w:jc w:val="center"/>
              <w:rPr>
                <w:rFonts w:ascii="Calibri" w:eastAsia="Times New Roman" w:hAnsi="Calibri" w:cs="Times New Roman"/>
                <w:color w:val="000000"/>
                <w:lang w:eastAsia="en-GB"/>
              </w:rPr>
            </w:pPr>
            <w:r w:rsidRPr="00114793">
              <w:rPr>
                <w:rFonts w:ascii="Calibri" w:eastAsia="Times New Roman" w:hAnsi="Calibri" w:cs="Times New Roman"/>
                <w:color w:val="000000"/>
                <w:lang w:eastAsia="en-GB"/>
              </w:rPr>
              <w:t>29.5%</w:t>
            </w:r>
          </w:p>
        </w:tc>
      </w:tr>
      <w:tr w:rsidR="00A67211" w:rsidRPr="00114793" w:rsidTr="00086723">
        <w:trPr>
          <w:trHeight w:val="20"/>
          <w:jc w:val="center"/>
        </w:trPr>
        <w:tc>
          <w:tcPr>
            <w:tcW w:w="4268" w:type="dxa"/>
            <w:tcBorders>
              <w:top w:val="nil"/>
              <w:left w:val="single" w:sz="4" w:space="0" w:color="auto"/>
              <w:bottom w:val="single" w:sz="4" w:space="0" w:color="auto"/>
              <w:right w:val="single" w:sz="4" w:space="0" w:color="auto"/>
            </w:tcBorders>
            <w:shd w:val="clear" w:color="auto" w:fill="auto"/>
            <w:vAlign w:val="center"/>
            <w:hideMark/>
          </w:tcPr>
          <w:p w:rsidR="00A67211" w:rsidRPr="00114793" w:rsidRDefault="00A67211" w:rsidP="009C2F03">
            <w:pPr>
              <w:spacing w:after="0" w:line="240" w:lineRule="auto"/>
              <w:rPr>
                <w:rFonts w:ascii="Calibri" w:eastAsia="Times New Roman" w:hAnsi="Calibri" w:cs="Times New Roman"/>
                <w:color w:val="000000"/>
                <w:lang w:eastAsia="en-GB"/>
              </w:rPr>
            </w:pPr>
            <w:r w:rsidRPr="00114793">
              <w:rPr>
                <w:rFonts w:ascii="Calibri" w:eastAsia="Times New Roman" w:hAnsi="Calibri" w:cs="Times New Roman"/>
                <w:color w:val="000000"/>
                <w:lang w:eastAsia="en-GB"/>
              </w:rPr>
              <w:t>General Charitable Purposes</w:t>
            </w:r>
          </w:p>
        </w:tc>
        <w:tc>
          <w:tcPr>
            <w:tcW w:w="1984" w:type="dxa"/>
            <w:tcBorders>
              <w:top w:val="nil"/>
              <w:left w:val="nil"/>
              <w:bottom w:val="single" w:sz="4" w:space="0" w:color="auto"/>
              <w:right w:val="single" w:sz="8" w:space="0" w:color="auto"/>
            </w:tcBorders>
            <w:shd w:val="clear" w:color="auto" w:fill="auto"/>
            <w:noWrap/>
            <w:vAlign w:val="center"/>
            <w:hideMark/>
          </w:tcPr>
          <w:p w:rsidR="00A67211" w:rsidRPr="00114793" w:rsidRDefault="00A67211" w:rsidP="009C2F03">
            <w:pPr>
              <w:spacing w:after="0" w:line="240" w:lineRule="auto"/>
              <w:jc w:val="center"/>
              <w:rPr>
                <w:rFonts w:ascii="Calibri" w:eastAsia="Times New Roman" w:hAnsi="Calibri" w:cs="Times New Roman"/>
                <w:color w:val="000000"/>
                <w:lang w:eastAsia="en-GB"/>
              </w:rPr>
            </w:pPr>
            <w:r w:rsidRPr="00114793">
              <w:rPr>
                <w:rFonts w:ascii="Calibri" w:eastAsia="Times New Roman" w:hAnsi="Calibri" w:cs="Times New Roman"/>
                <w:color w:val="000000"/>
                <w:lang w:eastAsia="en-GB"/>
              </w:rPr>
              <w:t>358</w:t>
            </w:r>
          </w:p>
        </w:tc>
        <w:tc>
          <w:tcPr>
            <w:tcW w:w="1588" w:type="dxa"/>
            <w:tcBorders>
              <w:top w:val="nil"/>
              <w:left w:val="single" w:sz="4" w:space="0" w:color="auto"/>
              <w:bottom w:val="single" w:sz="4" w:space="0" w:color="auto"/>
              <w:right w:val="single" w:sz="8" w:space="0" w:color="auto"/>
            </w:tcBorders>
            <w:shd w:val="clear" w:color="auto" w:fill="auto"/>
            <w:noWrap/>
            <w:vAlign w:val="center"/>
            <w:hideMark/>
          </w:tcPr>
          <w:p w:rsidR="00A67211" w:rsidRPr="00114793" w:rsidRDefault="00A67211" w:rsidP="009C2F03">
            <w:pPr>
              <w:spacing w:after="0" w:line="240" w:lineRule="auto"/>
              <w:jc w:val="center"/>
              <w:rPr>
                <w:rFonts w:ascii="Calibri" w:eastAsia="Times New Roman" w:hAnsi="Calibri" w:cs="Times New Roman"/>
                <w:color w:val="000000"/>
                <w:lang w:eastAsia="en-GB"/>
              </w:rPr>
            </w:pPr>
            <w:r w:rsidRPr="00114793">
              <w:rPr>
                <w:rFonts w:ascii="Calibri" w:eastAsia="Times New Roman" w:hAnsi="Calibri" w:cs="Times New Roman"/>
                <w:color w:val="000000"/>
                <w:lang w:eastAsia="en-GB"/>
              </w:rPr>
              <w:t>29.0%</w:t>
            </w:r>
          </w:p>
        </w:tc>
      </w:tr>
      <w:tr w:rsidR="00A67211" w:rsidRPr="00114793" w:rsidTr="00086723">
        <w:trPr>
          <w:trHeight w:val="20"/>
          <w:jc w:val="center"/>
        </w:trPr>
        <w:tc>
          <w:tcPr>
            <w:tcW w:w="4268" w:type="dxa"/>
            <w:tcBorders>
              <w:top w:val="nil"/>
              <w:left w:val="single" w:sz="4" w:space="0" w:color="auto"/>
              <w:bottom w:val="single" w:sz="4" w:space="0" w:color="auto"/>
              <w:right w:val="single" w:sz="4" w:space="0" w:color="auto"/>
            </w:tcBorders>
            <w:shd w:val="clear" w:color="auto" w:fill="auto"/>
            <w:vAlign w:val="center"/>
            <w:hideMark/>
          </w:tcPr>
          <w:p w:rsidR="00A67211" w:rsidRPr="00114793" w:rsidRDefault="00A67211" w:rsidP="009C2F03">
            <w:pPr>
              <w:spacing w:after="0" w:line="240" w:lineRule="auto"/>
              <w:rPr>
                <w:rFonts w:ascii="Calibri" w:eastAsia="Times New Roman" w:hAnsi="Calibri" w:cs="Times New Roman"/>
                <w:color w:val="000000"/>
                <w:lang w:eastAsia="en-GB"/>
              </w:rPr>
            </w:pPr>
            <w:r w:rsidRPr="00114793">
              <w:rPr>
                <w:rFonts w:ascii="Calibri" w:eastAsia="Times New Roman" w:hAnsi="Calibri" w:cs="Times New Roman"/>
                <w:color w:val="000000"/>
                <w:lang w:eastAsia="en-GB"/>
              </w:rPr>
              <w:t>The Prevention or Relief of Poverty</w:t>
            </w:r>
          </w:p>
        </w:tc>
        <w:tc>
          <w:tcPr>
            <w:tcW w:w="1984" w:type="dxa"/>
            <w:tcBorders>
              <w:top w:val="nil"/>
              <w:left w:val="nil"/>
              <w:bottom w:val="single" w:sz="4" w:space="0" w:color="auto"/>
              <w:right w:val="single" w:sz="8" w:space="0" w:color="auto"/>
            </w:tcBorders>
            <w:shd w:val="clear" w:color="auto" w:fill="auto"/>
            <w:noWrap/>
            <w:vAlign w:val="center"/>
            <w:hideMark/>
          </w:tcPr>
          <w:p w:rsidR="00A67211" w:rsidRPr="00114793" w:rsidRDefault="00A67211" w:rsidP="009C2F03">
            <w:pPr>
              <w:spacing w:after="0" w:line="240" w:lineRule="auto"/>
              <w:jc w:val="center"/>
              <w:rPr>
                <w:rFonts w:ascii="Calibri" w:eastAsia="Times New Roman" w:hAnsi="Calibri" w:cs="Times New Roman"/>
                <w:color w:val="000000"/>
                <w:lang w:eastAsia="en-GB"/>
              </w:rPr>
            </w:pPr>
            <w:r w:rsidRPr="00114793">
              <w:rPr>
                <w:rFonts w:ascii="Calibri" w:eastAsia="Times New Roman" w:hAnsi="Calibri" w:cs="Times New Roman"/>
                <w:color w:val="000000"/>
                <w:lang w:eastAsia="en-GB"/>
              </w:rPr>
              <w:t>302</w:t>
            </w:r>
          </w:p>
        </w:tc>
        <w:tc>
          <w:tcPr>
            <w:tcW w:w="1588" w:type="dxa"/>
            <w:tcBorders>
              <w:top w:val="nil"/>
              <w:left w:val="single" w:sz="4" w:space="0" w:color="auto"/>
              <w:bottom w:val="single" w:sz="4" w:space="0" w:color="auto"/>
              <w:right w:val="single" w:sz="8" w:space="0" w:color="auto"/>
            </w:tcBorders>
            <w:shd w:val="clear" w:color="auto" w:fill="auto"/>
            <w:noWrap/>
            <w:vAlign w:val="center"/>
            <w:hideMark/>
          </w:tcPr>
          <w:p w:rsidR="00A67211" w:rsidRPr="00114793" w:rsidRDefault="00A67211" w:rsidP="009C2F03">
            <w:pPr>
              <w:spacing w:after="0" w:line="240" w:lineRule="auto"/>
              <w:jc w:val="center"/>
              <w:rPr>
                <w:rFonts w:ascii="Calibri" w:eastAsia="Times New Roman" w:hAnsi="Calibri" w:cs="Times New Roman"/>
                <w:color w:val="000000"/>
                <w:lang w:eastAsia="en-GB"/>
              </w:rPr>
            </w:pPr>
            <w:r w:rsidRPr="00114793">
              <w:rPr>
                <w:rFonts w:ascii="Calibri" w:eastAsia="Times New Roman" w:hAnsi="Calibri" w:cs="Times New Roman"/>
                <w:color w:val="000000"/>
                <w:lang w:eastAsia="en-GB"/>
              </w:rPr>
              <w:t>24.5%</w:t>
            </w:r>
          </w:p>
        </w:tc>
      </w:tr>
      <w:tr w:rsidR="00A67211" w:rsidRPr="00114793" w:rsidTr="00086723">
        <w:trPr>
          <w:trHeight w:val="20"/>
          <w:jc w:val="center"/>
        </w:trPr>
        <w:tc>
          <w:tcPr>
            <w:tcW w:w="4268" w:type="dxa"/>
            <w:tcBorders>
              <w:top w:val="nil"/>
              <w:left w:val="single" w:sz="4" w:space="0" w:color="auto"/>
              <w:bottom w:val="single" w:sz="4" w:space="0" w:color="auto"/>
              <w:right w:val="single" w:sz="4" w:space="0" w:color="auto"/>
            </w:tcBorders>
            <w:shd w:val="clear" w:color="auto" w:fill="auto"/>
            <w:vAlign w:val="center"/>
            <w:hideMark/>
          </w:tcPr>
          <w:p w:rsidR="00A67211" w:rsidRPr="00114793" w:rsidRDefault="00A67211" w:rsidP="009C2F03">
            <w:pPr>
              <w:spacing w:after="0" w:line="240" w:lineRule="auto"/>
              <w:rPr>
                <w:rFonts w:ascii="Calibri" w:eastAsia="Times New Roman" w:hAnsi="Calibri" w:cs="Times New Roman"/>
                <w:color w:val="000000"/>
                <w:lang w:eastAsia="en-GB"/>
              </w:rPr>
            </w:pPr>
            <w:r w:rsidRPr="00114793">
              <w:rPr>
                <w:rFonts w:ascii="Calibri" w:eastAsia="Times New Roman" w:hAnsi="Calibri" w:cs="Times New Roman"/>
                <w:color w:val="000000"/>
                <w:lang w:eastAsia="en-GB"/>
              </w:rPr>
              <w:t>The Advancement of Health or Saving Lives</w:t>
            </w:r>
          </w:p>
        </w:tc>
        <w:tc>
          <w:tcPr>
            <w:tcW w:w="1984" w:type="dxa"/>
            <w:tcBorders>
              <w:top w:val="nil"/>
              <w:left w:val="nil"/>
              <w:bottom w:val="single" w:sz="4" w:space="0" w:color="auto"/>
              <w:right w:val="single" w:sz="8" w:space="0" w:color="auto"/>
            </w:tcBorders>
            <w:shd w:val="clear" w:color="auto" w:fill="auto"/>
            <w:noWrap/>
            <w:vAlign w:val="center"/>
            <w:hideMark/>
          </w:tcPr>
          <w:p w:rsidR="00A67211" w:rsidRPr="00114793" w:rsidRDefault="00A67211" w:rsidP="009C2F03">
            <w:pPr>
              <w:spacing w:after="0" w:line="240" w:lineRule="auto"/>
              <w:jc w:val="center"/>
              <w:rPr>
                <w:rFonts w:ascii="Calibri" w:eastAsia="Times New Roman" w:hAnsi="Calibri" w:cs="Times New Roman"/>
                <w:color w:val="000000"/>
                <w:lang w:eastAsia="en-GB"/>
              </w:rPr>
            </w:pPr>
            <w:r w:rsidRPr="00114793">
              <w:rPr>
                <w:rFonts w:ascii="Calibri" w:eastAsia="Times New Roman" w:hAnsi="Calibri" w:cs="Times New Roman"/>
                <w:color w:val="000000"/>
                <w:lang w:eastAsia="en-GB"/>
              </w:rPr>
              <w:t>225</w:t>
            </w:r>
          </w:p>
        </w:tc>
        <w:tc>
          <w:tcPr>
            <w:tcW w:w="1588" w:type="dxa"/>
            <w:tcBorders>
              <w:top w:val="nil"/>
              <w:left w:val="single" w:sz="4" w:space="0" w:color="auto"/>
              <w:bottom w:val="single" w:sz="4" w:space="0" w:color="auto"/>
              <w:right w:val="single" w:sz="8" w:space="0" w:color="auto"/>
            </w:tcBorders>
            <w:shd w:val="clear" w:color="auto" w:fill="auto"/>
            <w:noWrap/>
            <w:vAlign w:val="center"/>
            <w:hideMark/>
          </w:tcPr>
          <w:p w:rsidR="00A67211" w:rsidRPr="00114793" w:rsidRDefault="00A67211" w:rsidP="009C2F03">
            <w:pPr>
              <w:spacing w:after="0" w:line="240" w:lineRule="auto"/>
              <w:jc w:val="center"/>
              <w:rPr>
                <w:rFonts w:ascii="Calibri" w:eastAsia="Times New Roman" w:hAnsi="Calibri" w:cs="Times New Roman"/>
                <w:color w:val="000000"/>
                <w:lang w:eastAsia="en-GB"/>
              </w:rPr>
            </w:pPr>
            <w:r w:rsidRPr="00114793">
              <w:rPr>
                <w:rFonts w:ascii="Calibri" w:eastAsia="Times New Roman" w:hAnsi="Calibri" w:cs="Times New Roman"/>
                <w:color w:val="000000"/>
                <w:lang w:eastAsia="en-GB"/>
              </w:rPr>
              <w:t>18.2%</w:t>
            </w:r>
          </w:p>
        </w:tc>
      </w:tr>
      <w:tr w:rsidR="00A67211" w:rsidRPr="00114793" w:rsidTr="00086723">
        <w:trPr>
          <w:trHeight w:val="20"/>
          <w:jc w:val="center"/>
        </w:trPr>
        <w:tc>
          <w:tcPr>
            <w:tcW w:w="4268" w:type="dxa"/>
            <w:tcBorders>
              <w:top w:val="nil"/>
              <w:left w:val="single" w:sz="4" w:space="0" w:color="auto"/>
              <w:bottom w:val="single" w:sz="4" w:space="0" w:color="auto"/>
              <w:right w:val="single" w:sz="4" w:space="0" w:color="auto"/>
            </w:tcBorders>
            <w:shd w:val="clear" w:color="auto" w:fill="auto"/>
            <w:vAlign w:val="center"/>
            <w:hideMark/>
          </w:tcPr>
          <w:p w:rsidR="00A67211" w:rsidRPr="00114793" w:rsidRDefault="00A67211" w:rsidP="009C2F03">
            <w:pPr>
              <w:spacing w:after="0" w:line="240" w:lineRule="auto"/>
              <w:rPr>
                <w:rFonts w:ascii="Calibri" w:eastAsia="Times New Roman" w:hAnsi="Calibri" w:cs="Times New Roman"/>
                <w:color w:val="000000"/>
                <w:lang w:eastAsia="en-GB"/>
              </w:rPr>
            </w:pPr>
            <w:r w:rsidRPr="00114793">
              <w:rPr>
                <w:rFonts w:ascii="Calibri" w:eastAsia="Times New Roman" w:hAnsi="Calibri" w:cs="Times New Roman"/>
                <w:color w:val="000000"/>
                <w:lang w:eastAsia="en-GB"/>
              </w:rPr>
              <w:t>Disability</w:t>
            </w:r>
          </w:p>
        </w:tc>
        <w:tc>
          <w:tcPr>
            <w:tcW w:w="1984" w:type="dxa"/>
            <w:tcBorders>
              <w:top w:val="nil"/>
              <w:left w:val="nil"/>
              <w:bottom w:val="single" w:sz="4" w:space="0" w:color="auto"/>
              <w:right w:val="single" w:sz="8" w:space="0" w:color="auto"/>
            </w:tcBorders>
            <w:shd w:val="clear" w:color="auto" w:fill="auto"/>
            <w:noWrap/>
            <w:vAlign w:val="center"/>
            <w:hideMark/>
          </w:tcPr>
          <w:p w:rsidR="00A67211" w:rsidRPr="00114793" w:rsidRDefault="00A67211" w:rsidP="009C2F03">
            <w:pPr>
              <w:spacing w:after="0" w:line="240" w:lineRule="auto"/>
              <w:jc w:val="center"/>
              <w:rPr>
                <w:rFonts w:ascii="Calibri" w:eastAsia="Times New Roman" w:hAnsi="Calibri" w:cs="Times New Roman"/>
                <w:color w:val="000000"/>
                <w:lang w:eastAsia="en-GB"/>
              </w:rPr>
            </w:pPr>
            <w:r w:rsidRPr="00114793">
              <w:rPr>
                <w:rFonts w:ascii="Calibri" w:eastAsia="Times New Roman" w:hAnsi="Calibri" w:cs="Times New Roman"/>
                <w:color w:val="000000"/>
                <w:lang w:eastAsia="en-GB"/>
              </w:rPr>
              <w:t>220</w:t>
            </w:r>
          </w:p>
        </w:tc>
        <w:tc>
          <w:tcPr>
            <w:tcW w:w="1588" w:type="dxa"/>
            <w:tcBorders>
              <w:top w:val="nil"/>
              <w:left w:val="single" w:sz="4" w:space="0" w:color="auto"/>
              <w:bottom w:val="single" w:sz="4" w:space="0" w:color="auto"/>
              <w:right w:val="single" w:sz="8" w:space="0" w:color="auto"/>
            </w:tcBorders>
            <w:shd w:val="clear" w:color="auto" w:fill="auto"/>
            <w:noWrap/>
            <w:vAlign w:val="center"/>
            <w:hideMark/>
          </w:tcPr>
          <w:p w:rsidR="00A67211" w:rsidRPr="00114793" w:rsidRDefault="00A67211" w:rsidP="009C2F03">
            <w:pPr>
              <w:spacing w:after="0" w:line="240" w:lineRule="auto"/>
              <w:jc w:val="center"/>
              <w:rPr>
                <w:rFonts w:ascii="Calibri" w:eastAsia="Times New Roman" w:hAnsi="Calibri" w:cs="Times New Roman"/>
                <w:color w:val="000000"/>
                <w:lang w:eastAsia="en-GB"/>
              </w:rPr>
            </w:pPr>
            <w:r w:rsidRPr="00114793">
              <w:rPr>
                <w:rFonts w:ascii="Calibri" w:eastAsia="Times New Roman" w:hAnsi="Calibri" w:cs="Times New Roman"/>
                <w:color w:val="000000"/>
                <w:lang w:eastAsia="en-GB"/>
              </w:rPr>
              <w:t>17.8%</w:t>
            </w:r>
          </w:p>
        </w:tc>
      </w:tr>
      <w:tr w:rsidR="00A67211" w:rsidRPr="00114793" w:rsidTr="00086723">
        <w:trPr>
          <w:trHeight w:val="20"/>
          <w:jc w:val="center"/>
        </w:trPr>
        <w:tc>
          <w:tcPr>
            <w:tcW w:w="4268" w:type="dxa"/>
            <w:tcBorders>
              <w:top w:val="nil"/>
              <w:left w:val="single" w:sz="4" w:space="0" w:color="auto"/>
              <w:bottom w:val="single" w:sz="4" w:space="0" w:color="auto"/>
              <w:right w:val="single" w:sz="4" w:space="0" w:color="auto"/>
            </w:tcBorders>
            <w:shd w:val="clear" w:color="auto" w:fill="auto"/>
            <w:vAlign w:val="center"/>
            <w:hideMark/>
          </w:tcPr>
          <w:p w:rsidR="00A67211" w:rsidRPr="00114793" w:rsidRDefault="00A67211" w:rsidP="009C2F03">
            <w:pPr>
              <w:spacing w:after="0" w:line="240" w:lineRule="auto"/>
              <w:rPr>
                <w:rFonts w:ascii="Calibri" w:eastAsia="Times New Roman" w:hAnsi="Calibri" w:cs="Times New Roman"/>
                <w:color w:val="000000"/>
                <w:lang w:eastAsia="en-GB"/>
              </w:rPr>
            </w:pPr>
            <w:r w:rsidRPr="00114793">
              <w:rPr>
                <w:rFonts w:ascii="Calibri" w:eastAsia="Times New Roman" w:hAnsi="Calibri" w:cs="Times New Roman"/>
                <w:color w:val="000000"/>
                <w:lang w:eastAsia="en-GB"/>
              </w:rPr>
              <w:t>Arts/ Culture/ Heritage / Science</w:t>
            </w:r>
          </w:p>
        </w:tc>
        <w:tc>
          <w:tcPr>
            <w:tcW w:w="1984" w:type="dxa"/>
            <w:tcBorders>
              <w:top w:val="nil"/>
              <w:left w:val="nil"/>
              <w:bottom w:val="single" w:sz="4" w:space="0" w:color="auto"/>
              <w:right w:val="single" w:sz="8" w:space="0" w:color="auto"/>
            </w:tcBorders>
            <w:shd w:val="clear" w:color="auto" w:fill="auto"/>
            <w:noWrap/>
            <w:vAlign w:val="center"/>
            <w:hideMark/>
          </w:tcPr>
          <w:p w:rsidR="00A67211" w:rsidRPr="00114793" w:rsidRDefault="00A67211" w:rsidP="009C2F03">
            <w:pPr>
              <w:spacing w:after="0" w:line="240" w:lineRule="auto"/>
              <w:jc w:val="center"/>
              <w:rPr>
                <w:rFonts w:ascii="Calibri" w:eastAsia="Times New Roman" w:hAnsi="Calibri" w:cs="Times New Roman"/>
                <w:color w:val="000000"/>
                <w:lang w:eastAsia="en-GB"/>
              </w:rPr>
            </w:pPr>
            <w:r w:rsidRPr="00114793">
              <w:rPr>
                <w:rFonts w:ascii="Calibri" w:eastAsia="Times New Roman" w:hAnsi="Calibri" w:cs="Times New Roman"/>
                <w:color w:val="000000"/>
                <w:lang w:eastAsia="en-GB"/>
              </w:rPr>
              <w:t>188</w:t>
            </w:r>
          </w:p>
        </w:tc>
        <w:tc>
          <w:tcPr>
            <w:tcW w:w="1588" w:type="dxa"/>
            <w:tcBorders>
              <w:top w:val="nil"/>
              <w:left w:val="single" w:sz="4" w:space="0" w:color="auto"/>
              <w:bottom w:val="single" w:sz="4" w:space="0" w:color="auto"/>
              <w:right w:val="single" w:sz="8" w:space="0" w:color="auto"/>
            </w:tcBorders>
            <w:shd w:val="clear" w:color="auto" w:fill="auto"/>
            <w:noWrap/>
            <w:vAlign w:val="center"/>
            <w:hideMark/>
          </w:tcPr>
          <w:p w:rsidR="00A67211" w:rsidRPr="00114793" w:rsidRDefault="00A67211" w:rsidP="009C2F03">
            <w:pPr>
              <w:spacing w:after="0" w:line="240" w:lineRule="auto"/>
              <w:jc w:val="center"/>
              <w:rPr>
                <w:rFonts w:ascii="Calibri" w:eastAsia="Times New Roman" w:hAnsi="Calibri" w:cs="Times New Roman"/>
                <w:color w:val="000000"/>
                <w:lang w:eastAsia="en-GB"/>
              </w:rPr>
            </w:pPr>
            <w:r w:rsidRPr="00114793">
              <w:rPr>
                <w:rFonts w:ascii="Calibri" w:eastAsia="Times New Roman" w:hAnsi="Calibri" w:cs="Times New Roman"/>
                <w:color w:val="000000"/>
                <w:lang w:eastAsia="en-GB"/>
              </w:rPr>
              <w:t>15.2%</w:t>
            </w:r>
          </w:p>
        </w:tc>
      </w:tr>
      <w:tr w:rsidR="00A67211" w:rsidRPr="00114793" w:rsidTr="00086723">
        <w:trPr>
          <w:trHeight w:val="20"/>
          <w:jc w:val="center"/>
        </w:trPr>
        <w:tc>
          <w:tcPr>
            <w:tcW w:w="4268" w:type="dxa"/>
            <w:tcBorders>
              <w:top w:val="nil"/>
              <w:left w:val="single" w:sz="4" w:space="0" w:color="auto"/>
              <w:bottom w:val="single" w:sz="4" w:space="0" w:color="auto"/>
              <w:right w:val="single" w:sz="4" w:space="0" w:color="auto"/>
            </w:tcBorders>
            <w:shd w:val="clear" w:color="auto" w:fill="auto"/>
            <w:vAlign w:val="center"/>
            <w:hideMark/>
          </w:tcPr>
          <w:p w:rsidR="00A67211" w:rsidRPr="00114793" w:rsidRDefault="00A67211" w:rsidP="009C2F03">
            <w:pPr>
              <w:spacing w:after="0" w:line="240" w:lineRule="auto"/>
              <w:rPr>
                <w:rFonts w:ascii="Calibri" w:eastAsia="Times New Roman" w:hAnsi="Calibri" w:cs="Times New Roman"/>
                <w:color w:val="000000"/>
                <w:lang w:eastAsia="en-GB"/>
              </w:rPr>
            </w:pPr>
            <w:r w:rsidRPr="00114793">
              <w:rPr>
                <w:rFonts w:ascii="Calibri" w:eastAsia="Times New Roman" w:hAnsi="Calibri" w:cs="Times New Roman"/>
                <w:color w:val="000000"/>
                <w:lang w:eastAsia="en-GB"/>
              </w:rPr>
              <w:t>Amateur Sport</w:t>
            </w:r>
          </w:p>
        </w:tc>
        <w:tc>
          <w:tcPr>
            <w:tcW w:w="1984" w:type="dxa"/>
            <w:tcBorders>
              <w:top w:val="nil"/>
              <w:left w:val="nil"/>
              <w:bottom w:val="single" w:sz="4" w:space="0" w:color="auto"/>
              <w:right w:val="single" w:sz="8" w:space="0" w:color="auto"/>
            </w:tcBorders>
            <w:shd w:val="clear" w:color="auto" w:fill="auto"/>
            <w:noWrap/>
            <w:vAlign w:val="center"/>
            <w:hideMark/>
          </w:tcPr>
          <w:p w:rsidR="00A67211" w:rsidRPr="00114793" w:rsidRDefault="00A67211" w:rsidP="009C2F03">
            <w:pPr>
              <w:spacing w:after="0" w:line="240" w:lineRule="auto"/>
              <w:jc w:val="center"/>
              <w:rPr>
                <w:rFonts w:ascii="Calibri" w:eastAsia="Times New Roman" w:hAnsi="Calibri" w:cs="Times New Roman"/>
                <w:color w:val="000000"/>
                <w:lang w:eastAsia="en-GB"/>
              </w:rPr>
            </w:pPr>
            <w:r w:rsidRPr="00114793">
              <w:rPr>
                <w:rFonts w:ascii="Calibri" w:eastAsia="Times New Roman" w:hAnsi="Calibri" w:cs="Times New Roman"/>
                <w:color w:val="000000"/>
                <w:lang w:eastAsia="en-GB"/>
              </w:rPr>
              <w:t>164</w:t>
            </w:r>
          </w:p>
        </w:tc>
        <w:tc>
          <w:tcPr>
            <w:tcW w:w="1588" w:type="dxa"/>
            <w:tcBorders>
              <w:top w:val="nil"/>
              <w:left w:val="single" w:sz="4" w:space="0" w:color="auto"/>
              <w:bottom w:val="single" w:sz="4" w:space="0" w:color="auto"/>
              <w:right w:val="single" w:sz="8" w:space="0" w:color="auto"/>
            </w:tcBorders>
            <w:shd w:val="clear" w:color="auto" w:fill="auto"/>
            <w:noWrap/>
            <w:vAlign w:val="center"/>
            <w:hideMark/>
          </w:tcPr>
          <w:p w:rsidR="00A67211" w:rsidRPr="00114793" w:rsidRDefault="00A67211" w:rsidP="009C2F03">
            <w:pPr>
              <w:spacing w:after="0" w:line="240" w:lineRule="auto"/>
              <w:jc w:val="center"/>
              <w:rPr>
                <w:rFonts w:ascii="Calibri" w:eastAsia="Times New Roman" w:hAnsi="Calibri" w:cs="Times New Roman"/>
                <w:color w:val="000000"/>
                <w:lang w:eastAsia="en-GB"/>
              </w:rPr>
            </w:pPr>
            <w:r w:rsidRPr="00114793">
              <w:rPr>
                <w:rFonts w:ascii="Calibri" w:eastAsia="Times New Roman" w:hAnsi="Calibri" w:cs="Times New Roman"/>
                <w:color w:val="000000"/>
                <w:lang w:eastAsia="en-GB"/>
              </w:rPr>
              <w:t>13.3%</w:t>
            </w:r>
          </w:p>
        </w:tc>
      </w:tr>
      <w:tr w:rsidR="00A67211" w:rsidRPr="00114793" w:rsidTr="00086723">
        <w:trPr>
          <w:trHeight w:val="20"/>
          <w:jc w:val="center"/>
        </w:trPr>
        <w:tc>
          <w:tcPr>
            <w:tcW w:w="4268" w:type="dxa"/>
            <w:tcBorders>
              <w:top w:val="nil"/>
              <w:left w:val="single" w:sz="4" w:space="0" w:color="auto"/>
              <w:bottom w:val="single" w:sz="4" w:space="0" w:color="auto"/>
              <w:right w:val="single" w:sz="4" w:space="0" w:color="auto"/>
            </w:tcBorders>
            <w:shd w:val="clear" w:color="auto" w:fill="auto"/>
            <w:vAlign w:val="center"/>
            <w:hideMark/>
          </w:tcPr>
          <w:p w:rsidR="00A67211" w:rsidRPr="00114793" w:rsidRDefault="00A67211" w:rsidP="009C2F03">
            <w:pPr>
              <w:spacing w:after="0" w:line="240" w:lineRule="auto"/>
              <w:rPr>
                <w:rFonts w:ascii="Calibri" w:eastAsia="Times New Roman" w:hAnsi="Calibri" w:cs="Times New Roman"/>
                <w:color w:val="000000"/>
                <w:lang w:eastAsia="en-GB"/>
              </w:rPr>
            </w:pPr>
            <w:r>
              <w:rPr>
                <w:rFonts w:ascii="Calibri" w:eastAsia="Times New Roman" w:hAnsi="Calibri" w:cs="Times New Roman"/>
                <w:color w:val="000000"/>
                <w:lang w:eastAsia="en-GB"/>
              </w:rPr>
              <w:t>Economic/</w:t>
            </w:r>
            <w:r w:rsidRPr="00114793">
              <w:rPr>
                <w:rFonts w:ascii="Calibri" w:eastAsia="Times New Roman" w:hAnsi="Calibri" w:cs="Times New Roman"/>
                <w:color w:val="000000"/>
                <w:lang w:eastAsia="en-GB"/>
              </w:rPr>
              <w:t>Community Development / Employment</w:t>
            </w:r>
          </w:p>
        </w:tc>
        <w:tc>
          <w:tcPr>
            <w:tcW w:w="1984" w:type="dxa"/>
            <w:tcBorders>
              <w:top w:val="nil"/>
              <w:left w:val="nil"/>
              <w:bottom w:val="single" w:sz="4" w:space="0" w:color="auto"/>
              <w:right w:val="single" w:sz="8" w:space="0" w:color="auto"/>
            </w:tcBorders>
            <w:shd w:val="clear" w:color="auto" w:fill="auto"/>
            <w:noWrap/>
            <w:vAlign w:val="center"/>
            <w:hideMark/>
          </w:tcPr>
          <w:p w:rsidR="00A67211" w:rsidRPr="00114793" w:rsidRDefault="00A67211" w:rsidP="009C2F03">
            <w:pPr>
              <w:spacing w:after="0" w:line="240" w:lineRule="auto"/>
              <w:jc w:val="center"/>
              <w:rPr>
                <w:rFonts w:ascii="Calibri" w:eastAsia="Times New Roman" w:hAnsi="Calibri" w:cs="Times New Roman"/>
                <w:color w:val="000000"/>
                <w:lang w:eastAsia="en-GB"/>
              </w:rPr>
            </w:pPr>
            <w:r w:rsidRPr="00114793">
              <w:rPr>
                <w:rFonts w:ascii="Calibri" w:eastAsia="Times New Roman" w:hAnsi="Calibri" w:cs="Times New Roman"/>
                <w:color w:val="000000"/>
                <w:lang w:eastAsia="en-GB"/>
              </w:rPr>
              <w:t>152</w:t>
            </w:r>
          </w:p>
        </w:tc>
        <w:tc>
          <w:tcPr>
            <w:tcW w:w="1588" w:type="dxa"/>
            <w:tcBorders>
              <w:top w:val="nil"/>
              <w:left w:val="single" w:sz="4" w:space="0" w:color="auto"/>
              <w:bottom w:val="single" w:sz="4" w:space="0" w:color="auto"/>
              <w:right w:val="single" w:sz="8" w:space="0" w:color="auto"/>
            </w:tcBorders>
            <w:shd w:val="clear" w:color="auto" w:fill="auto"/>
            <w:noWrap/>
            <w:vAlign w:val="center"/>
            <w:hideMark/>
          </w:tcPr>
          <w:p w:rsidR="00A67211" w:rsidRPr="00114793" w:rsidRDefault="00A67211" w:rsidP="009C2F03">
            <w:pPr>
              <w:spacing w:after="0" w:line="240" w:lineRule="auto"/>
              <w:jc w:val="center"/>
              <w:rPr>
                <w:rFonts w:ascii="Calibri" w:eastAsia="Times New Roman" w:hAnsi="Calibri" w:cs="Times New Roman"/>
                <w:color w:val="000000"/>
                <w:lang w:eastAsia="en-GB"/>
              </w:rPr>
            </w:pPr>
            <w:r w:rsidRPr="00114793">
              <w:rPr>
                <w:rFonts w:ascii="Calibri" w:eastAsia="Times New Roman" w:hAnsi="Calibri" w:cs="Times New Roman"/>
                <w:color w:val="000000"/>
                <w:lang w:eastAsia="en-GB"/>
              </w:rPr>
              <w:t>12.3%</w:t>
            </w:r>
          </w:p>
        </w:tc>
      </w:tr>
      <w:tr w:rsidR="00A67211" w:rsidRPr="00114793" w:rsidTr="00086723">
        <w:trPr>
          <w:trHeight w:val="20"/>
          <w:jc w:val="center"/>
        </w:trPr>
        <w:tc>
          <w:tcPr>
            <w:tcW w:w="4268" w:type="dxa"/>
            <w:tcBorders>
              <w:top w:val="nil"/>
              <w:left w:val="single" w:sz="4" w:space="0" w:color="auto"/>
              <w:bottom w:val="single" w:sz="4" w:space="0" w:color="auto"/>
              <w:right w:val="single" w:sz="4" w:space="0" w:color="auto"/>
            </w:tcBorders>
            <w:shd w:val="clear" w:color="auto" w:fill="auto"/>
            <w:vAlign w:val="center"/>
            <w:hideMark/>
          </w:tcPr>
          <w:p w:rsidR="00A67211" w:rsidRPr="00114793" w:rsidRDefault="00A67211" w:rsidP="009C2F03">
            <w:pPr>
              <w:spacing w:after="0" w:line="240" w:lineRule="auto"/>
              <w:rPr>
                <w:rFonts w:ascii="Calibri" w:eastAsia="Times New Roman" w:hAnsi="Calibri" w:cs="Times New Roman"/>
                <w:color w:val="000000"/>
                <w:lang w:eastAsia="en-GB"/>
              </w:rPr>
            </w:pPr>
            <w:r w:rsidRPr="00114793">
              <w:rPr>
                <w:rFonts w:ascii="Calibri" w:eastAsia="Times New Roman" w:hAnsi="Calibri" w:cs="Times New Roman"/>
                <w:color w:val="000000"/>
                <w:lang w:eastAsia="en-GB"/>
              </w:rPr>
              <w:t>Accommodation / Housing</w:t>
            </w:r>
          </w:p>
        </w:tc>
        <w:tc>
          <w:tcPr>
            <w:tcW w:w="1984" w:type="dxa"/>
            <w:tcBorders>
              <w:top w:val="nil"/>
              <w:left w:val="nil"/>
              <w:bottom w:val="single" w:sz="4" w:space="0" w:color="auto"/>
              <w:right w:val="single" w:sz="8" w:space="0" w:color="auto"/>
            </w:tcBorders>
            <w:shd w:val="clear" w:color="auto" w:fill="auto"/>
            <w:noWrap/>
            <w:vAlign w:val="center"/>
            <w:hideMark/>
          </w:tcPr>
          <w:p w:rsidR="00A67211" w:rsidRPr="00114793" w:rsidRDefault="00A67211" w:rsidP="009C2F03">
            <w:pPr>
              <w:spacing w:after="0" w:line="240" w:lineRule="auto"/>
              <w:jc w:val="center"/>
              <w:rPr>
                <w:rFonts w:ascii="Calibri" w:eastAsia="Times New Roman" w:hAnsi="Calibri" w:cs="Times New Roman"/>
                <w:color w:val="000000"/>
                <w:lang w:eastAsia="en-GB"/>
              </w:rPr>
            </w:pPr>
            <w:r w:rsidRPr="00114793">
              <w:rPr>
                <w:rFonts w:ascii="Calibri" w:eastAsia="Times New Roman" w:hAnsi="Calibri" w:cs="Times New Roman"/>
                <w:color w:val="000000"/>
                <w:lang w:eastAsia="en-GB"/>
              </w:rPr>
              <w:t>92</w:t>
            </w:r>
          </w:p>
        </w:tc>
        <w:tc>
          <w:tcPr>
            <w:tcW w:w="1588" w:type="dxa"/>
            <w:tcBorders>
              <w:top w:val="nil"/>
              <w:left w:val="single" w:sz="4" w:space="0" w:color="auto"/>
              <w:bottom w:val="single" w:sz="4" w:space="0" w:color="auto"/>
              <w:right w:val="single" w:sz="8" w:space="0" w:color="auto"/>
            </w:tcBorders>
            <w:shd w:val="clear" w:color="auto" w:fill="auto"/>
            <w:noWrap/>
            <w:vAlign w:val="center"/>
            <w:hideMark/>
          </w:tcPr>
          <w:p w:rsidR="00A67211" w:rsidRPr="00114793" w:rsidRDefault="00A67211" w:rsidP="009C2F03">
            <w:pPr>
              <w:spacing w:after="0" w:line="240" w:lineRule="auto"/>
              <w:jc w:val="center"/>
              <w:rPr>
                <w:rFonts w:ascii="Calibri" w:eastAsia="Times New Roman" w:hAnsi="Calibri" w:cs="Times New Roman"/>
                <w:color w:val="000000"/>
                <w:lang w:eastAsia="en-GB"/>
              </w:rPr>
            </w:pPr>
            <w:r w:rsidRPr="00114793">
              <w:rPr>
                <w:rFonts w:ascii="Calibri" w:eastAsia="Times New Roman" w:hAnsi="Calibri" w:cs="Times New Roman"/>
                <w:color w:val="000000"/>
                <w:lang w:eastAsia="en-GB"/>
              </w:rPr>
              <w:t>7.4%</w:t>
            </w:r>
          </w:p>
        </w:tc>
      </w:tr>
      <w:tr w:rsidR="00A67211" w:rsidRPr="00114793" w:rsidTr="00086723">
        <w:trPr>
          <w:trHeight w:val="20"/>
          <w:jc w:val="center"/>
        </w:trPr>
        <w:tc>
          <w:tcPr>
            <w:tcW w:w="4268" w:type="dxa"/>
            <w:tcBorders>
              <w:top w:val="nil"/>
              <w:left w:val="single" w:sz="4" w:space="0" w:color="auto"/>
              <w:bottom w:val="single" w:sz="4" w:space="0" w:color="auto"/>
              <w:right w:val="single" w:sz="4" w:space="0" w:color="auto"/>
            </w:tcBorders>
            <w:shd w:val="clear" w:color="auto" w:fill="auto"/>
            <w:vAlign w:val="center"/>
            <w:hideMark/>
          </w:tcPr>
          <w:p w:rsidR="00A67211" w:rsidRPr="00114793" w:rsidRDefault="00A67211" w:rsidP="009C2F03">
            <w:pPr>
              <w:spacing w:after="0" w:line="240" w:lineRule="auto"/>
              <w:rPr>
                <w:rFonts w:ascii="Calibri" w:eastAsia="Times New Roman" w:hAnsi="Calibri" w:cs="Times New Roman"/>
                <w:color w:val="000000"/>
                <w:lang w:eastAsia="en-GB"/>
              </w:rPr>
            </w:pPr>
            <w:r w:rsidRPr="00114793">
              <w:rPr>
                <w:rFonts w:ascii="Calibri" w:eastAsia="Times New Roman" w:hAnsi="Calibri" w:cs="Times New Roman"/>
                <w:color w:val="000000"/>
                <w:lang w:eastAsia="en-GB"/>
              </w:rPr>
              <w:t>Overseas Aid/ Famine Relief</w:t>
            </w:r>
          </w:p>
        </w:tc>
        <w:tc>
          <w:tcPr>
            <w:tcW w:w="1984" w:type="dxa"/>
            <w:tcBorders>
              <w:top w:val="nil"/>
              <w:left w:val="nil"/>
              <w:bottom w:val="single" w:sz="4" w:space="0" w:color="auto"/>
              <w:right w:val="single" w:sz="8" w:space="0" w:color="auto"/>
            </w:tcBorders>
            <w:shd w:val="clear" w:color="auto" w:fill="auto"/>
            <w:noWrap/>
            <w:vAlign w:val="center"/>
            <w:hideMark/>
          </w:tcPr>
          <w:p w:rsidR="00A67211" w:rsidRPr="00114793" w:rsidRDefault="00A67211" w:rsidP="009C2F03">
            <w:pPr>
              <w:spacing w:after="0" w:line="240" w:lineRule="auto"/>
              <w:jc w:val="center"/>
              <w:rPr>
                <w:rFonts w:ascii="Calibri" w:eastAsia="Times New Roman" w:hAnsi="Calibri" w:cs="Times New Roman"/>
                <w:color w:val="000000"/>
                <w:lang w:eastAsia="en-GB"/>
              </w:rPr>
            </w:pPr>
            <w:r w:rsidRPr="00114793">
              <w:rPr>
                <w:rFonts w:ascii="Calibri" w:eastAsia="Times New Roman" w:hAnsi="Calibri" w:cs="Times New Roman"/>
                <w:color w:val="000000"/>
                <w:lang w:eastAsia="en-GB"/>
              </w:rPr>
              <w:t>86</w:t>
            </w:r>
          </w:p>
        </w:tc>
        <w:tc>
          <w:tcPr>
            <w:tcW w:w="1588" w:type="dxa"/>
            <w:tcBorders>
              <w:top w:val="nil"/>
              <w:left w:val="single" w:sz="4" w:space="0" w:color="auto"/>
              <w:bottom w:val="single" w:sz="4" w:space="0" w:color="auto"/>
              <w:right w:val="single" w:sz="8" w:space="0" w:color="auto"/>
            </w:tcBorders>
            <w:shd w:val="clear" w:color="auto" w:fill="auto"/>
            <w:noWrap/>
            <w:vAlign w:val="center"/>
            <w:hideMark/>
          </w:tcPr>
          <w:p w:rsidR="00A67211" w:rsidRPr="00114793" w:rsidRDefault="00A67211" w:rsidP="009C2F03">
            <w:pPr>
              <w:spacing w:after="0" w:line="240" w:lineRule="auto"/>
              <w:jc w:val="center"/>
              <w:rPr>
                <w:rFonts w:ascii="Calibri" w:eastAsia="Times New Roman" w:hAnsi="Calibri" w:cs="Times New Roman"/>
                <w:color w:val="000000"/>
                <w:lang w:eastAsia="en-GB"/>
              </w:rPr>
            </w:pPr>
            <w:r w:rsidRPr="00114793">
              <w:rPr>
                <w:rFonts w:ascii="Calibri" w:eastAsia="Times New Roman" w:hAnsi="Calibri" w:cs="Times New Roman"/>
                <w:color w:val="000000"/>
                <w:lang w:eastAsia="en-GB"/>
              </w:rPr>
              <w:t>7.0%</w:t>
            </w:r>
          </w:p>
        </w:tc>
      </w:tr>
      <w:tr w:rsidR="00A67211" w:rsidRPr="00114793" w:rsidTr="00086723">
        <w:trPr>
          <w:trHeight w:val="20"/>
          <w:jc w:val="center"/>
        </w:trPr>
        <w:tc>
          <w:tcPr>
            <w:tcW w:w="4268" w:type="dxa"/>
            <w:tcBorders>
              <w:top w:val="nil"/>
              <w:left w:val="single" w:sz="4" w:space="0" w:color="auto"/>
              <w:bottom w:val="single" w:sz="4" w:space="0" w:color="auto"/>
              <w:right w:val="single" w:sz="4" w:space="0" w:color="auto"/>
            </w:tcBorders>
            <w:shd w:val="clear" w:color="auto" w:fill="auto"/>
            <w:vAlign w:val="center"/>
            <w:hideMark/>
          </w:tcPr>
          <w:p w:rsidR="00A67211" w:rsidRPr="00114793" w:rsidRDefault="00A67211" w:rsidP="009C2F03">
            <w:pPr>
              <w:spacing w:after="0" w:line="240" w:lineRule="auto"/>
              <w:rPr>
                <w:rFonts w:ascii="Calibri" w:eastAsia="Times New Roman" w:hAnsi="Calibri" w:cs="Times New Roman"/>
                <w:color w:val="000000"/>
                <w:lang w:eastAsia="en-GB"/>
              </w:rPr>
            </w:pPr>
            <w:r w:rsidRPr="00114793">
              <w:rPr>
                <w:rFonts w:ascii="Calibri" w:eastAsia="Times New Roman" w:hAnsi="Calibri" w:cs="Times New Roman"/>
                <w:color w:val="000000"/>
                <w:lang w:eastAsia="en-GB"/>
              </w:rPr>
              <w:t>Environment / Conservation / Heritage</w:t>
            </w:r>
          </w:p>
        </w:tc>
        <w:tc>
          <w:tcPr>
            <w:tcW w:w="1984" w:type="dxa"/>
            <w:tcBorders>
              <w:top w:val="nil"/>
              <w:left w:val="nil"/>
              <w:bottom w:val="single" w:sz="4" w:space="0" w:color="auto"/>
              <w:right w:val="single" w:sz="8" w:space="0" w:color="auto"/>
            </w:tcBorders>
            <w:shd w:val="clear" w:color="auto" w:fill="auto"/>
            <w:noWrap/>
            <w:vAlign w:val="center"/>
            <w:hideMark/>
          </w:tcPr>
          <w:p w:rsidR="00A67211" w:rsidRPr="00114793" w:rsidRDefault="00A67211" w:rsidP="009C2F03">
            <w:pPr>
              <w:spacing w:after="0" w:line="240" w:lineRule="auto"/>
              <w:jc w:val="center"/>
              <w:rPr>
                <w:rFonts w:ascii="Calibri" w:eastAsia="Times New Roman" w:hAnsi="Calibri" w:cs="Times New Roman"/>
                <w:color w:val="000000"/>
                <w:lang w:eastAsia="en-GB"/>
              </w:rPr>
            </w:pPr>
            <w:r w:rsidRPr="00114793">
              <w:rPr>
                <w:rFonts w:ascii="Calibri" w:eastAsia="Times New Roman" w:hAnsi="Calibri" w:cs="Times New Roman"/>
                <w:color w:val="000000"/>
                <w:lang w:eastAsia="en-GB"/>
              </w:rPr>
              <w:t>75</w:t>
            </w:r>
          </w:p>
        </w:tc>
        <w:tc>
          <w:tcPr>
            <w:tcW w:w="1588" w:type="dxa"/>
            <w:tcBorders>
              <w:top w:val="nil"/>
              <w:left w:val="single" w:sz="4" w:space="0" w:color="auto"/>
              <w:bottom w:val="single" w:sz="4" w:space="0" w:color="auto"/>
              <w:right w:val="single" w:sz="8" w:space="0" w:color="auto"/>
            </w:tcBorders>
            <w:shd w:val="clear" w:color="auto" w:fill="auto"/>
            <w:noWrap/>
            <w:vAlign w:val="center"/>
            <w:hideMark/>
          </w:tcPr>
          <w:p w:rsidR="00A67211" w:rsidRPr="00114793" w:rsidRDefault="00A67211" w:rsidP="009C2F03">
            <w:pPr>
              <w:spacing w:after="0" w:line="240" w:lineRule="auto"/>
              <w:jc w:val="center"/>
              <w:rPr>
                <w:rFonts w:ascii="Calibri" w:eastAsia="Times New Roman" w:hAnsi="Calibri" w:cs="Times New Roman"/>
                <w:color w:val="000000"/>
                <w:lang w:eastAsia="en-GB"/>
              </w:rPr>
            </w:pPr>
            <w:r w:rsidRPr="00114793">
              <w:rPr>
                <w:rFonts w:ascii="Calibri" w:eastAsia="Times New Roman" w:hAnsi="Calibri" w:cs="Times New Roman"/>
                <w:color w:val="000000"/>
                <w:lang w:eastAsia="en-GB"/>
              </w:rPr>
              <w:t>6.1%</w:t>
            </w:r>
          </w:p>
        </w:tc>
      </w:tr>
      <w:tr w:rsidR="00A67211" w:rsidRPr="00114793" w:rsidTr="00086723">
        <w:trPr>
          <w:trHeight w:val="20"/>
          <w:jc w:val="center"/>
        </w:trPr>
        <w:tc>
          <w:tcPr>
            <w:tcW w:w="4268" w:type="dxa"/>
            <w:tcBorders>
              <w:top w:val="nil"/>
              <w:left w:val="single" w:sz="4" w:space="0" w:color="auto"/>
              <w:bottom w:val="single" w:sz="8" w:space="0" w:color="auto"/>
              <w:right w:val="single" w:sz="4" w:space="0" w:color="auto"/>
            </w:tcBorders>
            <w:shd w:val="clear" w:color="auto" w:fill="auto"/>
            <w:vAlign w:val="center"/>
            <w:hideMark/>
          </w:tcPr>
          <w:p w:rsidR="00A67211" w:rsidRPr="00114793" w:rsidRDefault="00A67211" w:rsidP="009C2F03">
            <w:pPr>
              <w:spacing w:after="0" w:line="240" w:lineRule="auto"/>
              <w:rPr>
                <w:rFonts w:ascii="Calibri" w:eastAsia="Times New Roman" w:hAnsi="Calibri" w:cs="Times New Roman"/>
                <w:color w:val="000000"/>
                <w:lang w:eastAsia="en-GB"/>
              </w:rPr>
            </w:pPr>
            <w:r w:rsidRPr="00114793">
              <w:rPr>
                <w:rFonts w:ascii="Calibri" w:eastAsia="Times New Roman" w:hAnsi="Calibri" w:cs="Times New Roman"/>
                <w:color w:val="000000"/>
                <w:lang w:eastAsia="en-GB"/>
              </w:rPr>
              <w:t>Other Charitable Purposes</w:t>
            </w:r>
          </w:p>
        </w:tc>
        <w:tc>
          <w:tcPr>
            <w:tcW w:w="1984" w:type="dxa"/>
            <w:tcBorders>
              <w:top w:val="nil"/>
              <w:left w:val="nil"/>
              <w:bottom w:val="single" w:sz="8" w:space="0" w:color="auto"/>
              <w:right w:val="single" w:sz="8" w:space="0" w:color="auto"/>
            </w:tcBorders>
            <w:shd w:val="clear" w:color="auto" w:fill="auto"/>
            <w:noWrap/>
            <w:vAlign w:val="center"/>
            <w:hideMark/>
          </w:tcPr>
          <w:p w:rsidR="00A67211" w:rsidRPr="00114793" w:rsidRDefault="00A67211" w:rsidP="009C2F03">
            <w:pPr>
              <w:spacing w:after="0" w:line="240" w:lineRule="auto"/>
              <w:jc w:val="center"/>
              <w:rPr>
                <w:rFonts w:ascii="Calibri" w:eastAsia="Times New Roman" w:hAnsi="Calibri" w:cs="Times New Roman"/>
                <w:color w:val="000000"/>
                <w:lang w:eastAsia="en-GB"/>
              </w:rPr>
            </w:pPr>
            <w:r w:rsidRPr="00114793">
              <w:rPr>
                <w:rFonts w:ascii="Calibri" w:eastAsia="Times New Roman" w:hAnsi="Calibri" w:cs="Times New Roman"/>
                <w:color w:val="000000"/>
                <w:lang w:eastAsia="en-GB"/>
              </w:rPr>
              <w:t>70</w:t>
            </w:r>
          </w:p>
        </w:tc>
        <w:tc>
          <w:tcPr>
            <w:tcW w:w="1588" w:type="dxa"/>
            <w:tcBorders>
              <w:top w:val="nil"/>
              <w:left w:val="single" w:sz="4" w:space="0" w:color="auto"/>
              <w:bottom w:val="single" w:sz="4" w:space="0" w:color="auto"/>
              <w:right w:val="single" w:sz="8" w:space="0" w:color="auto"/>
            </w:tcBorders>
            <w:shd w:val="clear" w:color="auto" w:fill="auto"/>
            <w:noWrap/>
            <w:vAlign w:val="center"/>
            <w:hideMark/>
          </w:tcPr>
          <w:p w:rsidR="00A67211" w:rsidRPr="00114793" w:rsidRDefault="00A67211" w:rsidP="009C2F03">
            <w:pPr>
              <w:spacing w:after="0" w:line="240" w:lineRule="auto"/>
              <w:jc w:val="center"/>
              <w:rPr>
                <w:rFonts w:ascii="Calibri" w:eastAsia="Times New Roman" w:hAnsi="Calibri" w:cs="Times New Roman"/>
                <w:color w:val="000000"/>
                <w:lang w:eastAsia="en-GB"/>
              </w:rPr>
            </w:pPr>
            <w:r w:rsidRPr="00114793">
              <w:rPr>
                <w:rFonts w:ascii="Calibri" w:eastAsia="Times New Roman" w:hAnsi="Calibri" w:cs="Times New Roman"/>
                <w:color w:val="000000"/>
                <w:lang w:eastAsia="en-GB"/>
              </w:rPr>
              <w:t>5.7%</w:t>
            </w:r>
          </w:p>
        </w:tc>
      </w:tr>
      <w:tr w:rsidR="00A67211" w:rsidRPr="00114793" w:rsidTr="00086723">
        <w:trPr>
          <w:trHeight w:val="20"/>
          <w:jc w:val="center"/>
        </w:trPr>
        <w:tc>
          <w:tcPr>
            <w:tcW w:w="4268" w:type="dxa"/>
            <w:tcBorders>
              <w:top w:val="nil"/>
              <w:left w:val="single" w:sz="4" w:space="0" w:color="auto"/>
              <w:bottom w:val="single" w:sz="4" w:space="0" w:color="auto"/>
              <w:right w:val="single" w:sz="4" w:space="0" w:color="auto"/>
            </w:tcBorders>
            <w:shd w:val="clear" w:color="auto" w:fill="auto"/>
            <w:vAlign w:val="center"/>
            <w:hideMark/>
          </w:tcPr>
          <w:p w:rsidR="00A67211" w:rsidRPr="00114793" w:rsidRDefault="00A67211" w:rsidP="009C2F03">
            <w:pPr>
              <w:spacing w:after="0" w:line="240" w:lineRule="auto"/>
              <w:rPr>
                <w:rFonts w:ascii="Calibri" w:eastAsia="Times New Roman" w:hAnsi="Calibri" w:cs="Times New Roman"/>
                <w:color w:val="000000"/>
                <w:lang w:eastAsia="en-GB"/>
              </w:rPr>
            </w:pPr>
            <w:r w:rsidRPr="00114793">
              <w:rPr>
                <w:rFonts w:ascii="Calibri" w:eastAsia="Times New Roman" w:hAnsi="Calibri" w:cs="Times New Roman"/>
                <w:color w:val="000000"/>
                <w:lang w:eastAsia="en-GB"/>
              </w:rPr>
              <w:t>Recreation</w:t>
            </w:r>
          </w:p>
        </w:tc>
        <w:tc>
          <w:tcPr>
            <w:tcW w:w="1984" w:type="dxa"/>
            <w:tcBorders>
              <w:top w:val="nil"/>
              <w:left w:val="nil"/>
              <w:bottom w:val="single" w:sz="4" w:space="0" w:color="auto"/>
              <w:right w:val="single" w:sz="8" w:space="0" w:color="auto"/>
            </w:tcBorders>
            <w:shd w:val="clear" w:color="auto" w:fill="auto"/>
            <w:noWrap/>
            <w:vAlign w:val="center"/>
            <w:hideMark/>
          </w:tcPr>
          <w:p w:rsidR="00A67211" w:rsidRPr="00114793" w:rsidRDefault="00A67211" w:rsidP="009C2F03">
            <w:pPr>
              <w:spacing w:after="0" w:line="240" w:lineRule="auto"/>
              <w:jc w:val="center"/>
              <w:rPr>
                <w:rFonts w:ascii="Calibri" w:eastAsia="Times New Roman" w:hAnsi="Calibri" w:cs="Times New Roman"/>
                <w:color w:val="000000"/>
                <w:lang w:eastAsia="en-GB"/>
              </w:rPr>
            </w:pPr>
            <w:r w:rsidRPr="00114793">
              <w:rPr>
                <w:rFonts w:ascii="Calibri" w:eastAsia="Times New Roman" w:hAnsi="Calibri" w:cs="Times New Roman"/>
                <w:color w:val="000000"/>
                <w:lang w:eastAsia="en-GB"/>
              </w:rPr>
              <w:t>69</w:t>
            </w:r>
          </w:p>
        </w:tc>
        <w:tc>
          <w:tcPr>
            <w:tcW w:w="1588" w:type="dxa"/>
            <w:tcBorders>
              <w:top w:val="nil"/>
              <w:left w:val="single" w:sz="4" w:space="0" w:color="auto"/>
              <w:bottom w:val="single" w:sz="4" w:space="0" w:color="auto"/>
              <w:right w:val="single" w:sz="8" w:space="0" w:color="auto"/>
            </w:tcBorders>
            <w:shd w:val="clear" w:color="auto" w:fill="auto"/>
            <w:noWrap/>
            <w:vAlign w:val="center"/>
            <w:hideMark/>
          </w:tcPr>
          <w:p w:rsidR="00A67211" w:rsidRPr="00114793" w:rsidRDefault="00A67211" w:rsidP="009C2F03">
            <w:pPr>
              <w:spacing w:after="0" w:line="240" w:lineRule="auto"/>
              <w:jc w:val="center"/>
              <w:rPr>
                <w:rFonts w:ascii="Calibri" w:eastAsia="Times New Roman" w:hAnsi="Calibri" w:cs="Times New Roman"/>
                <w:color w:val="000000"/>
                <w:lang w:eastAsia="en-GB"/>
              </w:rPr>
            </w:pPr>
            <w:r w:rsidRPr="00114793">
              <w:rPr>
                <w:rFonts w:ascii="Calibri" w:eastAsia="Times New Roman" w:hAnsi="Calibri" w:cs="Times New Roman"/>
                <w:color w:val="000000"/>
                <w:lang w:eastAsia="en-GB"/>
              </w:rPr>
              <w:t>5.6%</w:t>
            </w:r>
          </w:p>
        </w:tc>
      </w:tr>
      <w:tr w:rsidR="00A67211" w:rsidRPr="00114793" w:rsidTr="00086723">
        <w:trPr>
          <w:trHeight w:val="20"/>
          <w:jc w:val="center"/>
        </w:trPr>
        <w:tc>
          <w:tcPr>
            <w:tcW w:w="4268" w:type="dxa"/>
            <w:tcBorders>
              <w:top w:val="nil"/>
              <w:left w:val="single" w:sz="4" w:space="0" w:color="auto"/>
              <w:bottom w:val="single" w:sz="4" w:space="0" w:color="auto"/>
              <w:right w:val="single" w:sz="4" w:space="0" w:color="auto"/>
            </w:tcBorders>
            <w:shd w:val="clear" w:color="auto" w:fill="auto"/>
            <w:vAlign w:val="center"/>
            <w:hideMark/>
          </w:tcPr>
          <w:p w:rsidR="00A67211" w:rsidRPr="00114793" w:rsidRDefault="00A67211" w:rsidP="009C2F03">
            <w:pPr>
              <w:spacing w:after="0" w:line="240" w:lineRule="auto"/>
              <w:rPr>
                <w:rFonts w:ascii="Calibri" w:eastAsia="Times New Roman" w:hAnsi="Calibri" w:cs="Times New Roman"/>
                <w:color w:val="000000"/>
                <w:lang w:eastAsia="en-GB"/>
              </w:rPr>
            </w:pPr>
            <w:r w:rsidRPr="00114793">
              <w:rPr>
                <w:rFonts w:ascii="Calibri" w:eastAsia="Times New Roman" w:hAnsi="Calibri" w:cs="Times New Roman"/>
                <w:color w:val="000000"/>
                <w:lang w:eastAsia="en-GB"/>
              </w:rPr>
              <w:t>Human Rights / Religious or Racial Harmony / Equality or Diversity</w:t>
            </w:r>
          </w:p>
        </w:tc>
        <w:tc>
          <w:tcPr>
            <w:tcW w:w="1984" w:type="dxa"/>
            <w:tcBorders>
              <w:top w:val="nil"/>
              <w:left w:val="nil"/>
              <w:bottom w:val="single" w:sz="4" w:space="0" w:color="auto"/>
              <w:right w:val="single" w:sz="8" w:space="0" w:color="auto"/>
            </w:tcBorders>
            <w:shd w:val="clear" w:color="auto" w:fill="auto"/>
            <w:noWrap/>
            <w:vAlign w:val="center"/>
            <w:hideMark/>
          </w:tcPr>
          <w:p w:rsidR="00A67211" w:rsidRPr="00114793" w:rsidRDefault="00A67211" w:rsidP="009C2F03">
            <w:pPr>
              <w:spacing w:after="0" w:line="240" w:lineRule="auto"/>
              <w:jc w:val="center"/>
              <w:rPr>
                <w:rFonts w:ascii="Calibri" w:eastAsia="Times New Roman" w:hAnsi="Calibri" w:cs="Times New Roman"/>
                <w:color w:val="000000"/>
                <w:lang w:eastAsia="en-GB"/>
              </w:rPr>
            </w:pPr>
            <w:r w:rsidRPr="00114793">
              <w:rPr>
                <w:rFonts w:ascii="Calibri" w:eastAsia="Times New Roman" w:hAnsi="Calibri" w:cs="Times New Roman"/>
                <w:color w:val="000000"/>
                <w:lang w:eastAsia="en-GB"/>
              </w:rPr>
              <w:t>31</w:t>
            </w:r>
          </w:p>
        </w:tc>
        <w:tc>
          <w:tcPr>
            <w:tcW w:w="1588" w:type="dxa"/>
            <w:tcBorders>
              <w:top w:val="nil"/>
              <w:left w:val="single" w:sz="4" w:space="0" w:color="auto"/>
              <w:bottom w:val="single" w:sz="4" w:space="0" w:color="auto"/>
              <w:right w:val="single" w:sz="8" w:space="0" w:color="auto"/>
            </w:tcBorders>
            <w:shd w:val="clear" w:color="auto" w:fill="auto"/>
            <w:noWrap/>
            <w:vAlign w:val="center"/>
            <w:hideMark/>
          </w:tcPr>
          <w:p w:rsidR="00A67211" w:rsidRPr="00114793" w:rsidRDefault="00A67211" w:rsidP="009C2F03">
            <w:pPr>
              <w:spacing w:after="0" w:line="240" w:lineRule="auto"/>
              <w:jc w:val="center"/>
              <w:rPr>
                <w:rFonts w:ascii="Calibri" w:eastAsia="Times New Roman" w:hAnsi="Calibri" w:cs="Times New Roman"/>
                <w:color w:val="000000"/>
                <w:lang w:eastAsia="en-GB"/>
              </w:rPr>
            </w:pPr>
            <w:r w:rsidRPr="00114793">
              <w:rPr>
                <w:rFonts w:ascii="Calibri" w:eastAsia="Times New Roman" w:hAnsi="Calibri" w:cs="Times New Roman"/>
                <w:color w:val="000000"/>
                <w:lang w:eastAsia="en-GB"/>
              </w:rPr>
              <w:t>2.5%</w:t>
            </w:r>
          </w:p>
        </w:tc>
      </w:tr>
      <w:tr w:rsidR="00A67211" w:rsidRPr="00114793" w:rsidTr="00086723">
        <w:trPr>
          <w:trHeight w:val="20"/>
          <w:jc w:val="center"/>
        </w:trPr>
        <w:tc>
          <w:tcPr>
            <w:tcW w:w="4268" w:type="dxa"/>
            <w:tcBorders>
              <w:top w:val="nil"/>
              <w:left w:val="single" w:sz="4" w:space="0" w:color="auto"/>
              <w:bottom w:val="single" w:sz="4" w:space="0" w:color="auto"/>
              <w:right w:val="single" w:sz="4" w:space="0" w:color="auto"/>
            </w:tcBorders>
            <w:shd w:val="clear" w:color="auto" w:fill="auto"/>
            <w:vAlign w:val="center"/>
            <w:hideMark/>
          </w:tcPr>
          <w:p w:rsidR="00A67211" w:rsidRPr="00114793" w:rsidRDefault="00A67211" w:rsidP="009C2F03">
            <w:pPr>
              <w:spacing w:after="0" w:line="240" w:lineRule="auto"/>
              <w:rPr>
                <w:rFonts w:ascii="Calibri" w:eastAsia="Times New Roman" w:hAnsi="Calibri" w:cs="Times New Roman"/>
                <w:color w:val="000000"/>
                <w:lang w:eastAsia="en-GB"/>
              </w:rPr>
            </w:pPr>
            <w:r w:rsidRPr="00114793">
              <w:rPr>
                <w:rFonts w:ascii="Calibri" w:eastAsia="Times New Roman" w:hAnsi="Calibri" w:cs="Times New Roman"/>
                <w:color w:val="000000"/>
                <w:lang w:eastAsia="en-GB"/>
              </w:rPr>
              <w:t>Animals</w:t>
            </w:r>
          </w:p>
        </w:tc>
        <w:tc>
          <w:tcPr>
            <w:tcW w:w="1984" w:type="dxa"/>
            <w:tcBorders>
              <w:top w:val="nil"/>
              <w:left w:val="nil"/>
              <w:bottom w:val="single" w:sz="4" w:space="0" w:color="auto"/>
              <w:right w:val="single" w:sz="8" w:space="0" w:color="auto"/>
            </w:tcBorders>
            <w:shd w:val="clear" w:color="auto" w:fill="auto"/>
            <w:noWrap/>
            <w:vAlign w:val="center"/>
            <w:hideMark/>
          </w:tcPr>
          <w:p w:rsidR="00A67211" w:rsidRPr="00114793" w:rsidRDefault="00A67211" w:rsidP="009C2F03">
            <w:pPr>
              <w:spacing w:after="0" w:line="240" w:lineRule="auto"/>
              <w:jc w:val="center"/>
              <w:rPr>
                <w:rFonts w:ascii="Calibri" w:eastAsia="Times New Roman" w:hAnsi="Calibri" w:cs="Times New Roman"/>
                <w:color w:val="000000"/>
                <w:lang w:eastAsia="en-GB"/>
              </w:rPr>
            </w:pPr>
            <w:r w:rsidRPr="00114793">
              <w:rPr>
                <w:rFonts w:ascii="Calibri" w:eastAsia="Times New Roman" w:hAnsi="Calibri" w:cs="Times New Roman"/>
                <w:color w:val="000000"/>
                <w:lang w:eastAsia="en-GB"/>
              </w:rPr>
              <w:t>13</w:t>
            </w:r>
          </w:p>
        </w:tc>
        <w:tc>
          <w:tcPr>
            <w:tcW w:w="1588" w:type="dxa"/>
            <w:tcBorders>
              <w:top w:val="nil"/>
              <w:left w:val="single" w:sz="4" w:space="0" w:color="auto"/>
              <w:bottom w:val="single" w:sz="4" w:space="0" w:color="auto"/>
              <w:right w:val="single" w:sz="8" w:space="0" w:color="auto"/>
            </w:tcBorders>
            <w:shd w:val="clear" w:color="auto" w:fill="auto"/>
            <w:noWrap/>
            <w:vAlign w:val="center"/>
            <w:hideMark/>
          </w:tcPr>
          <w:p w:rsidR="00A67211" w:rsidRPr="00114793" w:rsidRDefault="00A67211" w:rsidP="009C2F03">
            <w:pPr>
              <w:spacing w:after="0" w:line="240" w:lineRule="auto"/>
              <w:jc w:val="center"/>
              <w:rPr>
                <w:rFonts w:ascii="Calibri" w:eastAsia="Times New Roman" w:hAnsi="Calibri" w:cs="Times New Roman"/>
                <w:color w:val="000000"/>
                <w:lang w:eastAsia="en-GB"/>
              </w:rPr>
            </w:pPr>
            <w:r w:rsidRPr="00114793">
              <w:rPr>
                <w:rFonts w:ascii="Calibri" w:eastAsia="Times New Roman" w:hAnsi="Calibri" w:cs="Times New Roman"/>
                <w:color w:val="000000"/>
                <w:lang w:eastAsia="en-GB"/>
              </w:rPr>
              <w:t>1.1%</w:t>
            </w:r>
          </w:p>
        </w:tc>
      </w:tr>
      <w:tr w:rsidR="00A67211" w:rsidRPr="00114793" w:rsidTr="00086723">
        <w:trPr>
          <w:trHeight w:val="20"/>
          <w:jc w:val="center"/>
        </w:trPr>
        <w:tc>
          <w:tcPr>
            <w:tcW w:w="4268" w:type="dxa"/>
            <w:tcBorders>
              <w:top w:val="nil"/>
              <w:left w:val="single" w:sz="4" w:space="0" w:color="auto"/>
              <w:bottom w:val="single" w:sz="4" w:space="0" w:color="auto"/>
              <w:right w:val="single" w:sz="4" w:space="0" w:color="auto"/>
            </w:tcBorders>
            <w:shd w:val="clear" w:color="auto" w:fill="auto"/>
            <w:vAlign w:val="center"/>
            <w:hideMark/>
          </w:tcPr>
          <w:p w:rsidR="00A67211" w:rsidRPr="00114793" w:rsidRDefault="00A67211" w:rsidP="009C2F03">
            <w:pPr>
              <w:spacing w:after="0" w:line="240" w:lineRule="auto"/>
              <w:rPr>
                <w:rFonts w:ascii="Calibri" w:eastAsia="Times New Roman" w:hAnsi="Calibri" w:cs="Times New Roman"/>
                <w:color w:val="000000"/>
                <w:lang w:eastAsia="en-GB"/>
              </w:rPr>
            </w:pPr>
            <w:r w:rsidRPr="00114793">
              <w:rPr>
                <w:rFonts w:ascii="Calibri" w:eastAsia="Times New Roman" w:hAnsi="Calibri" w:cs="Times New Roman"/>
                <w:color w:val="000000"/>
                <w:lang w:eastAsia="en-GB"/>
              </w:rPr>
              <w:t>Armed Forces / Emergency Service Efficiency</w:t>
            </w:r>
          </w:p>
        </w:tc>
        <w:tc>
          <w:tcPr>
            <w:tcW w:w="1984" w:type="dxa"/>
            <w:tcBorders>
              <w:top w:val="nil"/>
              <w:left w:val="nil"/>
              <w:bottom w:val="single" w:sz="4" w:space="0" w:color="auto"/>
              <w:right w:val="single" w:sz="8" w:space="0" w:color="auto"/>
            </w:tcBorders>
            <w:shd w:val="clear" w:color="auto" w:fill="auto"/>
            <w:noWrap/>
            <w:vAlign w:val="center"/>
            <w:hideMark/>
          </w:tcPr>
          <w:p w:rsidR="00A67211" w:rsidRPr="00114793" w:rsidRDefault="00A67211" w:rsidP="009C2F03">
            <w:pPr>
              <w:spacing w:after="0" w:line="240" w:lineRule="auto"/>
              <w:jc w:val="center"/>
              <w:rPr>
                <w:rFonts w:ascii="Calibri" w:eastAsia="Times New Roman" w:hAnsi="Calibri" w:cs="Times New Roman"/>
                <w:color w:val="000000"/>
                <w:lang w:eastAsia="en-GB"/>
              </w:rPr>
            </w:pPr>
            <w:r w:rsidRPr="00114793">
              <w:rPr>
                <w:rFonts w:ascii="Calibri" w:eastAsia="Times New Roman" w:hAnsi="Calibri" w:cs="Times New Roman"/>
                <w:color w:val="000000"/>
                <w:lang w:eastAsia="en-GB"/>
              </w:rPr>
              <w:t>3</w:t>
            </w:r>
          </w:p>
        </w:tc>
        <w:tc>
          <w:tcPr>
            <w:tcW w:w="1588" w:type="dxa"/>
            <w:tcBorders>
              <w:top w:val="nil"/>
              <w:left w:val="single" w:sz="4" w:space="0" w:color="auto"/>
              <w:bottom w:val="single" w:sz="4" w:space="0" w:color="auto"/>
              <w:right w:val="single" w:sz="8" w:space="0" w:color="auto"/>
            </w:tcBorders>
            <w:shd w:val="clear" w:color="auto" w:fill="auto"/>
            <w:noWrap/>
            <w:vAlign w:val="center"/>
            <w:hideMark/>
          </w:tcPr>
          <w:p w:rsidR="00A67211" w:rsidRPr="00114793" w:rsidRDefault="00A67211" w:rsidP="009C2F03">
            <w:pPr>
              <w:spacing w:after="0" w:line="240" w:lineRule="auto"/>
              <w:jc w:val="center"/>
              <w:rPr>
                <w:rFonts w:ascii="Calibri" w:eastAsia="Times New Roman" w:hAnsi="Calibri" w:cs="Times New Roman"/>
                <w:color w:val="000000"/>
                <w:lang w:eastAsia="en-GB"/>
              </w:rPr>
            </w:pPr>
            <w:r w:rsidRPr="00114793">
              <w:rPr>
                <w:rFonts w:ascii="Calibri" w:eastAsia="Times New Roman" w:hAnsi="Calibri" w:cs="Times New Roman"/>
                <w:color w:val="000000"/>
                <w:lang w:eastAsia="en-GB"/>
              </w:rPr>
              <w:t>0.2%</w:t>
            </w:r>
          </w:p>
        </w:tc>
      </w:tr>
    </w:tbl>
    <w:p w:rsidR="006914DA" w:rsidRDefault="006914DA" w:rsidP="006914DA">
      <w:pPr>
        <w:spacing w:after="0" w:line="240" w:lineRule="auto"/>
        <w:jc w:val="both"/>
      </w:pPr>
    </w:p>
    <w:p w:rsidR="00A67211" w:rsidRDefault="00A67211" w:rsidP="006914DA">
      <w:pPr>
        <w:spacing w:after="0" w:line="240" w:lineRule="auto"/>
        <w:jc w:val="both"/>
      </w:pPr>
      <w:r>
        <w:t xml:space="preserve">Charities are also asked to register the types of activity they undertake – again, charities can select more than one activity.  These are shown in Table </w:t>
      </w:r>
      <w:r w:rsidR="00E374FD">
        <w:t>1</w:t>
      </w:r>
      <w:r w:rsidR="006914DA">
        <w:t>1</w:t>
      </w:r>
      <w:r w:rsidR="00E374FD">
        <w:t>-</w:t>
      </w:r>
      <w:r>
        <w:t>3 below:</w:t>
      </w:r>
    </w:p>
    <w:p w:rsidR="006914DA" w:rsidRDefault="006914DA" w:rsidP="006914DA">
      <w:pPr>
        <w:spacing w:after="0" w:line="240" w:lineRule="auto"/>
        <w:jc w:val="both"/>
      </w:pPr>
    </w:p>
    <w:p w:rsidR="006914DA" w:rsidRDefault="006914DA" w:rsidP="00E374FD">
      <w:pPr>
        <w:pStyle w:val="Caption"/>
      </w:pPr>
    </w:p>
    <w:p w:rsidR="006914DA" w:rsidRDefault="006914DA" w:rsidP="00E374FD">
      <w:pPr>
        <w:pStyle w:val="Caption"/>
      </w:pPr>
    </w:p>
    <w:p w:rsidR="006914DA" w:rsidRDefault="006914DA" w:rsidP="00E374FD">
      <w:pPr>
        <w:pStyle w:val="Caption"/>
      </w:pPr>
    </w:p>
    <w:p w:rsidR="006914DA" w:rsidRDefault="006914DA" w:rsidP="00E374FD">
      <w:pPr>
        <w:pStyle w:val="Caption"/>
      </w:pPr>
    </w:p>
    <w:p w:rsidR="00A67211" w:rsidRPr="00E374FD" w:rsidRDefault="00E374FD" w:rsidP="00E374FD">
      <w:pPr>
        <w:pStyle w:val="Caption"/>
        <w:rPr>
          <w:b w:val="0"/>
        </w:rPr>
      </w:pPr>
      <w:r w:rsidRPr="00E374FD">
        <w:lastRenderedPageBreak/>
        <w:t xml:space="preserve">Table </w:t>
      </w:r>
      <w:fldSimple w:instr=" STYLEREF 1 \s ">
        <w:r w:rsidR="001663C2">
          <w:rPr>
            <w:noProof/>
          </w:rPr>
          <w:t>11</w:t>
        </w:r>
      </w:fldSimple>
      <w:r w:rsidR="000C02C2">
        <w:noBreakHyphen/>
      </w:r>
      <w:fldSimple w:instr=" SEQ Table \* ARABIC \s 1 ">
        <w:r w:rsidR="001663C2">
          <w:rPr>
            <w:noProof/>
          </w:rPr>
          <w:t>3</w:t>
        </w:r>
      </w:fldSimple>
      <w:r w:rsidR="00A67211" w:rsidRPr="00E374FD">
        <w:t>: Types of activities undertaken by charities operating in Barnet</w:t>
      </w:r>
    </w:p>
    <w:tbl>
      <w:tblPr>
        <w:tblW w:w="7840" w:type="dxa"/>
        <w:jc w:val="center"/>
        <w:tblInd w:w="93" w:type="dxa"/>
        <w:tblLook w:val="04A0" w:firstRow="1" w:lastRow="0" w:firstColumn="1" w:lastColumn="0" w:noHBand="0" w:noVBand="1"/>
      </w:tblPr>
      <w:tblGrid>
        <w:gridCol w:w="4268"/>
        <w:gridCol w:w="1984"/>
        <w:gridCol w:w="1588"/>
      </w:tblGrid>
      <w:tr w:rsidR="00A67211" w:rsidRPr="005B3107" w:rsidTr="00086723">
        <w:trPr>
          <w:trHeight w:val="20"/>
          <w:jc w:val="center"/>
        </w:trPr>
        <w:tc>
          <w:tcPr>
            <w:tcW w:w="4268" w:type="dxa"/>
            <w:tcBorders>
              <w:top w:val="single" w:sz="4" w:space="0" w:color="auto"/>
              <w:left w:val="single" w:sz="4" w:space="0" w:color="auto"/>
              <w:bottom w:val="single" w:sz="8" w:space="0" w:color="auto"/>
              <w:right w:val="single" w:sz="4" w:space="0" w:color="auto"/>
            </w:tcBorders>
            <w:shd w:val="clear" w:color="000000" w:fill="BFBFBF"/>
            <w:noWrap/>
            <w:vAlign w:val="bottom"/>
            <w:hideMark/>
          </w:tcPr>
          <w:p w:rsidR="00A67211" w:rsidRPr="005B3107" w:rsidRDefault="00A67211" w:rsidP="009C2F03">
            <w:pPr>
              <w:spacing w:after="0" w:line="240" w:lineRule="auto"/>
              <w:jc w:val="center"/>
              <w:rPr>
                <w:rFonts w:ascii="Calibri" w:eastAsia="Times New Roman" w:hAnsi="Calibri" w:cs="Times New Roman"/>
                <w:b/>
                <w:bCs/>
                <w:color w:val="000000"/>
                <w:lang w:eastAsia="en-GB"/>
              </w:rPr>
            </w:pPr>
            <w:r>
              <w:rPr>
                <w:rFonts w:ascii="Calibri" w:eastAsia="Times New Roman" w:hAnsi="Calibri" w:cs="Times New Roman"/>
                <w:b/>
                <w:bCs/>
                <w:color w:val="000000"/>
                <w:lang w:eastAsia="en-GB"/>
              </w:rPr>
              <w:t>Activities provided</w:t>
            </w:r>
          </w:p>
        </w:tc>
        <w:tc>
          <w:tcPr>
            <w:tcW w:w="1984" w:type="dxa"/>
            <w:tcBorders>
              <w:top w:val="single" w:sz="4" w:space="0" w:color="auto"/>
              <w:left w:val="nil"/>
              <w:bottom w:val="single" w:sz="8" w:space="0" w:color="auto"/>
              <w:right w:val="single" w:sz="8" w:space="0" w:color="auto"/>
            </w:tcBorders>
            <w:shd w:val="clear" w:color="000000" w:fill="BFBFBF"/>
            <w:noWrap/>
            <w:vAlign w:val="bottom"/>
            <w:hideMark/>
          </w:tcPr>
          <w:p w:rsidR="00A67211" w:rsidRPr="005B3107" w:rsidRDefault="00A67211" w:rsidP="009C2F03">
            <w:pPr>
              <w:spacing w:after="0" w:line="240" w:lineRule="auto"/>
              <w:jc w:val="center"/>
              <w:rPr>
                <w:rFonts w:ascii="Calibri" w:eastAsia="Times New Roman" w:hAnsi="Calibri" w:cs="Times New Roman"/>
                <w:b/>
                <w:bCs/>
                <w:color w:val="000000"/>
                <w:lang w:eastAsia="en-GB"/>
              </w:rPr>
            </w:pPr>
            <w:r w:rsidRPr="005B3107">
              <w:rPr>
                <w:rFonts w:ascii="Calibri" w:eastAsia="Times New Roman" w:hAnsi="Calibri" w:cs="Times New Roman"/>
                <w:b/>
                <w:bCs/>
                <w:color w:val="000000"/>
                <w:lang w:eastAsia="en-GB"/>
              </w:rPr>
              <w:t>Number</w:t>
            </w:r>
          </w:p>
        </w:tc>
        <w:tc>
          <w:tcPr>
            <w:tcW w:w="1588" w:type="dxa"/>
            <w:tcBorders>
              <w:top w:val="single" w:sz="4" w:space="0" w:color="auto"/>
              <w:left w:val="single" w:sz="4" w:space="0" w:color="auto"/>
              <w:bottom w:val="single" w:sz="8" w:space="0" w:color="auto"/>
              <w:right w:val="single" w:sz="8" w:space="0" w:color="auto"/>
            </w:tcBorders>
            <w:shd w:val="clear" w:color="000000" w:fill="BFBFBF"/>
            <w:noWrap/>
            <w:vAlign w:val="bottom"/>
            <w:hideMark/>
          </w:tcPr>
          <w:p w:rsidR="00A67211" w:rsidRPr="005B3107" w:rsidRDefault="00A67211" w:rsidP="009C2F03">
            <w:pPr>
              <w:spacing w:after="0" w:line="240" w:lineRule="auto"/>
              <w:jc w:val="center"/>
              <w:rPr>
                <w:rFonts w:ascii="Calibri" w:eastAsia="Times New Roman" w:hAnsi="Calibri" w:cs="Times New Roman"/>
                <w:b/>
                <w:bCs/>
                <w:color w:val="000000"/>
                <w:lang w:eastAsia="en-GB"/>
              </w:rPr>
            </w:pPr>
            <w:r w:rsidRPr="005B3107">
              <w:rPr>
                <w:rFonts w:ascii="Calibri" w:eastAsia="Times New Roman" w:hAnsi="Calibri" w:cs="Times New Roman"/>
                <w:b/>
                <w:bCs/>
                <w:color w:val="000000"/>
                <w:lang w:eastAsia="en-GB"/>
              </w:rPr>
              <w:t>Percentage</w:t>
            </w:r>
          </w:p>
        </w:tc>
      </w:tr>
      <w:tr w:rsidR="00A67211" w:rsidRPr="005B3107" w:rsidTr="00086723">
        <w:trPr>
          <w:trHeight w:val="20"/>
          <w:jc w:val="center"/>
        </w:trPr>
        <w:tc>
          <w:tcPr>
            <w:tcW w:w="4268" w:type="dxa"/>
            <w:tcBorders>
              <w:top w:val="nil"/>
              <w:left w:val="single" w:sz="4" w:space="0" w:color="auto"/>
              <w:bottom w:val="single" w:sz="4" w:space="0" w:color="auto"/>
              <w:right w:val="single" w:sz="4" w:space="0" w:color="auto"/>
            </w:tcBorders>
            <w:shd w:val="clear" w:color="000000" w:fill="FFFFFF"/>
            <w:vAlign w:val="center"/>
            <w:hideMark/>
          </w:tcPr>
          <w:p w:rsidR="00A67211" w:rsidRPr="005B3107" w:rsidRDefault="00A67211" w:rsidP="009C2F03">
            <w:pPr>
              <w:spacing w:after="0" w:line="240" w:lineRule="auto"/>
              <w:rPr>
                <w:rFonts w:ascii="Calibri" w:eastAsia="Times New Roman" w:hAnsi="Calibri" w:cs="Times New Roman"/>
                <w:lang w:eastAsia="en-GB"/>
              </w:rPr>
            </w:pPr>
            <w:r w:rsidRPr="005B3107">
              <w:rPr>
                <w:rFonts w:ascii="Calibri" w:eastAsia="Times New Roman" w:hAnsi="Calibri" w:cs="Times New Roman"/>
                <w:lang w:eastAsia="en-GB"/>
              </w:rPr>
              <w:t>Makes Grants to Individuals</w:t>
            </w:r>
          </w:p>
        </w:tc>
        <w:tc>
          <w:tcPr>
            <w:tcW w:w="1984" w:type="dxa"/>
            <w:tcBorders>
              <w:top w:val="nil"/>
              <w:left w:val="nil"/>
              <w:bottom w:val="single" w:sz="4" w:space="0" w:color="auto"/>
              <w:right w:val="single" w:sz="8" w:space="0" w:color="auto"/>
            </w:tcBorders>
            <w:shd w:val="clear" w:color="auto" w:fill="auto"/>
            <w:noWrap/>
            <w:vAlign w:val="center"/>
            <w:hideMark/>
          </w:tcPr>
          <w:p w:rsidR="00A67211" w:rsidRPr="005B3107" w:rsidRDefault="00A67211" w:rsidP="009C2F03">
            <w:pPr>
              <w:spacing w:after="0" w:line="240" w:lineRule="auto"/>
              <w:jc w:val="center"/>
              <w:rPr>
                <w:rFonts w:ascii="Calibri" w:eastAsia="Times New Roman" w:hAnsi="Calibri" w:cs="Times New Roman"/>
                <w:color w:val="000000"/>
                <w:lang w:eastAsia="en-GB"/>
              </w:rPr>
            </w:pPr>
            <w:r w:rsidRPr="005B3107">
              <w:rPr>
                <w:rFonts w:ascii="Calibri" w:eastAsia="Times New Roman" w:hAnsi="Calibri" w:cs="Times New Roman"/>
                <w:color w:val="000000"/>
                <w:lang w:eastAsia="en-GB"/>
              </w:rPr>
              <w:t>215</w:t>
            </w:r>
          </w:p>
        </w:tc>
        <w:tc>
          <w:tcPr>
            <w:tcW w:w="1588" w:type="dxa"/>
            <w:tcBorders>
              <w:top w:val="nil"/>
              <w:left w:val="single" w:sz="4" w:space="0" w:color="auto"/>
              <w:bottom w:val="single" w:sz="4" w:space="0" w:color="auto"/>
              <w:right w:val="single" w:sz="8" w:space="0" w:color="auto"/>
            </w:tcBorders>
            <w:shd w:val="clear" w:color="auto" w:fill="auto"/>
            <w:noWrap/>
            <w:vAlign w:val="center"/>
            <w:hideMark/>
          </w:tcPr>
          <w:p w:rsidR="00A67211" w:rsidRPr="005B3107" w:rsidRDefault="00A67211" w:rsidP="009C2F03">
            <w:pPr>
              <w:spacing w:after="0" w:line="240" w:lineRule="auto"/>
              <w:jc w:val="center"/>
              <w:rPr>
                <w:rFonts w:ascii="Calibri" w:eastAsia="Times New Roman" w:hAnsi="Calibri" w:cs="Times New Roman"/>
                <w:color w:val="000000"/>
                <w:lang w:eastAsia="en-GB"/>
              </w:rPr>
            </w:pPr>
            <w:r w:rsidRPr="005B3107">
              <w:rPr>
                <w:rFonts w:ascii="Calibri" w:eastAsia="Times New Roman" w:hAnsi="Calibri" w:cs="Times New Roman"/>
                <w:color w:val="000000"/>
                <w:lang w:eastAsia="en-GB"/>
              </w:rPr>
              <w:t>17.4%</w:t>
            </w:r>
          </w:p>
        </w:tc>
      </w:tr>
      <w:tr w:rsidR="00A67211" w:rsidRPr="005B3107" w:rsidTr="00086723">
        <w:trPr>
          <w:trHeight w:val="20"/>
          <w:jc w:val="center"/>
        </w:trPr>
        <w:tc>
          <w:tcPr>
            <w:tcW w:w="4268" w:type="dxa"/>
            <w:tcBorders>
              <w:top w:val="nil"/>
              <w:left w:val="single" w:sz="4" w:space="0" w:color="auto"/>
              <w:bottom w:val="single" w:sz="4" w:space="0" w:color="auto"/>
              <w:right w:val="single" w:sz="4" w:space="0" w:color="auto"/>
            </w:tcBorders>
            <w:shd w:val="clear" w:color="000000" w:fill="FFFFFF"/>
            <w:vAlign w:val="center"/>
            <w:hideMark/>
          </w:tcPr>
          <w:p w:rsidR="00A67211" w:rsidRPr="005B3107" w:rsidRDefault="00A67211" w:rsidP="009C2F03">
            <w:pPr>
              <w:spacing w:after="0" w:line="240" w:lineRule="auto"/>
              <w:rPr>
                <w:rFonts w:ascii="Calibri" w:eastAsia="Times New Roman" w:hAnsi="Calibri" w:cs="Times New Roman"/>
                <w:lang w:eastAsia="en-GB"/>
              </w:rPr>
            </w:pPr>
            <w:r w:rsidRPr="005B3107">
              <w:rPr>
                <w:rFonts w:ascii="Calibri" w:eastAsia="Times New Roman" w:hAnsi="Calibri" w:cs="Times New Roman"/>
                <w:lang w:eastAsia="en-GB"/>
              </w:rPr>
              <w:t>Makes Grants to Organisations</w:t>
            </w:r>
          </w:p>
        </w:tc>
        <w:tc>
          <w:tcPr>
            <w:tcW w:w="1984" w:type="dxa"/>
            <w:tcBorders>
              <w:top w:val="nil"/>
              <w:left w:val="nil"/>
              <w:bottom w:val="single" w:sz="4" w:space="0" w:color="auto"/>
              <w:right w:val="single" w:sz="8" w:space="0" w:color="auto"/>
            </w:tcBorders>
            <w:shd w:val="clear" w:color="auto" w:fill="auto"/>
            <w:noWrap/>
            <w:vAlign w:val="center"/>
            <w:hideMark/>
          </w:tcPr>
          <w:p w:rsidR="00A67211" w:rsidRPr="005B3107" w:rsidRDefault="00A67211" w:rsidP="009C2F03">
            <w:pPr>
              <w:spacing w:after="0" w:line="240" w:lineRule="auto"/>
              <w:jc w:val="center"/>
              <w:rPr>
                <w:rFonts w:ascii="Calibri" w:eastAsia="Times New Roman" w:hAnsi="Calibri" w:cs="Times New Roman"/>
                <w:color w:val="000000"/>
                <w:lang w:eastAsia="en-GB"/>
              </w:rPr>
            </w:pPr>
            <w:r w:rsidRPr="005B3107">
              <w:rPr>
                <w:rFonts w:ascii="Calibri" w:eastAsia="Times New Roman" w:hAnsi="Calibri" w:cs="Times New Roman"/>
                <w:color w:val="000000"/>
                <w:lang w:eastAsia="en-GB"/>
              </w:rPr>
              <w:t>369</w:t>
            </w:r>
          </w:p>
        </w:tc>
        <w:tc>
          <w:tcPr>
            <w:tcW w:w="1588" w:type="dxa"/>
            <w:tcBorders>
              <w:top w:val="nil"/>
              <w:left w:val="single" w:sz="4" w:space="0" w:color="auto"/>
              <w:bottom w:val="single" w:sz="4" w:space="0" w:color="auto"/>
              <w:right w:val="single" w:sz="8" w:space="0" w:color="auto"/>
            </w:tcBorders>
            <w:shd w:val="clear" w:color="auto" w:fill="auto"/>
            <w:noWrap/>
            <w:vAlign w:val="center"/>
            <w:hideMark/>
          </w:tcPr>
          <w:p w:rsidR="00A67211" w:rsidRPr="005B3107" w:rsidRDefault="00A67211" w:rsidP="009C2F03">
            <w:pPr>
              <w:spacing w:after="0" w:line="240" w:lineRule="auto"/>
              <w:jc w:val="center"/>
              <w:rPr>
                <w:rFonts w:ascii="Calibri" w:eastAsia="Times New Roman" w:hAnsi="Calibri" w:cs="Times New Roman"/>
                <w:color w:val="000000"/>
                <w:lang w:eastAsia="en-GB"/>
              </w:rPr>
            </w:pPr>
            <w:r w:rsidRPr="005B3107">
              <w:rPr>
                <w:rFonts w:ascii="Calibri" w:eastAsia="Times New Roman" w:hAnsi="Calibri" w:cs="Times New Roman"/>
                <w:color w:val="000000"/>
                <w:lang w:eastAsia="en-GB"/>
              </w:rPr>
              <w:t>29.9%</w:t>
            </w:r>
          </w:p>
        </w:tc>
      </w:tr>
      <w:tr w:rsidR="00A67211" w:rsidRPr="005B3107" w:rsidTr="00086723">
        <w:trPr>
          <w:trHeight w:val="20"/>
          <w:jc w:val="center"/>
        </w:trPr>
        <w:tc>
          <w:tcPr>
            <w:tcW w:w="4268" w:type="dxa"/>
            <w:tcBorders>
              <w:top w:val="nil"/>
              <w:left w:val="single" w:sz="4" w:space="0" w:color="auto"/>
              <w:bottom w:val="single" w:sz="4" w:space="0" w:color="auto"/>
              <w:right w:val="single" w:sz="4" w:space="0" w:color="auto"/>
            </w:tcBorders>
            <w:shd w:val="clear" w:color="000000" w:fill="FFFFFF"/>
            <w:vAlign w:val="center"/>
            <w:hideMark/>
          </w:tcPr>
          <w:p w:rsidR="00A67211" w:rsidRPr="005B3107" w:rsidRDefault="00A67211" w:rsidP="009C2F03">
            <w:pPr>
              <w:spacing w:after="0" w:line="240" w:lineRule="auto"/>
              <w:rPr>
                <w:rFonts w:ascii="Calibri" w:eastAsia="Times New Roman" w:hAnsi="Calibri" w:cs="Times New Roman"/>
                <w:lang w:eastAsia="en-GB"/>
              </w:rPr>
            </w:pPr>
            <w:r w:rsidRPr="005B3107">
              <w:rPr>
                <w:rFonts w:ascii="Calibri" w:eastAsia="Times New Roman" w:hAnsi="Calibri" w:cs="Times New Roman"/>
                <w:lang w:eastAsia="en-GB"/>
              </w:rPr>
              <w:t>Provides Other Finance</w:t>
            </w:r>
          </w:p>
        </w:tc>
        <w:tc>
          <w:tcPr>
            <w:tcW w:w="1984" w:type="dxa"/>
            <w:tcBorders>
              <w:top w:val="nil"/>
              <w:left w:val="nil"/>
              <w:bottom w:val="single" w:sz="4" w:space="0" w:color="auto"/>
              <w:right w:val="single" w:sz="8" w:space="0" w:color="auto"/>
            </w:tcBorders>
            <w:shd w:val="clear" w:color="auto" w:fill="auto"/>
            <w:noWrap/>
            <w:vAlign w:val="center"/>
            <w:hideMark/>
          </w:tcPr>
          <w:p w:rsidR="00A67211" w:rsidRPr="005B3107" w:rsidRDefault="00A67211" w:rsidP="009C2F03">
            <w:pPr>
              <w:spacing w:after="0" w:line="240" w:lineRule="auto"/>
              <w:jc w:val="center"/>
              <w:rPr>
                <w:rFonts w:ascii="Calibri" w:eastAsia="Times New Roman" w:hAnsi="Calibri" w:cs="Times New Roman"/>
                <w:color w:val="000000"/>
                <w:lang w:eastAsia="en-GB"/>
              </w:rPr>
            </w:pPr>
            <w:r w:rsidRPr="005B3107">
              <w:rPr>
                <w:rFonts w:ascii="Calibri" w:eastAsia="Times New Roman" w:hAnsi="Calibri" w:cs="Times New Roman"/>
                <w:color w:val="000000"/>
                <w:lang w:eastAsia="en-GB"/>
              </w:rPr>
              <w:t>60</w:t>
            </w:r>
          </w:p>
        </w:tc>
        <w:tc>
          <w:tcPr>
            <w:tcW w:w="1588" w:type="dxa"/>
            <w:tcBorders>
              <w:top w:val="nil"/>
              <w:left w:val="single" w:sz="4" w:space="0" w:color="auto"/>
              <w:bottom w:val="single" w:sz="4" w:space="0" w:color="auto"/>
              <w:right w:val="single" w:sz="8" w:space="0" w:color="auto"/>
            </w:tcBorders>
            <w:shd w:val="clear" w:color="auto" w:fill="auto"/>
            <w:noWrap/>
            <w:vAlign w:val="center"/>
            <w:hideMark/>
          </w:tcPr>
          <w:p w:rsidR="00A67211" w:rsidRPr="005B3107" w:rsidRDefault="00A67211" w:rsidP="009C2F03">
            <w:pPr>
              <w:spacing w:after="0" w:line="240" w:lineRule="auto"/>
              <w:jc w:val="center"/>
              <w:rPr>
                <w:rFonts w:ascii="Calibri" w:eastAsia="Times New Roman" w:hAnsi="Calibri" w:cs="Times New Roman"/>
                <w:color w:val="000000"/>
                <w:lang w:eastAsia="en-GB"/>
              </w:rPr>
            </w:pPr>
            <w:r w:rsidRPr="005B3107">
              <w:rPr>
                <w:rFonts w:ascii="Calibri" w:eastAsia="Times New Roman" w:hAnsi="Calibri" w:cs="Times New Roman"/>
                <w:color w:val="000000"/>
                <w:lang w:eastAsia="en-GB"/>
              </w:rPr>
              <w:t>4.9%</w:t>
            </w:r>
          </w:p>
        </w:tc>
      </w:tr>
      <w:tr w:rsidR="00A67211" w:rsidRPr="005B3107" w:rsidTr="00086723">
        <w:trPr>
          <w:trHeight w:val="20"/>
          <w:jc w:val="center"/>
        </w:trPr>
        <w:tc>
          <w:tcPr>
            <w:tcW w:w="4268" w:type="dxa"/>
            <w:tcBorders>
              <w:top w:val="nil"/>
              <w:left w:val="single" w:sz="4" w:space="0" w:color="auto"/>
              <w:bottom w:val="single" w:sz="4" w:space="0" w:color="auto"/>
              <w:right w:val="single" w:sz="4" w:space="0" w:color="auto"/>
            </w:tcBorders>
            <w:shd w:val="clear" w:color="000000" w:fill="FFFFFF"/>
            <w:vAlign w:val="center"/>
            <w:hideMark/>
          </w:tcPr>
          <w:p w:rsidR="00A67211" w:rsidRPr="005B3107" w:rsidRDefault="00A67211" w:rsidP="009C2F03">
            <w:pPr>
              <w:spacing w:after="0" w:line="240" w:lineRule="auto"/>
              <w:rPr>
                <w:rFonts w:ascii="Calibri" w:eastAsia="Times New Roman" w:hAnsi="Calibri" w:cs="Times New Roman"/>
                <w:lang w:eastAsia="en-GB"/>
              </w:rPr>
            </w:pPr>
            <w:r w:rsidRPr="005B3107">
              <w:rPr>
                <w:rFonts w:ascii="Calibri" w:eastAsia="Times New Roman" w:hAnsi="Calibri" w:cs="Times New Roman"/>
                <w:lang w:eastAsia="en-GB"/>
              </w:rPr>
              <w:t>Provides Other Human Resources</w:t>
            </w:r>
          </w:p>
        </w:tc>
        <w:tc>
          <w:tcPr>
            <w:tcW w:w="1984" w:type="dxa"/>
            <w:tcBorders>
              <w:top w:val="nil"/>
              <w:left w:val="nil"/>
              <w:bottom w:val="single" w:sz="4" w:space="0" w:color="auto"/>
              <w:right w:val="single" w:sz="8" w:space="0" w:color="auto"/>
            </w:tcBorders>
            <w:shd w:val="clear" w:color="auto" w:fill="auto"/>
            <w:noWrap/>
            <w:vAlign w:val="center"/>
            <w:hideMark/>
          </w:tcPr>
          <w:p w:rsidR="00A67211" w:rsidRPr="005B3107" w:rsidRDefault="00A67211" w:rsidP="009C2F03">
            <w:pPr>
              <w:spacing w:after="0" w:line="240" w:lineRule="auto"/>
              <w:jc w:val="center"/>
              <w:rPr>
                <w:rFonts w:ascii="Calibri" w:eastAsia="Times New Roman" w:hAnsi="Calibri" w:cs="Times New Roman"/>
                <w:color w:val="000000"/>
                <w:lang w:eastAsia="en-GB"/>
              </w:rPr>
            </w:pPr>
            <w:r w:rsidRPr="005B3107">
              <w:rPr>
                <w:rFonts w:ascii="Calibri" w:eastAsia="Times New Roman" w:hAnsi="Calibri" w:cs="Times New Roman"/>
                <w:color w:val="000000"/>
                <w:lang w:eastAsia="en-GB"/>
              </w:rPr>
              <w:t>253</w:t>
            </w:r>
          </w:p>
        </w:tc>
        <w:tc>
          <w:tcPr>
            <w:tcW w:w="1588" w:type="dxa"/>
            <w:tcBorders>
              <w:top w:val="nil"/>
              <w:left w:val="single" w:sz="4" w:space="0" w:color="auto"/>
              <w:bottom w:val="single" w:sz="4" w:space="0" w:color="auto"/>
              <w:right w:val="single" w:sz="8" w:space="0" w:color="auto"/>
            </w:tcBorders>
            <w:shd w:val="clear" w:color="auto" w:fill="auto"/>
            <w:noWrap/>
            <w:vAlign w:val="center"/>
            <w:hideMark/>
          </w:tcPr>
          <w:p w:rsidR="00A67211" w:rsidRPr="005B3107" w:rsidRDefault="00A67211" w:rsidP="009C2F03">
            <w:pPr>
              <w:spacing w:after="0" w:line="240" w:lineRule="auto"/>
              <w:jc w:val="center"/>
              <w:rPr>
                <w:rFonts w:ascii="Calibri" w:eastAsia="Times New Roman" w:hAnsi="Calibri" w:cs="Times New Roman"/>
                <w:color w:val="000000"/>
                <w:lang w:eastAsia="en-GB"/>
              </w:rPr>
            </w:pPr>
            <w:r w:rsidRPr="005B3107">
              <w:rPr>
                <w:rFonts w:ascii="Calibri" w:eastAsia="Times New Roman" w:hAnsi="Calibri" w:cs="Times New Roman"/>
                <w:color w:val="000000"/>
                <w:lang w:eastAsia="en-GB"/>
              </w:rPr>
              <w:t>20.5%</w:t>
            </w:r>
          </w:p>
        </w:tc>
      </w:tr>
      <w:tr w:rsidR="00A67211" w:rsidRPr="005B3107" w:rsidTr="00086723">
        <w:trPr>
          <w:trHeight w:val="20"/>
          <w:jc w:val="center"/>
        </w:trPr>
        <w:tc>
          <w:tcPr>
            <w:tcW w:w="4268" w:type="dxa"/>
            <w:tcBorders>
              <w:top w:val="nil"/>
              <w:left w:val="single" w:sz="4" w:space="0" w:color="auto"/>
              <w:bottom w:val="single" w:sz="4" w:space="0" w:color="auto"/>
              <w:right w:val="single" w:sz="4" w:space="0" w:color="auto"/>
            </w:tcBorders>
            <w:shd w:val="clear" w:color="000000" w:fill="FFFFFF"/>
            <w:vAlign w:val="center"/>
            <w:hideMark/>
          </w:tcPr>
          <w:p w:rsidR="00A67211" w:rsidRPr="005B3107" w:rsidRDefault="00A67211" w:rsidP="009C2F03">
            <w:pPr>
              <w:spacing w:after="0" w:line="240" w:lineRule="auto"/>
              <w:rPr>
                <w:rFonts w:ascii="Calibri" w:eastAsia="Times New Roman" w:hAnsi="Calibri" w:cs="Times New Roman"/>
                <w:lang w:eastAsia="en-GB"/>
              </w:rPr>
            </w:pPr>
            <w:r w:rsidRPr="005B3107">
              <w:rPr>
                <w:rFonts w:ascii="Calibri" w:eastAsia="Times New Roman" w:hAnsi="Calibri" w:cs="Times New Roman"/>
                <w:lang w:eastAsia="en-GB"/>
              </w:rPr>
              <w:t>Provides Buildings / Facilities / Open Space</w:t>
            </w:r>
          </w:p>
        </w:tc>
        <w:tc>
          <w:tcPr>
            <w:tcW w:w="1984" w:type="dxa"/>
            <w:tcBorders>
              <w:top w:val="nil"/>
              <w:left w:val="nil"/>
              <w:bottom w:val="single" w:sz="4" w:space="0" w:color="auto"/>
              <w:right w:val="single" w:sz="8" w:space="0" w:color="auto"/>
            </w:tcBorders>
            <w:shd w:val="clear" w:color="auto" w:fill="auto"/>
            <w:noWrap/>
            <w:vAlign w:val="center"/>
            <w:hideMark/>
          </w:tcPr>
          <w:p w:rsidR="00A67211" w:rsidRPr="005B3107" w:rsidRDefault="00A67211" w:rsidP="009C2F03">
            <w:pPr>
              <w:spacing w:after="0" w:line="240" w:lineRule="auto"/>
              <w:jc w:val="center"/>
              <w:rPr>
                <w:rFonts w:ascii="Calibri" w:eastAsia="Times New Roman" w:hAnsi="Calibri" w:cs="Times New Roman"/>
                <w:color w:val="000000"/>
                <w:lang w:eastAsia="en-GB"/>
              </w:rPr>
            </w:pPr>
            <w:r w:rsidRPr="005B3107">
              <w:rPr>
                <w:rFonts w:ascii="Calibri" w:eastAsia="Times New Roman" w:hAnsi="Calibri" w:cs="Times New Roman"/>
                <w:color w:val="000000"/>
                <w:lang w:eastAsia="en-GB"/>
              </w:rPr>
              <w:t>342</w:t>
            </w:r>
          </w:p>
        </w:tc>
        <w:tc>
          <w:tcPr>
            <w:tcW w:w="1588" w:type="dxa"/>
            <w:tcBorders>
              <w:top w:val="nil"/>
              <w:left w:val="single" w:sz="4" w:space="0" w:color="auto"/>
              <w:bottom w:val="single" w:sz="4" w:space="0" w:color="auto"/>
              <w:right w:val="single" w:sz="8" w:space="0" w:color="auto"/>
            </w:tcBorders>
            <w:shd w:val="clear" w:color="auto" w:fill="auto"/>
            <w:noWrap/>
            <w:vAlign w:val="center"/>
            <w:hideMark/>
          </w:tcPr>
          <w:p w:rsidR="00A67211" w:rsidRPr="005B3107" w:rsidRDefault="00A67211" w:rsidP="009C2F03">
            <w:pPr>
              <w:spacing w:after="0" w:line="240" w:lineRule="auto"/>
              <w:jc w:val="center"/>
              <w:rPr>
                <w:rFonts w:ascii="Calibri" w:eastAsia="Times New Roman" w:hAnsi="Calibri" w:cs="Times New Roman"/>
                <w:color w:val="000000"/>
                <w:lang w:eastAsia="en-GB"/>
              </w:rPr>
            </w:pPr>
            <w:r w:rsidRPr="005B3107">
              <w:rPr>
                <w:rFonts w:ascii="Calibri" w:eastAsia="Times New Roman" w:hAnsi="Calibri" w:cs="Times New Roman"/>
                <w:color w:val="000000"/>
                <w:lang w:eastAsia="en-GB"/>
              </w:rPr>
              <w:t>27.7%</w:t>
            </w:r>
          </w:p>
        </w:tc>
      </w:tr>
      <w:tr w:rsidR="00A67211" w:rsidRPr="005B3107" w:rsidTr="00086723">
        <w:trPr>
          <w:trHeight w:val="20"/>
          <w:jc w:val="center"/>
        </w:trPr>
        <w:tc>
          <w:tcPr>
            <w:tcW w:w="4268" w:type="dxa"/>
            <w:tcBorders>
              <w:top w:val="nil"/>
              <w:left w:val="single" w:sz="4" w:space="0" w:color="auto"/>
              <w:bottom w:val="single" w:sz="4" w:space="0" w:color="auto"/>
              <w:right w:val="single" w:sz="4" w:space="0" w:color="auto"/>
            </w:tcBorders>
            <w:shd w:val="clear" w:color="000000" w:fill="FFFFFF"/>
            <w:vAlign w:val="center"/>
            <w:hideMark/>
          </w:tcPr>
          <w:p w:rsidR="00A67211" w:rsidRPr="005B3107" w:rsidRDefault="00A67211" w:rsidP="009C2F03">
            <w:pPr>
              <w:spacing w:after="0" w:line="240" w:lineRule="auto"/>
              <w:rPr>
                <w:rFonts w:ascii="Calibri" w:eastAsia="Times New Roman" w:hAnsi="Calibri" w:cs="Times New Roman"/>
                <w:lang w:eastAsia="en-GB"/>
              </w:rPr>
            </w:pPr>
            <w:r w:rsidRPr="005B3107">
              <w:rPr>
                <w:rFonts w:ascii="Calibri" w:eastAsia="Times New Roman" w:hAnsi="Calibri" w:cs="Times New Roman"/>
                <w:lang w:eastAsia="en-GB"/>
              </w:rPr>
              <w:t>Provides Services</w:t>
            </w:r>
          </w:p>
        </w:tc>
        <w:tc>
          <w:tcPr>
            <w:tcW w:w="1984" w:type="dxa"/>
            <w:tcBorders>
              <w:top w:val="nil"/>
              <w:left w:val="nil"/>
              <w:bottom w:val="single" w:sz="4" w:space="0" w:color="auto"/>
              <w:right w:val="single" w:sz="8" w:space="0" w:color="auto"/>
            </w:tcBorders>
            <w:shd w:val="clear" w:color="auto" w:fill="auto"/>
            <w:noWrap/>
            <w:vAlign w:val="center"/>
            <w:hideMark/>
          </w:tcPr>
          <w:p w:rsidR="00A67211" w:rsidRPr="005B3107" w:rsidRDefault="00A67211" w:rsidP="009C2F03">
            <w:pPr>
              <w:spacing w:after="0" w:line="240" w:lineRule="auto"/>
              <w:jc w:val="center"/>
              <w:rPr>
                <w:rFonts w:ascii="Calibri" w:eastAsia="Times New Roman" w:hAnsi="Calibri" w:cs="Times New Roman"/>
                <w:color w:val="000000"/>
                <w:lang w:eastAsia="en-GB"/>
              </w:rPr>
            </w:pPr>
            <w:r w:rsidRPr="005B3107">
              <w:rPr>
                <w:rFonts w:ascii="Calibri" w:eastAsia="Times New Roman" w:hAnsi="Calibri" w:cs="Times New Roman"/>
                <w:color w:val="000000"/>
                <w:lang w:eastAsia="en-GB"/>
              </w:rPr>
              <w:t>572</w:t>
            </w:r>
          </w:p>
        </w:tc>
        <w:tc>
          <w:tcPr>
            <w:tcW w:w="1588" w:type="dxa"/>
            <w:tcBorders>
              <w:top w:val="nil"/>
              <w:left w:val="single" w:sz="4" w:space="0" w:color="auto"/>
              <w:bottom w:val="single" w:sz="4" w:space="0" w:color="auto"/>
              <w:right w:val="single" w:sz="8" w:space="0" w:color="auto"/>
            </w:tcBorders>
            <w:shd w:val="clear" w:color="auto" w:fill="auto"/>
            <w:noWrap/>
            <w:vAlign w:val="center"/>
            <w:hideMark/>
          </w:tcPr>
          <w:p w:rsidR="00A67211" w:rsidRPr="005B3107" w:rsidRDefault="00A67211" w:rsidP="009C2F03">
            <w:pPr>
              <w:spacing w:after="0" w:line="240" w:lineRule="auto"/>
              <w:jc w:val="center"/>
              <w:rPr>
                <w:rFonts w:ascii="Calibri" w:eastAsia="Times New Roman" w:hAnsi="Calibri" w:cs="Times New Roman"/>
                <w:color w:val="000000"/>
                <w:lang w:eastAsia="en-GB"/>
              </w:rPr>
            </w:pPr>
            <w:r w:rsidRPr="005B3107">
              <w:rPr>
                <w:rFonts w:ascii="Calibri" w:eastAsia="Times New Roman" w:hAnsi="Calibri" w:cs="Times New Roman"/>
                <w:color w:val="000000"/>
                <w:lang w:eastAsia="en-GB"/>
              </w:rPr>
              <w:t>46.3%</w:t>
            </w:r>
          </w:p>
        </w:tc>
      </w:tr>
      <w:tr w:rsidR="00A67211" w:rsidRPr="005B3107" w:rsidTr="00086723">
        <w:trPr>
          <w:trHeight w:val="20"/>
          <w:jc w:val="center"/>
        </w:trPr>
        <w:tc>
          <w:tcPr>
            <w:tcW w:w="4268" w:type="dxa"/>
            <w:tcBorders>
              <w:top w:val="nil"/>
              <w:left w:val="single" w:sz="4" w:space="0" w:color="auto"/>
              <w:bottom w:val="single" w:sz="4" w:space="0" w:color="auto"/>
              <w:right w:val="single" w:sz="4" w:space="0" w:color="auto"/>
            </w:tcBorders>
            <w:shd w:val="clear" w:color="000000" w:fill="FFFFFF"/>
            <w:vAlign w:val="center"/>
            <w:hideMark/>
          </w:tcPr>
          <w:p w:rsidR="00A67211" w:rsidRPr="005B3107" w:rsidRDefault="00A67211" w:rsidP="009C2F03">
            <w:pPr>
              <w:spacing w:after="0" w:line="240" w:lineRule="auto"/>
              <w:rPr>
                <w:rFonts w:ascii="Calibri" w:eastAsia="Times New Roman" w:hAnsi="Calibri" w:cs="Times New Roman"/>
                <w:lang w:eastAsia="en-GB"/>
              </w:rPr>
            </w:pPr>
            <w:r w:rsidRPr="005B3107">
              <w:rPr>
                <w:rFonts w:ascii="Calibri" w:eastAsia="Times New Roman" w:hAnsi="Calibri" w:cs="Times New Roman"/>
                <w:lang w:eastAsia="en-GB"/>
              </w:rPr>
              <w:t>Provides Advocacy / Advice / Information</w:t>
            </w:r>
          </w:p>
        </w:tc>
        <w:tc>
          <w:tcPr>
            <w:tcW w:w="1984" w:type="dxa"/>
            <w:tcBorders>
              <w:top w:val="nil"/>
              <w:left w:val="nil"/>
              <w:bottom w:val="single" w:sz="4" w:space="0" w:color="auto"/>
              <w:right w:val="single" w:sz="8" w:space="0" w:color="auto"/>
            </w:tcBorders>
            <w:shd w:val="clear" w:color="auto" w:fill="auto"/>
            <w:noWrap/>
            <w:vAlign w:val="center"/>
            <w:hideMark/>
          </w:tcPr>
          <w:p w:rsidR="00A67211" w:rsidRPr="005B3107" w:rsidRDefault="00A67211" w:rsidP="009C2F03">
            <w:pPr>
              <w:spacing w:after="0" w:line="240" w:lineRule="auto"/>
              <w:jc w:val="center"/>
              <w:rPr>
                <w:rFonts w:ascii="Calibri" w:eastAsia="Times New Roman" w:hAnsi="Calibri" w:cs="Times New Roman"/>
                <w:color w:val="000000"/>
                <w:lang w:eastAsia="en-GB"/>
              </w:rPr>
            </w:pPr>
            <w:r w:rsidRPr="005B3107">
              <w:rPr>
                <w:rFonts w:ascii="Calibri" w:eastAsia="Times New Roman" w:hAnsi="Calibri" w:cs="Times New Roman"/>
                <w:color w:val="000000"/>
                <w:lang w:eastAsia="en-GB"/>
              </w:rPr>
              <w:t>338</w:t>
            </w:r>
          </w:p>
        </w:tc>
        <w:tc>
          <w:tcPr>
            <w:tcW w:w="1588" w:type="dxa"/>
            <w:tcBorders>
              <w:top w:val="nil"/>
              <w:left w:val="single" w:sz="4" w:space="0" w:color="auto"/>
              <w:bottom w:val="single" w:sz="4" w:space="0" w:color="auto"/>
              <w:right w:val="single" w:sz="8" w:space="0" w:color="auto"/>
            </w:tcBorders>
            <w:shd w:val="clear" w:color="auto" w:fill="auto"/>
            <w:noWrap/>
            <w:vAlign w:val="center"/>
            <w:hideMark/>
          </w:tcPr>
          <w:p w:rsidR="00A67211" w:rsidRPr="005B3107" w:rsidRDefault="00A67211" w:rsidP="009C2F03">
            <w:pPr>
              <w:spacing w:after="0" w:line="240" w:lineRule="auto"/>
              <w:jc w:val="center"/>
              <w:rPr>
                <w:rFonts w:ascii="Calibri" w:eastAsia="Times New Roman" w:hAnsi="Calibri" w:cs="Times New Roman"/>
                <w:color w:val="000000"/>
                <w:lang w:eastAsia="en-GB"/>
              </w:rPr>
            </w:pPr>
            <w:r w:rsidRPr="005B3107">
              <w:rPr>
                <w:rFonts w:ascii="Calibri" w:eastAsia="Times New Roman" w:hAnsi="Calibri" w:cs="Times New Roman"/>
                <w:color w:val="000000"/>
                <w:lang w:eastAsia="en-GB"/>
              </w:rPr>
              <w:t>27.4%</w:t>
            </w:r>
          </w:p>
        </w:tc>
      </w:tr>
      <w:tr w:rsidR="00A67211" w:rsidRPr="005B3107" w:rsidTr="00086723">
        <w:trPr>
          <w:trHeight w:val="20"/>
          <w:jc w:val="center"/>
        </w:trPr>
        <w:tc>
          <w:tcPr>
            <w:tcW w:w="4268" w:type="dxa"/>
            <w:tcBorders>
              <w:top w:val="nil"/>
              <w:left w:val="single" w:sz="4" w:space="0" w:color="auto"/>
              <w:bottom w:val="single" w:sz="4" w:space="0" w:color="auto"/>
              <w:right w:val="single" w:sz="4" w:space="0" w:color="auto"/>
            </w:tcBorders>
            <w:shd w:val="clear" w:color="000000" w:fill="FFFFFF"/>
            <w:vAlign w:val="center"/>
            <w:hideMark/>
          </w:tcPr>
          <w:p w:rsidR="00A67211" w:rsidRPr="005B3107" w:rsidRDefault="00A67211" w:rsidP="009C2F03">
            <w:pPr>
              <w:spacing w:after="0" w:line="240" w:lineRule="auto"/>
              <w:rPr>
                <w:rFonts w:ascii="Calibri" w:eastAsia="Times New Roman" w:hAnsi="Calibri" w:cs="Times New Roman"/>
                <w:lang w:eastAsia="en-GB"/>
              </w:rPr>
            </w:pPr>
            <w:r w:rsidRPr="005B3107">
              <w:rPr>
                <w:rFonts w:ascii="Calibri" w:eastAsia="Times New Roman" w:hAnsi="Calibri" w:cs="Times New Roman"/>
                <w:lang w:eastAsia="en-GB"/>
              </w:rPr>
              <w:t>Sponsors or Undertakes Research</w:t>
            </w:r>
          </w:p>
        </w:tc>
        <w:tc>
          <w:tcPr>
            <w:tcW w:w="1984" w:type="dxa"/>
            <w:tcBorders>
              <w:top w:val="nil"/>
              <w:left w:val="nil"/>
              <w:bottom w:val="single" w:sz="4" w:space="0" w:color="auto"/>
              <w:right w:val="single" w:sz="8" w:space="0" w:color="auto"/>
            </w:tcBorders>
            <w:shd w:val="clear" w:color="auto" w:fill="auto"/>
            <w:noWrap/>
            <w:vAlign w:val="center"/>
            <w:hideMark/>
          </w:tcPr>
          <w:p w:rsidR="00A67211" w:rsidRPr="005B3107" w:rsidRDefault="00A67211" w:rsidP="009C2F03">
            <w:pPr>
              <w:spacing w:after="0" w:line="240" w:lineRule="auto"/>
              <w:jc w:val="center"/>
              <w:rPr>
                <w:rFonts w:ascii="Calibri" w:eastAsia="Times New Roman" w:hAnsi="Calibri" w:cs="Times New Roman"/>
                <w:color w:val="000000"/>
                <w:lang w:eastAsia="en-GB"/>
              </w:rPr>
            </w:pPr>
            <w:r w:rsidRPr="005B3107">
              <w:rPr>
                <w:rFonts w:ascii="Calibri" w:eastAsia="Times New Roman" w:hAnsi="Calibri" w:cs="Times New Roman"/>
                <w:color w:val="000000"/>
                <w:lang w:eastAsia="en-GB"/>
              </w:rPr>
              <w:t>100</w:t>
            </w:r>
          </w:p>
        </w:tc>
        <w:tc>
          <w:tcPr>
            <w:tcW w:w="1588" w:type="dxa"/>
            <w:tcBorders>
              <w:top w:val="nil"/>
              <w:left w:val="single" w:sz="4" w:space="0" w:color="auto"/>
              <w:bottom w:val="single" w:sz="4" w:space="0" w:color="auto"/>
              <w:right w:val="single" w:sz="8" w:space="0" w:color="auto"/>
            </w:tcBorders>
            <w:shd w:val="clear" w:color="auto" w:fill="auto"/>
            <w:noWrap/>
            <w:vAlign w:val="center"/>
            <w:hideMark/>
          </w:tcPr>
          <w:p w:rsidR="00A67211" w:rsidRPr="005B3107" w:rsidRDefault="00A67211" w:rsidP="009C2F03">
            <w:pPr>
              <w:spacing w:after="0" w:line="240" w:lineRule="auto"/>
              <w:jc w:val="center"/>
              <w:rPr>
                <w:rFonts w:ascii="Calibri" w:eastAsia="Times New Roman" w:hAnsi="Calibri" w:cs="Times New Roman"/>
                <w:color w:val="000000"/>
                <w:lang w:eastAsia="en-GB"/>
              </w:rPr>
            </w:pPr>
            <w:r w:rsidRPr="005B3107">
              <w:rPr>
                <w:rFonts w:ascii="Calibri" w:eastAsia="Times New Roman" w:hAnsi="Calibri" w:cs="Times New Roman"/>
                <w:color w:val="000000"/>
                <w:lang w:eastAsia="en-GB"/>
              </w:rPr>
              <w:t>8.1%</w:t>
            </w:r>
          </w:p>
        </w:tc>
      </w:tr>
      <w:tr w:rsidR="00A67211" w:rsidRPr="005B3107" w:rsidTr="00086723">
        <w:trPr>
          <w:trHeight w:val="20"/>
          <w:jc w:val="center"/>
        </w:trPr>
        <w:tc>
          <w:tcPr>
            <w:tcW w:w="4268" w:type="dxa"/>
            <w:tcBorders>
              <w:top w:val="nil"/>
              <w:left w:val="single" w:sz="4" w:space="0" w:color="auto"/>
              <w:bottom w:val="single" w:sz="4" w:space="0" w:color="auto"/>
              <w:right w:val="single" w:sz="4" w:space="0" w:color="auto"/>
            </w:tcBorders>
            <w:shd w:val="clear" w:color="000000" w:fill="FFFFFF"/>
            <w:vAlign w:val="center"/>
            <w:hideMark/>
          </w:tcPr>
          <w:p w:rsidR="00A67211" w:rsidRPr="005B3107" w:rsidRDefault="00A67211" w:rsidP="009C2F03">
            <w:pPr>
              <w:spacing w:after="0" w:line="240" w:lineRule="auto"/>
              <w:rPr>
                <w:rFonts w:ascii="Calibri" w:eastAsia="Times New Roman" w:hAnsi="Calibri" w:cs="Times New Roman"/>
                <w:lang w:eastAsia="en-GB"/>
              </w:rPr>
            </w:pPr>
            <w:r w:rsidRPr="005B3107">
              <w:rPr>
                <w:rFonts w:ascii="Calibri" w:eastAsia="Times New Roman" w:hAnsi="Calibri" w:cs="Times New Roman"/>
                <w:lang w:eastAsia="en-GB"/>
              </w:rPr>
              <w:t>Acts as an Umbrella or Resource Body</w:t>
            </w:r>
          </w:p>
        </w:tc>
        <w:tc>
          <w:tcPr>
            <w:tcW w:w="1984" w:type="dxa"/>
            <w:tcBorders>
              <w:top w:val="nil"/>
              <w:left w:val="nil"/>
              <w:bottom w:val="single" w:sz="4" w:space="0" w:color="auto"/>
              <w:right w:val="single" w:sz="8" w:space="0" w:color="auto"/>
            </w:tcBorders>
            <w:shd w:val="clear" w:color="auto" w:fill="auto"/>
            <w:noWrap/>
            <w:vAlign w:val="center"/>
            <w:hideMark/>
          </w:tcPr>
          <w:p w:rsidR="00A67211" w:rsidRPr="005B3107" w:rsidRDefault="00A67211" w:rsidP="009C2F03">
            <w:pPr>
              <w:spacing w:after="0" w:line="240" w:lineRule="auto"/>
              <w:jc w:val="center"/>
              <w:rPr>
                <w:rFonts w:ascii="Calibri" w:eastAsia="Times New Roman" w:hAnsi="Calibri" w:cs="Times New Roman"/>
                <w:color w:val="000000"/>
                <w:lang w:eastAsia="en-GB"/>
              </w:rPr>
            </w:pPr>
            <w:r w:rsidRPr="005B3107">
              <w:rPr>
                <w:rFonts w:ascii="Calibri" w:eastAsia="Times New Roman" w:hAnsi="Calibri" w:cs="Times New Roman"/>
                <w:color w:val="000000"/>
                <w:lang w:eastAsia="en-GB"/>
              </w:rPr>
              <w:t>122</w:t>
            </w:r>
          </w:p>
        </w:tc>
        <w:tc>
          <w:tcPr>
            <w:tcW w:w="1588" w:type="dxa"/>
            <w:tcBorders>
              <w:top w:val="nil"/>
              <w:left w:val="single" w:sz="4" w:space="0" w:color="auto"/>
              <w:bottom w:val="single" w:sz="4" w:space="0" w:color="auto"/>
              <w:right w:val="single" w:sz="8" w:space="0" w:color="auto"/>
            </w:tcBorders>
            <w:shd w:val="clear" w:color="auto" w:fill="auto"/>
            <w:noWrap/>
            <w:vAlign w:val="center"/>
            <w:hideMark/>
          </w:tcPr>
          <w:p w:rsidR="00A67211" w:rsidRPr="005B3107" w:rsidRDefault="00A67211" w:rsidP="009C2F03">
            <w:pPr>
              <w:spacing w:after="0" w:line="240" w:lineRule="auto"/>
              <w:jc w:val="center"/>
              <w:rPr>
                <w:rFonts w:ascii="Calibri" w:eastAsia="Times New Roman" w:hAnsi="Calibri" w:cs="Times New Roman"/>
                <w:color w:val="000000"/>
                <w:lang w:eastAsia="en-GB"/>
              </w:rPr>
            </w:pPr>
            <w:r w:rsidRPr="005B3107">
              <w:rPr>
                <w:rFonts w:ascii="Calibri" w:eastAsia="Times New Roman" w:hAnsi="Calibri" w:cs="Times New Roman"/>
                <w:color w:val="000000"/>
                <w:lang w:eastAsia="en-GB"/>
              </w:rPr>
              <w:t>9.9%</w:t>
            </w:r>
          </w:p>
        </w:tc>
      </w:tr>
      <w:tr w:rsidR="00A67211" w:rsidRPr="005B3107" w:rsidTr="00086723">
        <w:trPr>
          <w:trHeight w:val="20"/>
          <w:jc w:val="center"/>
        </w:trPr>
        <w:tc>
          <w:tcPr>
            <w:tcW w:w="4268" w:type="dxa"/>
            <w:tcBorders>
              <w:top w:val="nil"/>
              <w:left w:val="single" w:sz="4" w:space="0" w:color="auto"/>
              <w:bottom w:val="single" w:sz="8" w:space="0" w:color="auto"/>
              <w:right w:val="single" w:sz="4" w:space="0" w:color="auto"/>
            </w:tcBorders>
            <w:shd w:val="clear" w:color="000000" w:fill="FFFFFF"/>
            <w:vAlign w:val="center"/>
            <w:hideMark/>
          </w:tcPr>
          <w:p w:rsidR="00A67211" w:rsidRPr="005B3107" w:rsidRDefault="00A67211" w:rsidP="009C2F03">
            <w:pPr>
              <w:spacing w:after="0" w:line="240" w:lineRule="auto"/>
              <w:rPr>
                <w:rFonts w:ascii="Calibri" w:eastAsia="Times New Roman" w:hAnsi="Calibri" w:cs="Times New Roman"/>
                <w:lang w:eastAsia="en-GB"/>
              </w:rPr>
            </w:pPr>
            <w:r w:rsidRPr="005B3107">
              <w:rPr>
                <w:rFonts w:ascii="Calibri" w:eastAsia="Times New Roman" w:hAnsi="Calibri" w:cs="Times New Roman"/>
                <w:lang w:eastAsia="en-GB"/>
              </w:rPr>
              <w:t>Other Charitable Activities</w:t>
            </w:r>
          </w:p>
        </w:tc>
        <w:tc>
          <w:tcPr>
            <w:tcW w:w="1984" w:type="dxa"/>
            <w:tcBorders>
              <w:top w:val="nil"/>
              <w:left w:val="nil"/>
              <w:bottom w:val="single" w:sz="8" w:space="0" w:color="auto"/>
              <w:right w:val="single" w:sz="8" w:space="0" w:color="auto"/>
            </w:tcBorders>
            <w:shd w:val="clear" w:color="auto" w:fill="auto"/>
            <w:noWrap/>
            <w:vAlign w:val="center"/>
            <w:hideMark/>
          </w:tcPr>
          <w:p w:rsidR="00A67211" w:rsidRPr="005B3107" w:rsidRDefault="00A67211" w:rsidP="009C2F03">
            <w:pPr>
              <w:spacing w:after="0" w:line="240" w:lineRule="auto"/>
              <w:jc w:val="center"/>
              <w:rPr>
                <w:rFonts w:ascii="Calibri" w:eastAsia="Times New Roman" w:hAnsi="Calibri" w:cs="Times New Roman"/>
                <w:color w:val="000000"/>
                <w:lang w:eastAsia="en-GB"/>
              </w:rPr>
            </w:pPr>
            <w:r w:rsidRPr="005B3107">
              <w:rPr>
                <w:rFonts w:ascii="Calibri" w:eastAsia="Times New Roman" w:hAnsi="Calibri" w:cs="Times New Roman"/>
                <w:color w:val="000000"/>
                <w:lang w:eastAsia="en-GB"/>
              </w:rPr>
              <w:t>132</w:t>
            </w:r>
          </w:p>
        </w:tc>
        <w:tc>
          <w:tcPr>
            <w:tcW w:w="1588" w:type="dxa"/>
            <w:tcBorders>
              <w:top w:val="nil"/>
              <w:left w:val="single" w:sz="4" w:space="0" w:color="auto"/>
              <w:bottom w:val="single" w:sz="4" w:space="0" w:color="auto"/>
              <w:right w:val="single" w:sz="8" w:space="0" w:color="auto"/>
            </w:tcBorders>
            <w:shd w:val="clear" w:color="auto" w:fill="auto"/>
            <w:noWrap/>
            <w:vAlign w:val="center"/>
            <w:hideMark/>
          </w:tcPr>
          <w:p w:rsidR="00A67211" w:rsidRPr="005B3107" w:rsidRDefault="00A67211" w:rsidP="009C2F03">
            <w:pPr>
              <w:spacing w:after="0" w:line="240" w:lineRule="auto"/>
              <w:jc w:val="center"/>
              <w:rPr>
                <w:rFonts w:ascii="Calibri" w:eastAsia="Times New Roman" w:hAnsi="Calibri" w:cs="Times New Roman"/>
                <w:color w:val="000000"/>
                <w:lang w:eastAsia="en-GB"/>
              </w:rPr>
            </w:pPr>
            <w:r w:rsidRPr="005B3107">
              <w:rPr>
                <w:rFonts w:ascii="Calibri" w:eastAsia="Times New Roman" w:hAnsi="Calibri" w:cs="Times New Roman"/>
                <w:color w:val="000000"/>
                <w:lang w:eastAsia="en-GB"/>
              </w:rPr>
              <w:t>10.7%</w:t>
            </w:r>
          </w:p>
        </w:tc>
      </w:tr>
    </w:tbl>
    <w:p w:rsidR="00A67211" w:rsidRDefault="00A67211" w:rsidP="00A67211"/>
    <w:p w:rsidR="00A67211" w:rsidRDefault="00A67211" w:rsidP="00086723">
      <w:pPr>
        <w:jc w:val="both"/>
      </w:pPr>
      <w:r>
        <w:t xml:space="preserve">For the 638 charities which are also based in the </w:t>
      </w:r>
      <w:r w:rsidR="00037414">
        <w:t>Borough</w:t>
      </w:r>
      <w:r>
        <w:t xml:space="preserve">, it is possible to give a breakdown of the wards in which they are based.  The data refers to the registered address of the charity rather than to the address from which it operates services and these may not always be the same.  Table </w:t>
      </w:r>
      <w:r w:rsidR="00E374FD">
        <w:t>1</w:t>
      </w:r>
      <w:r w:rsidR="00E04DAC">
        <w:t>1</w:t>
      </w:r>
      <w:r w:rsidR="00E374FD">
        <w:t>-</w:t>
      </w:r>
      <w:r>
        <w:t xml:space="preserve">4 and Figure </w:t>
      </w:r>
      <w:r w:rsidR="00E04DAC">
        <w:t>11</w:t>
      </w:r>
      <w:r w:rsidR="00E374FD">
        <w:t>-</w:t>
      </w:r>
      <w:r>
        <w:t>1, below, give this breakdown at ward level.</w:t>
      </w:r>
    </w:p>
    <w:p w:rsidR="00A67211" w:rsidRPr="00E374FD" w:rsidRDefault="00E374FD" w:rsidP="00E374FD">
      <w:pPr>
        <w:pStyle w:val="Caption"/>
        <w:rPr>
          <w:b w:val="0"/>
        </w:rPr>
      </w:pPr>
      <w:r w:rsidRPr="00E374FD">
        <w:t xml:space="preserve">Table </w:t>
      </w:r>
      <w:fldSimple w:instr=" STYLEREF 1 \s ">
        <w:r w:rsidR="001663C2">
          <w:rPr>
            <w:noProof/>
          </w:rPr>
          <w:t>11</w:t>
        </w:r>
      </w:fldSimple>
      <w:r w:rsidR="000C02C2">
        <w:noBreakHyphen/>
      </w:r>
      <w:fldSimple w:instr=" SEQ Table \* ARABIC \s 1 ">
        <w:r w:rsidR="001663C2">
          <w:rPr>
            <w:noProof/>
          </w:rPr>
          <w:t>4</w:t>
        </w:r>
      </w:fldSimple>
      <w:r w:rsidR="00A67211" w:rsidRPr="00E374FD">
        <w:t>: Geographical breakdown of charities based in and operating in Barnet, by ward</w:t>
      </w:r>
    </w:p>
    <w:tbl>
      <w:tblPr>
        <w:tblW w:w="7812"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8"/>
        <w:gridCol w:w="1984"/>
        <w:gridCol w:w="1560"/>
      </w:tblGrid>
      <w:tr w:rsidR="00A67211" w:rsidRPr="0046697C" w:rsidTr="00086723">
        <w:trPr>
          <w:trHeight w:val="300"/>
          <w:jc w:val="center"/>
        </w:trPr>
        <w:tc>
          <w:tcPr>
            <w:tcW w:w="4268" w:type="dxa"/>
            <w:shd w:val="clear" w:color="auto" w:fill="A6A6A6" w:themeFill="background1" w:themeFillShade="A6"/>
            <w:noWrap/>
            <w:vAlign w:val="bottom"/>
            <w:hideMark/>
          </w:tcPr>
          <w:p w:rsidR="00A67211" w:rsidRPr="0046697C" w:rsidRDefault="00A67211" w:rsidP="009C2F03">
            <w:pPr>
              <w:spacing w:after="0" w:line="240" w:lineRule="auto"/>
              <w:jc w:val="center"/>
              <w:rPr>
                <w:rFonts w:ascii="Calibri" w:eastAsia="Times New Roman" w:hAnsi="Calibri" w:cs="Times New Roman"/>
                <w:b/>
                <w:bCs/>
                <w:color w:val="000000"/>
                <w:lang w:eastAsia="en-GB"/>
              </w:rPr>
            </w:pPr>
            <w:r w:rsidRPr="0046697C">
              <w:rPr>
                <w:rFonts w:ascii="Calibri" w:eastAsia="Times New Roman" w:hAnsi="Calibri" w:cs="Times New Roman"/>
                <w:b/>
                <w:bCs/>
                <w:color w:val="000000"/>
                <w:lang w:eastAsia="en-GB"/>
              </w:rPr>
              <w:t>Ward</w:t>
            </w:r>
          </w:p>
        </w:tc>
        <w:tc>
          <w:tcPr>
            <w:tcW w:w="1984" w:type="dxa"/>
            <w:shd w:val="clear" w:color="auto" w:fill="A6A6A6" w:themeFill="background1" w:themeFillShade="A6"/>
            <w:noWrap/>
            <w:vAlign w:val="bottom"/>
            <w:hideMark/>
          </w:tcPr>
          <w:p w:rsidR="00A67211" w:rsidRPr="0046697C" w:rsidRDefault="00A67211" w:rsidP="009C2F03">
            <w:pPr>
              <w:spacing w:after="0" w:line="240" w:lineRule="auto"/>
              <w:jc w:val="center"/>
              <w:rPr>
                <w:rFonts w:ascii="Calibri" w:eastAsia="Times New Roman" w:hAnsi="Calibri" w:cs="Times New Roman"/>
                <w:b/>
                <w:bCs/>
                <w:color w:val="000000"/>
                <w:lang w:eastAsia="en-GB"/>
              </w:rPr>
            </w:pPr>
            <w:r>
              <w:rPr>
                <w:rFonts w:ascii="Calibri" w:eastAsia="Times New Roman" w:hAnsi="Calibri" w:cs="Times New Roman"/>
                <w:b/>
                <w:bCs/>
                <w:color w:val="000000"/>
                <w:lang w:eastAsia="en-GB"/>
              </w:rPr>
              <w:t>Number</w:t>
            </w:r>
          </w:p>
        </w:tc>
        <w:tc>
          <w:tcPr>
            <w:tcW w:w="1560" w:type="dxa"/>
            <w:shd w:val="clear" w:color="auto" w:fill="A6A6A6" w:themeFill="background1" w:themeFillShade="A6"/>
            <w:noWrap/>
            <w:vAlign w:val="bottom"/>
            <w:hideMark/>
          </w:tcPr>
          <w:p w:rsidR="00A67211" w:rsidRPr="0046697C" w:rsidRDefault="00A67211" w:rsidP="009C2F03">
            <w:pPr>
              <w:spacing w:after="0" w:line="240" w:lineRule="auto"/>
              <w:jc w:val="center"/>
              <w:rPr>
                <w:rFonts w:ascii="Calibri" w:eastAsia="Times New Roman" w:hAnsi="Calibri" w:cs="Times New Roman"/>
                <w:b/>
                <w:bCs/>
                <w:color w:val="000000"/>
                <w:lang w:eastAsia="en-GB"/>
              </w:rPr>
            </w:pPr>
            <w:r>
              <w:rPr>
                <w:rFonts w:ascii="Calibri" w:eastAsia="Times New Roman" w:hAnsi="Calibri" w:cs="Times New Roman"/>
                <w:b/>
                <w:bCs/>
                <w:color w:val="000000"/>
                <w:lang w:eastAsia="en-GB"/>
              </w:rPr>
              <w:t>Percentage*</w:t>
            </w:r>
          </w:p>
        </w:tc>
      </w:tr>
      <w:tr w:rsidR="00A67211" w:rsidRPr="0046697C" w:rsidTr="00086723">
        <w:trPr>
          <w:trHeight w:val="300"/>
          <w:jc w:val="center"/>
        </w:trPr>
        <w:tc>
          <w:tcPr>
            <w:tcW w:w="4268" w:type="dxa"/>
            <w:shd w:val="clear" w:color="auto" w:fill="auto"/>
            <w:noWrap/>
            <w:vAlign w:val="center"/>
            <w:hideMark/>
          </w:tcPr>
          <w:p w:rsidR="00A67211" w:rsidRPr="0046697C" w:rsidRDefault="00A67211" w:rsidP="009C2F03">
            <w:pPr>
              <w:spacing w:after="0" w:line="240" w:lineRule="auto"/>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Brunswick Park</w:t>
            </w:r>
          </w:p>
        </w:tc>
        <w:tc>
          <w:tcPr>
            <w:tcW w:w="1984" w:type="dxa"/>
            <w:shd w:val="clear" w:color="auto" w:fill="auto"/>
            <w:noWrap/>
            <w:vAlign w:val="center"/>
            <w:hideMark/>
          </w:tcPr>
          <w:p w:rsidR="00A67211" w:rsidRPr="0046697C" w:rsidRDefault="00A67211" w:rsidP="009C2F03">
            <w:pPr>
              <w:spacing w:after="0" w:line="240" w:lineRule="auto"/>
              <w:jc w:val="center"/>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16</w:t>
            </w:r>
          </w:p>
        </w:tc>
        <w:tc>
          <w:tcPr>
            <w:tcW w:w="1560" w:type="dxa"/>
            <w:shd w:val="clear" w:color="auto" w:fill="auto"/>
            <w:noWrap/>
            <w:vAlign w:val="center"/>
            <w:hideMark/>
          </w:tcPr>
          <w:p w:rsidR="00A67211" w:rsidRPr="0046697C" w:rsidRDefault="00A67211" w:rsidP="009C2F03">
            <w:pPr>
              <w:spacing w:after="0" w:line="240" w:lineRule="auto"/>
              <w:jc w:val="center"/>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2.51%</w:t>
            </w:r>
          </w:p>
        </w:tc>
      </w:tr>
      <w:tr w:rsidR="00A67211" w:rsidRPr="0046697C" w:rsidTr="00086723">
        <w:trPr>
          <w:trHeight w:val="300"/>
          <w:jc w:val="center"/>
        </w:trPr>
        <w:tc>
          <w:tcPr>
            <w:tcW w:w="4268" w:type="dxa"/>
            <w:shd w:val="clear" w:color="auto" w:fill="auto"/>
            <w:noWrap/>
            <w:vAlign w:val="center"/>
            <w:hideMark/>
          </w:tcPr>
          <w:p w:rsidR="00A67211" w:rsidRPr="0046697C" w:rsidRDefault="00A67211" w:rsidP="009C2F03">
            <w:pPr>
              <w:spacing w:after="0" w:line="240" w:lineRule="auto"/>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Burnt Oak</w:t>
            </w:r>
          </w:p>
        </w:tc>
        <w:tc>
          <w:tcPr>
            <w:tcW w:w="1984" w:type="dxa"/>
            <w:shd w:val="clear" w:color="auto" w:fill="auto"/>
            <w:noWrap/>
            <w:vAlign w:val="center"/>
            <w:hideMark/>
          </w:tcPr>
          <w:p w:rsidR="00A67211" w:rsidRPr="0046697C" w:rsidRDefault="00A67211" w:rsidP="009C2F03">
            <w:pPr>
              <w:spacing w:after="0" w:line="240" w:lineRule="auto"/>
              <w:jc w:val="center"/>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17</w:t>
            </w:r>
          </w:p>
        </w:tc>
        <w:tc>
          <w:tcPr>
            <w:tcW w:w="1560" w:type="dxa"/>
            <w:shd w:val="clear" w:color="auto" w:fill="auto"/>
            <w:noWrap/>
            <w:vAlign w:val="center"/>
            <w:hideMark/>
          </w:tcPr>
          <w:p w:rsidR="00A67211" w:rsidRPr="0046697C" w:rsidRDefault="00A67211" w:rsidP="009C2F03">
            <w:pPr>
              <w:spacing w:after="0" w:line="240" w:lineRule="auto"/>
              <w:jc w:val="center"/>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2.66%</w:t>
            </w:r>
          </w:p>
        </w:tc>
      </w:tr>
      <w:tr w:rsidR="00A67211" w:rsidRPr="0046697C" w:rsidTr="00086723">
        <w:trPr>
          <w:trHeight w:val="300"/>
          <w:jc w:val="center"/>
        </w:trPr>
        <w:tc>
          <w:tcPr>
            <w:tcW w:w="4268" w:type="dxa"/>
            <w:shd w:val="clear" w:color="auto" w:fill="auto"/>
            <w:noWrap/>
            <w:vAlign w:val="center"/>
            <w:hideMark/>
          </w:tcPr>
          <w:p w:rsidR="00A67211" w:rsidRPr="0046697C" w:rsidRDefault="00A67211" w:rsidP="009C2F03">
            <w:pPr>
              <w:spacing w:after="0" w:line="240" w:lineRule="auto"/>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Childs Hill</w:t>
            </w:r>
          </w:p>
        </w:tc>
        <w:tc>
          <w:tcPr>
            <w:tcW w:w="1984" w:type="dxa"/>
            <w:shd w:val="clear" w:color="auto" w:fill="auto"/>
            <w:noWrap/>
            <w:vAlign w:val="center"/>
            <w:hideMark/>
          </w:tcPr>
          <w:p w:rsidR="00A67211" w:rsidRPr="0046697C" w:rsidRDefault="00A67211" w:rsidP="009C2F03">
            <w:pPr>
              <w:spacing w:after="0" w:line="240" w:lineRule="auto"/>
              <w:jc w:val="center"/>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31</w:t>
            </w:r>
          </w:p>
        </w:tc>
        <w:tc>
          <w:tcPr>
            <w:tcW w:w="1560" w:type="dxa"/>
            <w:shd w:val="clear" w:color="auto" w:fill="auto"/>
            <w:noWrap/>
            <w:vAlign w:val="center"/>
            <w:hideMark/>
          </w:tcPr>
          <w:p w:rsidR="00A67211" w:rsidRPr="0046697C" w:rsidRDefault="00A67211" w:rsidP="009C2F03">
            <w:pPr>
              <w:spacing w:after="0" w:line="240" w:lineRule="auto"/>
              <w:jc w:val="center"/>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4.86%</w:t>
            </w:r>
          </w:p>
        </w:tc>
      </w:tr>
      <w:tr w:rsidR="00A67211" w:rsidRPr="0046697C" w:rsidTr="00086723">
        <w:trPr>
          <w:trHeight w:val="300"/>
          <w:jc w:val="center"/>
        </w:trPr>
        <w:tc>
          <w:tcPr>
            <w:tcW w:w="4268" w:type="dxa"/>
            <w:shd w:val="clear" w:color="auto" w:fill="auto"/>
            <w:noWrap/>
            <w:vAlign w:val="center"/>
            <w:hideMark/>
          </w:tcPr>
          <w:p w:rsidR="00A67211" w:rsidRPr="0046697C" w:rsidRDefault="00A67211" w:rsidP="009C2F03">
            <w:pPr>
              <w:spacing w:after="0" w:line="240" w:lineRule="auto"/>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Colindale</w:t>
            </w:r>
          </w:p>
        </w:tc>
        <w:tc>
          <w:tcPr>
            <w:tcW w:w="1984" w:type="dxa"/>
            <w:shd w:val="clear" w:color="auto" w:fill="auto"/>
            <w:noWrap/>
            <w:vAlign w:val="center"/>
            <w:hideMark/>
          </w:tcPr>
          <w:p w:rsidR="00A67211" w:rsidRPr="0046697C" w:rsidRDefault="00A67211" w:rsidP="009C2F03">
            <w:pPr>
              <w:spacing w:after="0" w:line="240" w:lineRule="auto"/>
              <w:jc w:val="center"/>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14</w:t>
            </w:r>
          </w:p>
        </w:tc>
        <w:tc>
          <w:tcPr>
            <w:tcW w:w="1560" w:type="dxa"/>
            <w:shd w:val="clear" w:color="auto" w:fill="auto"/>
            <w:noWrap/>
            <w:vAlign w:val="center"/>
            <w:hideMark/>
          </w:tcPr>
          <w:p w:rsidR="00A67211" w:rsidRPr="0046697C" w:rsidRDefault="00A67211" w:rsidP="009C2F03">
            <w:pPr>
              <w:spacing w:after="0" w:line="240" w:lineRule="auto"/>
              <w:jc w:val="center"/>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2.19%</w:t>
            </w:r>
          </w:p>
        </w:tc>
      </w:tr>
      <w:tr w:rsidR="00A67211" w:rsidRPr="0046697C" w:rsidTr="00086723">
        <w:trPr>
          <w:trHeight w:val="300"/>
          <w:jc w:val="center"/>
        </w:trPr>
        <w:tc>
          <w:tcPr>
            <w:tcW w:w="4268" w:type="dxa"/>
            <w:shd w:val="clear" w:color="auto" w:fill="auto"/>
            <w:noWrap/>
            <w:vAlign w:val="center"/>
            <w:hideMark/>
          </w:tcPr>
          <w:p w:rsidR="00A67211" w:rsidRPr="0046697C" w:rsidRDefault="00A67211" w:rsidP="009C2F03">
            <w:pPr>
              <w:spacing w:after="0" w:line="240" w:lineRule="auto"/>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Coppetts</w:t>
            </w:r>
          </w:p>
        </w:tc>
        <w:tc>
          <w:tcPr>
            <w:tcW w:w="1984" w:type="dxa"/>
            <w:shd w:val="clear" w:color="auto" w:fill="auto"/>
            <w:noWrap/>
            <w:vAlign w:val="center"/>
            <w:hideMark/>
          </w:tcPr>
          <w:p w:rsidR="00A67211" w:rsidRPr="0046697C" w:rsidRDefault="00A67211" w:rsidP="009C2F03">
            <w:pPr>
              <w:spacing w:after="0" w:line="240" w:lineRule="auto"/>
              <w:jc w:val="center"/>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16</w:t>
            </w:r>
          </w:p>
        </w:tc>
        <w:tc>
          <w:tcPr>
            <w:tcW w:w="1560" w:type="dxa"/>
            <w:shd w:val="clear" w:color="auto" w:fill="auto"/>
            <w:noWrap/>
            <w:vAlign w:val="center"/>
            <w:hideMark/>
          </w:tcPr>
          <w:p w:rsidR="00A67211" w:rsidRPr="0046697C" w:rsidRDefault="00A67211" w:rsidP="009C2F03">
            <w:pPr>
              <w:spacing w:after="0" w:line="240" w:lineRule="auto"/>
              <w:jc w:val="center"/>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2.51%</w:t>
            </w:r>
          </w:p>
        </w:tc>
      </w:tr>
      <w:tr w:rsidR="00A67211" w:rsidRPr="0046697C" w:rsidTr="00086723">
        <w:trPr>
          <w:trHeight w:val="300"/>
          <w:jc w:val="center"/>
        </w:trPr>
        <w:tc>
          <w:tcPr>
            <w:tcW w:w="4268" w:type="dxa"/>
            <w:shd w:val="clear" w:color="auto" w:fill="auto"/>
            <w:noWrap/>
            <w:vAlign w:val="center"/>
            <w:hideMark/>
          </w:tcPr>
          <w:p w:rsidR="00A67211" w:rsidRPr="0046697C" w:rsidRDefault="00A67211" w:rsidP="009C2F03">
            <w:pPr>
              <w:spacing w:after="0" w:line="240" w:lineRule="auto"/>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East Barnet</w:t>
            </w:r>
          </w:p>
        </w:tc>
        <w:tc>
          <w:tcPr>
            <w:tcW w:w="1984" w:type="dxa"/>
            <w:shd w:val="clear" w:color="auto" w:fill="auto"/>
            <w:noWrap/>
            <w:vAlign w:val="center"/>
            <w:hideMark/>
          </w:tcPr>
          <w:p w:rsidR="00A67211" w:rsidRPr="0046697C" w:rsidRDefault="00A67211" w:rsidP="009C2F03">
            <w:pPr>
              <w:spacing w:after="0" w:line="240" w:lineRule="auto"/>
              <w:jc w:val="center"/>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22</w:t>
            </w:r>
          </w:p>
        </w:tc>
        <w:tc>
          <w:tcPr>
            <w:tcW w:w="1560" w:type="dxa"/>
            <w:shd w:val="clear" w:color="auto" w:fill="auto"/>
            <w:noWrap/>
            <w:vAlign w:val="center"/>
            <w:hideMark/>
          </w:tcPr>
          <w:p w:rsidR="00A67211" w:rsidRPr="0046697C" w:rsidRDefault="00A67211" w:rsidP="009C2F03">
            <w:pPr>
              <w:spacing w:after="0" w:line="240" w:lineRule="auto"/>
              <w:jc w:val="center"/>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3.45%</w:t>
            </w:r>
          </w:p>
        </w:tc>
      </w:tr>
      <w:tr w:rsidR="00A67211" w:rsidRPr="0046697C" w:rsidTr="00086723">
        <w:trPr>
          <w:trHeight w:val="300"/>
          <w:jc w:val="center"/>
        </w:trPr>
        <w:tc>
          <w:tcPr>
            <w:tcW w:w="4268" w:type="dxa"/>
            <w:shd w:val="clear" w:color="auto" w:fill="auto"/>
            <w:noWrap/>
            <w:vAlign w:val="center"/>
            <w:hideMark/>
          </w:tcPr>
          <w:p w:rsidR="00A67211" w:rsidRPr="0046697C" w:rsidRDefault="00A67211" w:rsidP="009C2F03">
            <w:pPr>
              <w:spacing w:after="0" w:line="240" w:lineRule="auto"/>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East Finchley</w:t>
            </w:r>
          </w:p>
        </w:tc>
        <w:tc>
          <w:tcPr>
            <w:tcW w:w="1984" w:type="dxa"/>
            <w:shd w:val="clear" w:color="auto" w:fill="auto"/>
            <w:noWrap/>
            <w:vAlign w:val="center"/>
            <w:hideMark/>
          </w:tcPr>
          <w:p w:rsidR="00A67211" w:rsidRPr="0046697C" w:rsidRDefault="00A67211" w:rsidP="009C2F03">
            <w:pPr>
              <w:spacing w:after="0" w:line="240" w:lineRule="auto"/>
              <w:jc w:val="center"/>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17</w:t>
            </w:r>
          </w:p>
        </w:tc>
        <w:tc>
          <w:tcPr>
            <w:tcW w:w="1560" w:type="dxa"/>
            <w:shd w:val="clear" w:color="auto" w:fill="auto"/>
            <w:noWrap/>
            <w:vAlign w:val="center"/>
            <w:hideMark/>
          </w:tcPr>
          <w:p w:rsidR="00A67211" w:rsidRPr="0046697C" w:rsidRDefault="00A67211" w:rsidP="009C2F03">
            <w:pPr>
              <w:spacing w:after="0" w:line="240" w:lineRule="auto"/>
              <w:jc w:val="center"/>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2.66%</w:t>
            </w:r>
          </w:p>
        </w:tc>
      </w:tr>
      <w:tr w:rsidR="00A67211" w:rsidRPr="0046697C" w:rsidTr="00086723">
        <w:trPr>
          <w:trHeight w:val="300"/>
          <w:jc w:val="center"/>
        </w:trPr>
        <w:tc>
          <w:tcPr>
            <w:tcW w:w="4268" w:type="dxa"/>
            <w:shd w:val="clear" w:color="auto" w:fill="auto"/>
            <w:noWrap/>
            <w:vAlign w:val="center"/>
            <w:hideMark/>
          </w:tcPr>
          <w:p w:rsidR="00A67211" w:rsidRPr="0046697C" w:rsidRDefault="00A67211" w:rsidP="009C2F03">
            <w:pPr>
              <w:spacing w:after="0" w:line="240" w:lineRule="auto"/>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Edgware</w:t>
            </w:r>
          </w:p>
        </w:tc>
        <w:tc>
          <w:tcPr>
            <w:tcW w:w="1984" w:type="dxa"/>
            <w:shd w:val="clear" w:color="auto" w:fill="auto"/>
            <w:noWrap/>
            <w:vAlign w:val="center"/>
            <w:hideMark/>
          </w:tcPr>
          <w:p w:rsidR="00A67211" w:rsidRPr="0046697C" w:rsidRDefault="00A67211" w:rsidP="009C2F03">
            <w:pPr>
              <w:spacing w:after="0" w:line="240" w:lineRule="auto"/>
              <w:jc w:val="center"/>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48</w:t>
            </w:r>
          </w:p>
        </w:tc>
        <w:tc>
          <w:tcPr>
            <w:tcW w:w="1560" w:type="dxa"/>
            <w:shd w:val="clear" w:color="auto" w:fill="auto"/>
            <w:noWrap/>
            <w:vAlign w:val="center"/>
            <w:hideMark/>
          </w:tcPr>
          <w:p w:rsidR="00A67211" w:rsidRPr="0046697C" w:rsidRDefault="00A67211" w:rsidP="009C2F03">
            <w:pPr>
              <w:spacing w:after="0" w:line="240" w:lineRule="auto"/>
              <w:jc w:val="center"/>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7.52%</w:t>
            </w:r>
          </w:p>
        </w:tc>
      </w:tr>
      <w:tr w:rsidR="00A67211" w:rsidRPr="0046697C" w:rsidTr="00086723">
        <w:trPr>
          <w:trHeight w:val="300"/>
          <w:jc w:val="center"/>
        </w:trPr>
        <w:tc>
          <w:tcPr>
            <w:tcW w:w="4268" w:type="dxa"/>
            <w:shd w:val="clear" w:color="auto" w:fill="auto"/>
            <w:noWrap/>
            <w:vAlign w:val="center"/>
            <w:hideMark/>
          </w:tcPr>
          <w:p w:rsidR="00A67211" w:rsidRPr="0046697C" w:rsidRDefault="00A67211" w:rsidP="009C2F03">
            <w:pPr>
              <w:spacing w:after="0" w:line="240" w:lineRule="auto"/>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Finchley Church End</w:t>
            </w:r>
          </w:p>
        </w:tc>
        <w:tc>
          <w:tcPr>
            <w:tcW w:w="1984" w:type="dxa"/>
            <w:shd w:val="clear" w:color="auto" w:fill="auto"/>
            <w:noWrap/>
            <w:vAlign w:val="center"/>
            <w:hideMark/>
          </w:tcPr>
          <w:p w:rsidR="00A67211" w:rsidRPr="0046697C" w:rsidRDefault="00A67211" w:rsidP="009C2F03">
            <w:pPr>
              <w:spacing w:after="0" w:line="240" w:lineRule="auto"/>
              <w:jc w:val="center"/>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36</w:t>
            </w:r>
          </w:p>
        </w:tc>
        <w:tc>
          <w:tcPr>
            <w:tcW w:w="1560" w:type="dxa"/>
            <w:shd w:val="clear" w:color="auto" w:fill="auto"/>
            <w:noWrap/>
            <w:vAlign w:val="center"/>
            <w:hideMark/>
          </w:tcPr>
          <w:p w:rsidR="00A67211" w:rsidRPr="0046697C" w:rsidRDefault="00A67211" w:rsidP="009C2F03">
            <w:pPr>
              <w:spacing w:after="0" w:line="240" w:lineRule="auto"/>
              <w:jc w:val="center"/>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5.64%</w:t>
            </w:r>
          </w:p>
        </w:tc>
      </w:tr>
      <w:tr w:rsidR="00A67211" w:rsidRPr="0046697C" w:rsidTr="00086723">
        <w:trPr>
          <w:trHeight w:val="300"/>
          <w:jc w:val="center"/>
        </w:trPr>
        <w:tc>
          <w:tcPr>
            <w:tcW w:w="4268" w:type="dxa"/>
            <w:shd w:val="clear" w:color="auto" w:fill="auto"/>
            <w:noWrap/>
            <w:vAlign w:val="center"/>
            <w:hideMark/>
          </w:tcPr>
          <w:p w:rsidR="00A67211" w:rsidRPr="0046697C" w:rsidRDefault="00A67211" w:rsidP="009C2F03">
            <w:pPr>
              <w:spacing w:after="0" w:line="240" w:lineRule="auto"/>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Garden Suburb</w:t>
            </w:r>
          </w:p>
        </w:tc>
        <w:tc>
          <w:tcPr>
            <w:tcW w:w="1984" w:type="dxa"/>
            <w:shd w:val="clear" w:color="auto" w:fill="auto"/>
            <w:noWrap/>
            <w:vAlign w:val="center"/>
            <w:hideMark/>
          </w:tcPr>
          <w:p w:rsidR="00A67211" w:rsidRPr="0046697C" w:rsidRDefault="00A67211" w:rsidP="009C2F03">
            <w:pPr>
              <w:spacing w:after="0" w:line="240" w:lineRule="auto"/>
              <w:jc w:val="center"/>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46</w:t>
            </w:r>
          </w:p>
        </w:tc>
        <w:tc>
          <w:tcPr>
            <w:tcW w:w="1560" w:type="dxa"/>
            <w:shd w:val="clear" w:color="auto" w:fill="auto"/>
            <w:noWrap/>
            <w:vAlign w:val="center"/>
            <w:hideMark/>
          </w:tcPr>
          <w:p w:rsidR="00A67211" w:rsidRPr="0046697C" w:rsidRDefault="00A67211" w:rsidP="009C2F03">
            <w:pPr>
              <w:spacing w:after="0" w:line="240" w:lineRule="auto"/>
              <w:jc w:val="center"/>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7.21%</w:t>
            </w:r>
          </w:p>
        </w:tc>
      </w:tr>
      <w:tr w:rsidR="00A67211" w:rsidRPr="0046697C" w:rsidTr="00086723">
        <w:trPr>
          <w:trHeight w:val="300"/>
          <w:jc w:val="center"/>
        </w:trPr>
        <w:tc>
          <w:tcPr>
            <w:tcW w:w="4268" w:type="dxa"/>
            <w:shd w:val="clear" w:color="auto" w:fill="auto"/>
            <w:noWrap/>
            <w:vAlign w:val="center"/>
            <w:hideMark/>
          </w:tcPr>
          <w:p w:rsidR="00A67211" w:rsidRPr="0046697C" w:rsidRDefault="00A67211" w:rsidP="009C2F03">
            <w:pPr>
              <w:spacing w:after="0" w:line="240" w:lineRule="auto"/>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Golders Green</w:t>
            </w:r>
          </w:p>
        </w:tc>
        <w:tc>
          <w:tcPr>
            <w:tcW w:w="1984" w:type="dxa"/>
            <w:shd w:val="clear" w:color="auto" w:fill="auto"/>
            <w:noWrap/>
            <w:vAlign w:val="center"/>
            <w:hideMark/>
          </w:tcPr>
          <w:p w:rsidR="00A67211" w:rsidRPr="0046697C" w:rsidRDefault="00A67211" w:rsidP="009C2F03">
            <w:pPr>
              <w:spacing w:after="0" w:line="240" w:lineRule="auto"/>
              <w:jc w:val="center"/>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74</w:t>
            </w:r>
          </w:p>
        </w:tc>
        <w:tc>
          <w:tcPr>
            <w:tcW w:w="1560" w:type="dxa"/>
            <w:shd w:val="clear" w:color="auto" w:fill="auto"/>
            <w:noWrap/>
            <w:vAlign w:val="center"/>
            <w:hideMark/>
          </w:tcPr>
          <w:p w:rsidR="00A67211" w:rsidRPr="0046697C" w:rsidRDefault="00A67211" w:rsidP="009C2F03">
            <w:pPr>
              <w:spacing w:after="0" w:line="240" w:lineRule="auto"/>
              <w:jc w:val="center"/>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11.60%</w:t>
            </w:r>
          </w:p>
        </w:tc>
      </w:tr>
      <w:tr w:rsidR="00A67211" w:rsidRPr="0046697C" w:rsidTr="00086723">
        <w:trPr>
          <w:trHeight w:val="300"/>
          <w:jc w:val="center"/>
        </w:trPr>
        <w:tc>
          <w:tcPr>
            <w:tcW w:w="4268" w:type="dxa"/>
            <w:shd w:val="clear" w:color="auto" w:fill="auto"/>
            <w:noWrap/>
            <w:vAlign w:val="center"/>
            <w:hideMark/>
          </w:tcPr>
          <w:p w:rsidR="00A67211" w:rsidRPr="0046697C" w:rsidRDefault="00A67211" w:rsidP="009C2F03">
            <w:pPr>
              <w:spacing w:after="0" w:line="240" w:lineRule="auto"/>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Hale</w:t>
            </w:r>
          </w:p>
        </w:tc>
        <w:tc>
          <w:tcPr>
            <w:tcW w:w="1984" w:type="dxa"/>
            <w:shd w:val="clear" w:color="auto" w:fill="auto"/>
            <w:noWrap/>
            <w:vAlign w:val="center"/>
            <w:hideMark/>
          </w:tcPr>
          <w:p w:rsidR="00A67211" w:rsidRPr="0046697C" w:rsidRDefault="00A67211" w:rsidP="009C2F03">
            <w:pPr>
              <w:spacing w:after="0" w:line="240" w:lineRule="auto"/>
              <w:jc w:val="center"/>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25</w:t>
            </w:r>
          </w:p>
        </w:tc>
        <w:tc>
          <w:tcPr>
            <w:tcW w:w="1560" w:type="dxa"/>
            <w:shd w:val="clear" w:color="auto" w:fill="auto"/>
            <w:noWrap/>
            <w:vAlign w:val="center"/>
            <w:hideMark/>
          </w:tcPr>
          <w:p w:rsidR="00A67211" w:rsidRPr="0046697C" w:rsidRDefault="00A67211" w:rsidP="009C2F03">
            <w:pPr>
              <w:spacing w:after="0" w:line="240" w:lineRule="auto"/>
              <w:jc w:val="center"/>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3.92%</w:t>
            </w:r>
          </w:p>
        </w:tc>
      </w:tr>
      <w:tr w:rsidR="00A67211" w:rsidRPr="0046697C" w:rsidTr="00086723">
        <w:trPr>
          <w:trHeight w:val="300"/>
          <w:jc w:val="center"/>
        </w:trPr>
        <w:tc>
          <w:tcPr>
            <w:tcW w:w="4268" w:type="dxa"/>
            <w:shd w:val="clear" w:color="auto" w:fill="auto"/>
            <w:noWrap/>
            <w:vAlign w:val="center"/>
            <w:hideMark/>
          </w:tcPr>
          <w:p w:rsidR="00A67211" w:rsidRPr="0046697C" w:rsidRDefault="00A67211" w:rsidP="009C2F03">
            <w:pPr>
              <w:spacing w:after="0" w:line="240" w:lineRule="auto"/>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Hendon</w:t>
            </w:r>
          </w:p>
        </w:tc>
        <w:tc>
          <w:tcPr>
            <w:tcW w:w="1984" w:type="dxa"/>
            <w:shd w:val="clear" w:color="auto" w:fill="auto"/>
            <w:noWrap/>
            <w:vAlign w:val="center"/>
            <w:hideMark/>
          </w:tcPr>
          <w:p w:rsidR="00A67211" w:rsidRPr="0046697C" w:rsidRDefault="00A67211" w:rsidP="009C2F03">
            <w:pPr>
              <w:spacing w:after="0" w:line="240" w:lineRule="auto"/>
              <w:jc w:val="center"/>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43</w:t>
            </w:r>
          </w:p>
        </w:tc>
        <w:tc>
          <w:tcPr>
            <w:tcW w:w="1560" w:type="dxa"/>
            <w:shd w:val="clear" w:color="auto" w:fill="auto"/>
            <w:noWrap/>
            <w:vAlign w:val="center"/>
            <w:hideMark/>
          </w:tcPr>
          <w:p w:rsidR="00A67211" w:rsidRPr="0046697C" w:rsidRDefault="00A67211" w:rsidP="009C2F03">
            <w:pPr>
              <w:spacing w:after="0" w:line="240" w:lineRule="auto"/>
              <w:jc w:val="center"/>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6.74%</w:t>
            </w:r>
          </w:p>
        </w:tc>
      </w:tr>
      <w:tr w:rsidR="00A67211" w:rsidRPr="0046697C" w:rsidTr="00086723">
        <w:trPr>
          <w:trHeight w:val="300"/>
          <w:jc w:val="center"/>
        </w:trPr>
        <w:tc>
          <w:tcPr>
            <w:tcW w:w="4268" w:type="dxa"/>
            <w:shd w:val="clear" w:color="auto" w:fill="auto"/>
            <w:noWrap/>
            <w:vAlign w:val="center"/>
            <w:hideMark/>
          </w:tcPr>
          <w:p w:rsidR="00A67211" w:rsidRPr="0046697C" w:rsidRDefault="00A67211" w:rsidP="009C2F03">
            <w:pPr>
              <w:spacing w:after="0" w:line="240" w:lineRule="auto"/>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High Barnet</w:t>
            </w:r>
          </w:p>
        </w:tc>
        <w:tc>
          <w:tcPr>
            <w:tcW w:w="1984" w:type="dxa"/>
            <w:shd w:val="clear" w:color="auto" w:fill="auto"/>
            <w:noWrap/>
            <w:vAlign w:val="center"/>
            <w:hideMark/>
          </w:tcPr>
          <w:p w:rsidR="00A67211" w:rsidRPr="0046697C" w:rsidRDefault="00A67211" w:rsidP="009C2F03">
            <w:pPr>
              <w:spacing w:after="0" w:line="240" w:lineRule="auto"/>
              <w:jc w:val="center"/>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42</w:t>
            </w:r>
          </w:p>
        </w:tc>
        <w:tc>
          <w:tcPr>
            <w:tcW w:w="1560" w:type="dxa"/>
            <w:shd w:val="clear" w:color="auto" w:fill="auto"/>
            <w:noWrap/>
            <w:vAlign w:val="center"/>
            <w:hideMark/>
          </w:tcPr>
          <w:p w:rsidR="00A67211" w:rsidRPr="0046697C" w:rsidRDefault="00A67211" w:rsidP="009C2F03">
            <w:pPr>
              <w:spacing w:after="0" w:line="240" w:lineRule="auto"/>
              <w:jc w:val="center"/>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6.58%</w:t>
            </w:r>
          </w:p>
        </w:tc>
      </w:tr>
      <w:tr w:rsidR="00A67211" w:rsidRPr="0046697C" w:rsidTr="00086723">
        <w:trPr>
          <w:trHeight w:val="300"/>
          <w:jc w:val="center"/>
        </w:trPr>
        <w:tc>
          <w:tcPr>
            <w:tcW w:w="4268" w:type="dxa"/>
            <w:shd w:val="clear" w:color="auto" w:fill="auto"/>
            <w:noWrap/>
            <w:vAlign w:val="center"/>
            <w:hideMark/>
          </w:tcPr>
          <w:p w:rsidR="00A67211" w:rsidRPr="0046697C" w:rsidRDefault="00A67211" w:rsidP="009C2F03">
            <w:pPr>
              <w:spacing w:after="0" w:line="240" w:lineRule="auto"/>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Mill Hill</w:t>
            </w:r>
          </w:p>
        </w:tc>
        <w:tc>
          <w:tcPr>
            <w:tcW w:w="1984" w:type="dxa"/>
            <w:shd w:val="clear" w:color="auto" w:fill="auto"/>
            <w:noWrap/>
            <w:vAlign w:val="center"/>
            <w:hideMark/>
          </w:tcPr>
          <w:p w:rsidR="00A67211" w:rsidRPr="0046697C" w:rsidRDefault="00A67211" w:rsidP="009C2F03">
            <w:pPr>
              <w:spacing w:after="0" w:line="240" w:lineRule="auto"/>
              <w:jc w:val="center"/>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40</w:t>
            </w:r>
          </w:p>
        </w:tc>
        <w:tc>
          <w:tcPr>
            <w:tcW w:w="1560" w:type="dxa"/>
            <w:shd w:val="clear" w:color="auto" w:fill="auto"/>
            <w:noWrap/>
            <w:vAlign w:val="center"/>
            <w:hideMark/>
          </w:tcPr>
          <w:p w:rsidR="00A67211" w:rsidRPr="0046697C" w:rsidRDefault="00A67211" w:rsidP="009C2F03">
            <w:pPr>
              <w:spacing w:after="0" w:line="240" w:lineRule="auto"/>
              <w:jc w:val="center"/>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6.27%</w:t>
            </w:r>
          </w:p>
        </w:tc>
      </w:tr>
      <w:tr w:rsidR="00A67211" w:rsidRPr="0046697C" w:rsidTr="00086723">
        <w:trPr>
          <w:trHeight w:val="300"/>
          <w:jc w:val="center"/>
        </w:trPr>
        <w:tc>
          <w:tcPr>
            <w:tcW w:w="4268" w:type="dxa"/>
            <w:shd w:val="clear" w:color="auto" w:fill="auto"/>
            <w:noWrap/>
            <w:vAlign w:val="center"/>
            <w:hideMark/>
          </w:tcPr>
          <w:p w:rsidR="00A67211" w:rsidRPr="0046697C" w:rsidRDefault="00A67211" w:rsidP="009C2F03">
            <w:pPr>
              <w:spacing w:after="0" w:line="240" w:lineRule="auto"/>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Oakleigh</w:t>
            </w:r>
          </w:p>
        </w:tc>
        <w:tc>
          <w:tcPr>
            <w:tcW w:w="1984" w:type="dxa"/>
            <w:shd w:val="clear" w:color="auto" w:fill="auto"/>
            <w:noWrap/>
            <w:vAlign w:val="center"/>
            <w:hideMark/>
          </w:tcPr>
          <w:p w:rsidR="00A67211" w:rsidRPr="0046697C" w:rsidRDefault="00A67211" w:rsidP="009C2F03">
            <w:pPr>
              <w:spacing w:after="0" w:line="240" w:lineRule="auto"/>
              <w:jc w:val="center"/>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26</w:t>
            </w:r>
          </w:p>
        </w:tc>
        <w:tc>
          <w:tcPr>
            <w:tcW w:w="1560" w:type="dxa"/>
            <w:shd w:val="clear" w:color="auto" w:fill="auto"/>
            <w:noWrap/>
            <w:vAlign w:val="center"/>
            <w:hideMark/>
          </w:tcPr>
          <w:p w:rsidR="00A67211" w:rsidRPr="0046697C" w:rsidRDefault="00A67211" w:rsidP="009C2F03">
            <w:pPr>
              <w:spacing w:after="0" w:line="240" w:lineRule="auto"/>
              <w:jc w:val="center"/>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4.08%</w:t>
            </w:r>
          </w:p>
        </w:tc>
      </w:tr>
      <w:tr w:rsidR="00A67211" w:rsidRPr="0046697C" w:rsidTr="00086723">
        <w:trPr>
          <w:trHeight w:val="300"/>
          <w:jc w:val="center"/>
        </w:trPr>
        <w:tc>
          <w:tcPr>
            <w:tcW w:w="4268" w:type="dxa"/>
            <w:shd w:val="clear" w:color="auto" w:fill="auto"/>
            <w:noWrap/>
            <w:vAlign w:val="center"/>
            <w:hideMark/>
          </w:tcPr>
          <w:p w:rsidR="00A67211" w:rsidRPr="0046697C" w:rsidRDefault="00A67211" w:rsidP="009C2F03">
            <w:pPr>
              <w:spacing w:after="0" w:line="240" w:lineRule="auto"/>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Totteridge</w:t>
            </w:r>
          </w:p>
        </w:tc>
        <w:tc>
          <w:tcPr>
            <w:tcW w:w="1984" w:type="dxa"/>
            <w:shd w:val="clear" w:color="auto" w:fill="auto"/>
            <w:noWrap/>
            <w:vAlign w:val="center"/>
            <w:hideMark/>
          </w:tcPr>
          <w:p w:rsidR="00A67211" w:rsidRPr="0046697C" w:rsidRDefault="00A67211" w:rsidP="009C2F03">
            <w:pPr>
              <w:spacing w:after="0" w:line="240" w:lineRule="auto"/>
              <w:jc w:val="center"/>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25</w:t>
            </w:r>
          </w:p>
        </w:tc>
        <w:tc>
          <w:tcPr>
            <w:tcW w:w="1560" w:type="dxa"/>
            <w:shd w:val="clear" w:color="auto" w:fill="auto"/>
            <w:noWrap/>
            <w:vAlign w:val="center"/>
            <w:hideMark/>
          </w:tcPr>
          <w:p w:rsidR="00A67211" w:rsidRPr="0046697C" w:rsidRDefault="00A67211" w:rsidP="009C2F03">
            <w:pPr>
              <w:spacing w:after="0" w:line="240" w:lineRule="auto"/>
              <w:jc w:val="center"/>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3.92%</w:t>
            </w:r>
          </w:p>
        </w:tc>
      </w:tr>
      <w:tr w:rsidR="00A67211" w:rsidRPr="0046697C" w:rsidTr="00086723">
        <w:trPr>
          <w:trHeight w:val="300"/>
          <w:jc w:val="center"/>
        </w:trPr>
        <w:tc>
          <w:tcPr>
            <w:tcW w:w="4268" w:type="dxa"/>
            <w:shd w:val="clear" w:color="auto" w:fill="auto"/>
            <w:noWrap/>
            <w:vAlign w:val="center"/>
            <w:hideMark/>
          </w:tcPr>
          <w:p w:rsidR="00A67211" w:rsidRPr="0046697C" w:rsidRDefault="00A67211" w:rsidP="009C2F03">
            <w:pPr>
              <w:spacing w:after="0" w:line="240" w:lineRule="auto"/>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Underhill</w:t>
            </w:r>
          </w:p>
        </w:tc>
        <w:tc>
          <w:tcPr>
            <w:tcW w:w="1984" w:type="dxa"/>
            <w:shd w:val="clear" w:color="auto" w:fill="auto"/>
            <w:noWrap/>
            <w:vAlign w:val="center"/>
            <w:hideMark/>
          </w:tcPr>
          <w:p w:rsidR="00A67211" w:rsidRPr="0046697C" w:rsidRDefault="00A67211" w:rsidP="009C2F03">
            <w:pPr>
              <w:spacing w:after="0" w:line="240" w:lineRule="auto"/>
              <w:jc w:val="center"/>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18</w:t>
            </w:r>
          </w:p>
        </w:tc>
        <w:tc>
          <w:tcPr>
            <w:tcW w:w="1560" w:type="dxa"/>
            <w:shd w:val="clear" w:color="auto" w:fill="auto"/>
            <w:noWrap/>
            <w:vAlign w:val="center"/>
            <w:hideMark/>
          </w:tcPr>
          <w:p w:rsidR="00A67211" w:rsidRPr="0046697C" w:rsidRDefault="00A67211" w:rsidP="009C2F03">
            <w:pPr>
              <w:spacing w:after="0" w:line="240" w:lineRule="auto"/>
              <w:jc w:val="center"/>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2.82%</w:t>
            </w:r>
          </w:p>
        </w:tc>
      </w:tr>
      <w:tr w:rsidR="00A67211" w:rsidRPr="0046697C" w:rsidTr="00086723">
        <w:trPr>
          <w:trHeight w:val="300"/>
          <w:jc w:val="center"/>
        </w:trPr>
        <w:tc>
          <w:tcPr>
            <w:tcW w:w="4268" w:type="dxa"/>
            <w:shd w:val="clear" w:color="auto" w:fill="auto"/>
            <w:noWrap/>
            <w:vAlign w:val="center"/>
            <w:hideMark/>
          </w:tcPr>
          <w:p w:rsidR="00A67211" w:rsidRPr="0046697C" w:rsidRDefault="00A67211" w:rsidP="009C2F03">
            <w:pPr>
              <w:spacing w:after="0" w:line="240" w:lineRule="auto"/>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West Finchley</w:t>
            </w:r>
          </w:p>
        </w:tc>
        <w:tc>
          <w:tcPr>
            <w:tcW w:w="1984" w:type="dxa"/>
            <w:shd w:val="clear" w:color="auto" w:fill="auto"/>
            <w:noWrap/>
            <w:vAlign w:val="center"/>
            <w:hideMark/>
          </w:tcPr>
          <w:p w:rsidR="00A67211" w:rsidRPr="0046697C" w:rsidRDefault="00A67211" w:rsidP="009C2F03">
            <w:pPr>
              <w:spacing w:after="0" w:line="240" w:lineRule="auto"/>
              <w:jc w:val="center"/>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29</w:t>
            </w:r>
          </w:p>
        </w:tc>
        <w:tc>
          <w:tcPr>
            <w:tcW w:w="1560" w:type="dxa"/>
            <w:shd w:val="clear" w:color="auto" w:fill="auto"/>
            <w:noWrap/>
            <w:vAlign w:val="center"/>
            <w:hideMark/>
          </w:tcPr>
          <w:p w:rsidR="00A67211" w:rsidRPr="0046697C" w:rsidRDefault="00A67211" w:rsidP="009C2F03">
            <w:pPr>
              <w:spacing w:after="0" w:line="240" w:lineRule="auto"/>
              <w:jc w:val="center"/>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4.55%</w:t>
            </w:r>
          </w:p>
        </w:tc>
      </w:tr>
      <w:tr w:rsidR="00A67211" w:rsidRPr="0046697C" w:rsidTr="00086723">
        <w:trPr>
          <w:trHeight w:val="300"/>
          <w:jc w:val="center"/>
        </w:trPr>
        <w:tc>
          <w:tcPr>
            <w:tcW w:w="4268" w:type="dxa"/>
            <w:shd w:val="clear" w:color="auto" w:fill="auto"/>
            <w:noWrap/>
            <w:vAlign w:val="center"/>
            <w:hideMark/>
          </w:tcPr>
          <w:p w:rsidR="00A67211" w:rsidRPr="0046697C" w:rsidRDefault="00A67211" w:rsidP="009C2F03">
            <w:pPr>
              <w:spacing w:after="0" w:line="240" w:lineRule="auto"/>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West Hendon</w:t>
            </w:r>
          </w:p>
        </w:tc>
        <w:tc>
          <w:tcPr>
            <w:tcW w:w="1984" w:type="dxa"/>
            <w:shd w:val="clear" w:color="auto" w:fill="auto"/>
            <w:noWrap/>
            <w:vAlign w:val="center"/>
            <w:hideMark/>
          </w:tcPr>
          <w:p w:rsidR="00A67211" w:rsidRPr="0046697C" w:rsidRDefault="00A67211" w:rsidP="009C2F03">
            <w:pPr>
              <w:spacing w:after="0" w:line="240" w:lineRule="auto"/>
              <w:jc w:val="center"/>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31</w:t>
            </w:r>
          </w:p>
        </w:tc>
        <w:tc>
          <w:tcPr>
            <w:tcW w:w="1560" w:type="dxa"/>
            <w:shd w:val="clear" w:color="auto" w:fill="auto"/>
            <w:noWrap/>
            <w:vAlign w:val="center"/>
            <w:hideMark/>
          </w:tcPr>
          <w:p w:rsidR="00A67211" w:rsidRPr="0046697C" w:rsidRDefault="00A67211" w:rsidP="009C2F03">
            <w:pPr>
              <w:spacing w:after="0" w:line="240" w:lineRule="auto"/>
              <w:jc w:val="center"/>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4.86%</w:t>
            </w:r>
          </w:p>
        </w:tc>
      </w:tr>
      <w:tr w:rsidR="00A67211" w:rsidRPr="0046697C" w:rsidTr="00086723">
        <w:trPr>
          <w:trHeight w:val="300"/>
          <w:jc w:val="center"/>
        </w:trPr>
        <w:tc>
          <w:tcPr>
            <w:tcW w:w="4268" w:type="dxa"/>
            <w:shd w:val="clear" w:color="auto" w:fill="auto"/>
            <w:noWrap/>
            <w:vAlign w:val="center"/>
            <w:hideMark/>
          </w:tcPr>
          <w:p w:rsidR="00A67211" w:rsidRPr="0046697C" w:rsidRDefault="00A67211" w:rsidP="009C2F03">
            <w:pPr>
              <w:spacing w:after="0" w:line="240" w:lineRule="auto"/>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Woodhouse</w:t>
            </w:r>
          </w:p>
        </w:tc>
        <w:tc>
          <w:tcPr>
            <w:tcW w:w="1984" w:type="dxa"/>
            <w:shd w:val="clear" w:color="auto" w:fill="auto"/>
            <w:noWrap/>
            <w:vAlign w:val="center"/>
            <w:hideMark/>
          </w:tcPr>
          <w:p w:rsidR="00A67211" w:rsidRPr="0046697C" w:rsidRDefault="00A67211" w:rsidP="009C2F03">
            <w:pPr>
              <w:spacing w:after="0" w:line="240" w:lineRule="auto"/>
              <w:jc w:val="center"/>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22</w:t>
            </w:r>
          </w:p>
        </w:tc>
        <w:tc>
          <w:tcPr>
            <w:tcW w:w="1560" w:type="dxa"/>
            <w:shd w:val="clear" w:color="auto" w:fill="auto"/>
            <w:noWrap/>
            <w:vAlign w:val="center"/>
            <w:hideMark/>
          </w:tcPr>
          <w:p w:rsidR="00A67211" w:rsidRPr="0046697C" w:rsidRDefault="00A67211" w:rsidP="009C2F03">
            <w:pPr>
              <w:spacing w:after="0" w:line="240" w:lineRule="auto"/>
              <w:jc w:val="center"/>
              <w:rPr>
                <w:rFonts w:ascii="Calibri" w:eastAsia="Times New Roman" w:hAnsi="Calibri" w:cs="Times New Roman"/>
                <w:color w:val="000000"/>
                <w:lang w:eastAsia="en-GB"/>
              </w:rPr>
            </w:pPr>
            <w:r w:rsidRPr="0046697C">
              <w:rPr>
                <w:rFonts w:ascii="Calibri" w:eastAsia="Times New Roman" w:hAnsi="Calibri" w:cs="Times New Roman"/>
                <w:color w:val="000000"/>
                <w:lang w:eastAsia="en-GB"/>
              </w:rPr>
              <w:t>3.45%</w:t>
            </w:r>
          </w:p>
        </w:tc>
      </w:tr>
    </w:tbl>
    <w:p w:rsidR="00A67211" w:rsidRDefault="00A67211" w:rsidP="00A67211">
      <w:pPr>
        <w:rPr>
          <w:i/>
        </w:rPr>
      </w:pPr>
      <w:r w:rsidRPr="003D1CC2">
        <w:rPr>
          <w:i/>
        </w:rPr>
        <w:t>*Percentage of all Barnet-based charities which are in this ward</w:t>
      </w:r>
    </w:p>
    <w:p w:rsidR="00DD3056" w:rsidRDefault="00DD3056" w:rsidP="00E374FD">
      <w:pPr>
        <w:pStyle w:val="Caption"/>
      </w:pPr>
    </w:p>
    <w:p w:rsidR="00DD3056" w:rsidRDefault="00DD3056" w:rsidP="00E374FD">
      <w:pPr>
        <w:pStyle w:val="Caption"/>
      </w:pPr>
    </w:p>
    <w:p w:rsidR="00A67211" w:rsidRPr="004F5C3A" w:rsidRDefault="00E374FD" w:rsidP="00E374FD">
      <w:pPr>
        <w:pStyle w:val="Caption"/>
        <w:rPr>
          <w:b w:val="0"/>
          <w:i/>
        </w:rPr>
      </w:pPr>
      <w:r>
        <w:lastRenderedPageBreak/>
        <w:t xml:space="preserve">Figure </w:t>
      </w:r>
      <w:fldSimple w:instr=" STYLEREF 1 \s ">
        <w:r w:rsidR="001663C2">
          <w:rPr>
            <w:noProof/>
          </w:rPr>
          <w:t>11</w:t>
        </w:r>
      </w:fldSimple>
      <w:r w:rsidR="00943DC2">
        <w:noBreakHyphen/>
      </w:r>
      <w:fldSimple w:instr=" SEQ Figure \* ARABIC \s 1 ">
        <w:r w:rsidR="001663C2">
          <w:rPr>
            <w:noProof/>
          </w:rPr>
          <w:t>1</w:t>
        </w:r>
      </w:fldSimple>
      <w:r w:rsidR="00A67211">
        <w:rPr>
          <w:i/>
        </w:rPr>
        <w:t xml:space="preserve">: </w:t>
      </w:r>
      <w:r w:rsidR="00A67211" w:rsidRPr="00DD3056">
        <w:t>Distribution of local charities operating in Barnet, at ward level</w:t>
      </w:r>
    </w:p>
    <w:p w:rsidR="00A67211" w:rsidRDefault="00A67211" w:rsidP="00A67211">
      <w:r>
        <w:rPr>
          <w:noProof/>
          <w:lang w:eastAsia="en-GB"/>
        </w:rPr>
        <w:drawing>
          <wp:inline distT="0" distB="0" distL="0" distR="0" wp14:anchorId="69B43C79" wp14:editId="4280D07D">
            <wp:extent cx="5730345" cy="1666875"/>
            <wp:effectExtent l="19050" t="19050" r="22860" b="9525"/>
            <wp:docPr id="4104" name="Picture 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35">
                      <a:extLst>
                        <a:ext uri="{28A0092B-C50C-407E-A947-70E740481C1C}">
                          <a14:useLocalDpi xmlns:a14="http://schemas.microsoft.com/office/drawing/2010/main" val="0"/>
                        </a:ext>
                      </a:extLst>
                    </a:blip>
                    <a:srcRect t="20815"/>
                    <a:stretch/>
                  </pic:blipFill>
                  <pic:spPr bwMode="auto">
                    <a:xfrm>
                      <a:off x="0" y="0"/>
                      <a:ext cx="5730345" cy="166687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A67211" w:rsidRPr="009150C5" w:rsidRDefault="00A67211" w:rsidP="00A67211">
      <w:pPr>
        <w:pStyle w:val="Heading2"/>
      </w:pPr>
      <w:bookmarkStart w:id="1009" w:name="_Toc431225252"/>
      <w:r w:rsidRPr="009150C5">
        <w:t xml:space="preserve">Other </w:t>
      </w:r>
      <w:r w:rsidR="006914DA">
        <w:t>Community G</w:t>
      </w:r>
      <w:r w:rsidRPr="009150C5">
        <w:t>roups</w:t>
      </w:r>
      <w:bookmarkEnd w:id="1009"/>
    </w:p>
    <w:p w:rsidR="00A67211" w:rsidRDefault="00A67211" w:rsidP="00E04DAC">
      <w:pPr>
        <w:jc w:val="both"/>
      </w:pPr>
      <w:r>
        <w:t xml:space="preserve">In addition to registered charities, there are also a number of less formally constituted community groups across the </w:t>
      </w:r>
      <w:r w:rsidR="00037414">
        <w:t>Borough</w:t>
      </w:r>
      <w:r>
        <w:t xml:space="preserve">.  These include seven ‘Friends of…’ groups involved in maintenance or governance of parks and open spaces groups across the </w:t>
      </w:r>
      <w:r w:rsidR="00037414">
        <w:t>Borough</w:t>
      </w:r>
      <w:r>
        <w:t>; four  ‘Town Teams’, coalitions of local businesses and organisations who look after and are involved in developing town centres; and 23 reside</w:t>
      </w:r>
      <w:r w:rsidR="00267895">
        <w:t xml:space="preserve">nts’ and community associations. </w:t>
      </w:r>
    </w:p>
    <w:p w:rsidR="00A67211" w:rsidRPr="009150C5" w:rsidRDefault="006914DA" w:rsidP="00E04DAC">
      <w:pPr>
        <w:pStyle w:val="Heading2"/>
        <w:jc w:val="both"/>
      </w:pPr>
      <w:bookmarkStart w:id="1010" w:name="_Toc431225253"/>
      <w:r>
        <w:t>Resources and S</w:t>
      </w:r>
      <w:r w:rsidR="00A67211" w:rsidRPr="009150C5">
        <w:t>upport</w:t>
      </w:r>
      <w:bookmarkEnd w:id="1010"/>
    </w:p>
    <w:p w:rsidR="00A67211" w:rsidRDefault="00A67211" w:rsidP="00E04DAC">
      <w:pPr>
        <w:jc w:val="both"/>
      </w:pPr>
      <w:r>
        <w:t xml:space="preserve">The Council commissions a second Local Infrastructure Organisation </w:t>
      </w:r>
      <w:r w:rsidR="00267895">
        <w:t>P</w:t>
      </w:r>
      <w:r>
        <w:t xml:space="preserve">artner – as of 2015/16 this is CommUNITY Barnet – to strengthen the local voluntary and community sector, offer expert advice and support, and ensure VCS organisations are represented in Council decisions.  This role is a key enabler for the local VCS.  </w:t>
      </w:r>
    </w:p>
    <w:p w:rsidR="00A67211" w:rsidRDefault="00A67211" w:rsidP="00E04DAC">
      <w:pPr>
        <w:jc w:val="both"/>
      </w:pPr>
      <w:r>
        <w:t xml:space="preserve">The Council also makes grant funding available to the voluntary sector.  In 2014/15 the total funding available through the Council’s Corporate Grants Programme was £104,390.  </w:t>
      </w:r>
    </w:p>
    <w:p w:rsidR="00A67211" w:rsidRDefault="00A67211" w:rsidP="00E04DAC">
      <w:pPr>
        <w:jc w:val="both"/>
      </w:pPr>
      <w:r>
        <w:t xml:space="preserve">Physical assets – land and property – which are being used for community benefit are also considered community assets.  Some of these are Council buildings primarily used by voluntary and community groups, but others have Council services provided from them or are owned by other public sector stakeholders.  A map of these physical assets, as of November 2014, is shown at Figure </w:t>
      </w:r>
      <w:r w:rsidR="00E374FD">
        <w:t>1</w:t>
      </w:r>
      <w:r w:rsidR="00E04DAC">
        <w:t>1</w:t>
      </w:r>
      <w:r w:rsidR="00E374FD">
        <w:t>-</w:t>
      </w:r>
      <w:r>
        <w:t xml:space="preserve">2 below.  </w:t>
      </w:r>
    </w:p>
    <w:p w:rsidR="00A67211" w:rsidRDefault="00A67211" w:rsidP="00E04DAC">
      <w:pPr>
        <w:jc w:val="both"/>
      </w:pPr>
      <w:r>
        <w:t xml:space="preserve">The map shows that these assets are clustered around town centres.  The numbers are </w:t>
      </w:r>
      <w:r w:rsidR="009C63DF">
        <w:t>sparser</w:t>
      </w:r>
      <w:r>
        <w:t xml:space="preserve"> in the </w:t>
      </w:r>
      <w:r w:rsidR="009C63DF">
        <w:t>North West</w:t>
      </w:r>
      <w:r>
        <w:t xml:space="preserve"> of the </w:t>
      </w:r>
      <w:r w:rsidR="00037414">
        <w:t>Borough</w:t>
      </w:r>
      <w:r>
        <w:t xml:space="preserve"> and in parts of some central Barnet wards (Mill Hill, Totteridge).  There may be a case to review the distribution of some facilities which might be well located in more residential areas, such as day centres and community centres, in these parts of the </w:t>
      </w:r>
      <w:r w:rsidR="00037414">
        <w:t>Borough</w:t>
      </w:r>
      <w:r>
        <w:t>.</w:t>
      </w:r>
    </w:p>
    <w:p w:rsidR="00DD3056" w:rsidRDefault="00DD3056" w:rsidP="00E374FD">
      <w:pPr>
        <w:pStyle w:val="Caption"/>
      </w:pPr>
    </w:p>
    <w:p w:rsidR="00DD3056" w:rsidRDefault="00DD3056" w:rsidP="00E374FD">
      <w:pPr>
        <w:pStyle w:val="Caption"/>
      </w:pPr>
    </w:p>
    <w:p w:rsidR="00487CD4" w:rsidRPr="00487CD4" w:rsidRDefault="00487CD4" w:rsidP="00487CD4"/>
    <w:p w:rsidR="00DD3056" w:rsidRDefault="00DD3056" w:rsidP="00E374FD">
      <w:pPr>
        <w:pStyle w:val="Caption"/>
      </w:pPr>
    </w:p>
    <w:p w:rsidR="00DD3056" w:rsidRDefault="00DD3056" w:rsidP="00E374FD">
      <w:pPr>
        <w:pStyle w:val="Caption"/>
      </w:pPr>
    </w:p>
    <w:p w:rsidR="00DD3056" w:rsidRDefault="00DD3056" w:rsidP="00E374FD">
      <w:pPr>
        <w:pStyle w:val="Caption"/>
      </w:pPr>
    </w:p>
    <w:p w:rsidR="00DD3056" w:rsidRDefault="00DD3056" w:rsidP="00E374FD">
      <w:pPr>
        <w:pStyle w:val="Caption"/>
      </w:pPr>
    </w:p>
    <w:p w:rsidR="00DD3056" w:rsidRDefault="00DD3056" w:rsidP="00E374FD">
      <w:pPr>
        <w:pStyle w:val="Caption"/>
      </w:pPr>
    </w:p>
    <w:p w:rsidR="00DD3056" w:rsidRDefault="00DD3056" w:rsidP="00E374FD">
      <w:pPr>
        <w:pStyle w:val="Caption"/>
      </w:pPr>
    </w:p>
    <w:p w:rsidR="00A67211" w:rsidRPr="008333FA" w:rsidRDefault="00E374FD" w:rsidP="00E374FD">
      <w:pPr>
        <w:pStyle w:val="Caption"/>
        <w:rPr>
          <w:b w:val="0"/>
        </w:rPr>
      </w:pPr>
      <w:r>
        <w:t xml:space="preserve">Figure </w:t>
      </w:r>
      <w:fldSimple w:instr=" STYLEREF 1 \s ">
        <w:r w:rsidR="001663C2">
          <w:rPr>
            <w:noProof/>
          </w:rPr>
          <w:t>11</w:t>
        </w:r>
      </w:fldSimple>
      <w:r w:rsidR="00943DC2">
        <w:noBreakHyphen/>
      </w:r>
      <w:fldSimple w:instr=" SEQ Figure \* ARABIC \s 1 ">
        <w:r w:rsidR="001663C2">
          <w:rPr>
            <w:noProof/>
          </w:rPr>
          <w:t>2</w:t>
        </w:r>
      </w:fldSimple>
      <w:r w:rsidR="00A67211">
        <w:t>: Map of community assets in Barnet</w:t>
      </w:r>
    </w:p>
    <w:p w:rsidR="006914DA" w:rsidRDefault="00A67211" w:rsidP="006914DA">
      <w:pPr>
        <w:jc w:val="both"/>
      </w:pPr>
      <w:r w:rsidRPr="00487CD4">
        <w:rPr>
          <w:b/>
          <w:noProof/>
          <w:lang w:eastAsia="en-GB"/>
        </w:rPr>
        <w:drawing>
          <wp:inline distT="0" distB="0" distL="0" distR="0" wp14:anchorId="62CB1FC7" wp14:editId="258F035D">
            <wp:extent cx="5731510" cy="4328795"/>
            <wp:effectExtent l="0" t="0" r="2540" b="0"/>
            <wp:docPr id="4111" name="Picture 4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Assets Public Sector estate map.jpg"/>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5731510" cy="4328795"/>
                    </a:xfrm>
                    <a:prstGeom prst="rect">
                      <a:avLst/>
                    </a:prstGeom>
                    <a:ln>
                      <a:noFill/>
                    </a:ln>
                  </pic:spPr>
                </pic:pic>
              </a:graphicData>
            </a:graphic>
          </wp:inline>
        </w:drawing>
      </w:r>
    </w:p>
    <w:p w:rsidR="00A67211" w:rsidRDefault="00A67211" w:rsidP="006914DA">
      <w:pPr>
        <w:jc w:val="both"/>
      </w:pPr>
      <w:r>
        <w:t xml:space="preserve">The Council also puts some resource into the voluntary and community sector through services it commissions from VCS groups.  A breakdown of spend by location (charities based in Barnet; charities based in central London or charities based elsewhere in London or the UK) is given in table </w:t>
      </w:r>
      <w:r w:rsidR="00E374FD">
        <w:t>1</w:t>
      </w:r>
      <w:r w:rsidR="00E04DAC">
        <w:t>1</w:t>
      </w:r>
      <w:r w:rsidR="00E374FD">
        <w:t>-</w:t>
      </w:r>
      <w:r>
        <w:t>5 below.</w:t>
      </w:r>
    </w:p>
    <w:p w:rsidR="00A67211" w:rsidRPr="00477FD9" w:rsidRDefault="00E374FD" w:rsidP="00E374FD">
      <w:pPr>
        <w:pStyle w:val="Caption"/>
        <w:rPr>
          <w:b w:val="0"/>
          <w:i/>
        </w:rPr>
      </w:pPr>
      <w:r>
        <w:t xml:space="preserve">Table </w:t>
      </w:r>
      <w:fldSimple w:instr=" STYLEREF 1 \s ">
        <w:r w:rsidR="001663C2">
          <w:rPr>
            <w:noProof/>
          </w:rPr>
          <w:t>11</w:t>
        </w:r>
      </w:fldSimple>
      <w:r w:rsidR="000C02C2">
        <w:noBreakHyphen/>
      </w:r>
      <w:fldSimple w:instr=" SEQ Table \* ARABIC \s 1 ">
        <w:r w:rsidR="001663C2">
          <w:rPr>
            <w:noProof/>
          </w:rPr>
          <w:t>5</w:t>
        </w:r>
      </w:fldSimple>
      <w:r>
        <w:t>:</w:t>
      </w:r>
      <w:r w:rsidR="00267895">
        <w:t xml:space="preserve"> Total</w:t>
      </w:r>
      <w:r w:rsidR="00A67211" w:rsidRPr="00E374FD">
        <w:t xml:space="preserve"> Council spend with charities in 2014/15, by location</w:t>
      </w:r>
    </w:p>
    <w:tbl>
      <w:tblPr>
        <w:tblW w:w="9200" w:type="dxa"/>
        <w:tblInd w:w="93" w:type="dxa"/>
        <w:tblLook w:val="04A0" w:firstRow="1" w:lastRow="0" w:firstColumn="1" w:lastColumn="0" w:noHBand="0" w:noVBand="1"/>
      </w:tblPr>
      <w:tblGrid>
        <w:gridCol w:w="3669"/>
        <w:gridCol w:w="3726"/>
        <w:gridCol w:w="1805"/>
      </w:tblGrid>
      <w:tr w:rsidR="00A67211" w:rsidRPr="000A35AE" w:rsidTr="009C2F03">
        <w:tc>
          <w:tcPr>
            <w:tcW w:w="9200" w:type="dxa"/>
            <w:gridSpan w:val="3"/>
            <w:tcBorders>
              <w:top w:val="single" w:sz="4" w:space="0" w:color="auto"/>
              <w:left w:val="single" w:sz="4" w:space="0" w:color="auto"/>
              <w:bottom w:val="single" w:sz="4" w:space="0" w:color="auto"/>
              <w:right w:val="single" w:sz="8" w:space="0" w:color="000000"/>
            </w:tcBorders>
            <w:shd w:val="clear" w:color="auto" w:fill="auto"/>
            <w:noWrap/>
            <w:vAlign w:val="bottom"/>
            <w:hideMark/>
          </w:tcPr>
          <w:p w:rsidR="00A67211" w:rsidRPr="000A35AE" w:rsidRDefault="00A67211" w:rsidP="009C2F03">
            <w:pPr>
              <w:spacing w:after="0" w:line="240" w:lineRule="auto"/>
              <w:jc w:val="center"/>
              <w:rPr>
                <w:rFonts w:ascii="Calibri" w:eastAsia="Times New Roman" w:hAnsi="Calibri" w:cs="Times New Roman"/>
                <w:b/>
                <w:bCs/>
                <w:color w:val="000000"/>
                <w:lang w:eastAsia="en-GB"/>
              </w:rPr>
            </w:pPr>
            <w:r>
              <w:rPr>
                <w:rFonts w:ascii="Calibri" w:eastAsia="Times New Roman" w:hAnsi="Calibri" w:cs="Times New Roman"/>
                <w:b/>
                <w:bCs/>
                <w:color w:val="000000"/>
                <w:lang w:eastAsia="en-GB"/>
              </w:rPr>
              <w:t>S</w:t>
            </w:r>
            <w:r w:rsidRPr="000A35AE">
              <w:rPr>
                <w:rFonts w:ascii="Calibri" w:eastAsia="Times New Roman" w:hAnsi="Calibri" w:cs="Times New Roman"/>
                <w:b/>
                <w:bCs/>
                <w:color w:val="000000"/>
                <w:lang w:eastAsia="en-GB"/>
              </w:rPr>
              <w:t>pend by Location</w:t>
            </w:r>
            <w:r>
              <w:rPr>
                <w:rFonts w:ascii="Calibri" w:eastAsia="Times New Roman" w:hAnsi="Calibri" w:cs="Times New Roman"/>
                <w:b/>
                <w:bCs/>
                <w:color w:val="000000"/>
                <w:lang w:eastAsia="en-GB"/>
              </w:rPr>
              <w:t xml:space="preserve"> (2014/15)</w:t>
            </w:r>
          </w:p>
        </w:tc>
      </w:tr>
      <w:tr w:rsidR="00A67211" w:rsidRPr="000A35AE" w:rsidTr="009C2F03">
        <w:tc>
          <w:tcPr>
            <w:tcW w:w="3669" w:type="dxa"/>
            <w:tcBorders>
              <w:top w:val="nil"/>
              <w:left w:val="single" w:sz="4" w:space="0" w:color="auto"/>
              <w:bottom w:val="single" w:sz="4" w:space="0" w:color="auto"/>
              <w:right w:val="single" w:sz="4" w:space="0" w:color="auto"/>
            </w:tcBorders>
            <w:shd w:val="clear" w:color="000000" w:fill="A6A6A6"/>
            <w:noWrap/>
            <w:vAlign w:val="bottom"/>
            <w:hideMark/>
          </w:tcPr>
          <w:p w:rsidR="00A67211" w:rsidRPr="000A35AE" w:rsidRDefault="00A67211" w:rsidP="009C2F03">
            <w:pPr>
              <w:spacing w:after="0" w:line="240" w:lineRule="auto"/>
              <w:jc w:val="center"/>
              <w:rPr>
                <w:rFonts w:ascii="Calibri" w:eastAsia="Times New Roman" w:hAnsi="Calibri" w:cs="Times New Roman"/>
                <w:b/>
                <w:bCs/>
                <w:color w:val="000000"/>
                <w:lang w:eastAsia="en-GB"/>
              </w:rPr>
            </w:pPr>
            <w:r w:rsidRPr="000A35AE">
              <w:rPr>
                <w:rFonts w:ascii="Calibri" w:eastAsia="Times New Roman" w:hAnsi="Calibri" w:cs="Times New Roman"/>
                <w:b/>
                <w:bCs/>
                <w:color w:val="000000"/>
                <w:lang w:eastAsia="en-GB"/>
              </w:rPr>
              <w:t>Locality</w:t>
            </w:r>
          </w:p>
        </w:tc>
        <w:tc>
          <w:tcPr>
            <w:tcW w:w="3726" w:type="dxa"/>
            <w:tcBorders>
              <w:top w:val="nil"/>
              <w:left w:val="nil"/>
              <w:bottom w:val="single" w:sz="4" w:space="0" w:color="auto"/>
              <w:right w:val="single" w:sz="4" w:space="0" w:color="auto"/>
            </w:tcBorders>
            <w:shd w:val="clear" w:color="000000" w:fill="A6A6A6"/>
            <w:noWrap/>
            <w:vAlign w:val="bottom"/>
            <w:hideMark/>
          </w:tcPr>
          <w:p w:rsidR="00A67211" w:rsidRPr="000A35AE" w:rsidRDefault="00A67211" w:rsidP="009C2F03">
            <w:pPr>
              <w:spacing w:after="0" w:line="240" w:lineRule="auto"/>
              <w:jc w:val="center"/>
              <w:rPr>
                <w:rFonts w:ascii="Calibri" w:eastAsia="Times New Roman" w:hAnsi="Calibri" w:cs="Times New Roman"/>
                <w:b/>
                <w:bCs/>
                <w:color w:val="000000"/>
                <w:lang w:eastAsia="en-GB"/>
              </w:rPr>
            </w:pPr>
            <w:r w:rsidRPr="000A35AE">
              <w:rPr>
                <w:rFonts w:ascii="Calibri" w:eastAsia="Times New Roman" w:hAnsi="Calibri" w:cs="Times New Roman"/>
                <w:b/>
                <w:bCs/>
                <w:color w:val="000000"/>
                <w:lang w:eastAsia="en-GB"/>
              </w:rPr>
              <w:t>Total Spend</w:t>
            </w:r>
          </w:p>
        </w:tc>
        <w:tc>
          <w:tcPr>
            <w:tcW w:w="1805" w:type="dxa"/>
            <w:tcBorders>
              <w:top w:val="nil"/>
              <w:left w:val="nil"/>
              <w:bottom w:val="single" w:sz="4" w:space="0" w:color="auto"/>
              <w:right w:val="single" w:sz="8" w:space="0" w:color="auto"/>
            </w:tcBorders>
            <w:shd w:val="clear" w:color="000000" w:fill="A6A6A6"/>
            <w:noWrap/>
            <w:vAlign w:val="bottom"/>
            <w:hideMark/>
          </w:tcPr>
          <w:p w:rsidR="00A67211" w:rsidRPr="000A35AE" w:rsidRDefault="00A67211" w:rsidP="009C2F03">
            <w:pPr>
              <w:spacing w:after="0" w:line="240" w:lineRule="auto"/>
              <w:jc w:val="center"/>
              <w:rPr>
                <w:rFonts w:ascii="Calibri" w:eastAsia="Times New Roman" w:hAnsi="Calibri" w:cs="Times New Roman"/>
                <w:b/>
                <w:bCs/>
                <w:color w:val="000000"/>
                <w:lang w:eastAsia="en-GB"/>
              </w:rPr>
            </w:pPr>
            <w:r w:rsidRPr="000A35AE">
              <w:rPr>
                <w:rFonts w:ascii="Calibri" w:eastAsia="Times New Roman" w:hAnsi="Calibri" w:cs="Times New Roman"/>
                <w:b/>
                <w:bCs/>
                <w:color w:val="000000"/>
                <w:lang w:eastAsia="en-GB"/>
              </w:rPr>
              <w:t>%</w:t>
            </w:r>
          </w:p>
        </w:tc>
      </w:tr>
      <w:tr w:rsidR="00A67211" w:rsidRPr="000A35AE" w:rsidTr="009C2F03">
        <w:tc>
          <w:tcPr>
            <w:tcW w:w="3669" w:type="dxa"/>
            <w:tcBorders>
              <w:top w:val="nil"/>
              <w:left w:val="single" w:sz="4" w:space="0" w:color="auto"/>
              <w:bottom w:val="single" w:sz="4" w:space="0" w:color="auto"/>
              <w:right w:val="single" w:sz="4" w:space="0" w:color="auto"/>
            </w:tcBorders>
            <w:shd w:val="clear" w:color="auto" w:fill="auto"/>
            <w:noWrap/>
            <w:vAlign w:val="bottom"/>
            <w:hideMark/>
          </w:tcPr>
          <w:p w:rsidR="00A67211" w:rsidRPr="000A35AE" w:rsidRDefault="00A67211" w:rsidP="009C2F03">
            <w:pPr>
              <w:spacing w:after="0" w:line="240" w:lineRule="auto"/>
              <w:rPr>
                <w:rFonts w:ascii="Calibri" w:eastAsia="Times New Roman" w:hAnsi="Calibri" w:cs="Times New Roman"/>
                <w:color w:val="000000"/>
                <w:lang w:eastAsia="en-GB"/>
              </w:rPr>
            </w:pPr>
            <w:r w:rsidRPr="000A35AE">
              <w:rPr>
                <w:rFonts w:ascii="Calibri" w:eastAsia="Times New Roman" w:hAnsi="Calibri" w:cs="Times New Roman"/>
                <w:color w:val="000000"/>
                <w:lang w:eastAsia="en-GB"/>
              </w:rPr>
              <w:t>Barnet</w:t>
            </w:r>
          </w:p>
        </w:tc>
        <w:tc>
          <w:tcPr>
            <w:tcW w:w="3726" w:type="dxa"/>
            <w:tcBorders>
              <w:top w:val="nil"/>
              <w:left w:val="nil"/>
              <w:bottom w:val="single" w:sz="4" w:space="0" w:color="auto"/>
              <w:right w:val="single" w:sz="4" w:space="0" w:color="auto"/>
            </w:tcBorders>
            <w:shd w:val="clear" w:color="auto" w:fill="auto"/>
            <w:noWrap/>
            <w:vAlign w:val="bottom"/>
            <w:hideMark/>
          </w:tcPr>
          <w:p w:rsidR="00A67211" w:rsidRPr="000A35AE" w:rsidRDefault="00A67211" w:rsidP="009C2F03">
            <w:pPr>
              <w:spacing w:after="0" w:line="240" w:lineRule="auto"/>
              <w:jc w:val="center"/>
              <w:rPr>
                <w:rFonts w:ascii="Calibri" w:eastAsia="Times New Roman" w:hAnsi="Calibri" w:cs="Times New Roman"/>
                <w:color w:val="000000"/>
                <w:lang w:eastAsia="en-GB"/>
              </w:rPr>
            </w:pPr>
            <w:r w:rsidRPr="000A35AE">
              <w:rPr>
                <w:rFonts w:ascii="Calibri" w:eastAsia="Times New Roman" w:hAnsi="Calibri" w:cs="Times New Roman"/>
                <w:color w:val="000000"/>
                <w:lang w:eastAsia="en-GB"/>
              </w:rPr>
              <w:t>£10,718,331.26</w:t>
            </w:r>
          </w:p>
        </w:tc>
        <w:tc>
          <w:tcPr>
            <w:tcW w:w="1805" w:type="dxa"/>
            <w:tcBorders>
              <w:top w:val="nil"/>
              <w:left w:val="nil"/>
              <w:bottom w:val="single" w:sz="4" w:space="0" w:color="auto"/>
              <w:right w:val="single" w:sz="8" w:space="0" w:color="auto"/>
            </w:tcBorders>
            <w:shd w:val="clear" w:color="auto" w:fill="auto"/>
            <w:noWrap/>
            <w:vAlign w:val="bottom"/>
            <w:hideMark/>
          </w:tcPr>
          <w:p w:rsidR="00A67211" w:rsidRPr="000A35AE" w:rsidRDefault="00A67211" w:rsidP="009C2F03">
            <w:pPr>
              <w:spacing w:after="0" w:line="240" w:lineRule="auto"/>
              <w:jc w:val="center"/>
              <w:rPr>
                <w:rFonts w:ascii="Calibri" w:eastAsia="Times New Roman" w:hAnsi="Calibri" w:cs="Times New Roman"/>
                <w:color w:val="000000"/>
                <w:lang w:eastAsia="en-GB"/>
              </w:rPr>
            </w:pPr>
            <w:r w:rsidRPr="000A35AE">
              <w:rPr>
                <w:rFonts w:ascii="Calibri" w:eastAsia="Times New Roman" w:hAnsi="Calibri" w:cs="Times New Roman"/>
                <w:color w:val="000000"/>
                <w:lang w:eastAsia="en-GB"/>
              </w:rPr>
              <w:t>35.3%</w:t>
            </w:r>
          </w:p>
        </w:tc>
      </w:tr>
      <w:tr w:rsidR="00A67211" w:rsidRPr="000A35AE" w:rsidTr="009C2F03">
        <w:tc>
          <w:tcPr>
            <w:tcW w:w="3669" w:type="dxa"/>
            <w:tcBorders>
              <w:top w:val="nil"/>
              <w:left w:val="single" w:sz="4" w:space="0" w:color="auto"/>
              <w:bottom w:val="single" w:sz="4" w:space="0" w:color="auto"/>
              <w:right w:val="single" w:sz="4" w:space="0" w:color="auto"/>
            </w:tcBorders>
            <w:shd w:val="clear" w:color="auto" w:fill="auto"/>
            <w:noWrap/>
            <w:vAlign w:val="bottom"/>
            <w:hideMark/>
          </w:tcPr>
          <w:p w:rsidR="00A67211" w:rsidRPr="000A35AE" w:rsidRDefault="00A67211" w:rsidP="009C2F03">
            <w:pPr>
              <w:spacing w:after="0" w:line="240" w:lineRule="auto"/>
              <w:rPr>
                <w:rFonts w:ascii="Calibri" w:eastAsia="Times New Roman" w:hAnsi="Calibri" w:cs="Times New Roman"/>
                <w:color w:val="000000"/>
                <w:lang w:eastAsia="en-GB"/>
              </w:rPr>
            </w:pPr>
            <w:r w:rsidRPr="000A35AE">
              <w:rPr>
                <w:rFonts w:ascii="Calibri" w:eastAsia="Times New Roman" w:hAnsi="Calibri" w:cs="Times New Roman"/>
                <w:color w:val="000000"/>
                <w:lang w:eastAsia="en-GB"/>
              </w:rPr>
              <w:t>Central London</w:t>
            </w:r>
          </w:p>
        </w:tc>
        <w:tc>
          <w:tcPr>
            <w:tcW w:w="3726" w:type="dxa"/>
            <w:tcBorders>
              <w:top w:val="nil"/>
              <w:left w:val="nil"/>
              <w:bottom w:val="single" w:sz="4" w:space="0" w:color="auto"/>
              <w:right w:val="single" w:sz="4" w:space="0" w:color="auto"/>
            </w:tcBorders>
            <w:shd w:val="clear" w:color="auto" w:fill="auto"/>
            <w:noWrap/>
            <w:vAlign w:val="bottom"/>
            <w:hideMark/>
          </w:tcPr>
          <w:p w:rsidR="00A67211" w:rsidRPr="000A35AE" w:rsidRDefault="00A67211" w:rsidP="009C2F03">
            <w:pPr>
              <w:spacing w:after="0" w:line="240" w:lineRule="auto"/>
              <w:jc w:val="center"/>
              <w:rPr>
                <w:rFonts w:ascii="Calibri" w:eastAsia="Times New Roman" w:hAnsi="Calibri" w:cs="Times New Roman"/>
                <w:color w:val="000000"/>
                <w:lang w:eastAsia="en-GB"/>
              </w:rPr>
            </w:pPr>
            <w:r w:rsidRPr="000A35AE">
              <w:rPr>
                <w:rFonts w:ascii="Calibri" w:eastAsia="Times New Roman" w:hAnsi="Calibri" w:cs="Times New Roman"/>
                <w:color w:val="000000"/>
                <w:lang w:eastAsia="en-GB"/>
              </w:rPr>
              <w:t>£3,000,154.48</w:t>
            </w:r>
          </w:p>
        </w:tc>
        <w:tc>
          <w:tcPr>
            <w:tcW w:w="1805" w:type="dxa"/>
            <w:tcBorders>
              <w:top w:val="nil"/>
              <w:left w:val="nil"/>
              <w:bottom w:val="single" w:sz="4" w:space="0" w:color="auto"/>
              <w:right w:val="single" w:sz="8" w:space="0" w:color="auto"/>
            </w:tcBorders>
            <w:shd w:val="clear" w:color="auto" w:fill="auto"/>
            <w:noWrap/>
            <w:vAlign w:val="bottom"/>
            <w:hideMark/>
          </w:tcPr>
          <w:p w:rsidR="00A67211" w:rsidRPr="000A35AE" w:rsidRDefault="00A67211" w:rsidP="009C2F03">
            <w:pPr>
              <w:spacing w:after="0" w:line="240" w:lineRule="auto"/>
              <w:jc w:val="center"/>
              <w:rPr>
                <w:rFonts w:ascii="Calibri" w:eastAsia="Times New Roman" w:hAnsi="Calibri" w:cs="Times New Roman"/>
                <w:color w:val="000000"/>
                <w:lang w:eastAsia="en-GB"/>
              </w:rPr>
            </w:pPr>
            <w:r w:rsidRPr="000A35AE">
              <w:rPr>
                <w:rFonts w:ascii="Calibri" w:eastAsia="Times New Roman" w:hAnsi="Calibri" w:cs="Times New Roman"/>
                <w:color w:val="000000"/>
                <w:lang w:eastAsia="en-GB"/>
              </w:rPr>
              <w:t>9.9%</w:t>
            </w:r>
          </w:p>
        </w:tc>
      </w:tr>
      <w:tr w:rsidR="00A67211" w:rsidRPr="000A35AE" w:rsidTr="009C2F03">
        <w:tc>
          <w:tcPr>
            <w:tcW w:w="3669" w:type="dxa"/>
            <w:tcBorders>
              <w:top w:val="nil"/>
              <w:left w:val="single" w:sz="4" w:space="0" w:color="auto"/>
              <w:bottom w:val="single" w:sz="4" w:space="0" w:color="auto"/>
              <w:right w:val="single" w:sz="4" w:space="0" w:color="auto"/>
            </w:tcBorders>
            <w:shd w:val="clear" w:color="auto" w:fill="auto"/>
            <w:noWrap/>
            <w:vAlign w:val="bottom"/>
            <w:hideMark/>
          </w:tcPr>
          <w:p w:rsidR="00A67211" w:rsidRPr="000A35AE" w:rsidRDefault="00A67211" w:rsidP="009C2F03">
            <w:pPr>
              <w:spacing w:after="0" w:line="240" w:lineRule="auto"/>
              <w:rPr>
                <w:rFonts w:ascii="Calibri" w:eastAsia="Times New Roman" w:hAnsi="Calibri" w:cs="Times New Roman"/>
                <w:color w:val="000000"/>
                <w:lang w:eastAsia="en-GB"/>
              </w:rPr>
            </w:pPr>
            <w:r w:rsidRPr="000A35AE">
              <w:rPr>
                <w:rFonts w:ascii="Calibri" w:eastAsia="Times New Roman" w:hAnsi="Calibri" w:cs="Times New Roman"/>
                <w:color w:val="000000"/>
                <w:lang w:eastAsia="en-GB"/>
              </w:rPr>
              <w:t>Other</w:t>
            </w:r>
          </w:p>
        </w:tc>
        <w:tc>
          <w:tcPr>
            <w:tcW w:w="3726" w:type="dxa"/>
            <w:tcBorders>
              <w:top w:val="nil"/>
              <w:left w:val="nil"/>
              <w:bottom w:val="single" w:sz="4" w:space="0" w:color="auto"/>
              <w:right w:val="single" w:sz="4" w:space="0" w:color="auto"/>
            </w:tcBorders>
            <w:shd w:val="clear" w:color="auto" w:fill="auto"/>
            <w:noWrap/>
            <w:vAlign w:val="bottom"/>
            <w:hideMark/>
          </w:tcPr>
          <w:p w:rsidR="00A67211" w:rsidRPr="000A35AE" w:rsidRDefault="00A67211" w:rsidP="009C2F03">
            <w:pPr>
              <w:spacing w:after="0" w:line="240" w:lineRule="auto"/>
              <w:jc w:val="center"/>
              <w:rPr>
                <w:rFonts w:ascii="Calibri" w:eastAsia="Times New Roman" w:hAnsi="Calibri" w:cs="Times New Roman"/>
                <w:color w:val="000000"/>
                <w:lang w:eastAsia="en-GB"/>
              </w:rPr>
            </w:pPr>
            <w:r w:rsidRPr="000A35AE">
              <w:rPr>
                <w:rFonts w:ascii="Calibri" w:eastAsia="Times New Roman" w:hAnsi="Calibri" w:cs="Times New Roman"/>
                <w:color w:val="000000"/>
                <w:lang w:eastAsia="en-GB"/>
              </w:rPr>
              <w:t>£16,669,799.23</w:t>
            </w:r>
          </w:p>
        </w:tc>
        <w:tc>
          <w:tcPr>
            <w:tcW w:w="1805" w:type="dxa"/>
            <w:tcBorders>
              <w:top w:val="nil"/>
              <w:left w:val="nil"/>
              <w:bottom w:val="single" w:sz="4" w:space="0" w:color="auto"/>
              <w:right w:val="single" w:sz="8" w:space="0" w:color="auto"/>
            </w:tcBorders>
            <w:shd w:val="clear" w:color="auto" w:fill="auto"/>
            <w:noWrap/>
            <w:vAlign w:val="bottom"/>
            <w:hideMark/>
          </w:tcPr>
          <w:p w:rsidR="00A67211" w:rsidRPr="000A35AE" w:rsidRDefault="00A67211" w:rsidP="009C2F03">
            <w:pPr>
              <w:spacing w:after="0" w:line="240" w:lineRule="auto"/>
              <w:jc w:val="center"/>
              <w:rPr>
                <w:rFonts w:ascii="Calibri" w:eastAsia="Times New Roman" w:hAnsi="Calibri" w:cs="Times New Roman"/>
                <w:color w:val="000000"/>
                <w:lang w:eastAsia="en-GB"/>
              </w:rPr>
            </w:pPr>
            <w:r w:rsidRPr="000A35AE">
              <w:rPr>
                <w:rFonts w:ascii="Calibri" w:eastAsia="Times New Roman" w:hAnsi="Calibri" w:cs="Times New Roman"/>
                <w:color w:val="000000"/>
                <w:lang w:eastAsia="en-GB"/>
              </w:rPr>
              <w:t>54.9%</w:t>
            </w:r>
          </w:p>
        </w:tc>
      </w:tr>
      <w:tr w:rsidR="00A67211" w:rsidRPr="000A35AE" w:rsidTr="009C2F03">
        <w:tc>
          <w:tcPr>
            <w:tcW w:w="3669" w:type="dxa"/>
            <w:tcBorders>
              <w:top w:val="nil"/>
              <w:left w:val="single" w:sz="4" w:space="0" w:color="auto"/>
              <w:bottom w:val="single" w:sz="8" w:space="0" w:color="auto"/>
              <w:right w:val="single" w:sz="4" w:space="0" w:color="auto"/>
            </w:tcBorders>
            <w:shd w:val="clear" w:color="auto" w:fill="auto"/>
            <w:noWrap/>
            <w:vAlign w:val="bottom"/>
            <w:hideMark/>
          </w:tcPr>
          <w:p w:rsidR="00A67211" w:rsidRPr="000A35AE" w:rsidRDefault="00A67211" w:rsidP="009C2F03">
            <w:pPr>
              <w:spacing w:after="0" w:line="240" w:lineRule="auto"/>
              <w:rPr>
                <w:rFonts w:ascii="Calibri" w:eastAsia="Times New Roman" w:hAnsi="Calibri" w:cs="Times New Roman"/>
                <w:color w:val="000000"/>
                <w:lang w:eastAsia="en-GB"/>
              </w:rPr>
            </w:pPr>
            <w:r w:rsidRPr="000A35AE">
              <w:rPr>
                <w:rFonts w:ascii="Calibri" w:eastAsia="Times New Roman" w:hAnsi="Calibri" w:cs="Times New Roman"/>
                <w:color w:val="000000"/>
                <w:lang w:eastAsia="en-GB"/>
              </w:rPr>
              <w:t>Grand Total</w:t>
            </w:r>
          </w:p>
        </w:tc>
        <w:tc>
          <w:tcPr>
            <w:tcW w:w="3726" w:type="dxa"/>
            <w:tcBorders>
              <w:top w:val="nil"/>
              <w:left w:val="nil"/>
              <w:bottom w:val="single" w:sz="8" w:space="0" w:color="auto"/>
              <w:right w:val="single" w:sz="4" w:space="0" w:color="auto"/>
            </w:tcBorders>
            <w:shd w:val="clear" w:color="auto" w:fill="auto"/>
            <w:noWrap/>
            <w:vAlign w:val="bottom"/>
            <w:hideMark/>
          </w:tcPr>
          <w:p w:rsidR="00A67211" w:rsidRPr="000A35AE" w:rsidRDefault="00A67211" w:rsidP="009C2F03">
            <w:pPr>
              <w:spacing w:after="0" w:line="240" w:lineRule="auto"/>
              <w:jc w:val="center"/>
              <w:rPr>
                <w:rFonts w:ascii="Calibri" w:eastAsia="Times New Roman" w:hAnsi="Calibri" w:cs="Times New Roman"/>
                <w:color w:val="000000"/>
                <w:lang w:eastAsia="en-GB"/>
              </w:rPr>
            </w:pPr>
            <w:r w:rsidRPr="000A35AE">
              <w:rPr>
                <w:rFonts w:ascii="Calibri" w:eastAsia="Times New Roman" w:hAnsi="Calibri" w:cs="Times New Roman"/>
                <w:color w:val="000000"/>
                <w:lang w:eastAsia="en-GB"/>
              </w:rPr>
              <w:t>£30,388,284.97</w:t>
            </w:r>
          </w:p>
        </w:tc>
        <w:tc>
          <w:tcPr>
            <w:tcW w:w="1805" w:type="dxa"/>
            <w:tcBorders>
              <w:top w:val="nil"/>
              <w:left w:val="nil"/>
              <w:bottom w:val="single" w:sz="8" w:space="0" w:color="auto"/>
              <w:right w:val="single" w:sz="8" w:space="0" w:color="auto"/>
            </w:tcBorders>
            <w:shd w:val="clear" w:color="auto" w:fill="auto"/>
            <w:noWrap/>
            <w:vAlign w:val="bottom"/>
            <w:hideMark/>
          </w:tcPr>
          <w:p w:rsidR="00A67211" w:rsidRPr="000A35AE" w:rsidRDefault="00A67211" w:rsidP="009C2F03">
            <w:pPr>
              <w:spacing w:after="0" w:line="240" w:lineRule="auto"/>
              <w:jc w:val="center"/>
              <w:rPr>
                <w:rFonts w:ascii="Calibri" w:eastAsia="Times New Roman" w:hAnsi="Calibri" w:cs="Times New Roman"/>
                <w:color w:val="000000"/>
                <w:lang w:eastAsia="en-GB"/>
              </w:rPr>
            </w:pPr>
            <w:r w:rsidRPr="000A35AE">
              <w:rPr>
                <w:rFonts w:ascii="Calibri" w:eastAsia="Times New Roman" w:hAnsi="Calibri" w:cs="Times New Roman"/>
                <w:color w:val="000000"/>
                <w:lang w:eastAsia="en-GB"/>
              </w:rPr>
              <w:t>100.0%</w:t>
            </w:r>
          </w:p>
        </w:tc>
      </w:tr>
    </w:tbl>
    <w:p w:rsidR="006914DA" w:rsidRDefault="006914DA" w:rsidP="006914DA">
      <w:pPr>
        <w:tabs>
          <w:tab w:val="left" w:pos="3225"/>
        </w:tabs>
        <w:spacing w:after="0" w:line="240" w:lineRule="auto"/>
      </w:pPr>
    </w:p>
    <w:p w:rsidR="00A67211" w:rsidRDefault="00267895" w:rsidP="006914DA">
      <w:pPr>
        <w:tabs>
          <w:tab w:val="left" w:pos="3225"/>
        </w:tabs>
        <w:spacing w:after="0" w:line="240" w:lineRule="auto"/>
        <w:jc w:val="both"/>
      </w:pPr>
      <w:r>
        <w:t xml:space="preserve">A further breakdown of spend with charities is given </w:t>
      </w:r>
      <w:r w:rsidR="00A67211">
        <w:t xml:space="preserve">for the Adults </w:t>
      </w:r>
      <w:r>
        <w:t>and Children’s Delivery Units in</w:t>
      </w:r>
      <w:r w:rsidR="00A67211">
        <w:t xml:space="preserve"> tables </w:t>
      </w:r>
      <w:r w:rsidR="00E04DAC">
        <w:t>11</w:t>
      </w:r>
      <w:r w:rsidR="00E374FD">
        <w:t>-</w:t>
      </w:r>
      <w:r w:rsidR="00A67211">
        <w:t xml:space="preserve">6 and </w:t>
      </w:r>
      <w:r w:rsidR="00E04DAC">
        <w:t>11</w:t>
      </w:r>
      <w:r w:rsidR="00E374FD">
        <w:t>-</w:t>
      </w:r>
      <w:r w:rsidR="00A67211">
        <w:t xml:space="preserve">7 below.  </w:t>
      </w:r>
    </w:p>
    <w:p w:rsidR="006914DA" w:rsidRDefault="006914DA" w:rsidP="006914DA">
      <w:pPr>
        <w:tabs>
          <w:tab w:val="left" w:pos="3225"/>
        </w:tabs>
        <w:spacing w:after="0" w:line="240" w:lineRule="auto"/>
      </w:pPr>
    </w:p>
    <w:p w:rsidR="006914DA" w:rsidRDefault="006914DA" w:rsidP="006914DA">
      <w:pPr>
        <w:tabs>
          <w:tab w:val="left" w:pos="3225"/>
        </w:tabs>
        <w:spacing w:after="0" w:line="240" w:lineRule="auto"/>
      </w:pPr>
    </w:p>
    <w:p w:rsidR="006914DA" w:rsidRDefault="006914DA" w:rsidP="006914DA">
      <w:pPr>
        <w:tabs>
          <w:tab w:val="left" w:pos="3225"/>
        </w:tabs>
        <w:spacing w:after="0" w:line="240" w:lineRule="auto"/>
      </w:pPr>
    </w:p>
    <w:p w:rsidR="006914DA" w:rsidRDefault="006914DA" w:rsidP="006914DA">
      <w:pPr>
        <w:tabs>
          <w:tab w:val="left" w:pos="3225"/>
        </w:tabs>
        <w:spacing w:after="0" w:line="240" w:lineRule="auto"/>
      </w:pPr>
    </w:p>
    <w:p w:rsidR="006914DA" w:rsidRDefault="006914DA" w:rsidP="006914DA">
      <w:pPr>
        <w:tabs>
          <w:tab w:val="left" w:pos="3225"/>
        </w:tabs>
        <w:spacing w:after="0" w:line="240" w:lineRule="auto"/>
      </w:pPr>
    </w:p>
    <w:p w:rsidR="006914DA" w:rsidRDefault="006914DA" w:rsidP="006914DA">
      <w:pPr>
        <w:tabs>
          <w:tab w:val="left" w:pos="3225"/>
        </w:tabs>
        <w:spacing w:after="0" w:line="240" w:lineRule="auto"/>
      </w:pPr>
    </w:p>
    <w:p w:rsidR="006914DA" w:rsidRDefault="006914DA" w:rsidP="006914DA">
      <w:pPr>
        <w:tabs>
          <w:tab w:val="left" w:pos="3225"/>
        </w:tabs>
        <w:spacing w:after="0" w:line="240" w:lineRule="auto"/>
      </w:pPr>
    </w:p>
    <w:p w:rsidR="00A67211" w:rsidRPr="00E374FD" w:rsidRDefault="00E374FD" w:rsidP="00E374FD">
      <w:pPr>
        <w:pStyle w:val="Caption"/>
        <w:rPr>
          <w:b w:val="0"/>
        </w:rPr>
      </w:pPr>
      <w:r>
        <w:lastRenderedPageBreak/>
        <w:t xml:space="preserve">Table </w:t>
      </w:r>
      <w:fldSimple w:instr=" STYLEREF 1 \s ">
        <w:r w:rsidR="001663C2">
          <w:rPr>
            <w:noProof/>
          </w:rPr>
          <w:t>11</w:t>
        </w:r>
      </w:fldSimple>
      <w:r w:rsidR="000C02C2">
        <w:noBreakHyphen/>
      </w:r>
      <w:fldSimple w:instr=" SEQ Table \* ARABIC \s 1 ">
        <w:r w:rsidR="001663C2">
          <w:rPr>
            <w:noProof/>
          </w:rPr>
          <w:t>6</w:t>
        </w:r>
      </w:fldSimple>
      <w:r w:rsidR="00A67211" w:rsidRPr="00E374FD">
        <w:t>: Council spend by location – Adults and Communities (2014/15)</w:t>
      </w:r>
    </w:p>
    <w:tbl>
      <w:tblPr>
        <w:tblW w:w="9200" w:type="dxa"/>
        <w:tblInd w:w="93" w:type="dxa"/>
        <w:tblLook w:val="04A0" w:firstRow="1" w:lastRow="0" w:firstColumn="1" w:lastColumn="0" w:noHBand="0" w:noVBand="1"/>
      </w:tblPr>
      <w:tblGrid>
        <w:gridCol w:w="3669"/>
        <w:gridCol w:w="3726"/>
        <w:gridCol w:w="1805"/>
      </w:tblGrid>
      <w:tr w:rsidR="00A67211" w:rsidRPr="000A35AE" w:rsidTr="009C2F03">
        <w:tc>
          <w:tcPr>
            <w:tcW w:w="9200" w:type="dxa"/>
            <w:gridSpan w:val="3"/>
            <w:tcBorders>
              <w:top w:val="single" w:sz="4" w:space="0" w:color="auto"/>
              <w:left w:val="single" w:sz="4" w:space="0" w:color="auto"/>
              <w:bottom w:val="single" w:sz="4" w:space="0" w:color="auto"/>
              <w:right w:val="single" w:sz="8" w:space="0" w:color="000000"/>
            </w:tcBorders>
            <w:shd w:val="clear" w:color="auto" w:fill="auto"/>
            <w:noWrap/>
            <w:vAlign w:val="bottom"/>
            <w:hideMark/>
          </w:tcPr>
          <w:p w:rsidR="00A67211" w:rsidRPr="000A35AE" w:rsidRDefault="00A67211" w:rsidP="009C2F03">
            <w:pPr>
              <w:spacing w:after="0" w:line="240" w:lineRule="auto"/>
              <w:jc w:val="center"/>
              <w:rPr>
                <w:rFonts w:ascii="Calibri" w:eastAsia="Times New Roman" w:hAnsi="Calibri" w:cs="Times New Roman"/>
                <w:b/>
                <w:bCs/>
                <w:color w:val="000000"/>
                <w:lang w:eastAsia="en-GB"/>
              </w:rPr>
            </w:pPr>
            <w:r w:rsidRPr="000A35AE">
              <w:rPr>
                <w:rFonts w:ascii="Calibri" w:eastAsia="Times New Roman" w:hAnsi="Calibri" w:cs="Times New Roman"/>
                <w:b/>
                <w:bCs/>
                <w:color w:val="000000"/>
                <w:lang w:eastAsia="en-GB"/>
              </w:rPr>
              <w:t>Spend by Location and Delivery Unit - Adult</w:t>
            </w:r>
            <w:r>
              <w:rPr>
                <w:rFonts w:ascii="Calibri" w:eastAsia="Times New Roman" w:hAnsi="Calibri" w:cs="Times New Roman"/>
                <w:b/>
                <w:bCs/>
                <w:color w:val="000000"/>
                <w:lang w:eastAsia="en-GB"/>
              </w:rPr>
              <w:t>s</w:t>
            </w:r>
            <w:r w:rsidRPr="000A35AE">
              <w:rPr>
                <w:rFonts w:ascii="Calibri" w:eastAsia="Times New Roman" w:hAnsi="Calibri" w:cs="Times New Roman"/>
                <w:b/>
                <w:bCs/>
                <w:color w:val="000000"/>
                <w:lang w:eastAsia="en-GB"/>
              </w:rPr>
              <w:t xml:space="preserve"> and Communities</w:t>
            </w:r>
            <w:r>
              <w:rPr>
                <w:rFonts w:ascii="Calibri" w:eastAsia="Times New Roman" w:hAnsi="Calibri" w:cs="Times New Roman"/>
                <w:b/>
                <w:bCs/>
                <w:color w:val="000000"/>
                <w:lang w:eastAsia="en-GB"/>
              </w:rPr>
              <w:t xml:space="preserve"> (2014/15)</w:t>
            </w:r>
          </w:p>
        </w:tc>
      </w:tr>
      <w:tr w:rsidR="00A67211" w:rsidRPr="000A35AE" w:rsidTr="009C2F03">
        <w:tc>
          <w:tcPr>
            <w:tcW w:w="3669" w:type="dxa"/>
            <w:tcBorders>
              <w:top w:val="nil"/>
              <w:left w:val="single" w:sz="4" w:space="0" w:color="auto"/>
              <w:bottom w:val="single" w:sz="4" w:space="0" w:color="auto"/>
              <w:right w:val="single" w:sz="4" w:space="0" w:color="auto"/>
            </w:tcBorders>
            <w:shd w:val="clear" w:color="000000" w:fill="A6A6A6"/>
            <w:noWrap/>
            <w:vAlign w:val="bottom"/>
            <w:hideMark/>
          </w:tcPr>
          <w:p w:rsidR="00A67211" w:rsidRPr="000A35AE" w:rsidRDefault="00A67211" w:rsidP="009C2F03">
            <w:pPr>
              <w:spacing w:after="0" w:line="240" w:lineRule="auto"/>
              <w:jc w:val="center"/>
              <w:rPr>
                <w:rFonts w:ascii="Calibri" w:eastAsia="Times New Roman" w:hAnsi="Calibri" w:cs="Times New Roman"/>
                <w:b/>
                <w:bCs/>
                <w:color w:val="000000"/>
                <w:lang w:eastAsia="en-GB"/>
              </w:rPr>
            </w:pPr>
            <w:r w:rsidRPr="000A35AE">
              <w:rPr>
                <w:rFonts w:ascii="Calibri" w:eastAsia="Times New Roman" w:hAnsi="Calibri" w:cs="Times New Roman"/>
                <w:b/>
                <w:bCs/>
                <w:color w:val="000000"/>
                <w:lang w:eastAsia="en-GB"/>
              </w:rPr>
              <w:t>Locality</w:t>
            </w:r>
          </w:p>
        </w:tc>
        <w:tc>
          <w:tcPr>
            <w:tcW w:w="3726" w:type="dxa"/>
            <w:tcBorders>
              <w:top w:val="nil"/>
              <w:left w:val="nil"/>
              <w:bottom w:val="single" w:sz="4" w:space="0" w:color="auto"/>
              <w:right w:val="single" w:sz="4" w:space="0" w:color="auto"/>
            </w:tcBorders>
            <w:shd w:val="clear" w:color="000000" w:fill="A6A6A6"/>
            <w:noWrap/>
            <w:vAlign w:val="bottom"/>
            <w:hideMark/>
          </w:tcPr>
          <w:p w:rsidR="00A67211" w:rsidRPr="000A35AE" w:rsidRDefault="00A67211" w:rsidP="009C2F03">
            <w:pPr>
              <w:spacing w:after="0" w:line="240" w:lineRule="auto"/>
              <w:jc w:val="center"/>
              <w:rPr>
                <w:rFonts w:ascii="Calibri" w:eastAsia="Times New Roman" w:hAnsi="Calibri" w:cs="Times New Roman"/>
                <w:b/>
                <w:bCs/>
                <w:color w:val="000000"/>
                <w:lang w:eastAsia="en-GB"/>
              </w:rPr>
            </w:pPr>
            <w:r w:rsidRPr="000A35AE">
              <w:rPr>
                <w:rFonts w:ascii="Calibri" w:eastAsia="Times New Roman" w:hAnsi="Calibri" w:cs="Times New Roman"/>
                <w:b/>
                <w:bCs/>
                <w:color w:val="000000"/>
                <w:lang w:eastAsia="en-GB"/>
              </w:rPr>
              <w:t>Total Spend</w:t>
            </w:r>
          </w:p>
        </w:tc>
        <w:tc>
          <w:tcPr>
            <w:tcW w:w="1805" w:type="dxa"/>
            <w:tcBorders>
              <w:top w:val="nil"/>
              <w:left w:val="nil"/>
              <w:bottom w:val="single" w:sz="4" w:space="0" w:color="auto"/>
              <w:right w:val="single" w:sz="8" w:space="0" w:color="auto"/>
            </w:tcBorders>
            <w:shd w:val="clear" w:color="000000" w:fill="A6A6A6"/>
            <w:noWrap/>
            <w:vAlign w:val="bottom"/>
            <w:hideMark/>
          </w:tcPr>
          <w:p w:rsidR="00A67211" w:rsidRPr="000A35AE" w:rsidRDefault="00A67211" w:rsidP="009C2F03">
            <w:pPr>
              <w:spacing w:after="0" w:line="240" w:lineRule="auto"/>
              <w:jc w:val="center"/>
              <w:rPr>
                <w:rFonts w:ascii="Calibri" w:eastAsia="Times New Roman" w:hAnsi="Calibri" w:cs="Times New Roman"/>
                <w:b/>
                <w:bCs/>
                <w:color w:val="000000"/>
                <w:lang w:eastAsia="en-GB"/>
              </w:rPr>
            </w:pPr>
            <w:r w:rsidRPr="000A35AE">
              <w:rPr>
                <w:rFonts w:ascii="Calibri" w:eastAsia="Times New Roman" w:hAnsi="Calibri" w:cs="Times New Roman"/>
                <w:b/>
                <w:bCs/>
                <w:color w:val="000000"/>
                <w:lang w:eastAsia="en-GB"/>
              </w:rPr>
              <w:t>%</w:t>
            </w:r>
          </w:p>
        </w:tc>
      </w:tr>
      <w:tr w:rsidR="00A67211" w:rsidRPr="000A35AE" w:rsidTr="009C2F03">
        <w:tc>
          <w:tcPr>
            <w:tcW w:w="3669" w:type="dxa"/>
            <w:tcBorders>
              <w:top w:val="nil"/>
              <w:left w:val="single" w:sz="4" w:space="0" w:color="auto"/>
              <w:bottom w:val="single" w:sz="4" w:space="0" w:color="auto"/>
              <w:right w:val="single" w:sz="4" w:space="0" w:color="auto"/>
            </w:tcBorders>
            <w:shd w:val="clear" w:color="auto" w:fill="auto"/>
            <w:noWrap/>
            <w:vAlign w:val="bottom"/>
            <w:hideMark/>
          </w:tcPr>
          <w:p w:rsidR="00A67211" w:rsidRPr="000A35AE" w:rsidRDefault="00A67211" w:rsidP="009C2F03">
            <w:pPr>
              <w:spacing w:after="0" w:line="240" w:lineRule="auto"/>
              <w:rPr>
                <w:rFonts w:ascii="Calibri" w:eastAsia="Times New Roman" w:hAnsi="Calibri" w:cs="Times New Roman"/>
                <w:color w:val="000000"/>
                <w:lang w:eastAsia="en-GB"/>
              </w:rPr>
            </w:pPr>
            <w:r w:rsidRPr="000A35AE">
              <w:rPr>
                <w:rFonts w:ascii="Calibri" w:eastAsia="Times New Roman" w:hAnsi="Calibri" w:cs="Times New Roman"/>
                <w:color w:val="000000"/>
                <w:lang w:eastAsia="en-GB"/>
              </w:rPr>
              <w:t>Barnet</w:t>
            </w:r>
          </w:p>
        </w:tc>
        <w:tc>
          <w:tcPr>
            <w:tcW w:w="3726" w:type="dxa"/>
            <w:tcBorders>
              <w:top w:val="nil"/>
              <w:left w:val="nil"/>
              <w:bottom w:val="single" w:sz="4" w:space="0" w:color="auto"/>
              <w:right w:val="single" w:sz="4" w:space="0" w:color="auto"/>
            </w:tcBorders>
            <w:shd w:val="clear" w:color="auto" w:fill="auto"/>
            <w:noWrap/>
            <w:vAlign w:val="bottom"/>
            <w:hideMark/>
          </w:tcPr>
          <w:p w:rsidR="00A67211" w:rsidRPr="000A35AE" w:rsidRDefault="00A67211" w:rsidP="009C2F03">
            <w:pPr>
              <w:spacing w:after="0" w:line="240" w:lineRule="auto"/>
              <w:jc w:val="center"/>
              <w:rPr>
                <w:rFonts w:ascii="Calibri" w:eastAsia="Times New Roman" w:hAnsi="Calibri" w:cs="Times New Roman"/>
                <w:color w:val="000000"/>
                <w:lang w:eastAsia="en-GB"/>
              </w:rPr>
            </w:pPr>
            <w:r w:rsidRPr="000A35AE">
              <w:rPr>
                <w:rFonts w:ascii="Calibri" w:eastAsia="Times New Roman" w:hAnsi="Calibri" w:cs="Times New Roman"/>
                <w:color w:val="000000"/>
                <w:lang w:eastAsia="en-GB"/>
              </w:rPr>
              <w:t>£2,148,630.39</w:t>
            </w:r>
          </w:p>
        </w:tc>
        <w:tc>
          <w:tcPr>
            <w:tcW w:w="1805" w:type="dxa"/>
            <w:tcBorders>
              <w:top w:val="nil"/>
              <w:left w:val="nil"/>
              <w:bottom w:val="single" w:sz="4" w:space="0" w:color="auto"/>
              <w:right w:val="single" w:sz="8" w:space="0" w:color="auto"/>
            </w:tcBorders>
            <w:shd w:val="clear" w:color="auto" w:fill="auto"/>
            <w:noWrap/>
            <w:vAlign w:val="bottom"/>
            <w:hideMark/>
          </w:tcPr>
          <w:p w:rsidR="00A67211" w:rsidRPr="000A35AE" w:rsidRDefault="00A67211" w:rsidP="009C2F03">
            <w:pPr>
              <w:spacing w:after="0" w:line="240" w:lineRule="auto"/>
              <w:jc w:val="center"/>
              <w:rPr>
                <w:rFonts w:ascii="Calibri" w:eastAsia="Times New Roman" w:hAnsi="Calibri" w:cs="Times New Roman"/>
                <w:color w:val="000000"/>
                <w:lang w:eastAsia="en-GB"/>
              </w:rPr>
            </w:pPr>
            <w:r w:rsidRPr="000A35AE">
              <w:rPr>
                <w:rFonts w:ascii="Calibri" w:eastAsia="Times New Roman" w:hAnsi="Calibri" w:cs="Times New Roman"/>
                <w:color w:val="000000"/>
                <w:lang w:eastAsia="en-GB"/>
              </w:rPr>
              <w:t>20.4%</w:t>
            </w:r>
          </w:p>
        </w:tc>
      </w:tr>
      <w:tr w:rsidR="00A67211" w:rsidRPr="000A35AE" w:rsidTr="009C2F03">
        <w:tc>
          <w:tcPr>
            <w:tcW w:w="3669" w:type="dxa"/>
            <w:tcBorders>
              <w:top w:val="nil"/>
              <w:left w:val="single" w:sz="4" w:space="0" w:color="auto"/>
              <w:bottom w:val="single" w:sz="4" w:space="0" w:color="auto"/>
              <w:right w:val="single" w:sz="4" w:space="0" w:color="auto"/>
            </w:tcBorders>
            <w:shd w:val="clear" w:color="auto" w:fill="auto"/>
            <w:noWrap/>
            <w:vAlign w:val="bottom"/>
            <w:hideMark/>
          </w:tcPr>
          <w:p w:rsidR="00A67211" w:rsidRPr="000A35AE" w:rsidRDefault="00A67211" w:rsidP="009C2F03">
            <w:pPr>
              <w:spacing w:after="0" w:line="240" w:lineRule="auto"/>
              <w:rPr>
                <w:rFonts w:ascii="Calibri" w:eastAsia="Times New Roman" w:hAnsi="Calibri" w:cs="Times New Roman"/>
                <w:color w:val="000000"/>
                <w:lang w:eastAsia="en-GB"/>
              </w:rPr>
            </w:pPr>
            <w:r w:rsidRPr="000A35AE">
              <w:rPr>
                <w:rFonts w:ascii="Calibri" w:eastAsia="Times New Roman" w:hAnsi="Calibri" w:cs="Times New Roman"/>
                <w:color w:val="000000"/>
                <w:lang w:eastAsia="en-GB"/>
              </w:rPr>
              <w:t>Central London</w:t>
            </w:r>
          </w:p>
        </w:tc>
        <w:tc>
          <w:tcPr>
            <w:tcW w:w="3726" w:type="dxa"/>
            <w:tcBorders>
              <w:top w:val="nil"/>
              <w:left w:val="nil"/>
              <w:bottom w:val="single" w:sz="4" w:space="0" w:color="auto"/>
              <w:right w:val="single" w:sz="4" w:space="0" w:color="auto"/>
            </w:tcBorders>
            <w:shd w:val="clear" w:color="auto" w:fill="auto"/>
            <w:noWrap/>
            <w:vAlign w:val="bottom"/>
            <w:hideMark/>
          </w:tcPr>
          <w:p w:rsidR="00A67211" w:rsidRPr="000A35AE" w:rsidRDefault="00A67211" w:rsidP="009C2F03">
            <w:pPr>
              <w:spacing w:after="0" w:line="240" w:lineRule="auto"/>
              <w:jc w:val="center"/>
              <w:rPr>
                <w:rFonts w:ascii="Calibri" w:eastAsia="Times New Roman" w:hAnsi="Calibri" w:cs="Times New Roman"/>
                <w:color w:val="000000"/>
                <w:lang w:eastAsia="en-GB"/>
              </w:rPr>
            </w:pPr>
            <w:r w:rsidRPr="000A35AE">
              <w:rPr>
                <w:rFonts w:ascii="Calibri" w:eastAsia="Times New Roman" w:hAnsi="Calibri" w:cs="Times New Roman"/>
                <w:color w:val="000000"/>
                <w:lang w:eastAsia="en-GB"/>
              </w:rPr>
              <w:t>£1,364,400.35</w:t>
            </w:r>
          </w:p>
        </w:tc>
        <w:tc>
          <w:tcPr>
            <w:tcW w:w="1805" w:type="dxa"/>
            <w:tcBorders>
              <w:top w:val="nil"/>
              <w:left w:val="nil"/>
              <w:bottom w:val="single" w:sz="4" w:space="0" w:color="auto"/>
              <w:right w:val="single" w:sz="8" w:space="0" w:color="auto"/>
            </w:tcBorders>
            <w:shd w:val="clear" w:color="auto" w:fill="auto"/>
            <w:noWrap/>
            <w:vAlign w:val="bottom"/>
            <w:hideMark/>
          </w:tcPr>
          <w:p w:rsidR="00A67211" w:rsidRPr="000A35AE" w:rsidRDefault="00A67211" w:rsidP="009C2F03">
            <w:pPr>
              <w:spacing w:after="0" w:line="240" w:lineRule="auto"/>
              <w:jc w:val="center"/>
              <w:rPr>
                <w:rFonts w:ascii="Calibri" w:eastAsia="Times New Roman" w:hAnsi="Calibri" w:cs="Times New Roman"/>
                <w:color w:val="000000"/>
                <w:lang w:eastAsia="en-GB"/>
              </w:rPr>
            </w:pPr>
            <w:r w:rsidRPr="000A35AE">
              <w:rPr>
                <w:rFonts w:ascii="Calibri" w:eastAsia="Times New Roman" w:hAnsi="Calibri" w:cs="Times New Roman"/>
                <w:color w:val="000000"/>
                <w:lang w:eastAsia="en-GB"/>
              </w:rPr>
              <w:t>13.0%</w:t>
            </w:r>
          </w:p>
        </w:tc>
      </w:tr>
      <w:tr w:rsidR="00A67211" w:rsidRPr="000A35AE" w:rsidTr="009C2F03">
        <w:tc>
          <w:tcPr>
            <w:tcW w:w="3669" w:type="dxa"/>
            <w:tcBorders>
              <w:top w:val="nil"/>
              <w:left w:val="single" w:sz="4" w:space="0" w:color="auto"/>
              <w:bottom w:val="single" w:sz="4" w:space="0" w:color="auto"/>
              <w:right w:val="single" w:sz="4" w:space="0" w:color="auto"/>
            </w:tcBorders>
            <w:shd w:val="clear" w:color="auto" w:fill="auto"/>
            <w:noWrap/>
            <w:vAlign w:val="bottom"/>
            <w:hideMark/>
          </w:tcPr>
          <w:p w:rsidR="00A67211" w:rsidRPr="000A35AE" w:rsidRDefault="00A67211" w:rsidP="009C2F03">
            <w:pPr>
              <w:spacing w:after="0" w:line="240" w:lineRule="auto"/>
              <w:rPr>
                <w:rFonts w:ascii="Calibri" w:eastAsia="Times New Roman" w:hAnsi="Calibri" w:cs="Times New Roman"/>
                <w:color w:val="000000"/>
                <w:lang w:eastAsia="en-GB"/>
              </w:rPr>
            </w:pPr>
            <w:r w:rsidRPr="000A35AE">
              <w:rPr>
                <w:rFonts w:ascii="Calibri" w:eastAsia="Times New Roman" w:hAnsi="Calibri" w:cs="Times New Roman"/>
                <w:color w:val="000000"/>
                <w:lang w:eastAsia="en-GB"/>
              </w:rPr>
              <w:t>Other</w:t>
            </w:r>
          </w:p>
        </w:tc>
        <w:tc>
          <w:tcPr>
            <w:tcW w:w="3726" w:type="dxa"/>
            <w:tcBorders>
              <w:top w:val="nil"/>
              <w:left w:val="nil"/>
              <w:bottom w:val="single" w:sz="4" w:space="0" w:color="auto"/>
              <w:right w:val="single" w:sz="4" w:space="0" w:color="auto"/>
            </w:tcBorders>
            <w:shd w:val="clear" w:color="auto" w:fill="auto"/>
            <w:noWrap/>
            <w:vAlign w:val="bottom"/>
            <w:hideMark/>
          </w:tcPr>
          <w:p w:rsidR="00A67211" w:rsidRPr="000A35AE" w:rsidRDefault="00A67211" w:rsidP="009C2F03">
            <w:pPr>
              <w:spacing w:after="0" w:line="240" w:lineRule="auto"/>
              <w:jc w:val="center"/>
              <w:rPr>
                <w:rFonts w:ascii="Calibri" w:eastAsia="Times New Roman" w:hAnsi="Calibri" w:cs="Times New Roman"/>
                <w:color w:val="000000"/>
                <w:lang w:eastAsia="en-GB"/>
              </w:rPr>
            </w:pPr>
            <w:r w:rsidRPr="000A35AE">
              <w:rPr>
                <w:rFonts w:ascii="Calibri" w:eastAsia="Times New Roman" w:hAnsi="Calibri" w:cs="Times New Roman"/>
                <w:color w:val="000000"/>
                <w:lang w:eastAsia="en-GB"/>
              </w:rPr>
              <w:t>£7,019,283.43</w:t>
            </w:r>
          </w:p>
        </w:tc>
        <w:tc>
          <w:tcPr>
            <w:tcW w:w="1805" w:type="dxa"/>
            <w:tcBorders>
              <w:top w:val="nil"/>
              <w:left w:val="nil"/>
              <w:bottom w:val="single" w:sz="4" w:space="0" w:color="auto"/>
              <w:right w:val="single" w:sz="8" w:space="0" w:color="auto"/>
            </w:tcBorders>
            <w:shd w:val="clear" w:color="auto" w:fill="auto"/>
            <w:noWrap/>
            <w:vAlign w:val="bottom"/>
            <w:hideMark/>
          </w:tcPr>
          <w:p w:rsidR="00A67211" w:rsidRPr="000A35AE" w:rsidRDefault="00A67211" w:rsidP="009C2F03">
            <w:pPr>
              <w:spacing w:after="0" w:line="240" w:lineRule="auto"/>
              <w:jc w:val="center"/>
              <w:rPr>
                <w:rFonts w:ascii="Calibri" w:eastAsia="Times New Roman" w:hAnsi="Calibri" w:cs="Times New Roman"/>
                <w:color w:val="000000"/>
                <w:lang w:eastAsia="en-GB"/>
              </w:rPr>
            </w:pPr>
            <w:r w:rsidRPr="000A35AE">
              <w:rPr>
                <w:rFonts w:ascii="Calibri" w:eastAsia="Times New Roman" w:hAnsi="Calibri" w:cs="Times New Roman"/>
                <w:color w:val="000000"/>
                <w:lang w:eastAsia="en-GB"/>
              </w:rPr>
              <w:t>66.6%</w:t>
            </w:r>
          </w:p>
        </w:tc>
      </w:tr>
      <w:tr w:rsidR="00A67211" w:rsidRPr="000A35AE" w:rsidTr="009C2F03">
        <w:tc>
          <w:tcPr>
            <w:tcW w:w="3669" w:type="dxa"/>
            <w:tcBorders>
              <w:top w:val="nil"/>
              <w:left w:val="single" w:sz="4" w:space="0" w:color="auto"/>
              <w:bottom w:val="single" w:sz="8" w:space="0" w:color="auto"/>
              <w:right w:val="single" w:sz="4" w:space="0" w:color="auto"/>
            </w:tcBorders>
            <w:shd w:val="clear" w:color="auto" w:fill="auto"/>
            <w:noWrap/>
            <w:vAlign w:val="bottom"/>
            <w:hideMark/>
          </w:tcPr>
          <w:p w:rsidR="00A67211" w:rsidRPr="000A35AE" w:rsidRDefault="00A67211" w:rsidP="009C2F03">
            <w:pPr>
              <w:spacing w:after="0" w:line="240" w:lineRule="auto"/>
              <w:rPr>
                <w:rFonts w:ascii="Calibri" w:eastAsia="Times New Roman" w:hAnsi="Calibri" w:cs="Times New Roman"/>
                <w:color w:val="000000"/>
                <w:lang w:eastAsia="en-GB"/>
              </w:rPr>
            </w:pPr>
            <w:r w:rsidRPr="000A35AE">
              <w:rPr>
                <w:rFonts w:ascii="Calibri" w:eastAsia="Times New Roman" w:hAnsi="Calibri" w:cs="Times New Roman"/>
                <w:color w:val="000000"/>
                <w:lang w:eastAsia="en-GB"/>
              </w:rPr>
              <w:t>Grand Total</w:t>
            </w:r>
          </w:p>
        </w:tc>
        <w:tc>
          <w:tcPr>
            <w:tcW w:w="3726" w:type="dxa"/>
            <w:tcBorders>
              <w:top w:val="nil"/>
              <w:left w:val="nil"/>
              <w:bottom w:val="single" w:sz="8" w:space="0" w:color="auto"/>
              <w:right w:val="single" w:sz="4" w:space="0" w:color="auto"/>
            </w:tcBorders>
            <w:shd w:val="clear" w:color="auto" w:fill="auto"/>
            <w:noWrap/>
            <w:vAlign w:val="bottom"/>
            <w:hideMark/>
          </w:tcPr>
          <w:p w:rsidR="00A67211" w:rsidRPr="000A35AE" w:rsidRDefault="00A67211" w:rsidP="009C2F03">
            <w:pPr>
              <w:spacing w:after="0" w:line="240" w:lineRule="auto"/>
              <w:jc w:val="center"/>
              <w:rPr>
                <w:rFonts w:ascii="Calibri" w:eastAsia="Times New Roman" w:hAnsi="Calibri" w:cs="Times New Roman"/>
                <w:color w:val="000000"/>
                <w:lang w:eastAsia="en-GB"/>
              </w:rPr>
            </w:pPr>
            <w:r w:rsidRPr="000A35AE">
              <w:rPr>
                <w:rFonts w:ascii="Calibri" w:eastAsia="Times New Roman" w:hAnsi="Calibri" w:cs="Times New Roman"/>
                <w:color w:val="000000"/>
                <w:lang w:eastAsia="en-GB"/>
              </w:rPr>
              <w:t>£10,532,314.17</w:t>
            </w:r>
          </w:p>
        </w:tc>
        <w:tc>
          <w:tcPr>
            <w:tcW w:w="1805" w:type="dxa"/>
            <w:tcBorders>
              <w:top w:val="nil"/>
              <w:left w:val="nil"/>
              <w:bottom w:val="single" w:sz="8" w:space="0" w:color="auto"/>
              <w:right w:val="single" w:sz="8" w:space="0" w:color="auto"/>
            </w:tcBorders>
            <w:shd w:val="clear" w:color="auto" w:fill="auto"/>
            <w:noWrap/>
            <w:vAlign w:val="bottom"/>
            <w:hideMark/>
          </w:tcPr>
          <w:p w:rsidR="00A67211" w:rsidRPr="000A35AE" w:rsidRDefault="00A67211" w:rsidP="009C2F03">
            <w:pPr>
              <w:spacing w:after="0" w:line="240" w:lineRule="auto"/>
              <w:jc w:val="center"/>
              <w:rPr>
                <w:rFonts w:ascii="Calibri" w:eastAsia="Times New Roman" w:hAnsi="Calibri" w:cs="Times New Roman"/>
                <w:color w:val="000000"/>
                <w:lang w:eastAsia="en-GB"/>
              </w:rPr>
            </w:pPr>
            <w:r w:rsidRPr="000A35AE">
              <w:rPr>
                <w:rFonts w:ascii="Calibri" w:eastAsia="Times New Roman" w:hAnsi="Calibri" w:cs="Times New Roman"/>
                <w:color w:val="000000"/>
                <w:lang w:eastAsia="en-GB"/>
              </w:rPr>
              <w:t>100.0%</w:t>
            </w:r>
          </w:p>
        </w:tc>
      </w:tr>
    </w:tbl>
    <w:p w:rsidR="006914DA" w:rsidRDefault="006914DA" w:rsidP="00E374FD">
      <w:pPr>
        <w:pStyle w:val="Caption"/>
      </w:pPr>
    </w:p>
    <w:p w:rsidR="00A67211" w:rsidRPr="00C50E58" w:rsidRDefault="00E374FD" w:rsidP="00E374FD">
      <w:pPr>
        <w:pStyle w:val="Caption"/>
        <w:rPr>
          <w:b w:val="0"/>
          <w:i/>
        </w:rPr>
      </w:pPr>
      <w:r>
        <w:t xml:space="preserve">Table </w:t>
      </w:r>
      <w:fldSimple w:instr=" STYLEREF 1 \s ">
        <w:r w:rsidR="001663C2">
          <w:rPr>
            <w:noProof/>
          </w:rPr>
          <w:t>11</w:t>
        </w:r>
      </w:fldSimple>
      <w:r w:rsidR="000C02C2">
        <w:noBreakHyphen/>
      </w:r>
      <w:fldSimple w:instr=" SEQ Table \* ARABIC \s 1 ">
        <w:r w:rsidR="001663C2">
          <w:rPr>
            <w:noProof/>
          </w:rPr>
          <w:t>7</w:t>
        </w:r>
      </w:fldSimple>
      <w:r w:rsidR="00A67211" w:rsidRPr="00E374FD">
        <w:t>: Council spend by location – Children’s services (2014/15)</w:t>
      </w:r>
    </w:p>
    <w:tbl>
      <w:tblPr>
        <w:tblW w:w="9200" w:type="dxa"/>
        <w:tblInd w:w="93" w:type="dxa"/>
        <w:tblLook w:val="04A0" w:firstRow="1" w:lastRow="0" w:firstColumn="1" w:lastColumn="0" w:noHBand="0" w:noVBand="1"/>
      </w:tblPr>
      <w:tblGrid>
        <w:gridCol w:w="3669"/>
        <w:gridCol w:w="3726"/>
        <w:gridCol w:w="1805"/>
      </w:tblGrid>
      <w:tr w:rsidR="00A67211" w:rsidRPr="000A35AE" w:rsidTr="009C2F03">
        <w:tc>
          <w:tcPr>
            <w:tcW w:w="9200" w:type="dxa"/>
            <w:gridSpan w:val="3"/>
            <w:tcBorders>
              <w:top w:val="single" w:sz="4" w:space="0" w:color="auto"/>
              <w:left w:val="single" w:sz="4" w:space="0" w:color="auto"/>
              <w:bottom w:val="single" w:sz="4" w:space="0" w:color="auto"/>
              <w:right w:val="single" w:sz="8" w:space="0" w:color="000000"/>
            </w:tcBorders>
            <w:shd w:val="clear" w:color="auto" w:fill="auto"/>
            <w:noWrap/>
            <w:vAlign w:val="bottom"/>
            <w:hideMark/>
          </w:tcPr>
          <w:p w:rsidR="00A67211" w:rsidRPr="000A35AE" w:rsidRDefault="00A67211" w:rsidP="009C2F03">
            <w:pPr>
              <w:spacing w:after="0" w:line="240" w:lineRule="auto"/>
              <w:jc w:val="center"/>
              <w:rPr>
                <w:rFonts w:ascii="Calibri" w:eastAsia="Times New Roman" w:hAnsi="Calibri" w:cs="Times New Roman"/>
                <w:b/>
                <w:bCs/>
                <w:color w:val="000000"/>
                <w:lang w:eastAsia="en-GB"/>
              </w:rPr>
            </w:pPr>
            <w:r w:rsidRPr="000A35AE">
              <w:rPr>
                <w:rFonts w:ascii="Calibri" w:eastAsia="Times New Roman" w:hAnsi="Calibri" w:cs="Times New Roman"/>
                <w:b/>
                <w:bCs/>
                <w:color w:val="000000"/>
                <w:lang w:eastAsia="en-GB"/>
              </w:rPr>
              <w:t>Spend by Location and Delivery Unit - Children's Services</w:t>
            </w:r>
            <w:r>
              <w:rPr>
                <w:rFonts w:ascii="Calibri" w:eastAsia="Times New Roman" w:hAnsi="Calibri" w:cs="Times New Roman"/>
                <w:b/>
                <w:bCs/>
                <w:color w:val="000000"/>
                <w:lang w:eastAsia="en-GB"/>
              </w:rPr>
              <w:t xml:space="preserve"> (2014/15)</w:t>
            </w:r>
          </w:p>
        </w:tc>
      </w:tr>
      <w:tr w:rsidR="00A67211" w:rsidRPr="000A35AE" w:rsidTr="009C2F03">
        <w:tc>
          <w:tcPr>
            <w:tcW w:w="3669" w:type="dxa"/>
            <w:tcBorders>
              <w:top w:val="nil"/>
              <w:left w:val="single" w:sz="4" w:space="0" w:color="auto"/>
              <w:bottom w:val="single" w:sz="4" w:space="0" w:color="auto"/>
              <w:right w:val="single" w:sz="4" w:space="0" w:color="auto"/>
            </w:tcBorders>
            <w:shd w:val="clear" w:color="000000" w:fill="A6A6A6"/>
            <w:noWrap/>
            <w:vAlign w:val="bottom"/>
            <w:hideMark/>
          </w:tcPr>
          <w:p w:rsidR="00A67211" w:rsidRPr="000A35AE" w:rsidRDefault="00A67211" w:rsidP="009C2F03">
            <w:pPr>
              <w:spacing w:after="0" w:line="240" w:lineRule="auto"/>
              <w:jc w:val="center"/>
              <w:rPr>
                <w:rFonts w:ascii="Calibri" w:eastAsia="Times New Roman" w:hAnsi="Calibri" w:cs="Times New Roman"/>
                <w:b/>
                <w:bCs/>
                <w:color w:val="000000"/>
                <w:lang w:eastAsia="en-GB"/>
              </w:rPr>
            </w:pPr>
            <w:r w:rsidRPr="000A35AE">
              <w:rPr>
                <w:rFonts w:ascii="Calibri" w:eastAsia="Times New Roman" w:hAnsi="Calibri" w:cs="Times New Roman"/>
                <w:b/>
                <w:bCs/>
                <w:color w:val="000000"/>
                <w:lang w:eastAsia="en-GB"/>
              </w:rPr>
              <w:t>Locality</w:t>
            </w:r>
          </w:p>
        </w:tc>
        <w:tc>
          <w:tcPr>
            <w:tcW w:w="3726" w:type="dxa"/>
            <w:tcBorders>
              <w:top w:val="nil"/>
              <w:left w:val="nil"/>
              <w:bottom w:val="single" w:sz="4" w:space="0" w:color="auto"/>
              <w:right w:val="single" w:sz="4" w:space="0" w:color="auto"/>
            </w:tcBorders>
            <w:shd w:val="clear" w:color="000000" w:fill="A6A6A6"/>
            <w:noWrap/>
            <w:vAlign w:val="bottom"/>
            <w:hideMark/>
          </w:tcPr>
          <w:p w:rsidR="00A67211" w:rsidRPr="000A35AE" w:rsidRDefault="00A67211" w:rsidP="009C2F03">
            <w:pPr>
              <w:spacing w:after="0" w:line="240" w:lineRule="auto"/>
              <w:jc w:val="center"/>
              <w:rPr>
                <w:rFonts w:ascii="Calibri" w:eastAsia="Times New Roman" w:hAnsi="Calibri" w:cs="Times New Roman"/>
                <w:b/>
                <w:bCs/>
                <w:color w:val="000000"/>
                <w:lang w:eastAsia="en-GB"/>
              </w:rPr>
            </w:pPr>
            <w:r w:rsidRPr="000A35AE">
              <w:rPr>
                <w:rFonts w:ascii="Calibri" w:eastAsia="Times New Roman" w:hAnsi="Calibri" w:cs="Times New Roman"/>
                <w:b/>
                <w:bCs/>
                <w:color w:val="000000"/>
                <w:lang w:eastAsia="en-GB"/>
              </w:rPr>
              <w:t>Total Spend</w:t>
            </w:r>
          </w:p>
        </w:tc>
        <w:tc>
          <w:tcPr>
            <w:tcW w:w="1805" w:type="dxa"/>
            <w:tcBorders>
              <w:top w:val="nil"/>
              <w:left w:val="nil"/>
              <w:bottom w:val="single" w:sz="4" w:space="0" w:color="auto"/>
              <w:right w:val="single" w:sz="8" w:space="0" w:color="auto"/>
            </w:tcBorders>
            <w:shd w:val="clear" w:color="000000" w:fill="A6A6A6"/>
            <w:noWrap/>
            <w:vAlign w:val="bottom"/>
            <w:hideMark/>
          </w:tcPr>
          <w:p w:rsidR="00A67211" w:rsidRPr="000A35AE" w:rsidRDefault="00A67211" w:rsidP="009C2F03">
            <w:pPr>
              <w:spacing w:after="0" w:line="240" w:lineRule="auto"/>
              <w:jc w:val="center"/>
              <w:rPr>
                <w:rFonts w:ascii="Calibri" w:eastAsia="Times New Roman" w:hAnsi="Calibri" w:cs="Times New Roman"/>
                <w:b/>
                <w:bCs/>
                <w:color w:val="000000"/>
                <w:lang w:eastAsia="en-GB"/>
              </w:rPr>
            </w:pPr>
            <w:r w:rsidRPr="000A35AE">
              <w:rPr>
                <w:rFonts w:ascii="Calibri" w:eastAsia="Times New Roman" w:hAnsi="Calibri" w:cs="Times New Roman"/>
                <w:b/>
                <w:bCs/>
                <w:color w:val="000000"/>
                <w:lang w:eastAsia="en-GB"/>
              </w:rPr>
              <w:t>%</w:t>
            </w:r>
          </w:p>
        </w:tc>
      </w:tr>
      <w:tr w:rsidR="00A67211" w:rsidRPr="000A35AE" w:rsidTr="009C2F03">
        <w:tc>
          <w:tcPr>
            <w:tcW w:w="3669" w:type="dxa"/>
            <w:tcBorders>
              <w:top w:val="nil"/>
              <w:left w:val="single" w:sz="4" w:space="0" w:color="auto"/>
              <w:bottom w:val="single" w:sz="4" w:space="0" w:color="auto"/>
              <w:right w:val="single" w:sz="4" w:space="0" w:color="auto"/>
            </w:tcBorders>
            <w:shd w:val="clear" w:color="auto" w:fill="auto"/>
            <w:noWrap/>
            <w:vAlign w:val="bottom"/>
            <w:hideMark/>
          </w:tcPr>
          <w:p w:rsidR="00A67211" w:rsidRPr="000A35AE" w:rsidRDefault="00A67211" w:rsidP="009C2F03">
            <w:pPr>
              <w:spacing w:after="0" w:line="240" w:lineRule="auto"/>
              <w:rPr>
                <w:rFonts w:ascii="Calibri" w:eastAsia="Times New Roman" w:hAnsi="Calibri" w:cs="Times New Roman"/>
                <w:color w:val="000000"/>
                <w:lang w:eastAsia="en-GB"/>
              </w:rPr>
            </w:pPr>
            <w:r w:rsidRPr="000A35AE">
              <w:rPr>
                <w:rFonts w:ascii="Calibri" w:eastAsia="Times New Roman" w:hAnsi="Calibri" w:cs="Times New Roman"/>
                <w:color w:val="000000"/>
                <w:lang w:eastAsia="en-GB"/>
              </w:rPr>
              <w:t>Barnet</w:t>
            </w:r>
          </w:p>
        </w:tc>
        <w:tc>
          <w:tcPr>
            <w:tcW w:w="3726" w:type="dxa"/>
            <w:tcBorders>
              <w:top w:val="nil"/>
              <w:left w:val="nil"/>
              <w:bottom w:val="single" w:sz="4" w:space="0" w:color="auto"/>
              <w:right w:val="single" w:sz="4" w:space="0" w:color="auto"/>
            </w:tcBorders>
            <w:shd w:val="clear" w:color="auto" w:fill="auto"/>
            <w:noWrap/>
            <w:vAlign w:val="bottom"/>
            <w:hideMark/>
          </w:tcPr>
          <w:p w:rsidR="00A67211" w:rsidRPr="000A35AE" w:rsidRDefault="00A67211" w:rsidP="009C2F03">
            <w:pPr>
              <w:spacing w:after="0" w:line="240" w:lineRule="auto"/>
              <w:jc w:val="center"/>
              <w:rPr>
                <w:rFonts w:ascii="Calibri" w:eastAsia="Times New Roman" w:hAnsi="Calibri" w:cs="Times New Roman"/>
                <w:color w:val="000000"/>
                <w:lang w:eastAsia="en-GB"/>
              </w:rPr>
            </w:pPr>
            <w:r w:rsidRPr="000A35AE">
              <w:rPr>
                <w:rFonts w:ascii="Calibri" w:eastAsia="Times New Roman" w:hAnsi="Calibri" w:cs="Times New Roman"/>
                <w:color w:val="000000"/>
                <w:lang w:eastAsia="en-GB"/>
              </w:rPr>
              <w:t>£2,756,023.80</w:t>
            </w:r>
          </w:p>
        </w:tc>
        <w:tc>
          <w:tcPr>
            <w:tcW w:w="1805" w:type="dxa"/>
            <w:tcBorders>
              <w:top w:val="nil"/>
              <w:left w:val="nil"/>
              <w:bottom w:val="single" w:sz="4" w:space="0" w:color="auto"/>
              <w:right w:val="single" w:sz="8" w:space="0" w:color="auto"/>
            </w:tcBorders>
            <w:shd w:val="clear" w:color="auto" w:fill="auto"/>
            <w:noWrap/>
            <w:vAlign w:val="bottom"/>
            <w:hideMark/>
          </w:tcPr>
          <w:p w:rsidR="00A67211" w:rsidRPr="000A35AE" w:rsidRDefault="00A67211" w:rsidP="009C2F03">
            <w:pPr>
              <w:spacing w:after="0" w:line="240" w:lineRule="auto"/>
              <w:jc w:val="center"/>
              <w:rPr>
                <w:rFonts w:ascii="Calibri" w:eastAsia="Times New Roman" w:hAnsi="Calibri" w:cs="Times New Roman"/>
                <w:color w:val="000000"/>
                <w:lang w:eastAsia="en-GB"/>
              </w:rPr>
            </w:pPr>
            <w:r w:rsidRPr="000A35AE">
              <w:rPr>
                <w:rFonts w:ascii="Calibri" w:eastAsia="Times New Roman" w:hAnsi="Calibri" w:cs="Times New Roman"/>
                <w:color w:val="000000"/>
                <w:lang w:eastAsia="en-GB"/>
              </w:rPr>
              <w:t>54.9%</w:t>
            </w:r>
          </w:p>
        </w:tc>
      </w:tr>
      <w:tr w:rsidR="00A67211" w:rsidRPr="000A35AE" w:rsidTr="009C2F03">
        <w:tc>
          <w:tcPr>
            <w:tcW w:w="3669" w:type="dxa"/>
            <w:tcBorders>
              <w:top w:val="nil"/>
              <w:left w:val="single" w:sz="4" w:space="0" w:color="auto"/>
              <w:bottom w:val="single" w:sz="4" w:space="0" w:color="auto"/>
              <w:right w:val="single" w:sz="4" w:space="0" w:color="auto"/>
            </w:tcBorders>
            <w:shd w:val="clear" w:color="auto" w:fill="auto"/>
            <w:noWrap/>
            <w:vAlign w:val="bottom"/>
            <w:hideMark/>
          </w:tcPr>
          <w:p w:rsidR="00A67211" w:rsidRPr="000A35AE" w:rsidRDefault="00A67211" w:rsidP="009C2F03">
            <w:pPr>
              <w:spacing w:after="0" w:line="240" w:lineRule="auto"/>
              <w:rPr>
                <w:rFonts w:ascii="Calibri" w:eastAsia="Times New Roman" w:hAnsi="Calibri" w:cs="Times New Roman"/>
                <w:color w:val="000000"/>
                <w:lang w:eastAsia="en-GB"/>
              </w:rPr>
            </w:pPr>
            <w:r w:rsidRPr="000A35AE">
              <w:rPr>
                <w:rFonts w:ascii="Calibri" w:eastAsia="Times New Roman" w:hAnsi="Calibri" w:cs="Times New Roman"/>
                <w:color w:val="000000"/>
                <w:lang w:eastAsia="en-GB"/>
              </w:rPr>
              <w:t>Central London</w:t>
            </w:r>
          </w:p>
        </w:tc>
        <w:tc>
          <w:tcPr>
            <w:tcW w:w="3726" w:type="dxa"/>
            <w:tcBorders>
              <w:top w:val="nil"/>
              <w:left w:val="nil"/>
              <w:bottom w:val="single" w:sz="4" w:space="0" w:color="auto"/>
              <w:right w:val="single" w:sz="4" w:space="0" w:color="auto"/>
            </w:tcBorders>
            <w:shd w:val="clear" w:color="auto" w:fill="auto"/>
            <w:noWrap/>
            <w:vAlign w:val="bottom"/>
            <w:hideMark/>
          </w:tcPr>
          <w:p w:rsidR="00A67211" w:rsidRPr="000A35AE" w:rsidRDefault="00A67211" w:rsidP="009C2F03">
            <w:pPr>
              <w:spacing w:after="0" w:line="240" w:lineRule="auto"/>
              <w:jc w:val="center"/>
              <w:rPr>
                <w:rFonts w:ascii="Calibri" w:eastAsia="Times New Roman" w:hAnsi="Calibri" w:cs="Times New Roman"/>
                <w:color w:val="000000"/>
                <w:lang w:eastAsia="en-GB"/>
              </w:rPr>
            </w:pPr>
            <w:r w:rsidRPr="000A35AE">
              <w:rPr>
                <w:rFonts w:ascii="Calibri" w:eastAsia="Times New Roman" w:hAnsi="Calibri" w:cs="Times New Roman"/>
                <w:color w:val="000000"/>
                <w:lang w:eastAsia="en-GB"/>
              </w:rPr>
              <w:t>£558,134.35</w:t>
            </w:r>
          </w:p>
        </w:tc>
        <w:tc>
          <w:tcPr>
            <w:tcW w:w="1805" w:type="dxa"/>
            <w:tcBorders>
              <w:top w:val="nil"/>
              <w:left w:val="nil"/>
              <w:bottom w:val="single" w:sz="4" w:space="0" w:color="auto"/>
              <w:right w:val="single" w:sz="8" w:space="0" w:color="auto"/>
            </w:tcBorders>
            <w:shd w:val="clear" w:color="auto" w:fill="auto"/>
            <w:noWrap/>
            <w:vAlign w:val="bottom"/>
            <w:hideMark/>
          </w:tcPr>
          <w:p w:rsidR="00A67211" w:rsidRPr="000A35AE" w:rsidRDefault="00A67211" w:rsidP="009C2F03">
            <w:pPr>
              <w:spacing w:after="0" w:line="240" w:lineRule="auto"/>
              <w:jc w:val="center"/>
              <w:rPr>
                <w:rFonts w:ascii="Calibri" w:eastAsia="Times New Roman" w:hAnsi="Calibri" w:cs="Times New Roman"/>
                <w:color w:val="000000"/>
                <w:lang w:eastAsia="en-GB"/>
              </w:rPr>
            </w:pPr>
            <w:r w:rsidRPr="000A35AE">
              <w:rPr>
                <w:rFonts w:ascii="Calibri" w:eastAsia="Times New Roman" w:hAnsi="Calibri" w:cs="Times New Roman"/>
                <w:color w:val="000000"/>
                <w:lang w:eastAsia="en-GB"/>
              </w:rPr>
              <w:t>11.1%</w:t>
            </w:r>
          </w:p>
        </w:tc>
      </w:tr>
      <w:tr w:rsidR="00A67211" w:rsidRPr="000A35AE" w:rsidTr="009C2F03">
        <w:tc>
          <w:tcPr>
            <w:tcW w:w="3669" w:type="dxa"/>
            <w:tcBorders>
              <w:top w:val="nil"/>
              <w:left w:val="single" w:sz="4" w:space="0" w:color="auto"/>
              <w:bottom w:val="single" w:sz="4" w:space="0" w:color="auto"/>
              <w:right w:val="single" w:sz="4" w:space="0" w:color="auto"/>
            </w:tcBorders>
            <w:shd w:val="clear" w:color="auto" w:fill="auto"/>
            <w:noWrap/>
            <w:vAlign w:val="bottom"/>
            <w:hideMark/>
          </w:tcPr>
          <w:p w:rsidR="00A67211" w:rsidRPr="000A35AE" w:rsidRDefault="00A67211" w:rsidP="009C2F03">
            <w:pPr>
              <w:spacing w:after="0" w:line="240" w:lineRule="auto"/>
              <w:rPr>
                <w:rFonts w:ascii="Calibri" w:eastAsia="Times New Roman" w:hAnsi="Calibri" w:cs="Times New Roman"/>
                <w:color w:val="000000"/>
                <w:lang w:eastAsia="en-GB"/>
              </w:rPr>
            </w:pPr>
            <w:r w:rsidRPr="000A35AE">
              <w:rPr>
                <w:rFonts w:ascii="Calibri" w:eastAsia="Times New Roman" w:hAnsi="Calibri" w:cs="Times New Roman"/>
                <w:color w:val="000000"/>
                <w:lang w:eastAsia="en-GB"/>
              </w:rPr>
              <w:t>Other</w:t>
            </w:r>
          </w:p>
        </w:tc>
        <w:tc>
          <w:tcPr>
            <w:tcW w:w="3726" w:type="dxa"/>
            <w:tcBorders>
              <w:top w:val="nil"/>
              <w:left w:val="nil"/>
              <w:bottom w:val="single" w:sz="4" w:space="0" w:color="auto"/>
              <w:right w:val="single" w:sz="4" w:space="0" w:color="auto"/>
            </w:tcBorders>
            <w:shd w:val="clear" w:color="auto" w:fill="auto"/>
            <w:noWrap/>
            <w:vAlign w:val="bottom"/>
            <w:hideMark/>
          </w:tcPr>
          <w:p w:rsidR="00A67211" w:rsidRPr="000A35AE" w:rsidRDefault="00A67211" w:rsidP="009C2F03">
            <w:pPr>
              <w:spacing w:after="0" w:line="240" w:lineRule="auto"/>
              <w:jc w:val="center"/>
              <w:rPr>
                <w:rFonts w:ascii="Calibri" w:eastAsia="Times New Roman" w:hAnsi="Calibri" w:cs="Times New Roman"/>
                <w:color w:val="000000"/>
                <w:lang w:eastAsia="en-GB"/>
              </w:rPr>
            </w:pPr>
            <w:r w:rsidRPr="000A35AE">
              <w:rPr>
                <w:rFonts w:ascii="Calibri" w:eastAsia="Times New Roman" w:hAnsi="Calibri" w:cs="Times New Roman"/>
                <w:color w:val="000000"/>
                <w:lang w:eastAsia="en-GB"/>
              </w:rPr>
              <w:t>£1,706,069.46</w:t>
            </w:r>
          </w:p>
        </w:tc>
        <w:tc>
          <w:tcPr>
            <w:tcW w:w="1805" w:type="dxa"/>
            <w:tcBorders>
              <w:top w:val="nil"/>
              <w:left w:val="nil"/>
              <w:bottom w:val="single" w:sz="4" w:space="0" w:color="auto"/>
              <w:right w:val="single" w:sz="8" w:space="0" w:color="auto"/>
            </w:tcBorders>
            <w:shd w:val="clear" w:color="auto" w:fill="auto"/>
            <w:noWrap/>
            <w:vAlign w:val="bottom"/>
            <w:hideMark/>
          </w:tcPr>
          <w:p w:rsidR="00A67211" w:rsidRPr="000A35AE" w:rsidRDefault="00A67211" w:rsidP="009C2F03">
            <w:pPr>
              <w:spacing w:after="0" w:line="240" w:lineRule="auto"/>
              <w:jc w:val="center"/>
              <w:rPr>
                <w:rFonts w:ascii="Calibri" w:eastAsia="Times New Roman" w:hAnsi="Calibri" w:cs="Times New Roman"/>
                <w:color w:val="000000"/>
                <w:lang w:eastAsia="en-GB"/>
              </w:rPr>
            </w:pPr>
            <w:r w:rsidRPr="000A35AE">
              <w:rPr>
                <w:rFonts w:ascii="Calibri" w:eastAsia="Times New Roman" w:hAnsi="Calibri" w:cs="Times New Roman"/>
                <w:color w:val="000000"/>
                <w:lang w:eastAsia="en-GB"/>
              </w:rPr>
              <w:t>34.0%</w:t>
            </w:r>
          </w:p>
        </w:tc>
      </w:tr>
      <w:tr w:rsidR="00A67211" w:rsidRPr="000A35AE" w:rsidTr="009C2F03">
        <w:tc>
          <w:tcPr>
            <w:tcW w:w="3669" w:type="dxa"/>
            <w:tcBorders>
              <w:top w:val="nil"/>
              <w:left w:val="single" w:sz="4" w:space="0" w:color="auto"/>
              <w:bottom w:val="single" w:sz="8" w:space="0" w:color="auto"/>
              <w:right w:val="single" w:sz="4" w:space="0" w:color="auto"/>
            </w:tcBorders>
            <w:shd w:val="clear" w:color="auto" w:fill="auto"/>
            <w:noWrap/>
            <w:vAlign w:val="bottom"/>
            <w:hideMark/>
          </w:tcPr>
          <w:p w:rsidR="00A67211" w:rsidRPr="000A35AE" w:rsidRDefault="00A67211" w:rsidP="009C2F03">
            <w:pPr>
              <w:spacing w:after="0" w:line="240" w:lineRule="auto"/>
              <w:rPr>
                <w:rFonts w:ascii="Calibri" w:eastAsia="Times New Roman" w:hAnsi="Calibri" w:cs="Times New Roman"/>
                <w:color w:val="000000"/>
                <w:lang w:eastAsia="en-GB"/>
              </w:rPr>
            </w:pPr>
            <w:r w:rsidRPr="000A35AE">
              <w:rPr>
                <w:rFonts w:ascii="Calibri" w:eastAsia="Times New Roman" w:hAnsi="Calibri" w:cs="Times New Roman"/>
                <w:color w:val="000000"/>
                <w:lang w:eastAsia="en-GB"/>
              </w:rPr>
              <w:t>Grand Total</w:t>
            </w:r>
          </w:p>
        </w:tc>
        <w:tc>
          <w:tcPr>
            <w:tcW w:w="3726" w:type="dxa"/>
            <w:tcBorders>
              <w:top w:val="nil"/>
              <w:left w:val="nil"/>
              <w:bottom w:val="single" w:sz="8" w:space="0" w:color="auto"/>
              <w:right w:val="single" w:sz="4" w:space="0" w:color="auto"/>
            </w:tcBorders>
            <w:shd w:val="clear" w:color="auto" w:fill="auto"/>
            <w:noWrap/>
            <w:vAlign w:val="bottom"/>
            <w:hideMark/>
          </w:tcPr>
          <w:p w:rsidR="00A67211" w:rsidRPr="000A35AE" w:rsidRDefault="00A67211" w:rsidP="009C2F03">
            <w:pPr>
              <w:spacing w:after="0" w:line="240" w:lineRule="auto"/>
              <w:jc w:val="center"/>
              <w:rPr>
                <w:rFonts w:ascii="Calibri" w:eastAsia="Times New Roman" w:hAnsi="Calibri" w:cs="Times New Roman"/>
                <w:color w:val="000000"/>
                <w:lang w:eastAsia="en-GB"/>
              </w:rPr>
            </w:pPr>
            <w:r w:rsidRPr="000A35AE">
              <w:rPr>
                <w:rFonts w:ascii="Calibri" w:eastAsia="Times New Roman" w:hAnsi="Calibri" w:cs="Times New Roman"/>
                <w:color w:val="000000"/>
                <w:lang w:eastAsia="en-GB"/>
              </w:rPr>
              <w:t>£5,020,227.61</w:t>
            </w:r>
          </w:p>
        </w:tc>
        <w:tc>
          <w:tcPr>
            <w:tcW w:w="1805" w:type="dxa"/>
            <w:tcBorders>
              <w:top w:val="nil"/>
              <w:left w:val="nil"/>
              <w:bottom w:val="single" w:sz="8" w:space="0" w:color="auto"/>
              <w:right w:val="single" w:sz="8" w:space="0" w:color="auto"/>
            </w:tcBorders>
            <w:shd w:val="clear" w:color="auto" w:fill="auto"/>
            <w:noWrap/>
            <w:vAlign w:val="bottom"/>
            <w:hideMark/>
          </w:tcPr>
          <w:p w:rsidR="00A67211" w:rsidRPr="000A35AE" w:rsidRDefault="00A67211" w:rsidP="009C2F03">
            <w:pPr>
              <w:spacing w:after="0" w:line="240" w:lineRule="auto"/>
              <w:jc w:val="center"/>
              <w:rPr>
                <w:rFonts w:ascii="Calibri" w:eastAsia="Times New Roman" w:hAnsi="Calibri" w:cs="Times New Roman"/>
                <w:color w:val="000000"/>
                <w:lang w:eastAsia="en-GB"/>
              </w:rPr>
            </w:pPr>
            <w:r w:rsidRPr="000A35AE">
              <w:rPr>
                <w:rFonts w:ascii="Calibri" w:eastAsia="Times New Roman" w:hAnsi="Calibri" w:cs="Times New Roman"/>
                <w:color w:val="000000"/>
                <w:lang w:eastAsia="en-GB"/>
              </w:rPr>
              <w:t>100.0%</w:t>
            </w:r>
          </w:p>
        </w:tc>
      </w:tr>
    </w:tbl>
    <w:p w:rsidR="00DD3056" w:rsidRDefault="00DD3056" w:rsidP="00DD3056">
      <w:pPr>
        <w:spacing w:after="0" w:line="240" w:lineRule="auto"/>
      </w:pPr>
    </w:p>
    <w:p w:rsidR="00A67211" w:rsidRDefault="00A67211" w:rsidP="006914DA">
      <w:pPr>
        <w:spacing w:after="0" w:line="240" w:lineRule="auto"/>
        <w:jc w:val="both"/>
      </w:pPr>
      <w:r>
        <w:t xml:space="preserve">The Barnet-based spend on children’s services is much higher than the spend from Adults – once again, this is in part due to the inclusion of schools as registered charities.  </w:t>
      </w:r>
    </w:p>
    <w:p w:rsidR="00A67211" w:rsidRPr="009150C5" w:rsidRDefault="00A67211" w:rsidP="00A67211">
      <w:pPr>
        <w:pStyle w:val="Heading2"/>
      </w:pPr>
      <w:bookmarkStart w:id="1011" w:name="_Toc431225254"/>
      <w:r>
        <w:t>T</w:t>
      </w:r>
      <w:r w:rsidR="006914DA">
        <w:t>ype of P</w:t>
      </w:r>
      <w:r>
        <w:t>rovision</w:t>
      </w:r>
      <w:bookmarkEnd w:id="1011"/>
    </w:p>
    <w:p w:rsidR="00A67211" w:rsidRPr="009150C5" w:rsidRDefault="00A67211" w:rsidP="00A67211">
      <w:pPr>
        <w:pStyle w:val="Heading3"/>
      </w:pPr>
      <w:r w:rsidRPr="009150C5">
        <w:t xml:space="preserve">Faith-based </w:t>
      </w:r>
      <w:r w:rsidR="006914DA">
        <w:t>A</w:t>
      </w:r>
      <w:r w:rsidRPr="009150C5">
        <w:t>ctivities</w:t>
      </w:r>
    </w:p>
    <w:p w:rsidR="00A67211" w:rsidRDefault="00A67211" w:rsidP="00086723">
      <w:pPr>
        <w:jc w:val="both"/>
      </w:pPr>
      <w:r>
        <w:t xml:space="preserve">A high number of the charities which both operate in and are based in Barnet are located in Golders Green (74 of 638), followed by Edgware (48) and Garden Suburb (46).  In each case, a relatively high proportion identifies its beneficiaries as being from particular ethnic or racial groups (67 of the total 166; 40.3%).  Considering the demographics of these wards, this suggests that philanthropy within Barnet’s Jewish community may account for a high proportion of locally focused charitable activity.  </w:t>
      </w:r>
    </w:p>
    <w:p w:rsidR="00A67211" w:rsidRPr="009150C5" w:rsidRDefault="006914DA" w:rsidP="00A67211">
      <w:pPr>
        <w:pStyle w:val="Heading3"/>
      </w:pPr>
      <w:r>
        <w:t>Services for O</w:t>
      </w:r>
      <w:r w:rsidR="00A67211" w:rsidRPr="009150C5">
        <w:t xml:space="preserve">lder </w:t>
      </w:r>
      <w:r>
        <w:t>A</w:t>
      </w:r>
      <w:r w:rsidR="00A67211" w:rsidRPr="009150C5">
        <w:t>dults</w:t>
      </w:r>
    </w:p>
    <w:p w:rsidR="00A67211" w:rsidRDefault="00A67211" w:rsidP="00086723">
      <w:pPr>
        <w:jc w:val="both"/>
      </w:pPr>
      <w:r>
        <w:t>337 of the 1</w:t>
      </w:r>
      <w:r w:rsidR="00267895">
        <w:t>,</w:t>
      </w:r>
      <w:r>
        <w:t xml:space="preserve">255 charities operating in Barnet (27.3%) identify older people as beneficiaries.  Just under half of these (164 or 48.7%) are Barnet-based and 173 are from outside the </w:t>
      </w:r>
      <w:r w:rsidR="00037414">
        <w:t>Borough</w:t>
      </w:r>
      <w:r>
        <w:t xml:space="preserve">.  Figure </w:t>
      </w:r>
      <w:r w:rsidR="006D0C81">
        <w:t>11</w:t>
      </w:r>
      <w:r w:rsidR="00E374FD">
        <w:t>-</w:t>
      </w:r>
      <w:r>
        <w:t>3 shows a breakdown of the local charities by ward:</w:t>
      </w:r>
    </w:p>
    <w:p w:rsidR="00A67211" w:rsidRPr="00FF06AE" w:rsidRDefault="00E374FD" w:rsidP="00E374FD">
      <w:pPr>
        <w:pStyle w:val="Caption"/>
        <w:rPr>
          <w:b w:val="0"/>
          <w:i/>
        </w:rPr>
      </w:pPr>
      <w:r>
        <w:t xml:space="preserve">Figure </w:t>
      </w:r>
      <w:fldSimple w:instr=" STYLEREF 1 \s ">
        <w:r w:rsidR="001663C2">
          <w:rPr>
            <w:noProof/>
          </w:rPr>
          <w:t>11</w:t>
        </w:r>
      </w:fldSimple>
      <w:r w:rsidR="00943DC2">
        <w:noBreakHyphen/>
      </w:r>
      <w:fldSimple w:instr=" SEQ Figure \* ARABIC \s 1 ">
        <w:r w:rsidR="001663C2">
          <w:rPr>
            <w:noProof/>
          </w:rPr>
          <w:t>3</w:t>
        </w:r>
      </w:fldSimple>
      <w:r w:rsidR="00A67211" w:rsidRPr="00E374FD">
        <w:t>: Local charities serving elderly people, by ward</w:t>
      </w:r>
    </w:p>
    <w:p w:rsidR="00A67211" w:rsidRDefault="00A67211" w:rsidP="00A67211">
      <w:r>
        <w:rPr>
          <w:noProof/>
          <w:lang w:eastAsia="en-GB"/>
        </w:rPr>
        <w:drawing>
          <wp:inline distT="0" distB="0" distL="0" distR="0" wp14:anchorId="7A80DA1A" wp14:editId="3C3C170C">
            <wp:extent cx="5729614" cy="2038350"/>
            <wp:effectExtent l="19050" t="19050" r="23495" b="19050"/>
            <wp:docPr id="4112" name="Picture 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7">
                      <a:extLst>
                        <a:ext uri="{28A0092B-C50C-407E-A947-70E740481C1C}">
                          <a14:useLocalDpi xmlns:a14="http://schemas.microsoft.com/office/drawing/2010/main" val="0"/>
                        </a:ext>
                      </a:extLst>
                    </a:blip>
                    <a:srcRect t="17054"/>
                    <a:stretch/>
                  </pic:blipFill>
                  <pic:spPr bwMode="auto">
                    <a:xfrm>
                      <a:off x="0" y="0"/>
                      <a:ext cx="5731510" cy="203902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A67211" w:rsidRDefault="00A67211" w:rsidP="00086723">
      <w:pPr>
        <w:jc w:val="both"/>
      </w:pPr>
      <w:r>
        <w:lastRenderedPageBreak/>
        <w:t>A total of 130 charities (from both inside and outside Barnet) provide services for older people with a health-related benefit – 10.3%.  118 (9.4%) benefit older people and provide a disability-related service.</w:t>
      </w:r>
    </w:p>
    <w:p w:rsidR="00A67211" w:rsidRPr="009150C5" w:rsidRDefault="006914DA" w:rsidP="00A67211">
      <w:pPr>
        <w:pStyle w:val="Heading3"/>
      </w:pPr>
      <w:r>
        <w:t>Services for C</w:t>
      </w:r>
      <w:r w:rsidR="00A67211" w:rsidRPr="009150C5">
        <w:t>hildren</w:t>
      </w:r>
    </w:p>
    <w:p w:rsidR="00A67211" w:rsidRDefault="00A67211" w:rsidP="00086723">
      <w:pPr>
        <w:jc w:val="both"/>
      </w:pPr>
      <w:r>
        <w:t>647 of the 1</w:t>
      </w:r>
      <w:r w:rsidR="00267895">
        <w:t>,</w:t>
      </w:r>
      <w:r>
        <w:t xml:space="preserve">255 charities operating in Barnet identify children and young people as beneficiaries – more than half (52.5%) of all the charities in the </w:t>
      </w:r>
      <w:r w:rsidR="00037414">
        <w:t>Borough</w:t>
      </w:r>
      <w:r>
        <w:t xml:space="preserve">.  Just over half of these (331, 51.2%) are Barnet-based and 316 are from outside the </w:t>
      </w:r>
      <w:r w:rsidR="00037414">
        <w:t>Borough</w:t>
      </w:r>
      <w:r>
        <w:t xml:space="preserve">.  A breakdown of the local charities by ward is shown below.  </w:t>
      </w:r>
    </w:p>
    <w:p w:rsidR="00A67211" w:rsidRPr="00E374FD" w:rsidRDefault="00E374FD" w:rsidP="00E374FD">
      <w:pPr>
        <w:pStyle w:val="Caption"/>
        <w:rPr>
          <w:b w:val="0"/>
        </w:rPr>
      </w:pPr>
      <w:r>
        <w:t xml:space="preserve">Figure </w:t>
      </w:r>
      <w:fldSimple w:instr=" STYLEREF 1 \s ">
        <w:r w:rsidR="001663C2">
          <w:rPr>
            <w:noProof/>
          </w:rPr>
          <w:t>11</w:t>
        </w:r>
      </w:fldSimple>
      <w:r w:rsidR="00943DC2">
        <w:noBreakHyphen/>
      </w:r>
      <w:fldSimple w:instr=" SEQ Figure \* ARABIC \s 1 ">
        <w:r w:rsidR="001663C2">
          <w:rPr>
            <w:noProof/>
          </w:rPr>
          <w:t>4</w:t>
        </w:r>
      </w:fldSimple>
      <w:r w:rsidR="00A67211" w:rsidRPr="00E374FD">
        <w:t>: Local charities serving children and young people, by ward</w:t>
      </w:r>
    </w:p>
    <w:p w:rsidR="00A67211" w:rsidRDefault="00A67211" w:rsidP="00A67211">
      <w:r>
        <w:rPr>
          <w:noProof/>
          <w:lang w:eastAsia="en-GB"/>
        </w:rPr>
        <w:drawing>
          <wp:inline distT="0" distB="0" distL="0" distR="0" wp14:anchorId="684D0E15" wp14:editId="6F223CF4">
            <wp:extent cx="5729614" cy="2038350"/>
            <wp:effectExtent l="19050" t="19050" r="23495" b="19050"/>
            <wp:docPr id="4113" name="Picture 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8">
                      <a:extLst>
                        <a:ext uri="{28A0092B-C50C-407E-A947-70E740481C1C}">
                          <a14:useLocalDpi xmlns:a14="http://schemas.microsoft.com/office/drawing/2010/main" val="0"/>
                        </a:ext>
                      </a:extLst>
                    </a:blip>
                    <a:srcRect t="17054"/>
                    <a:stretch/>
                  </pic:blipFill>
                  <pic:spPr bwMode="auto">
                    <a:xfrm>
                      <a:off x="0" y="0"/>
                      <a:ext cx="5731510" cy="203902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A67211" w:rsidRDefault="00A67211" w:rsidP="00086723">
      <w:pPr>
        <w:jc w:val="both"/>
      </w:pPr>
      <w:r>
        <w:t>The distribution of children’s charities across wards reflects the overall number of charities in each, with particularly high numbers (32) in Gol</w:t>
      </w:r>
      <w:r w:rsidR="00267895">
        <w:t>ders Green.  It i</w:t>
      </w:r>
      <w:r>
        <w:t xml:space="preserve">s notable that Colindale and Burnt Oak both have relatively low numbers of charities offering services for children and young people (7 of 14 and 11 of 17 respectively).  </w:t>
      </w:r>
    </w:p>
    <w:p w:rsidR="00A67211" w:rsidRPr="009150C5" w:rsidRDefault="00A67211" w:rsidP="00A67211">
      <w:pPr>
        <w:pStyle w:val="Heading3"/>
      </w:pPr>
      <w:r w:rsidRPr="009150C5">
        <w:t xml:space="preserve">Services for </w:t>
      </w:r>
      <w:r w:rsidR="006914DA">
        <w:t>People with D</w:t>
      </w:r>
      <w:r w:rsidRPr="009150C5">
        <w:t>isabilities</w:t>
      </w:r>
    </w:p>
    <w:p w:rsidR="00A67211" w:rsidRDefault="00A67211" w:rsidP="00086723">
      <w:pPr>
        <w:jc w:val="both"/>
      </w:pPr>
      <w:r>
        <w:t>220 charities operating in Barnet (17.5%) identify their charitable benefit as being related to disability and 78 of these are also based in Barnet.  The distribution of Barnet-based charities in this group is shown</w:t>
      </w:r>
      <w:r w:rsidR="00267895">
        <w:t xml:space="preserve"> by ward</w:t>
      </w:r>
      <w:r>
        <w:t xml:space="preserve"> below:</w:t>
      </w:r>
    </w:p>
    <w:p w:rsidR="00A67211" w:rsidRPr="00E374FD" w:rsidRDefault="00E374FD" w:rsidP="00E374FD">
      <w:pPr>
        <w:pStyle w:val="Caption"/>
        <w:rPr>
          <w:b w:val="0"/>
        </w:rPr>
      </w:pPr>
      <w:r>
        <w:t xml:space="preserve">Figure </w:t>
      </w:r>
      <w:fldSimple w:instr=" STYLEREF 1 \s ">
        <w:r w:rsidR="001663C2">
          <w:rPr>
            <w:noProof/>
          </w:rPr>
          <w:t>11</w:t>
        </w:r>
      </w:fldSimple>
      <w:r w:rsidR="00943DC2">
        <w:noBreakHyphen/>
      </w:r>
      <w:fldSimple w:instr=" SEQ Figure \* ARABIC \s 1 ">
        <w:r w:rsidR="001663C2">
          <w:rPr>
            <w:noProof/>
          </w:rPr>
          <w:t>5</w:t>
        </w:r>
      </w:fldSimple>
      <w:r w:rsidR="00A67211" w:rsidRPr="00E374FD">
        <w:t>: Local charities whose purpose or benefit relates to disability, by ward</w:t>
      </w:r>
    </w:p>
    <w:p w:rsidR="00A67211" w:rsidRPr="00DF422F" w:rsidRDefault="00A67211" w:rsidP="00A67211">
      <w:r>
        <w:rPr>
          <w:noProof/>
          <w:lang w:eastAsia="en-GB"/>
        </w:rPr>
        <w:drawing>
          <wp:inline distT="0" distB="0" distL="0" distR="0" wp14:anchorId="0F894A1D" wp14:editId="20ECFC8D">
            <wp:extent cx="5729614" cy="2066925"/>
            <wp:effectExtent l="19050" t="19050" r="23495" b="9525"/>
            <wp:docPr id="4114" name="Picture 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39">
                      <a:extLst>
                        <a:ext uri="{28A0092B-C50C-407E-A947-70E740481C1C}">
                          <a14:useLocalDpi xmlns:a14="http://schemas.microsoft.com/office/drawing/2010/main" val="0"/>
                        </a:ext>
                      </a:extLst>
                    </a:blip>
                    <a:srcRect t="15891"/>
                    <a:stretch/>
                  </pic:blipFill>
                  <pic:spPr bwMode="auto">
                    <a:xfrm>
                      <a:off x="0" y="0"/>
                      <a:ext cx="5731510" cy="206760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A67211" w:rsidRDefault="00A67211" w:rsidP="00086723">
      <w:pPr>
        <w:jc w:val="both"/>
      </w:pPr>
      <w:r>
        <w:lastRenderedPageBreak/>
        <w:t xml:space="preserve">353 charities operating in Barnet (28.1%) identify people with disabilities as service users and 141 of these are also based in Barnet.  Their distribution </w:t>
      </w:r>
      <w:r w:rsidR="00267895">
        <w:t xml:space="preserve">by ward </w:t>
      </w:r>
      <w:r>
        <w:t>is shown below:</w:t>
      </w:r>
    </w:p>
    <w:p w:rsidR="00A67211" w:rsidRPr="00FF06AE" w:rsidRDefault="00E374FD" w:rsidP="00E374FD">
      <w:pPr>
        <w:pStyle w:val="Caption"/>
        <w:rPr>
          <w:b w:val="0"/>
          <w:i/>
        </w:rPr>
      </w:pPr>
      <w:r>
        <w:t xml:space="preserve">Figure </w:t>
      </w:r>
      <w:fldSimple w:instr=" STYLEREF 1 \s ">
        <w:r w:rsidR="001663C2">
          <w:rPr>
            <w:noProof/>
          </w:rPr>
          <w:t>11</w:t>
        </w:r>
      </w:fldSimple>
      <w:r w:rsidR="00943DC2">
        <w:noBreakHyphen/>
      </w:r>
      <w:fldSimple w:instr=" SEQ Figure \* ARABIC \s 1 ">
        <w:r w:rsidR="001663C2">
          <w:rPr>
            <w:noProof/>
          </w:rPr>
          <w:t>6</w:t>
        </w:r>
      </w:fldSimple>
      <w:r w:rsidR="00A67211" w:rsidRPr="00E374FD">
        <w:t>: Local charities serving people with disabilities, by ward</w:t>
      </w:r>
    </w:p>
    <w:p w:rsidR="00A67211" w:rsidRDefault="00A67211" w:rsidP="00A67211">
      <w:r>
        <w:rPr>
          <w:noProof/>
          <w:lang w:eastAsia="en-GB"/>
        </w:rPr>
        <w:drawing>
          <wp:inline distT="0" distB="0" distL="0" distR="0" wp14:anchorId="3EA161AC" wp14:editId="502CE304">
            <wp:extent cx="5729614" cy="2047875"/>
            <wp:effectExtent l="19050" t="19050" r="23495" b="9525"/>
            <wp:docPr id="4116" name="Picture 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40">
                      <a:extLst>
                        <a:ext uri="{28A0092B-C50C-407E-A947-70E740481C1C}">
                          <a14:useLocalDpi xmlns:a14="http://schemas.microsoft.com/office/drawing/2010/main" val="0"/>
                        </a:ext>
                      </a:extLst>
                    </a:blip>
                    <a:srcRect t="16667"/>
                    <a:stretch/>
                  </pic:blipFill>
                  <pic:spPr bwMode="auto">
                    <a:xfrm>
                      <a:off x="0" y="0"/>
                      <a:ext cx="5731510" cy="204855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A67211" w:rsidRPr="009150C5" w:rsidRDefault="006914DA" w:rsidP="00A67211">
      <w:pPr>
        <w:pStyle w:val="Heading3"/>
      </w:pPr>
      <w:r>
        <w:t>Services Relating to H</w:t>
      </w:r>
      <w:r w:rsidR="00A67211" w:rsidRPr="009150C5">
        <w:t xml:space="preserve">ealth and </w:t>
      </w:r>
      <w:r>
        <w:t>P</w:t>
      </w:r>
      <w:r w:rsidR="00A67211" w:rsidRPr="009150C5">
        <w:t xml:space="preserve">hysical </w:t>
      </w:r>
      <w:r>
        <w:t>A</w:t>
      </w:r>
      <w:r w:rsidR="00A67211" w:rsidRPr="009150C5">
        <w:t>ctivity</w:t>
      </w:r>
    </w:p>
    <w:p w:rsidR="00A67211" w:rsidRDefault="00A67211" w:rsidP="00086723">
      <w:pPr>
        <w:jc w:val="both"/>
      </w:pPr>
      <w:r>
        <w:t xml:space="preserve">225 charities operating in Barnet (17.9%) identify themselves as providing a health-related benefit.  86 (38.2%) are local and 139 are from outside the </w:t>
      </w:r>
      <w:r w:rsidR="00037414">
        <w:t>Borough</w:t>
      </w:r>
      <w:r>
        <w:t>.  The local charities are shown by ward in the chart below:</w:t>
      </w:r>
    </w:p>
    <w:p w:rsidR="00A67211" w:rsidRPr="00FF06AE" w:rsidRDefault="00E374FD" w:rsidP="00E374FD">
      <w:pPr>
        <w:pStyle w:val="Caption"/>
        <w:rPr>
          <w:b w:val="0"/>
          <w:i/>
        </w:rPr>
      </w:pPr>
      <w:r>
        <w:t xml:space="preserve">Figure </w:t>
      </w:r>
      <w:fldSimple w:instr=" STYLEREF 1 \s ">
        <w:r w:rsidR="001663C2">
          <w:rPr>
            <w:noProof/>
          </w:rPr>
          <w:t>11</w:t>
        </w:r>
      </w:fldSimple>
      <w:r w:rsidR="00943DC2">
        <w:noBreakHyphen/>
      </w:r>
      <w:fldSimple w:instr=" SEQ Figure \* ARABIC \s 1 ">
        <w:r w:rsidR="001663C2">
          <w:rPr>
            <w:noProof/>
          </w:rPr>
          <w:t>7</w:t>
        </w:r>
      </w:fldSimple>
      <w:r w:rsidR="00A67211" w:rsidRPr="00E374FD">
        <w:t>: Local charities purpose or benefit relates to advancing health or saving lives, by ward</w:t>
      </w:r>
    </w:p>
    <w:p w:rsidR="00A67211" w:rsidRDefault="00A67211" w:rsidP="00A67211">
      <w:r>
        <w:rPr>
          <w:noProof/>
          <w:lang w:eastAsia="en-GB"/>
        </w:rPr>
        <w:drawing>
          <wp:inline distT="0" distB="0" distL="0" distR="0" wp14:anchorId="650E00FE" wp14:editId="654909BB">
            <wp:extent cx="5729614" cy="1762125"/>
            <wp:effectExtent l="19050" t="19050" r="23495" b="9525"/>
            <wp:docPr id="49156" name="Picture 49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41">
                      <a:extLst>
                        <a:ext uri="{28A0092B-C50C-407E-A947-70E740481C1C}">
                          <a14:useLocalDpi xmlns:a14="http://schemas.microsoft.com/office/drawing/2010/main" val="0"/>
                        </a:ext>
                      </a:extLst>
                    </a:blip>
                    <a:srcRect t="28295"/>
                    <a:stretch/>
                  </pic:blipFill>
                  <pic:spPr bwMode="auto">
                    <a:xfrm>
                      <a:off x="0" y="0"/>
                      <a:ext cx="5731510" cy="176270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A67211" w:rsidRDefault="00A67211" w:rsidP="00086723">
      <w:pPr>
        <w:jc w:val="both"/>
      </w:pPr>
      <w:r>
        <w:t>164 charities carry out amateur sports-related activities; 77 (46.9%) of these are from Barnet.  The locations of those based in Barnet are shown in the chart below:</w:t>
      </w:r>
    </w:p>
    <w:p w:rsidR="00DD3056" w:rsidRDefault="00DD3056" w:rsidP="00E374FD">
      <w:pPr>
        <w:pStyle w:val="Caption"/>
      </w:pPr>
    </w:p>
    <w:p w:rsidR="00DD3056" w:rsidRDefault="00DD3056" w:rsidP="00E374FD">
      <w:pPr>
        <w:pStyle w:val="Caption"/>
      </w:pPr>
    </w:p>
    <w:p w:rsidR="00DD3056" w:rsidRDefault="00DD3056" w:rsidP="00E374FD">
      <w:pPr>
        <w:pStyle w:val="Caption"/>
      </w:pPr>
    </w:p>
    <w:p w:rsidR="00DD3056" w:rsidRDefault="00DD3056" w:rsidP="00E374FD">
      <w:pPr>
        <w:pStyle w:val="Caption"/>
      </w:pPr>
    </w:p>
    <w:p w:rsidR="00DD3056" w:rsidRDefault="00DD3056" w:rsidP="00E374FD">
      <w:pPr>
        <w:pStyle w:val="Caption"/>
      </w:pPr>
    </w:p>
    <w:p w:rsidR="00DD3056" w:rsidRDefault="00DD3056" w:rsidP="00E374FD">
      <w:pPr>
        <w:pStyle w:val="Caption"/>
      </w:pPr>
    </w:p>
    <w:p w:rsidR="00DD3056" w:rsidRDefault="00DD3056" w:rsidP="00E374FD">
      <w:pPr>
        <w:pStyle w:val="Caption"/>
      </w:pPr>
    </w:p>
    <w:p w:rsidR="00DD3056" w:rsidRDefault="00DD3056" w:rsidP="00E374FD">
      <w:pPr>
        <w:pStyle w:val="Caption"/>
      </w:pPr>
    </w:p>
    <w:p w:rsidR="00DD3056" w:rsidRDefault="00DD3056" w:rsidP="00E374FD">
      <w:pPr>
        <w:pStyle w:val="Caption"/>
      </w:pPr>
    </w:p>
    <w:p w:rsidR="00DD3056" w:rsidRDefault="00DD3056" w:rsidP="00E374FD">
      <w:pPr>
        <w:pStyle w:val="Caption"/>
      </w:pPr>
    </w:p>
    <w:p w:rsidR="00DD3056" w:rsidRDefault="00DD3056" w:rsidP="00E374FD">
      <w:pPr>
        <w:pStyle w:val="Caption"/>
      </w:pPr>
    </w:p>
    <w:p w:rsidR="00A67211" w:rsidRPr="00FF06AE" w:rsidRDefault="00E374FD" w:rsidP="00E374FD">
      <w:pPr>
        <w:pStyle w:val="Caption"/>
        <w:rPr>
          <w:b w:val="0"/>
          <w:i/>
        </w:rPr>
      </w:pPr>
      <w:r>
        <w:lastRenderedPageBreak/>
        <w:t xml:space="preserve">Figure </w:t>
      </w:r>
      <w:fldSimple w:instr=" STYLEREF 1 \s ">
        <w:r w:rsidR="001663C2">
          <w:rPr>
            <w:noProof/>
          </w:rPr>
          <w:t>11</w:t>
        </w:r>
      </w:fldSimple>
      <w:r w:rsidR="00943DC2">
        <w:noBreakHyphen/>
      </w:r>
      <w:fldSimple w:instr=" SEQ Figure \* ARABIC \s 1 ">
        <w:r w:rsidR="001663C2">
          <w:rPr>
            <w:noProof/>
          </w:rPr>
          <w:t>8</w:t>
        </w:r>
      </w:fldSimple>
      <w:r w:rsidR="00A67211" w:rsidRPr="00E374FD">
        <w:t>: Local charities whose purpose or benefit relates to amateur sport, by ward</w:t>
      </w:r>
      <w:r w:rsidR="00A67211">
        <w:rPr>
          <w:i/>
        </w:rPr>
        <w:tab/>
      </w:r>
    </w:p>
    <w:p w:rsidR="00A67211" w:rsidRPr="00E436BC" w:rsidRDefault="00A67211" w:rsidP="00A67211">
      <w:r>
        <w:rPr>
          <w:noProof/>
          <w:lang w:eastAsia="en-GB"/>
        </w:rPr>
        <w:drawing>
          <wp:inline distT="0" distB="0" distL="0" distR="0" wp14:anchorId="3E0735A2" wp14:editId="35A15481">
            <wp:extent cx="5729614" cy="2105025"/>
            <wp:effectExtent l="19050" t="19050" r="23495" b="9525"/>
            <wp:docPr id="49158" name="Picture 49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42">
                      <a:extLst>
                        <a:ext uri="{28A0092B-C50C-407E-A947-70E740481C1C}">
                          <a14:useLocalDpi xmlns:a14="http://schemas.microsoft.com/office/drawing/2010/main" val="0"/>
                        </a:ext>
                      </a:extLst>
                    </a:blip>
                    <a:srcRect t="14341"/>
                    <a:stretch/>
                  </pic:blipFill>
                  <pic:spPr bwMode="auto">
                    <a:xfrm>
                      <a:off x="0" y="0"/>
                      <a:ext cx="5731510" cy="210572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A67211" w:rsidRPr="009150C5" w:rsidRDefault="006914DA" w:rsidP="00A67211">
      <w:pPr>
        <w:pStyle w:val="Heading3"/>
      </w:pPr>
      <w:r>
        <w:t>Economic and Community Development S</w:t>
      </w:r>
      <w:r w:rsidR="00A67211" w:rsidRPr="009150C5">
        <w:t>ervices</w:t>
      </w:r>
    </w:p>
    <w:p w:rsidR="00A67211" w:rsidRDefault="00A67211" w:rsidP="00086723">
      <w:pPr>
        <w:jc w:val="both"/>
      </w:pPr>
      <w:r>
        <w:t xml:space="preserve">152 charities provide services relating to community or economic development or employment.  61 (40.1%) are from Barnet and 91 are from outside the </w:t>
      </w:r>
      <w:r w:rsidR="00037414">
        <w:t>Borough</w:t>
      </w:r>
      <w:r>
        <w:t>.  The local charities are distributed</w:t>
      </w:r>
      <w:r w:rsidR="00267895">
        <w:t xml:space="preserve"> by ward</w:t>
      </w:r>
      <w:r>
        <w:t xml:space="preserve"> as follows:</w:t>
      </w:r>
    </w:p>
    <w:p w:rsidR="00A67211" w:rsidRPr="00FF06AE" w:rsidRDefault="00E374FD" w:rsidP="00E374FD">
      <w:pPr>
        <w:pStyle w:val="Caption"/>
        <w:rPr>
          <w:b w:val="0"/>
          <w:i/>
        </w:rPr>
      </w:pPr>
      <w:r>
        <w:t xml:space="preserve">Figure </w:t>
      </w:r>
      <w:fldSimple w:instr=" STYLEREF 1 \s ">
        <w:r w:rsidR="001663C2">
          <w:rPr>
            <w:noProof/>
          </w:rPr>
          <w:t>11</w:t>
        </w:r>
      </w:fldSimple>
      <w:r w:rsidR="00943DC2">
        <w:noBreakHyphen/>
      </w:r>
      <w:fldSimple w:instr=" SEQ Figure \* ARABIC \s 1 ">
        <w:r w:rsidR="001663C2">
          <w:rPr>
            <w:noProof/>
          </w:rPr>
          <w:t>9</w:t>
        </w:r>
      </w:fldSimple>
      <w:r w:rsidR="00A67211" w:rsidRPr="00E374FD">
        <w:t>: Local charities whose purpose or benefit relates to economic or community development and employment, by ward</w:t>
      </w:r>
      <w:r w:rsidR="00A67211">
        <w:rPr>
          <w:i/>
        </w:rPr>
        <w:tab/>
      </w:r>
    </w:p>
    <w:p w:rsidR="00A67211" w:rsidRPr="009706F6" w:rsidRDefault="00A67211" w:rsidP="00A67211">
      <w:r>
        <w:rPr>
          <w:noProof/>
          <w:lang w:eastAsia="en-GB"/>
        </w:rPr>
        <w:drawing>
          <wp:inline distT="0" distB="0" distL="0" distR="0" wp14:anchorId="0933ABBD" wp14:editId="1E502118">
            <wp:extent cx="5882813" cy="1828800"/>
            <wp:effectExtent l="19050" t="19050" r="22860" b="19050"/>
            <wp:docPr id="49159" name="Picture 49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43">
                      <a:extLst>
                        <a:ext uri="{28A0092B-C50C-407E-A947-70E740481C1C}">
                          <a14:useLocalDpi xmlns:a14="http://schemas.microsoft.com/office/drawing/2010/main" val="0"/>
                        </a:ext>
                      </a:extLst>
                    </a:blip>
                    <a:srcRect t="27519"/>
                    <a:stretch/>
                  </pic:blipFill>
                  <pic:spPr bwMode="auto">
                    <a:xfrm>
                      <a:off x="0" y="0"/>
                      <a:ext cx="5884758" cy="182940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A67211" w:rsidRPr="009150C5" w:rsidRDefault="006914DA" w:rsidP="00A67211">
      <w:pPr>
        <w:pStyle w:val="Heading2"/>
      </w:pPr>
      <w:bookmarkStart w:id="1012" w:name="_Toc431225255"/>
      <w:r>
        <w:t>Key I</w:t>
      </w:r>
      <w:r w:rsidR="00A67211" w:rsidRPr="009150C5">
        <w:t>ssues</w:t>
      </w:r>
      <w:bookmarkEnd w:id="1012"/>
    </w:p>
    <w:p w:rsidR="00A67211" w:rsidRDefault="00A67211" w:rsidP="00153867">
      <w:pPr>
        <w:jc w:val="both"/>
      </w:pPr>
      <w:r>
        <w:t>Voluntary and community sector activity will be essential in meeting a number of needs already identified through the Council’s commissioning plans.  Key areas which require VCS provision include the following:</w:t>
      </w:r>
    </w:p>
    <w:p w:rsidR="00A67211" w:rsidRPr="009150C5" w:rsidRDefault="006914DA" w:rsidP="00A67211">
      <w:pPr>
        <w:pStyle w:val="Heading3"/>
      </w:pPr>
      <w:r>
        <w:t>Adults and H</w:t>
      </w:r>
      <w:r w:rsidR="00A67211">
        <w:t>ealth</w:t>
      </w:r>
    </w:p>
    <w:p w:rsidR="00A67211" w:rsidRDefault="00A67211" w:rsidP="00153867">
      <w:pPr>
        <w:jc w:val="both"/>
      </w:pPr>
      <w:r>
        <w:t xml:space="preserve">In </w:t>
      </w:r>
      <w:r>
        <w:rPr>
          <w:b/>
        </w:rPr>
        <w:t>adult social care and health</w:t>
      </w:r>
      <w:r>
        <w:t>, work to reduce the need for services and provide more community care, particularly for older people, people with learning disabilities and mental health</w:t>
      </w:r>
      <w:r w:rsidR="001901BE">
        <w:t>/</w:t>
      </w:r>
      <w:r w:rsidR="004C1136">
        <w:t xml:space="preserve"> </w:t>
      </w:r>
      <w:r w:rsidR="001901BE">
        <w:t>autism</w:t>
      </w:r>
      <w:r>
        <w:t xml:space="preserve"> needs.  In part, this will involve providing services or activities which help people go about their daily lives – shopping, cooking, housework or gardening – but there will also be an important preventative component, providing activities to promote inclusion and reduce isolation.</w:t>
      </w:r>
    </w:p>
    <w:p w:rsidR="00A67211" w:rsidRDefault="00A67211" w:rsidP="00153867">
      <w:pPr>
        <w:jc w:val="both"/>
      </w:pPr>
      <w:r>
        <w:t xml:space="preserve">The distribution of local charities meeting the needs of older adults in Barnet is relatively well matched to the current and projected older adults’ population.  It is, however, noticeable that the number of charities operating in Barnet who identify a health or disability-related benefit to the work they do is less than 20%, suggesting that there is room either for provision to grow in this area </w:t>
      </w:r>
      <w:r>
        <w:lastRenderedPageBreak/>
        <w:t>or to develop more understanding among community groups of how their activities impact on health and wellbeing.</w:t>
      </w:r>
    </w:p>
    <w:p w:rsidR="00A67211" w:rsidRDefault="00A67211" w:rsidP="00153867">
      <w:pPr>
        <w:jc w:val="both"/>
      </w:pPr>
      <w:r>
        <w:t xml:space="preserve">In terms of sport and physical activity, local community sports provision is reasonably well matched to need, with the wards with the highest rates of childhood obesity (Colindale, Burnt Oak and Underhill) all having numbers of community sport charities slightly above average for the </w:t>
      </w:r>
      <w:r w:rsidR="00037414">
        <w:t>Borough</w:t>
      </w:r>
      <w:r>
        <w:t>.  Again, there is potential room to develop further provision in this area.</w:t>
      </w:r>
    </w:p>
    <w:p w:rsidR="00A67211" w:rsidRPr="009150C5" w:rsidRDefault="00A67211" w:rsidP="00153867">
      <w:pPr>
        <w:pStyle w:val="Heading3"/>
        <w:jc w:val="both"/>
      </w:pPr>
      <w:r>
        <w:t xml:space="preserve">Children’s </w:t>
      </w:r>
      <w:r w:rsidR="006914DA">
        <w:t>S</w:t>
      </w:r>
      <w:r>
        <w:t>ervices</w:t>
      </w:r>
    </w:p>
    <w:p w:rsidR="00A67211" w:rsidRPr="0041413E" w:rsidRDefault="00A67211" w:rsidP="00153867">
      <w:pPr>
        <w:jc w:val="both"/>
      </w:pPr>
      <w:r>
        <w:t xml:space="preserve">In </w:t>
      </w:r>
      <w:r>
        <w:rPr>
          <w:b/>
        </w:rPr>
        <w:t>provision for children</w:t>
      </w:r>
      <w:r>
        <w:t xml:space="preserve">, as well as the preventative services identified above there will be a need to increase the availability of childcare in community settings to meet need, development of community provision to enable more holistic delivery models for mental health services, and to build strong relationships with community groups who may be able to improve services such as children’s centres by getting more involved in how these are managed and governed.  </w:t>
      </w:r>
    </w:p>
    <w:p w:rsidR="00A67211" w:rsidRDefault="00A67211" w:rsidP="00153867">
      <w:pPr>
        <w:jc w:val="both"/>
      </w:pPr>
      <w:r>
        <w:t>The Barnet evidence base shows that overall, both the highest numbers of children and young people in Barnet in absolute terms, and the greatest growth in the numbers of children an</w:t>
      </w:r>
      <w:r w:rsidR="001901BE">
        <w:t>d young people, will be in the w</w:t>
      </w:r>
      <w:r>
        <w:t xml:space="preserve">est of the </w:t>
      </w:r>
      <w:r w:rsidR="00037414">
        <w:t>Borough</w:t>
      </w:r>
      <w:r>
        <w:t>, corresponding with Barnet’s regeneration programmes.  The distribution of services aimed at children is reasonably high in more affluent parts of west Barnet but much lower in those deprived areas – particularly Colindale and Burnt Oak which are also the focus of the regeneration and the areas where the population of children and young people will be largest.  This suggests that market shaping activity should consider how to increase local voluntary sector service provision for children and young people in Burnt Oak and Colindale to reflect the likely increase in future need in those areas.</w:t>
      </w:r>
    </w:p>
    <w:p w:rsidR="00A67211" w:rsidRDefault="00A67211" w:rsidP="00A67211">
      <w:pPr>
        <w:pStyle w:val="Heading3"/>
      </w:pPr>
      <w:r>
        <w:t xml:space="preserve">Housing and </w:t>
      </w:r>
      <w:r w:rsidR="006914DA">
        <w:t>Economic D</w:t>
      </w:r>
      <w:r>
        <w:t>evelopment</w:t>
      </w:r>
    </w:p>
    <w:p w:rsidR="00A67211" w:rsidRDefault="00A67211" w:rsidP="00153867">
      <w:pPr>
        <w:jc w:val="both"/>
      </w:pPr>
      <w:r>
        <w:t xml:space="preserve">In areas relating to </w:t>
      </w:r>
      <w:r>
        <w:rPr>
          <w:b/>
        </w:rPr>
        <w:t>housing and economic development</w:t>
      </w:r>
      <w:r>
        <w:t xml:space="preserve">, there will be continuing pressure to support people affected by welfare </w:t>
      </w:r>
      <w:r w:rsidR="00DD3A76">
        <w:t>reforms and</w:t>
      </w:r>
      <w:r>
        <w:t xml:space="preserve">/or </w:t>
      </w:r>
      <w:r w:rsidR="009C63DF">
        <w:t>on-going</w:t>
      </w:r>
      <w:r>
        <w:t xml:space="preserve"> poverty, reducing the negative impacts of living in poverty.  VCS groups’ knowledge of, and trusted relationship with, their local communities is vital in reaching people who may otherwise struggle to access services.</w:t>
      </w:r>
    </w:p>
    <w:p w:rsidR="00A67211" w:rsidRDefault="00A67211" w:rsidP="00153867">
      <w:pPr>
        <w:jc w:val="both"/>
      </w:pPr>
      <w:r>
        <w:t>VCS activity relating to economic development and unemployment is well developed in Colindale and Burnt Oak, the wards with the highest unemployment rates in Barnet.  There are, however, noticeably low levels of provision in East Finchley and Underhill, two wards with significant areas of deprivation.</w:t>
      </w:r>
    </w:p>
    <w:p w:rsidR="00A67211" w:rsidRPr="009150C5" w:rsidRDefault="00A67211" w:rsidP="00153867">
      <w:pPr>
        <w:pStyle w:val="Heading3"/>
        <w:jc w:val="both"/>
      </w:pPr>
      <w:r>
        <w:t>Environment</w:t>
      </w:r>
    </w:p>
    <w:p w:rsidR="00A67211" w:rsidRDefault="00A67211" w:rsidP="00153867">
      <w:pPr>
        <w:jc w:val="both"/>
      </w:pPr>
      <w:r>
        <w:t xml:space="preserve">Finally, opportunities to promote a better </w:t>
      </w:r>
      <w:r w:rsidRPr="0041413E">
        <w:rPr>
          <w:b/>
        </w:rPr>
        <w:t>environment</w:t>
      </w:r>
      <w:r>
        <w:t xml:space="preserve"> across the </w:t>
      </w:r>
      <w:r w:rsidR="00037414">
        <w:t>Borough</w:t>
      </w:r>
      <w:r>
        <w:t xml:space="preserve"> will in part be reliant on getting people more involved in developing and maintaining their local areas.  Environmental VCS provision in Barnet is relatively low compared to other sectors – only 75 charities, just under 6% of those operating in the </w:t>
      </w:r>
      <w:r w:rsidR="00037414">
        <w:t>Borough</w:t>
      </w:r>
      <w:r>
        <w:t xml:space="preserve">, identify themselves as providing an environmental or heritage benefit.  This is underpinned by relatively underdeveloped links between the Council and place-based community groups such as residents’ associations with clear opportunities to take a more proactive and coordinated approach to its relationship with such groups in future.  </w:t>
      </w:r>
    </w:p>
    <w:p w:rsidR="00A67211" w:rsidRPr="009150C5" w:rsidRDefault="006914DA" w:rsidP="00153867">
      <w:pPr>
        <w:pStyle w:val="Heading3"/>
        <w:jc w:val="both"/>
      </w:pPr>
      <w:r>
        <w:lastRenderedPageBreak/>
        <w:t>General C</w:t>
      </w:r>
      <w:r w:rsidR="00A67211">
        <w:t>apacity</w:t>
      </w:r>
    </w:p>
    <w:p w:rsidR="00A67211" w:rsidRDefault="00A67211" w:rsidP="00153867">
      <w:pPr>
        <w:jc w:val="both"/>
      </w:pPr>
      <w:r>
        <w:t xml:space="preserve">In terms of the general </w:t>
      </w:r>
      <w:r>
        <w:rPr>
          <w:b/>
        </w:rPr>
        <w:t>capacity and physical assets</w:t>
      </w:r>
      <w:r>
        <w:t xml:space="preserve"> which underpin these priorities, Barnet has high levels of local VCS activity but this is not evenly distributed across the </w:t>
      </w:r>
      <w:r w:rsidR="00037414">
        <w:t>Borough</w:t>
      </w:r>
      <w:r>
        <w:t xml:space="preserve">.  This is in part </w:t>
      </w:r>
      <w:r w:rsidR="009C63DF">
        <w:t>because a</w:t>
      </w:r>
      <w:r>
        <w:t xml:space="preserve"> significant proportion local charitable activity is strongly focused around</w:t>
      </w:r>
      <w:r w:rsidR="001901BE">
        <w:t xml:space="preserve"> faith communities.  The C</w:t>
      </w:r>
      <w:r>
        <w:t>ouncil should think about using its engagement with faith groups and networks to respond to this, gaining a better understanding of how this capacity is currently deployed and learning any lessons about how similar capacity could be leveraged in other parts of the sector</w:t>
      </w:r>
      <w:r w:rsidR="001901BE">
        <w:t>.</w:t>
      </w:r>
    </w:p>
    <w:p w:rsidR="00A67211" w:rsidRDefault="009C63DF" w:rsidP="00153867">
      <w:pPr>
        <w:jc w:val="both"/>
      </w:pPr>
      <w:r>
        <w:t xml:space="preserve">There are opportunities to support and develop the broader volunteering base through diversifying the offer to volunteers: presenting a broad range of volunteering opportunities (including </w:t>
      </w:r>
      <w:proofErr w:type="spellStart"/>
      <w:r>
        <w:t>Timebanking</w:t>
      </w:r>
      <w:proofErr w:type="spellEnd"/>
      <w:r>
        <w:t xml:space="preserve">, community development activities, employer supported volunteering and corporate social responsibility), consolidated and coordinated through the core volunteer offer.  </w:t>
      </w:r>
    </w:p>
    <w:p w:rsidR="00A67211" w:rsidRDefault="00A67211" w:rsidP="00153867">
      <w:pPr>
        <w:jc w:val="both"/>
      </w:pPr>
      <w:r>
        <w:t xml:space="preserve">The Council’s Community Asset Strategy – though it relates only to physical community assets such as land and property – provides an opportunity to rethink physical asset provision including the potential gaps in provision in the North West and centre of the </w:t>
      </w:r>
      <w:r w:rsidR="00037414">
        <w:t>Borough</w:t>
      </w:r>
      <w:r>
        <w:t>.</w:t>
      </w:r>
    </w:p>
    <w:p w:rsidR="00A67211" w:rsidRPr="009150C5" w:rsidRDefault="006914DA" w:rsidP="00A67211">
      <w:pPr>
        <w:pStyle w:val="Heading2"/>
      </w:pPr>
      <w:bookmarkStart w:id="1013" w:name="_Toc431225256"/>
      <w:r>
        <w:t>Conclusion and R</w:t>
      </w:r>
      <w:r w:rsidR="00A67211" w:rsidRPr="009150C5">
        <w:t>ecommendations</w:t>
      </w:r>
      <w:bookmarkEnd w:id="1013"/>
    </w:p>
    <w:p w:rsidR="00A67211" w:rsidRDefault="00A67211" w:rsidP="00153867">
      <w:pPr>
        <w:jc w:val="both"/>
      </w:pPr>
      <w:r>
        <w:t>The evidence base for asset-based community development approaches is strong and will be a key part of the approach Barnet needs to take to address the challenges facing health and social care in the coming years.</w:t>
      </w:r>
    </w:p>
    <w:p w:rsidR="00A67211" w:rsidRDefault="00A67211" w:rsidP="00153867">
      <w:pPr>
        <w:jc w:val="both"/>
      </w:pPr>
      <w:r>
        <w:t xml:space="preserve">Barnet has a </w:t>
      </w:r>
      <w:r w:rsidRPr="008008D8">
        <w:rPr>
          <w:b/>
        </w:rPr>
        <w:t>strong community asset base</w:t>
      </w:r>
      <w:r>
        <w:t xml:space="preserve"> on which to build, with high levels of existing capacity and a wealth of voluntary and community groups.  There are opportunities to </w:t>
      </w:r>
      <w:r w:rsidRPr="008008D8">
        <w:rPr>
          <w:b/>
        </w:rPr>
        <w:t>work with faith groups</w:t>
      </w:r>
      <w:r>
        <w:t xml:space="preserve"> in particular, where community capacity in Barnet is particularly high, to promote stronger relationships between them and other groups in the </w:t>
      </w:r>
      <w:r w:rsidR="00037414">
        <w:t>Borough</w:t>
      </w:r>
      <w:r>
        <w:t xml:space="preserve"> and to learn lessons about how higher levels of volunteering can be mobilised.</w:t>
      </w:r>
    </w:p>
    <w:p w:rsidR="00A67211" w:rsidRDefault="00A67211" w:rsidP="00153867">
      <w:pPr>
        <w:jc w:val="both"/>
      </w:pPr>
      <w:r>
        <w:t xml:space="preserve">In terms of the overall VCS market, </w:t>
      </w:r>
      <w:r w:rsidRPr="008008D8">
        <w:rPr>
          <w:b/>
        </w:rPr>
        <w:t>levels of health-related VCS provision</w:t>
      </w:r>
      <w:r>
        <w:t xml:space="preserve"> in Barnet could be further developed, along with charitable activity around community sports.  More localised analysis suggests that there may be a current need for </w:t>
      </w:r>
      <w:r w:rsidRPr="008008D8">
        <w:rPr>
          <w:b/>
        </w:rPr>
        <w:t>more employment and economic development-related VCS activity in some wards</w:t>
      </w:r>
      <w:r>
        <w:t xml:space="preserve">, and that there will be a need for </w:t>
      </w:r>
      <w:r w:rsidRPr="008008D8">
        <w:rPr>
          <w:b/>
        </w:rPr>
        <w:t xml:space="preserve">more provision of services and activities for children and young people in the west of the </w:t>
      </w:r>
      <w:r w:rsidR="00037414">
        <w:rPr>
          <w:b/>
        </w:rPr>
        <w:t>Borough</w:t>
      </w:r>
      <w:r>
        <w:t xml:space="preserve"> to match the needs of the growing population.</w:t>
      </w:r>
    </w:p>
    <w:p w:rsidR="00A67211" w:rsidRPr="003A7DF4" w:rsidRDefault="00A67211" w:rsidP="00153867">
      <w:pPr>
        <w:jc w:val="both"/>
      </w:pPr>
      <w:r>
        <w:t xml:space="preserve">There is a particular gap around </w:t>
      </w:r>
      <w:r w:rsidRPr="008008D8">
        <w:rPr>
          <w:b/>
        </w:rPr>
        <w:t>place-based or environmental VCS groups</w:t>
      </w:r>
      <w:r>
        <w:t xml:space="preserve"> and/or the relationships the Council maintains with them.  The Council needs to consider how to develop and strengthen this sector, as well as strengthen its own links with other existing relevant organisations such as residents’ associations.</w:t>
      </w:r>
    </w:p>
    <w:p w:rsidR="003450E1" w:rsidRDefault="003450E1">
      <w:r>
        <w:br w:type="page"/>
      </w:r>
    </w:p>
    <w:p w:rsidR="003450E1" w:rsidRDefault="003450E1" w:rsidP="003450E1">
      <w:pPr>
        <w:pStyle w:val="Heading1"/>
        <w:jc w:val="both"/>
      </w:pPr>
      <w:bookmarkStart w:id="1014" w:name="_Toc431225257"/>
      <w:r>
        <w:lastRenderedPageBreak/>
        <w:t>Resident</w:t>
      </w:r>
      <w:r w:rsidR="00581FFD">
        <w:t>s</w:t>
      </w:r>
      <w:r w:rsidR="00990B74">
        <w:t>’</w:t>
      </w:r>
      <w:r>
        <w:t xml:space="preserve"> Voice</w:t>
      </w:r>
      <w:bookmarkEnd w:id="1014"/>
    </w:p>
    <w:bookmarkStart w:id="1015" w:name="_Toc431225258"/>
    <w:p w:rsidR="003450E1" w:rsidRDefault="00BC27A1" w:rsidP="003450E1">
      <w:pPr>
        <w:pStyle w:val="Heading2"/>
      </w:pPr>
      <w:r>
        <w:rPr>
          <w:noProof/>
          <w:lang w:eastAsia="en-GB"/>
        </w:rPr>
        <mc:AlternateContent>
          <mc:Choice Requires="wps">
            <w:drawing>
              <wp:anchor distT="0" distB="0" distL="114300" distR="114300" simplePos="0" relativeHeight="251792384" behindDoc="1" locked="0" layoutInCell="1" allowOverlap="1" wp14:anchorId="03124860" wp14:editId="6F6F3642">
                <wp:simplePos x="0" y="0"/>
                <wp:positionH relativeFrom="column">
                  <wp:posOffset>-138223</wp:posOffset>
                </wp:positionH>
                <wp:positionV relativeFrom="paragraph">
                  <wp:posOffset>36416</wp:posOffset>
                </wp:positionV>
                <wp:extent cx="6038850" cy="2775097"/>
                <wp:effectExtent l="0" t="0" r="0" b="6350"/>
                <wp:wrapNone/>
                <wp:docPr id="49168" name="Rectangle 49168"/>
                <wp:cNvGraphicFramePr/>
                <a:graphic xmlns:a="http://schemas.openxmlformats.org/drawingml/2006/main">
                  <a:graphicData uri="http://schemas.microsoft.com/office/word/2010/wordprocessingShape">
                    <wps:wsp>
                      <wps:cNvSpPr/>
                      <wps:spPr>
                        <a:xfrm>
                          <a:off x="0" y="0"/>
                          <a:ext cx="6038850" cy="2775097"/>
                        </a:xfrm>
                        <a:prstGeom prst="rect">
                          <a:avLst/>
                        </a:prstGeom>
                        <a:solidFill>
                          <a:srgbClr val="4F81BD">
                            <a:lumMod val="20000"/>
                            <a:lumOff val="80000"/>
                            <a:alpha val="7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9168" o:spid="_x0000_s1026" style="position:absolute;margin-left:-10.9pt;margin-top:2.85pt;width:475.5pt;height:218.5pt;z-index:-25152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" fillcolor="#dce6f2" stroked="f" strokeweight="2pt">
                <v:fill opacity="46003f"/>
              </v:rect>
            </w:pict>
          </mc:Fallback>
        </mc:AlternateContent>
      </w:r>
      <w:r w:rsidR="003450E1" w:rsidRPr="00781121">
        <w:t>Key Facts</w:t>
      </w:r>
      <w:bookmarkEnd w:id="1015"/>
    </w:p>
    <w:p w:rsidR="003450E1" w:rsidRPr="00560179" w:rsidRDefault="003450E1" w:rsidP="00E10745">
      <w:pPr>
        <w:pStyle w:val="ListParagraph"/>
        <w:numPr>
          <w:ilvl w:val="0"/>
          <w:numId w:val="55"/>
        </w:numPr>
      </w:pPr>
      <w:r>
        <w:t>In spring 2015,</w:t>
      </w:r>
      <w:r w:rsidRPr="00187ED8">
        <w:t xml:space="preserve"> 71</w:t>
      </w:r>
      <w:r>
        <w:t>% of respondents were</w:t>
      </w:r>
      <w:r w:rsidRPr="00187ED8">
        <w:t xml:space="preserve"> satisfied with the way the </w:t>
      </w:r>
      <w:r w:rsidR="00487CD4">
        <w:t>C</w:t>
      </w:r>
      <w:r w:rsidRPr="00187ED8">
        <w:t>ouncil runs things</w:t>
      </w:r>
      <w:r>
        <w:t xml:space="preserve">. This is broadly in </w:t>
      </w:r>
      <w:r w:rsidRPr="00560179">
        <w:t xml:space="preserve">line with both the average overall London (70%) and outer London (69%) scores, and </w:t>
      </w:r>
      <w:r>
        <w:t xml:space="preserve">3% </w:t>
      </w:r>
      <w:r w:rsidRPr="00560179">
        <w:t>higher than the national average</w:t>
      </w:r>
      <w:r>
        <w:t xml:space="preserve">. </w:t>
      </w:r>
    </w:p>
    <w:p w:rsidR="003450E1" w:rsidRDefault="003450E1" w:rsidP="00E10745">
      <w:pPr>
        <w:pStyle w:val="ListParagraph"/>
        <w:numPr>
          <w:ilvl w:val="0"/>
          <w:numId w:val="57"/>
        </w:numPr>
      </w:pPr>
      <w:r>
        <w:t>In spring 2015 88% of Barnet residents were</w:t>
      </w:r>
      <w:r w:rsidRPr="00E43B28">
        <w:t xml:space="preserve"> satisfied with their local area as a place to live. This is significantly higher than the national average</w:t>
      </w:r>
      <w:r>
        <w:t xml:space="preserve"> of 82% (as of October 2014). </w:t>
      </w:r>
    </w:p>
    <w:p w:rsidR="003450E1" w:rsidRDefault="003450E1" w:rsidP="00E10745">
      <w:pPr>
        <w:pStyle w:val="ListParagraph"/>
        <w:numPr>
          <w:ilvl w:val="0"/>
          <w:numId w:val="57"/>
        </w:numPr>
        <w:jc w:val="both"/>
      </w:pPr>
      <w:r>
        <w:t xml:space="preserve">In spring 2015 the services that residents were most happy with were ‘Refuse collection’, ‘Doorstep recycling’, ‘Street lighting’ and ‘Parks, playgrounds and open spaces’. </w:t>
      </w:r>
    </w:p>
    <w:p w:rsidR="003450E1" w:rsidRDefault="003450E1" w:rsidP="00E10745">
      <w:pPr>
        <w:pStyle w:val="ListParagraph"/>
        <w:numPr>
          <w:ilvl w:val="0"/>
          <w:numId w:val="57"/>
        </w:numPr>
        <w:jc w:val="both"/>
      </w:pPr>
      <w:r>
        <w:t>26</w:t>
      </w:r>
      <w:r w:rsidRPr="00A013F1">
        <w:t>% of residents give unpaid help to groups, clubs, or organisations at least once a w</w:t>
      </w:r>
      <w:r>
        <w:t>eek or once a month (spring 2015</w:t>
      </w:r>
      <w:r w:rsidRPr="00A013F1">
        <w:t>). This is a significant increase since 2010/11 (21%).</w:t>
      </w:r>
    </w:p>
    <w:p w:rsidR="003450E1" w:rsidRPr="00F12F0C" w:rsidRDefault="003450E1" w:rsidP="00E10745">
      <w:pPr>
        <w:pStyle w:val="ListParagraph"/>
        <w:numPr>
          <w:ilvl w:val="0"/>
          <w:numId w:val="57"/>
        </w:numPr>
      </w:pPr>
      <w:r w:rsidRPr="00F12F0C">
        <w:t>The largest area for complaints, constituting almost a quarter of top ten complaints is recycling (24%), followed by domestic waste (21%), and garden waste (17%). Together, household waste and recycling constitute 62% of the top ten complaints.</w:t>
      </w:r>
    </w:p>
    <w:p w:rsidR="003450E1" w:rsidRDefault="003450E1" w:rsidP="003450E1">
      <w:pPr>
        <w:pStyle w:val="Heading2"/>
      </w:pPr>
      <w:bookmarkStart w:id="1016" w:name="_Toc431225259"/>
      <w:r>
        <w:t>Key Issues</w:t>
      </w:r>
      <w:bookmarkEnd w:id="1016"/>
    </w:p>
    <w:p w:rsidR="003450E1" w:rsidRDefault="003450E1" w:rsidP="00E10745">
      <w:pPr>
        <w:pStyle w:val="ListParagraph"/>
        <w:numPr>
          <w:ilvl w:val="0"/>
          <w:numId w:val="57"/>
        </w:numPr>
        <w:jc w:val="both"/>
      </w:pPr>
      <w:r>
        <w:t xml:space="preserve">Over 40% of respondents rated </w:t>
      </w:r>
      <w:r w:rsidRPr="005C22B3">
        <w:rPr>
          <w:b/>
        </w:rPr>
        <w:t>‘Quality of payments’</w:t>
      </w:r>
      <w:r>
        <w:t>, ‘</w:t>
      </w:r>
      <w:r w:rsidRPr="005C22B3">
        <w:rPr>
          <w:b/>
        </w:rPr>
        <w:t>Parking services’</w:t>
      </w:r>
      <w:r>
        <w:t xml:space="preserve"> </w:t>
      </w:r>
      <w:r w:rsidRPr="005C22B3">
        <w:rPr>
          <w:b/>
        </w:rPr>
        <w:t>and</w:t>
      </w:r>
      <w:r>
        <w:t xml:space="preserve"> ‘</w:t>
      </w:r>
      <w:r w:rsidRPr="005C22B3">
        <w:rPr>
          <w:b/>
        </w:rPr>
        <w:t>Repair of roads’</w:t>
      </w:r>
      <w:r>
        <w:t xml:space="preserve"> </w:t>
      </w:r>
      <w:r w:rsidRPr="005C22B3">
        <w:rPr>
          <w:b/>
        </w:rPr>
        <w:t>as being poor or extremely poor services</w:t>
      </w:r>
      <w:r w:rsidR="00487CD4">
        <w:t xml:space="preserve"> provided by the C</w:t>
      </w:r>
      <w:r>
        <w:t xml:space="preserve">ouncil. </w:t>
      </w:r>
    </w:p>
    <w:p w:rsidR="003450E1" w:rsidRDefault="003450E1" w:rsidP="00E10745">
      <w:pPr>
        <w:pStyle w:val="ListParagraph"/>
        <w:numPr>
          <w:ilvl w:val="0"/>
          <w:numId w:val="57"/>
        </w:numPr>
        <w:jc w:val="both"/>
      </w:pPr>
      <w:r>
        <w:t xml:space="preserve">The </w:t>
      </w:r>
      <w:r w:rsidRPr="005C22B3">
        <w:rPr>
          <w:b/>
        </w:rPr>
        <w:t>top three concerns</w:t>
      </w:r>
      <w:r>
        <w:t xml:space="preserve"> for residents according to the spring 2015 Resident’s Perception Survey were ‘</w:t>
      </w:r>
      <w:r w:rsidR="00990B74">
        <w:rPr>
          <w:b/>
        </w:rPr>
        <w:t>c</w:t>
      </w:r>
      <w:r w:rsidRPr="005C22B3">
        <w:rPr>
          <w:b/>
        </w:rPr>
        <w:t>onditions</w:t>
      </w:r>
      <w:r w:rsidR="00990B74">
        <w:rPr>
          <w:b/>
        </w:rPr>
        <w:t xml:space="preserve"> of roads and pavements (38%); l</w:t>
      </w:r>
      <w:r w:rsidRPr="005C22B3">
        <w:rPr>
          <w:b/>
        </w:rPr>
        <w:t>ack of</w:t>
      </w:r>
      <w:r w:rsidR="00990B74">
        <w:rPr>
          <w:b/>
        </w:rPr>
        <w:t xml:space="preserve"> affordable housing (33%); and c</w:t>
      </w:r>
      <w:r w:rsidRPr="005C22B3">
        <w:rPr>
          <w:b/>
        </w:rPr>
        <w:t>rime (25%)</w:t>
      </w:r>
      <w:r>
        <w:t>.</w:t>
      </w:r>
    </w:p>
    <w:p w:rsidR="003450E1" w:rsidRPr="005C22B3" w:rsidRDefault="003450E1" w:rsidP="00E10745">
      <w:pPr>
        <w:pStyle w:val="ListParagraph"/>
        <w:numPr>
          <w:ilvl w:val="0"/>
          <w:numId w:val="57"/>
        </w:numPr>
        <w:rPr>
          <w:b/>
        </w:rPr>
      </w:pPr>
      <w:r w:rsidRPr="00F94A95">
        <w:rPr>
          <w:bCs/>
        </w:rPr>
        <w:t xml:space="preserve">Since autumn 2014 there has been a </w:t>
      </w:r>
      <w:r w:rsidRPr="005C22B3">
        <w:rPr>
          <w:b/>
          <w:bCs/>
        </w:rPr>
        <w:t>significant increase in residents’ concerns</w:t>
      </w:r>
      <w:r w:rsidRPr="00F94A95">
        <w:rPr>
          <w:bCs/>
        </w:rPr>
        <w:t xml:space="preserve"> about </w:t>
      </w:r>
      <w:r>
        <w:rPr>
          <w:bCs/>
        </w:rPr>
        <w:t xml:space="preserve">the </w:t>
      </w:r>
      <w:r w:rsidRPr="005C22B3">
        <w:rPr>
          <w:b/>
          <w:bCs/>
        </w:rPr>
        <w:t>conditions of roads and pavements</w:t>
      </w:r>
      <w:r w:rsidRPr="00F94A95">
        <w:rPr>
          <w:bCs/>
        </w:rPr>
        <w:t xml:space="preserve">, </w:t>
      </w:r>
      <w:r w:rsidRPr="005C22B3">
        <w:rPr>
          <w:b/>
          <w:bCs/>
        </w:rPr>
        <w:t>quality of health service</w:t>
      </w:r>
      <w:r w:rsidRPr="00F94A95">
        <w:rPr>
          <w:bCs/>
        </w:rPr>
        <w:t xml:space="preserve"> </w:t>
      </w:r>
      <w:r w:rsidRPr="005C22B3">
        <w:rPr>
          <w:b/>
          <w:bCs/>
        </w:rPr>
        <w:t xml:space="preserve">and lack of affordable housing. </w:t>
      </w:r>
    </w:p>
    <w:p w:rsidR="003450E1" w:rsidRDefault="003450E1" w:rsidP="00E10745">
      <w:pPr>
        <w:pStyle w:val="ListParagraph"/>
        <w:numPr>
          <w:ilvl w:val="0"/>
          <w:numId w:val="57"/>
        </w:numPr>
        <w:jc w:val="both"/>
      </w:pPr>
      <w:r w:rsidRPr="005C22B3">
        <w:rPr>
          <w:b/>
        </w:rPr>
        <w:t xml:space="preserve">Satisfaction levels of Barnet vary throughout the </w:t>
      </w:r>
      <w:r w:rsidR="00037414">
        <w:rPr>
          <w:b/>
        </w:rPr>
        <w:t>Borough</w:t>
      </w:r>
      <w:r>
        <w:t>, with residents liv</w:t>
      </w:r>
      <w:r w:rsidRPr="00E43B28">
        <w:t>ing in Finchley Church End, G</w:t>
      </w:r>
      <w:r>
        <w:t xml:space="preserve">arden Suburb, or Totteridge </w:t>
      </w:r>
      <w:r w:rsidRPr="00E43B28">
        <w:t>significantly more likely to be satisfied</w:t>
      </w:r>
      <w:r>
        <w:t xml:space="preserve"> with Barnet as a place to live whereas </w:t>
      </w:r>
      <w:r w:rsidRPr="005C22B3">
        <w:rPr>
          <w:b/>
        </w:rPr>
        <w:t xml:space="preserve">those living in Burnt Oak </w:t>
      </w:r>
      <w:r w:rsidR="00990B74">
        <w:rPr>
          <w:b/>
        </w:rPr>
        <w:t xml:space="preserve">are </w:t>
      </w:r>
      <w:r w:rsidRPr="005C22B3">
        <w:rPr>
          <w:b/>
        </w:rPr>
        <w:t>less likely to be satisfied with Barnet as a place to live</w:t>
      </w:r>
      <w:r w:rsidRPr="00E43B28">
        <w:t>.</w:t>
      </w:r>
    </w:p>
    <w:p w:rsidR="003450E1" w:rsidRDefault="003450E1" w:rsidP="00E10745">
      <w:pPr>
        <w:pStyle w:val="ListParagraph"/>
        <w:numPr>
          <w:ilvl w:val="0"/>
          <w:numId w:val="57"/>
        </w:numPr>
        <w:jc w:val="both"/>
      </w:pPr>
      <w:r>
        <w:t xml:space="preserve">According to data from the </w:t>
      </w:r>
      <w:r w:rsidRPr="00A013F1">
        <w:t xml:space="preserve">spring 2014 </w:t>
      </w:r>
      <w:r w:rsidR="00990B74">
        <w:t>Resident</w:t>
      </w:r>
      <w:r>
        <w:t>s</w:t>
      </w:r>
      <w:r w:rsidR="00990B74">
        <w:t>’</w:t>
      </w:r>
      <w:r>
        <w:t xml:space="preserve"> Perception Survey</w:t>
      </w:r>
      <w:r w:rsidRPr="00A013F1">
        <w:t xml:space="preserve">, </w:t>
      </w:r>
      <w:r w:rsidRPr="005C22B3">
        <w:rPr>
          <w:b/>
        </w:rPr>
        <w:t>those living in Burnt Oak or West Hendon</w:t>
      </w:r>
      <w:r w:rsidRPr="00A013F1">
        <w:t xml:space="preserve"> were significantly </w:t>
      </w:r>
      <w:r w:rsidRPr="005C22B3">
        <w:rPr>
          <w:b/>
        </w:rPr>
        <w:t>more likely to feel that those from different backgrounds do not get on well together</w:t>
      </w:r>
      <w:r w:rsidRPr="00A013F1">
        <w:t>.</w:t>
      </w:r>
      <w:r>
        <w:t xml:space="preserve"> </w:t>
      </w:r>
    </w:p>
    <w:p w:rsidR="003450E1" w:rsidRPr="00C72EA8" w:rsidRDefault="003450E1" w:rsidP="003450E1">
      <w:pPr>
        <w:pStyle w:val="Heading2"/>
      </w:pPr>
      <w:bookmarkStart w:id="1017" w:name="_Toc431225260"/>
      <w:r w:rsidRPr="00C72EA8">
        <w:t>Introduction</w:t>
      </w:r>
      <w:bookmarkEnd w:id="1017"/>
    </w:p>
    <w:p w:rsidR="003450E1" w:rsidRDefault="003450E1" w:rsidP="00EE5987">
      <w:pPr>
        <w:jc w:val="both"/>
      </w:pPr>
      <w:r>
        <w:t xml:space="preserve">The Residents’ Perception Survey captures residents’ general views and perceptions towards the Council, the services it provides and the local area and is used to explore changes in these opinions over time on a number of topics. The latest Residents’ Perception Survey was conducted in spring 2015; some of the key headlines are presented within this chapter. </w:t>
      </w:r>
    </w:p>
    <w:p w:rsidR="003450E1" w:rsidRPr="00C72EA8" w:rsidRDefault="00BA5C30" w:rsidP="003450E1">
      <w:pPr>
        <w:pStyle w:val="Heading2"/>
      </w:pPr>
      <w:bookmarkStart w:id="1018" w:name="_Toc431225261"/>
      <w:r>
        <w:t>Resident Satisfaction and O</w:t>
      </w:r>
      <w:r w:rsidR="003450E1" w:rsidRPr="00C72EA8">
        <w:t>pinion of</w:t>
      </w:r>
      <w:r w:rsidR="003450E1" w:rsidRPr="0028117B">
        <w:t xml:space="preserve"> </w:t>
      </w:r>
      <w:r w:rsidR="003450E1" w:rsidRPr="00C72EA8">
        <w:t xml:space="preserve">the </w:t>
      </w:r>
      <w:r w:rsidR="00487CD4">
        <w:t>C</w:t>
      </w:r>
      <w:r w:rsidR="003450E1" w:rsidRPr="00C72EA8">
        <w:t>ouncil</w:t>
      </w:r>
      <w:bookmarkEnd w:id="1018"/>
      <w:r w:rsidR="003450E1" w:rsidRPr="00C72EA8">
        <w:t xml:space="preserve"> </w:t>
      </w:r>
    </w:p>
    <w:p w:rsidR="003450E1" w:rsidRDefault="003450E1" w:rsidP="00EE5987">
      <w:pPr>
        <w:jc w:val="both"/>
      </w:pPr>
      <w:r>
        <w:t xml:space="preserve">Figure </w:t>
      </w:r>
      <w:r w:rsidR="00B7090B">
        <w:t>12-</w:t>
      </w:r>
      <w:r>
        <w:t>1 shows the responses for the residence perception question ‘</w:t>
      </w:r>
      <w:r w:rsidRPr="00187ED8">
        <w:rPr>
          <w:i/>
        </w:rPr>
        <w:t xml:space="preserve">are you satisfied with the way the </w:t>
      </w:r>
      <w:r w:rsidR="00487CD4">
        <w:rPr>
          <w:i/>
        </w:rPr>
        <w:t>C</w:t>
      </w:r>
      <w:r w:rsidRPr="00187ED8">
        <w:rPr>
          <w:i/>
        </w:rPr>
        <w:t>ouncil runs things’</w:t>
      </w:r>
      <w:r>
        <w:t xml:space="preserve">, for Barnet, compared to local and national regions. </w:t>
      </w:r>
    </w:p>
    <w:p w:rsidR="003450E1" w:rsidRPr="00560179" w:rsidRDefault="003450E1" w:rsidP="00EE5987">
      <w:pPr>
        <w:pStyle w:val="ListParagraph"/>
        <w:numPr>
          <w:ilvl w:val="0"/>
          <w:numId w:val="55"/>
        </w:numPr>
        <w:jc w:val="both"/>
      </w:pPr>
      <w:r>
        <w:lastRenderedPageBreak/>
        <w:t>In spring 2015,</w:t>
      </w:r>
      <w:r w:rsidRPr="00187ED8">
        <w:t xml:space="preserve"> 71</w:t>
      </w:r>
      <w:r>
        <w:t>% of respondents were</w:t>
      </w:r>
      <w:r w:rsidRPr="00187ED8">
        <w:t xml:space="preserve"> satisfied with </w:t>
      </w:r>
      <w:r w:rsidR="00487CD4">
        <w:t>the way the C</w:t>
      </w:r>
      <w:r w:rsidRPr="00187ED8">
        <w:t>ouncil runs things</w:t>
      </w:r>
      <w:r>
        <w:t xml:space="preserve">. This is broadly in </w:t>
      </w:r>
      <w:r w:rsidRPr="00560179">
        <w:t xml:space="preserve">line with both the average overall London (70%) and outer London (69%) scores, and </w:t>
      </w:r>
      <w:r>
        <w:t xml:space="preserve">3% </w:t>
      </w:r>
      <w:r w:rsidRPr="00560179">
        <w:t>higher than the national average</w:t>
      </w:r>
      <w:r>
        <w:t xml:space="preserve">. </w:t>
      </w:r>
    </w:p>
    <w:p w:rsidR="003450E1" w:rsidRPr="00560179" w:rsidRDefault="003450E1" w:rsidP="00EE5987">
      <w:pPr>
        <w:pStyle w:val="ListParagraph"/>
        <w:numPr>
          <w:ilvl w:val="0"/>
          <w:numId w:val="55"/>
        </w:numPr>
        <w:jc w:val="both"/>
      </w:pPr>
      <w:r>
        <w:t xml:space="preserve">During the period autumn 2012 to spring 2015, the proportion of people who </w:t>
      </w:r>
      <w:r w:rsidR="00990B74">
        <w:t>were</w:t>
      </w:r>
      <w:r>
        <w:t xml:space="preserve"> </w:t>
      </w:r>
      <w:r w:rsidRPr="00560179">
        <w:t>diss</w:t>
      </w:r>
      <w:r w:rsidR="00487CD4">
        <w:t>atisfied with the way Barnet C</w:t>
      </w:r>
      <w:r w:rsidRPr="00560179">
        <w:t>ouncil runs things,</w:t>
      </w:r>
      <w:r>
        <w:t xml:space="preserve"> has decreased from 21% </w:t>
      </w:r>
      <w:r w:rsidRPr="00560179">
        <w:t xml:space="preserve">to 18%. </w:t>
      </w:r>
    </w:p>
    <w:p w:rsidR="003450E1" w:rsidRDefault="00B7090B" w:rsidP="00B7090B">
      <w:pPr>
        <w:pStyle w:val="Caption"/>
        <w:keepNext/>
        <w:jc w:val="left"/>
        <w:rPr>
          <w:noProof/>
          <w:lang w:eastAsia="en-GB"/>
        </w:rPr>
      </w:pPr>
      <w:r>
        <w:t xml:space="preserve">Figure </w:t>
      </w:r>
      <w:fldSimple w:instr=" STYLEREF 1 \s ">
        <w:r w:rsidR="001663C2">
          <w:rPr>
            <w:noProof/>
          </w:rPr>
          <w:t>12</w:t>
        </w:r>
      </w:fldSimple>
      <w:r w:rsidR="00943DC2">
        <w:noBreakHyphen/>
      </w:r>
      <w:fldSimple w:instr=" SEQ Figure \* ARABIC \s 1 ">
        <w:r w:rsidR="001663C2">
          <w:rPr>
            <w:noProof/>
          </w:rPr>
          <w:t>1</w:t>
        </w:r>
      </w:fldSimple>
      <w:r w:rsidR="003450E1" w:rsidRPr="00B7090B">
        <w:t>: Are you sat</w:t>
      </w:r>
      <w:r w:rsidR="00990B74">
        <w:t>isfied with the way your local C</w:t>
      </w:r>
      <w:r w:rsidR="003450E1" w:rsidRPr="00B7090B">
        <w:t>ouncil is running things?</w:t>
      </w:r>
      <w:r w:rsidR="003450E1" w:rsidRPr="00781121">
        <w:t xml:space="preserve"> </w:t>
      </w:r>
    </w:p>
    <w:p w:rsidR="003450E1" w:rsidRPr="00781121" w:rsidRDefault="003450E1" w:rsidP="003450E1">
      <w:pPr>
        <w:spacing w:after="0" w:line="240" w:lineRule="auto"/>
        <w:jc w:val="center"/>
        <w:rPr>
          <w:rFonts w:ascii="Calibri" w:hAnsi="Calibri" w:cs="Calibri"/>
          <w:b/>
          <w:i/>
        </w:rPr>
      </w:pPr>
      <w:r w:rsidRPr="002B1612">
        <w:rPr>
          <w:rFonts w:ascii="Calibri" w:hAnsi="Calibri" w:cs="Calibri"/>
          <w:b/>
          <w:i/>
          <w:noProof/>
          <w:lang w:eastAsia="en-GB"/>
        </w:rPr>
        <mc:AlternateContent>
          <mc:Choice Requires="wpg">
            <w:drawing>
              <wp:inline distT="0" distB="0" distL="0" distR="0" wp14:anchorId="18816257" wp14:editId="36A65E46">
                <wp:extent cx="5314950" cy="1895475"/>
                <wp:effectExtent l="19050" t="19050" r="19050" b="28575"/>
                <wp:docPr id="92" name="Group 3"/>
                <wp:cNvGraphicFramePr/>
                <a:graphic xmlns:a="http://schemas.openxmlformats.org/drawingml/2006/main">
                  <a:graphicData uri="http://schemas.microsoft.com/office/word/2010/wordprocessingGroup">
                    <wpg:wgp>
                      <wpg:cNvGrpSpPr/>
                      <wpg:grpSpPr>
                        <a:xfrm>
                          <a:off x="0" y="0"/>
                          <a:ext cx="5314950" cy="1895475"/>
                          <a:chOff x="0" y="0"/>
                          <a:chExt cx="5281922" cy="1794018"/>
                        </a:xfrm>
                      </wpg:grpSpPr>
                      <pic:pic xmlns:pic="http://schemas.openxmlformats.org/drawingml/2006/picture">
                        <pic:nvPicPr>
                          <pic:cNvPr id="93" name="Picture 93"/>
                          <pic:cNvPicPr>
                            <a:picLocks noChangeAspect="1" noChangeArrowheads="1"/>
                          </pic:cNvPicPr>
                        </pic:nvPicPr>
                        <pic:blipFill rotWithShape="1">
                          <a:blip r:embed="rId244">
                            <a:extLst>
                              <a:ext uri="{28A0092B-C50C-407E-A947-70E740481C1C}">
                                <a14:useLocalDpi xmlns:a14="http://schemas.microsoft.com/office/drawing/2010/main" val="0"/>
                              </a:ext>
                            </a:extLst>
                          </a:blip>
                          <a:srcRect l="2669" t="6688" r="3491" b="17013"/>
                          <a:stretch/>
                        </pic:blipFill>
                        <pic:spPr bwMode="auto">
                          <a:xfrm>
                            <a:off x="0" y="0"/>
                            <a:ext cx="5281922" cy="1794018"/>
                          </a:xfrm>
                          <a:prstGeom prst="rect">
                            <a:avLst/>
                          </a:prstGeom>
                          <a:noFill/>
                          <a:ln w="9525">
                            <a:solidFill>
                              <a:schemeClr val="tx1"/>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94" name="Picture 94"/>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4190889" y="80204"/>
                            <a:ext cx="19050" cy="1603375"/>
                          </a:xfrm>
                          <a:prstGeom prst="rect">
                            <a:avLst/>
                          </a:prstGeom>
                          <a:noFill/>
                          <a:ln w="9525">
                            <a:no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pic:spPr>
                      </pic:pic>
                    </wpg:wgp>
                  </a:graphicData>
                </a:graphic>
              </wp:inline>
            </w:drawing>
          </mc:Choice>
          <mc:Fallback>
            <w:pict>
              <v:group id="Group 3" o:spid="_x0000_s1026" style="width:418.5pt;height:149.25pt;mso-position-horizontal-relative:char;mso-position-vertical-relative:line" coordsize="52819,179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">
                <v:shape id="Picture 93" o:spid="_x0000_s1027" type="#_x0000_t75" style="position:absolute;width:52819;height:17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lT5+/AAAA2wAAAA8AAABkcnMvZG93bnJldi54bWxEj9GKwjAURN8X/IdwBd/WVAWt1SiiCPpo&#10;9QMuzbUNNjelibX+vVlY8HGYmTPMetvbWnTUeuNYwWScgCAunDZcKrhdj78pCB+QNdaOScGbPGw3&#10;g581Ztq9+EJdHkoRIewzVFCF0GRS+qIii37sGuLo3V1rMUTZllK3+IpwW8tpksylRcNxocKG9hUV&#10;j/xpFchDX1/Me3fGzj0WaW7z9Ho0So2G/W4FIlAfvuH/9kkrWM7g70v8AXLz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mJU+fvwAAANsAAAAPAAAAAAAAAAAAAAAAAJ8CAABk&#10;cnMvZG93bnJldi54bWxQSwUGAAAAAAQABAD3AAAAiwMAAAAA&#10;" fillcolor="#4f81bd [3204]" stroked="t" strokecolor="black [3213]">
                  <v:imagedata r:id="rId250" o:title="" croptop="4383f" cropbottom="11150f" cropleft="1749f" cropright="2288f"/>
                  <v:shadow color="#eeece1 [3214]"/>
                </v:shape>
                <v:shape id="Picture 94" o:spid="_x0000_s1028" type="#_x0000_t75" style="position:absolute;left:41908;top:802;width:191;height:160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P7OvFAAAA2wAAAA8AAABkcnMvZG93bnJldi54bWxEj0trAjEUhfeF/odwhW5Kzfhg0NEoRRSs&#10;u5l20e5uJ3ceOLkZklTHf28KhS4P5/Fx1tvBdOJCzreWFUzGCQji0uqWawUf74eXBQgfkDV2lknB&#10;jTxsN48Pa8y0vXJOlyLUIo6wz1BBE0KfSenLhgz6se2Jo1dZZzBE6WqpHV7juOnkNElSabDlSGiw&#10;p11D5bn4MQrePqvv9Gu2OPL0tNyZffV8ziNcPY2G1xWIQEP4D/+1j1rBcg6/X+IPkJ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D+zrxQAAANsAAAAPAAAAAAAAAAAAAAAA&#10;AJ8CAABkcnMvZG93bnJldi54bWxQSwUGAAAAAAQABAD3AAAAkQMAAAAA&#10;" fillcolor="#4f81bd [3204]">
                  <v:imagedata r:id="rId251" o:title=""/>
                  <v:shadow color="#eeece1 [3214]"/>
                </v:shape>
                <w10:anchorlock/>
              </v:group>
            </w:pict>
          </mc:Fallback>
        </mc:AlternateContent>
      </w:r>
    </w:p>
    <w:p w:rsidR="003450E1" w:rsidRPr="00362506" w:rsidRDefault="003450E1" w:rsidP="003450E1">
      <w:pPr>
        <w:jc w:val="both"/>
        <w:rPr>
          <w:rFonts w:ascii="Calibri" w:hAnsi="Calibri" w:cs="Calibri"/>
        </w:rPr>
      </w:pPr>
      <w:r w:rsidRPr="00362506">
        <w:rPr>
          <w:rFonts w:ascii="Calibri" w:hAnsi="Calibri" w:cs="Calibri"/>
        </w:rPr>
        <w:t>Source: (London data from Survey of Londoners, national data from LGA public poll on resident satisfaction) (Barnet Resident Perception Survey Spring 2015)</w:t>
      </w:r>
    </w:p>
    <w:p w:rsidR="003450E1" w:rsidRPr="00E43B28" w:rsidRDefault="003450E1" w:rsidP="003450E1">
      <w:pPr>
        <w:jc w:val="both"/>
      </w:pPr>
      <w:r w:rsidRPr="00E43B28">
        <w:t xml:space="preserve">The </w:t>
      </w:r>
      <w:r>
        <w:t>spring 2015</w:t>
      </w:r>
      <w:r w:rsidRPr="00E43B28">
        <w:t xml:space="preserve"> RPS shows that 88% of Barnet residents are satisfied with their local area as a place to live. This is significantly higher than the national average (82% as of October 2014). 5</w:t>
      </w:r>
      <w:r>
        <w:t>1</w:t>
      </w:r>
      <w:r w:rsidRPr="00E43B28">
        <w:t xml:space="preserve">% of residents felt that Barnet </w:t>
      </w:r>
      <w:r w:rsidR="00487CD4">
        <w:t>C</w:t>
      </w:r>
      <w:r w:rsidRPr="00E43B28">
        <w:t>ouncil provides value for money</w:t>
      </w:r>
      <w:r>
        <w:t xml:space="preserve"> (+8</w:t>
      </w:r>
      <w:r w:rsidRPr="00E43B28">
        <w:t xml:space="preserve">% since autumn 2012). The national average for autumn 2014 was 51%, meaning Barnet is performing roughly at the national level. </w:t>
      </w:r>
    </w:p>
    <w:p w:rsidR="003450E1" w:rsidRPr="00B7090B" w:rsidRDefault="00B7090B" w:rsidP="00B7090B">
      <w:pPr>
        <w:pStyle w:val="Caption"/>
      </w:pPr>
      <w:r>
        <w:t xml:space="preserve">Figure </w:t>
      </w:r>
      <w:fldSimple w:instr=" STYLEREF 1 \s ">
        <w:r w:rsidR="001663C2">
          <w:rPr>
            <w:noProof/>
          </w:rPr>
          <w:t>12</w:t>
        </w:r>
      </w:fldSimple>
      <w:r w:rsidR="00943DC2">
        <w:noBreakHyphen/>
      </w:r>
      <w:fldSimple w:instr=" SEQ Figure \* ARABIC \s 1 ">
        <w:r w:rsidR="001663C2">
          <w:rPr>
            <w:noProof/>
          </w:rPr>
          <w:t>2</w:t>
        </w:r>
      </w:fldSimple>
      <w:r w:rsidR="003450E1" w:rsidRPr="00B7090B">
        <w:t>: Resident responses to key RPS questions over time</w:t>
      </w:r>
    </w:p>
    <w:p w:rsidR="003450E1" w:rsidRDefault="003450E1" w:rsidP="003450E1">
      <w:pPr>
        <w:spacing w:after="0" w:line="240" w:lineRule="auto"/>
        <w:jc w:val="center"/>
        <w:rPr>
          <w:rFonts w:ascii="Calibri" w:hAnsi="Calibri" w:cs="Calibri"/>
          <w:b/>
          <w:bCs/>
          <w:i/>
        </w:rPr>
      </w:pPr>
      <w:r>
        <w:rPr>
          <w:noProof/>
          <w:lang w:eastAsia="en-GB"/>
        </w:rPr>
        <w:drawing>
          <wp:inline distT="0" distB="0" distL="0" distR="0" wp14:anchorId="277B85E3" wp14:editId="48CC22DE">
            <wp:extent cx="5524500" cy="1914525"/>
            <wp:effectExtent l="0" t="0" r="19050" b="9525"/>
            <wp:docPr id="4101" name="Chart 410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2"/>
              </a:graphicData>
            </a:graphic>
          </wp:inline>
        </w:drawing>
      </w:r>
    </w:p>
    <w:p w:rsidR="003450E1" w:rsidRDefault="003450E1" w:rsidP="003450E1">
      <w:pPr>
        <w:spacing w:after="0" w:line="240" w:lineRule="auto"/>
      </w:pPr>
    </w:p>
    <w:p w:rsidR="003450E1" w:rsidRDefault="003450E1" w:rsidP="003450E1">
      <w:pPr>
        <w:jc w:val="both"/>
      </w:pPr>
      <w:r>
        <w:t xml:space="preserve">By ward, </w:t>
      </w:r>
      <w:r w:rsidRPr="00E43B28">
        <w:t>those living in Finchley Church End, Garden Suburb, or Totteridge were significantly more likely to be satisfied</w:t>
      </w:r>
      <w:r>
        <w:t xml:space="preserve"> with Barnet as a place to live whereas t</w:t>
      </w:r>
      <w:r w:rsidRPr="00E43B28">
        <w:t>hose living in Burnt Oak were significantly less likely to be satisfied with Barnet as a place to live.</w:t>
      </w:r>
    </w:p>
    <w:p w:rsidR="003450E1" w:rsidRDefault="003450E1" w:rsidP="003450E1">
      <w:pPr>
        <w:pStyle w:val="Heading2"/>
      </w:pPr>
      <w:bookmarkStart w:id="1019" w:name="_Toc431225262"/>
      <w:r>
        <w:t>Local Services</w:t>
      </w:r>
      <w:bookmarkEnd w:id="1019"/>
    </w:p>
    <w:p w:rsidR="003450E1" w:rsidRDefault="003450E1" w:rsidP="003450E1">
      <w:pPr>
        <w:jc w:val="both"/>
      </w:pPr>
      <w:r>
        <w:t xml:space="preserve">In  spring 2015 the services that residents were most happy with were ‘Refuse collection’, ‘Doorstep recycling’, ‘Street lighting’ and ‘Parks, playgrounds and open spaces’ with 70% or above of respondents rating them as either good or excellent. Whereas, only 25% or less of respondents rated ‘Council housing’ and ‘Activities for teenagers/ young people’ as either good or excellent. </w:t>
      </w:r>
    </w:p>
    <w:p w:rsidR="003450E1" w:rsidRDefault="003450E1" w:rsidP="003450E1">
      <w:pPr>
        <w:jc w:val="both"/>
      </w:pPr>
      <w:r>
        <w:lastRenderedPageBreak/>
        <w:t xml:space="preserve">Over 40% of respondents rated ‘Quality of payments’, ‘Parking services’ and ‘Repair of roads’ as being poor or extremely poor. </w:t>
      </w:r>
    </w:p>
    <w:p w:rsidR="003450E1" w:rsidRDefault="003450E1" w:rsidP="003450E1">
      <w:pPr>
        <w:jc w:val="both"/>
      </w:pPr>
      <w:r w:rsidRPr="00124455">
        <w:t xml:space="preserve">Residents’ </w:t>
      </w:r>
      <w:r w:rsidRPr="00124455">
        <w:rPr>
          <w:bCs/>
        </w:rPr>
        <w:t xml:space="preserve">satisfaction with local services has been maintained since autumn 2014 for thirteen council services and many remain higher than 2013 and 2012 levels. </w:t>
      </w:r>
      <w:r w:rsidRPr="00124455">
        <w:t xml:space="preserve">Furthermore, </w:t>
      </w:r>
      <w:r>
        <w:rPr>
          <w:bCs/>
        </w:rPr>
        <w:t>four s</w:t>
      </w:r>
      <w:r w:rsidRPr="00124455">
        <w:rPr>
          <w:bCs/>
        </w:rPr>
        <w:t xml:space="preserve">ervices have seen significant increases in satisfaction </w:t>
      </w:r>
      <w:r w:rsidRPr="00124455">
        <w:t xml:space="preserve">since </w:t>
      </w:r>
      <w:r>
        <w:t>autumn 2014</w:t>
      </w:r>
      <w:r w:rsidR="00990B74">
        <w:t>: ‘Street ligh</w:t>
      </w:r>
      <w:r w:rsidR="00E43707">
        <w:t>ting’</w:t>
      </w:r>
      <w:r w:rsidR="00DD3A76">
        <w:t>; ‘Collection</w:t>
      </w:r>
      <w:r w:rsidR="00E43707">
        <w:t xml:space="preserve"> of Council t</w:t>
      </w:r>
      <w:r w:rsidRPr="00124455">
        <w:t>ax</w:t>
      </w:r>
      <w:r w:rsidR="00E43707">
        <w:t>’;</w:t>
      </w:r>
      <w:r w:rsidRPr="00124455">
        <w:t xml:space="preserve"> ‘Social services for children and families’;</w:t>
      </w:r>
      <w:r>
        <w:t xml:space="preserve"> and ‘Housing benefit service’.</w:t>
      </w:r>
    </w:p>
    <w:p w:rsidR="003450E1" w:rsidRPr="00124455" w:rsidRDefault="003450E1" w:rsidP="003450E1">
      <w:pPr>
        <w:jc w:val="both"/>
      </w:pPr>
      <w:r w:rsidRPr="00124455">
        <w:t xml:space="preserve">However, two services (‘Repair of roads’ and ‘Policing’) have </w:t>
      </w:r>
      <w:r>
        <w:t xml:space="preserve">experienced </w:t>
      </w:r>
      <w:r w:rsidRPr="00124455">
        <w:t xml:space="preserve">decreases in satisfaction; </w:t>
      </w:r>
      <w:r>
        <w:t xml:space="preserve">and </w:t>
      </w:r>
      <w:r w:rsidRPr="00124455">
        <w:t xml:space="preserve">while ‘Policing’ is above 2012 levels, ‘Repair of roads’ is significantly lower than both 2012 and 2013 levels. </w:t>
      </w:r>
    </w:p>
    <w:p w:rsidR="003450E1" w:rsidRDefault="00B7090B" w:rsidP="00B7090B">
      <w:pPr>
        <w:pStyle w:val="Caption"/>
        <w:rPr>
          <w:rFonts w:ascii="Calibri" w:hAnsi="Calibri" w:cs="Calibri"/>
          <w:b w:val="0"/>
          <w:bCs w:val="0"/>
          <w:i/>
        </w:rPr>
      </w:pPr>
      <w:r>
        <w:t xml:space="preserve">Figure </w:t>
      </w:r>
      <w:fldSimple w:instr=" STYLEREF 1 \s ">
        <w:r w:rsidR="001663C2">
          <w:rPr>
            <w:noProof/>
          </w:rPr>
          <w:t>12</w:t>
        </w:r>
      </w:fldSimple>
      <w:r w:rsidR="00943DC2">
        <w:noBreakHyphen/>
      </w:r>
      <w:fldSimple w:instr=" SEQ Figure \* ARABIC \s 1 ">
        <w:r w:rsidR="001663C2">
          <w:rPr>
            <w:noProof/>
          </w:rPr>
          <w:t>3</w:t>
        </w:r>
      </w:fldSimple>
      <w:r w:rsidR="003450E1" w:rsidRPr="00B7090B">
        <w:t>: % Services Rated Excellent-Good or Poor-Extremely Poor, spring 2015</w:t>
      </w:r>
      <w:r w:rsidR="003450E1">
        <w:rPr>
          <w:rFonts w:ascii="Calibri" w:hAnsi="Calibri" w:cs="Calibri"/>
          <w:b w:val="0"/>
          <w:bCs w:val="0"/>
          <w:i/>
        </w:rPr>
        <w:t xml:space="preserve"> </w:t>
      </w:r>
    </w:p>
    <w:p w:rsidR="003450E1" w:rsidRPr="00707E4F" w:rsidRDefault="003450E1" w:rsidP="003450E1">
      <w:pPr>
        <w:spacing w:after="0" w:line="240" w:lineRule="auto"/>
        <w:ind w:right="-46" w:hanging="142"/>
        <w:jc w:val="center"/>
        <w:rPr>
          <w:rFonts w:ascii="Calibri" w:hAnsi="Calibri" w:cs="Calibri"/>
          <w:b/>
          <w:bCs/>
          <w:i/>
        </w:rPr>
      </w:pPr>
      <w:r>
        <w:rPr>
          <w:noProof/>
          <w:lang w:eastAsia="en-GB"/>
        </w:rPr>
        <w:drawing>
          <wp:inline distT="0" distB="0" distL="0" distR="0" wp14:anchorId="5A626A79" wp14:editId="0C9B9D45">
            <wp:extent cx="5474525" cy="3144042"/>
            <wp:effectExtent l="19050" t="19050" r="12065" b="18415"/>
            <wp:docPr id="4102" name="Picture 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3" cstate="print">
                      <a:extLst>
                        <a:ext uri="{28A0092B-C50C-407E-A947-70E740481C1C}">
                          <a14:useLocalDpi xmlns:a14="http://schemas.microsoft.com/office/drawing/2010/main" val="0"/>
                        </a:ext>
                      </a:extLst>
                    </a:blip>
                    <a:srcRect l="756" r="1604"/>
                    <a:stretch/>
                  </pic:blipFill>
                  <pic:spPr bwMode="auto">
                    <a:xfrm>
                      <a:off x="0" y="0"/>
                      <a:ext cx="5491895" cy="315401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3450E1" w:rsidRDefault="00BA5C30" w:rsidP="003450E1">
      <w:pPr>
        <w:pStyle w:val="Heading2"/>
      </w:pPr>
      <w:bookmarkStart w:id="1020" w:name="_Toc431225263"/>
      <w:r>
        <w:t>Top Concerns for R</w:t>
      </w:r>
      <w:r w:rsidR="003450E1">
        <w:t>esidents</w:t>
      </w:r>
      <w:bookmarkEnd w:id="1020"/>
    </w:p>
    <w:p w:rsidR="003450E1" w:rsidRDefault="003450E1" w:rsidP="00B7090B">
      <w:pPr>
        <w:jc w:val="both"/>
      </w:pPr>
      <w:r>
        <w:t>The to</w:t>
      </w:r>
      <w:r w:rsidRPr="00FC5DCD">
        <w:t>p three co</w:t>
      </w:r>
      <w:r>
        <w:t>ncerns for residents accord</w:t>
      </w:r>
      <w:r w:rsidR="00E43707">
        <w:t>ing to the spring 2015 Resident</w:t>
      </w:r>
      <w:r>
        <w:t>s</w:t>
      </w:r>
      <w:r w:rsidR="00E43707">
        <w:t>’</w:t>
      </w:r>
      <w:r>
        <w:t xml:space="preserve"> Perception Survey were:</w:t>
      </w:r>
    </w:p>
    <w:p w:rsidR="003450E1" w:rsidRPr="0009400E" w:rsidRDefault="003450E1" w:rsidP="00B7090B">
      <w:pPr>
        <w:pStyle w:val="ListParagraph"/>
        <w:numPr>
          <w:ilvl w:val="0"/>
          <w:numId w:val="56"/>
        </w:numPr>
        <w:jc w:val="both"/>
      </w:pPr>
      <w:r w:rsidRPr="0009400E">
        <w:t>Conditions of roads and pavements (38%);</w:t>
      </w:r>
    </w:p>
    <w:p w:rsidR="003450E1" w:rsidRPr="0009400E" w:rsidRDefault="003450E1" w:rsidP="00B7090B">
      <w:pPr>
        <w:pStyle w:val="ListParagraph"/>
        <w:numPr>
          <w:ilvl w:val="0"/>
          <w:numId w:val="56"/>
        </w:numPr>
        <w:jc w:val="both"/>
      </w:pPr>
      <w:r w:rsidRPr="0009400E">
        <w:t>Lack of affordable housing (33%); and</w:t>
      </w:r>
    </w:p>
    <w:p w:rsidR="003450E1" w:rsidRPr="0009400E" w:rsidRDefault="003450E1" w:rsidP="00B7090B">
      <w:pPr>
        <w:pStyle w:val="ListParagraph"/>
        <w:numPr>
          <w:ilvl w:val="0"/>
          <w:numId w:val="56"/>
        </w:numPr>
        <w:jc w:val="both"/>
      </w:pPr>
      <w:r w:rsidRPr="0009400E">
        <w:t>Crime (25%)</w:t>
      </w:r>
    </w:p>
    <w:p w:rsidR="003450E1" w:rsidRPr="00C13767" w:rsidRDefault="003450E1" w:rsidP="00B7090B">
      <w:pPr>
        <w:jc w:val="both"/>
      </w:pPr>
      <w:r w:rsidRPr="00C13767">
        <w:rPr>
          <w:bCs/>
        </w:rPr>
        <w:t>Si</w:t>
      </w:r>
      <w:r w:rsidR="00E43707">
        <w:rPr>
          <w:bCs/>
        </w:rPr>
        <w:t xml:space="preserve">nce autumn 2014 there </w:t>
      </w:r>
      <w:r w:rsidR="00DD3A76">
        <w:rPr>
          <w:bCs/>
        </w:rPr>
        <w:t>have been significant increases</w:t>
      </w:r>
      <w:r w:rsidR="00E43707">
        <w:rPr>
          <w:bCs/>
        </w:rPr>
        <w:t xml:space="preserve"> in concern regarding the</w:t>
      </w:r>
      <w:r w:rsidRPr="00C13767">
        <w:rPr>
          <w:bCs/>
        </w:rPr>
        <w:t xml:space="preserve"> conditions of roads and pavements, quality of health service and lack of affordable housing. However there has been a significant decrease </w:t>
      </w:r>
      <w:r w:rsidR="00E43707">
        <w:rPr>
          <w:bCs/>
        </w:rPr>
        <w:t xml:space="preserve">in concern </w:t>
      </w:r>
      <w:r w:rsidR="00DD3A76">
        <w:rPr>
          <w:bCs/>
        </w:rPr>
        <w:t>related</w:t>
      </w:r>
      <w:r w:rsidR="00E43707">
        <w:rPr>
          <w:bCs/>
        </w:rPr>
        <w:t xml:space="preserve"> to </w:t>
      </w:r>
      <w:r w:rsidRPr="00C13767">
        <w:rPr>
          <w:bCs/>
        </w:rPr>
        <w:t>crime, traffic congestion and lack of jobs</w:t>
      </w:r>
      <w:r>
        <w:rPr>
          <w:bCs/>
        </w:rPr>
        <w:t>.</w:t>
      </w:r>
    </w:p>
    <w:p w:rsidR="003450E1" w:rsidRPr="00C13767" w:rsidRDefault="003450E1" w:rsidP="00B7090B">
      <w:pPr>
        <w:jc w:val="both"/>
      </w:pPr>
      <w:r w:rsidRPr="00C13767">
        <w:rPr>
          <w:bCs/>
        </w:rPr>
        <w:t>In comparison to London the only areas where Barnet residents are si</w:t>
      </w:r>
      <w:r w:rsidR="00E43707">
        <w:rPr>
          <w:bCs/>
        </w:rPr>
        <w:t>gnificantly more concerned are</w:t>
      </w:r>
      <w:r w:rsidRPr="00C13767">
        <w:rPr>
          <w:bCs/>
        </w:rPr>
        <w:t>: lack of affordable housing, quality of health</w:t>
      </w:r>
      <w:r w:rsidR="00E43707">
        <w:rPr>
          <w:bCs/>
        </w:rPr>
        <w:t xml:space="preserve"> service, not enough being done</w:t>
      </w:r>
      <w:r w:rsidRPr="00C13767">
        <w:rPr>
          <w:bCs/>
        </w:rPr>
        <w:t xml:space="preserve"> for elderly people, and standard of education.</w:t>
      </w:r>
    </w:p>
    <w:p w:rsidR="003450E1" w:rsidRDefault="003450E1" w:rsidP="003450E1">
      <w:pPr>
        <w:spacing w:after="0" w:line="240" w:lineRule="auto"/>
        <w:contextualSpacing/>
        <w:rPr>
          <w:rFonts w:ascii="Calibri" w:hAnsi="Calibri" w:cs="Calibri"/>
          <w:b/>
          <w:i/>
        </w:rPr>
      </w:pPr>
    </w:p>
    <w:p w:rsidR="003450E1" w:rsidRDefault="00B7090B" w:rsidP="00B7090B">
      <w:pPr>
        <w:pStyle w:val="Caption"/>
        <w:rPr>
          <w:rFonts w:ascii="Calibri" w:hAnsi="Calibri" w:cs="Calibri"/>
          <w:b w:val="0"/>
          <w:bCs w:val="0"/>
          <w:i/>
          <w:lang w:val="en-US"/>
        </w:rPr>
      </w:pPr>
      <w:r>
        <w:lastRenderedPageBreak/>
        <w:t xml:space="preserve">Figure </w:t>
      </w:r>
      <w:fldSimple w:instr=" STYLEREF 1 \s ">
        <w:r w:rsidR="001663C2">
          <w:rPr>
            <w:noProof/>
          </w:rPr>
          <w:t>12</w:t>
        </w:r>
      </w:fldSimple>
      <w:r w:rsidR="00943DC2">
        <w:noBreakHyphen/>
      </w:r>
      <w:fldSimple w:instr=" SEQ Figure \* ARABIC \s 1 ">
        <w:r w:rsidR="001663C2">
          <w:rPr>
            <w:noProof/>
          </w:rPr>
          <w:t>4</w:t>
        </w:r>
      </w:fldSimple>
      <w:r w:rsidR="003450E1" w:rsidRPr="00B7090B">
        <w:t>: "Which three things are you personally most concerned about?"</w:t>
      </w:r>
      <w:r w:rsidR="003450E1" w:rsidRPr="0081782C">
        <w:rPr>
          <w:rFonts w:ascii="Calibri" w:hAnsi="Calibri" w:cs="Calibri"/>
          <w:b w:val="0"/>
          <w:bCs w:val="0"/>
          <w:i/>
          <w:lang w:val="en-US"/>
        </w:rPr>
        <w:t xml:space="preserve"> </w:t>
      </w:r>
    </w:p>
    <w:p w:rsidR="003450E1" w:rsidRDefault="003450E1" w:rsidP="003450E1">
      <w:pPr>
        <w:jc w:val="center"/>
      </w:pPr>
      <w:r w:rsidRPr="00983455">
        <w:rPr>
          <w:rFonts w:ascii="Calibri" w:hAnsi="Calibri" w:cs="Calibri"/>
          <w:b/>
          <w:bCs/>
          <w:i/>
          <w:noProof/>
          <w:lang w:eastAsia="en-GB"/>
        </w:rPr>
        <mc:AlternateContent>
          <mc:Choice Requires="wpg">
            <w:drawing>
              <wp:inline distT="0" distB="0" distL="0" distR="0" wp14:anchorId="48ED1677" wp14:editId="4A83A820">
                <wp:extent cx="5308187" cy="2719450"/>
                <wp:effectExtent l="19050" t="19050" r="26035" b="24130"/>
                <wp:docPr id="95" name="Group 8"/>
                <wp:cNvGraphicFramePr/>
                <a:graphic xmlns:a="http://schemas.openxmlformats.org/drawingml/2006/main">
                  <a:graphicData uri="http://schemas.microsoft.com/office/word/2010/wordprocessingGroup">
                    <wpg:wgp>
                      <wpg:cNvGrpSpPr/>
                      <wpg:grpSpPr>
                        <a:xfrm>
                          <a:off x="0" y="0"/>
                          <a:ext cx="5308187" cy="2719450"/>
                          <a:chOff x="-1" y="0"/>
                          <a:chExt cx="6305724" cy="3947227"/>
                        </a:xfrm>
                      </wpg:grpSpPr>
                      <pic:pic xmlns:pic="http://schemas.openxmlformats.org/drawingml/2006/picture">
                        <pic:nvPicPr>
                          <pic:cNvPr id="4096" name="Picture 4096"/>
                          <pic:cNvPicPr/>
                        </pic:nvPicPr>
                        <pic:blipFill rotWithShape="1">
                          <a:blip r:embed="rId254">
                            <a:extLst>
                              <a:ext uri="{28A0092B-C50C-407E-A947-70E740481C1C}">
                                <a14:useLocalDpi xmlns:a14="http://schemas.microsoft.com/office/drawing/2010/main" val="0"/>
                              </a:ext>
                            </a:extLst>
                          </a:blip>
                          <a:srcRect l="2151" t="11902" r="17237" b="9331"/>
                          <a:stretch/>
                        </pic:blipFill>
                        <pic:spPr bwMode="auto">
                          <a:xfrm>
                            <a:off x="-1" y="0"/>
                            <a:ext cx="6305724" cy="3947227"/>
                          </a:xfrm>
                          <a:prstGeom prst="rect">
                            <a:avLst/>
                          </a:prstGeom>
                          <a:noFill/>
                          <a:ln>
                            <a:solidFill>
                              <a:schemeClr val="tx1"/>
                            </a:solidFill>
                          </a:ln>
                          <a:effectLst/>
                          <a:extLst/>
                        </pic:spPr>
                      </pic:pic>
                      <wpg:grpSp>
                        <wpg:cNvPr id="4097" name="Group 4097"/>
                        <wpg:cNvGrpSpPr/>
                        <wpg:grpSpPr>
                          <a:xfrm>
                            <a:off x="4429583" y="1671052"/>
                            <a:ext cx="1626508" cy="579455"/>
                            <a:chOff x="4429583" y="1671052"/>
                            <a:chExt cx="1698516" cy="579455"/>
                          </a:xfrm>
                        </wpg:grpSpPr>
                        <pic:pic xmlns:pic="http://schemas.openxmlformats.org/drawingml/2006/picture">
                          <pic:nvPicPr>
                            <pic:cNvPr id="4098" name="Picture 4098"/>
                            <pic:cNvPicPr>
                              <a:picLocks noChangeAspect="1" noChangeArrowheads="1"/>
                            </pic:cNvPicPr>
                          </pic:nvPicPr>
                          <pic:blipFill rotWithShape="1">
                            <a:blip r:embed="rId255">
                              <a:extLst>
                                <a:ext uri="{28A0092B-C50C-407E-A947-70E740481C1C}">
                                  <a14:useLocalDpi xmlns:a14="http://schemas.microsoft.com/office/drawing/2010/main" val="0"/>
                                </a:ext>
                              </a:extLst>
                            </a:blip>
                            <a:srcRect l="48835" t="93680" r="32338"/>
                            <a:stretch/>
                          </pic:blipFill>
                          <pic:spPr bwMode="auto">
                            <a:xfrm>
                              <a:off x="4429583" y="1671052"/>
                              <a:ext cx="1569339" cy="294863"/>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4100" name="Picture 4100"/>
                            <pic:cNvPicPr>
                              <a:picLocks noChangeAspect="1" noChangeArrowheads="1"/>
                            </pic:cNvPicPr>
                          </pic:nvPicPr>
                          <pic:blipFill rotWithShape="1">
                            <a:blip r:embed="rId255">
                              <a:extLst>
                                <a:ext uri="{28A0092B-C50C-407E-A947-70E740481C1C}">
                                  <a14:useLocalDpi xmlns:a14="http://schemas.microsoft.com/office/drawing/2010/main" val="0"/>
                                </a:ext>
                              </a:extLst>
                            </a:blip>
                            <a:srcRect l="67662" t="93680" r="13512"/>
                            <a:stretch/>
                          </pic:blipFill>
                          <pic:spPr bwMode="auto">
                            <a:xfrm>
                              <a:off x="4501591" y="1955644"/>
                              <a:ext cx="1626508" cy="294863"/>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grpSp>
                    </wpg:wgp>
                  </a:graphicData>
                </a:graphic>
              </wp:inline>
            </w:drawing>
          </mc:Choice>
          <mc:Fallback>
            <w:pict>
              <v:group id="Group 8" o:spid="_x0000_s1026" style="width:417.95pt;height:214.15pt;mso-position-horizontal-relative:char;mso-position-vertical-relative:line" coordorigin="" coordsize="63057,394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">
                <v:shape id="Picture 4096" o:spid="_x0000_s1027" type="#_x0000_t75" style="position:absolute;width:63057;height:394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5BkHEAAAA3QAAAA8AAABkcnMvZG93bnJldi54bWxEj0FrAjEUhO8F/0N4Qm8121JEV6MUqVuv&#10;VQ96e26eu4ublyXJavz3jVDwOMzMN8x8GU0rruR8Y1nB+ygDQVxa3XClYL9bv01A+ICssbVMCu7k&#10;YbkYvMwx1/bGv3TdhkokCPscFdQhdLmUvqzJoB/Zjjh5Z+sMhiRdJbXDW4KbVn5k2VgabDgt1NjR&#10;qqbysu2Ngr6vHH8Xq8NJxp97UXSxWR+jUq/D+DUDESiGZ/i/vdEKPrPpGB5v0hOQi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z5BkHEAAAA3QAAAA8AAAAAAAAAAAAAAAAA&#10;nwIAAGRycy9kb3ducmV2LnhtbFBLBQYAAAAABAAEAPcAAACQAwAAAAA=&#10;" stroked="t" strokecolor="black [3213]">
                  <v:imagedata r:id="rId256" o:title="" croptop="7800f" cropbottom="6115f" cropleft="1410f" cropright="11296f"/>
                </v:shape>
                <v:group id="Group 4097" o:spid="_x0000_s1028" style="position:absolute;left:44295;top:16710;width:16265;height:5795" coordorigin="44295,16710" coordsize="16985,57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8fjo8cAAADd&#10;AAAADwAAAAAAAAAAAAAAAACqAgAAZHJzL2Rvd25yZXYueG1sUEsFBgAAAAAEAAQA+gAAAJ4DAAAA&#10;AA==&#10;">
                  <v:shape id="Picture 4098" o:spid="_x0000_s1029" type="#_x0000_t75" style="position:absolute;left:44295;top:16710;width:15694;height:29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hr/XCAAAA3QAAAA8AAABkcnMvZG93bnJldi54bWxET01rAjEQvQv+hzBCb5pYiuhqFC21FDy5&#10;lqK3YTNuFjeTsEl1+++bQ6HHx/tebXrXijt1sfGsYTpRIIgrbxquNXye9uM5iJiQDbaeScMPRdis&#10;h4MVFsY/+Ej3MtUih3AsUINNKRRSxsqSwzjxgThzV985TBl2tTQdPnK4a+WzUjPpsOHcYDHQq6Xq&#10;Vn47DeGwK+35tNubt4s53N5nKnxVSuunUb9dgkjUp3/xn/vDaHhRizw3v8lPQK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24a/1wgAAAN0AAAAPAAAAAAAAAAAAAAAAAJ8C&#10;AABkcnMvZG93bnJldi54bWxQSwUGAAAAAAQABAD3AAAAjgMAAAAA&#10;" fillcolor="#4f81bd [3204]" strokecolor="black [3213]">
                    <v:imagedata r:id="rId257" o:title="" croptop="61394f" cropleft="32005f" cropright="21193f"/>
                  </v:shape>
                  <v:shape id="Picture 4100" o:spid="_x0000_s1030" type="#_x0000_t75" style="position:absolute;left:45015;top:19556;width:16265;height:29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elULDAAAA3QAAAA8AAABkcnMvZG93bnJldi54bWxET01rAjEQvRf8D2EKXoomWxYpq1GqIHhQ&#10;pLY9eBs24+5iMlmSVLf/vjkIPT7e92I1OCtuFGLnWUMxVSCIa286bjR8fW4nbyBiQjZoPZOGX4qw&#10;Wo6eFlgZf+cPup1SI3IIxwo1tCn1lZSxbslhnPqeOHMXHxymDEMjTcB7DndWvio1kw47zg0t9rRp&#10;qb6efpyG/eFQqu/Z7mzWrnwxx2DtVRZaj5+H9zmIREP6Fz/cO6OhLFTen9/kJyC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h6VQsMAAADdAAAADwAAAAAAAAAAAAAAAACf&#10;AgAAZHJzL2Rvd25yZXYueG1sUEsFBgAAAAAEAAQA9wAAAI8DAAAAAA==&#10;" fillcolor="#4f81bd [3204]" strokecolor="black [3213]">
                    <v:imagedata r:id="rId257" o:title="" croptop="61394f" cropleft="44343f" cropright="8855f"/>
                  </v:shape>
                </v:group>
                <w10:anchorlock/>
              </v:group>
            </w:pict>
          </mc:Fallback>
        </mc:AlternateContent>
      </w:r>
    </w:p>
    <w:p w:rsidR="003450E1" w:rsidRPr="00E715A1" w:rsidRDefault="003450E1" w:rsidP="00B7090B">
      <w:pPr>
        <w:pStyle w:val="Heading2"/>
        <w:jc w:val="both"/>
      </w:pPr>
      <w:bookmarkStart w:id="1021" w:name="_Toc431225264"/>
      <w:r w:rsidRPr="00E715A1">
        <w:t>Volunteering</w:t>
      </w:r>
      <w:bookmarkEnd w:id="1021"/>
    </w:p>
    <w:p w:rsidR="003450E1" w:rsidRPr="00A013F1" w:rsidRDefault="003450E1" w:rsidP="00B7090B">
      <w:pPr>
        <w:jc w:val="both"/>
        <w:rPr>
          <w:u w:val="single"/>
        </w:rPr>
      </w:pPr>
      <w:r>
        <w:t>26</w:t>
      </w:r>
      <w:r w:rsidRPr="00A013F1">
        <w:t>% of residents give unpaid help to groups, clubs, or organisations at least once a w</w:t>
      </w:r>
      <w:r>
        <w:t>eek or once a month (spring 2015</w:t>
      </w:r>
      <w:r w:rsidRPr="00A013F1">
        <w:t xml:space="preserve">). This is in line with autumn 2012 (27%), and is a significant increase since 2010/11 (21%).  </w:t>
      </w:r>
      <w:r>
        <w:t>T</w:t>
      </w:r>
      <w:r w:rsidRPr="00A013F1">
        <w:t>here is no up-to-date national or regional data concerning volunteering, however, the national average for 2010/11 was 24%; Barnet’s curre</w:t>
      </w:r>
      <w:r w:rsidRPr="00E43707">
        <w:rPr>
          <w:u w:val="single"/>
        </w:rPr>
        <w:t>n</w:t>
      </w:r>
      <w:r w:rsidRPr="00A013F1">
        <w:t>t result is in line with this.</w:t>
      </w:r>
    </w:p>
    <w:p w:rsidR="003450E1" w:rsidRPr="004D77EB" w:rsidRDefault="00BA5C30" w:rsidP="00B7090B">
      <w:pPr>
        <w:pStyle w:val="Heading2"/>
        <w:jc w:val="both"/>
      </w:pPr>
      <w:bookmarkStart w:id="1022" w:name="_Toc431225265"/>
      <w:r>
        <w:t>Community C</w:t>
      </w:r>
      <w:r w:rsidR="003450E1">
        <w:t>ohesion</w:t>
      </w:r>
      <w:bookmarkEnd w:id="1022"/>
    </w:p>
    <w:p w:rsidR="003450E1" w:rsidRDefault="003450E1" w:rsidP="00B7090B">
      <w:pPr>
        <w:jc w:val="both"/>
      </w:pPr>
      <w:r>
        <w:t>As of spring 2015</w:t>
      </w:r>
      <w:r w:rsidRPr="00F12F0C">
        <w:t>, 84% of residents agree that people from different backgrounds get on well together in Barnet. This is in line with the results from autumn 201</w:t>
      </w:r>
      <w:r>
        <w:t xml:space="preserve">4 (84%) </w:t>
      </w:r>
      <w:r w:rsidRPr="00F12F0C">
        <w:t>and the</w:t>
      </w:r>
      <w:r>
        <w:t xml:space="preserve"> 2013/14</w:t>
      </w:r>
      <w:r w:rsidRPr="00F12F0C">
        <w:t xml:space="preserve"> national average </w:t>
      </w:r>
      <w:r>
        <w:t>(85%). Of the 84% of respondents that agreed with this statement, 47% strong</w:t>
      </w:r>
      <w:r w:rsidR="00E43707">
        <w:t>ly</w:t>
      </w:r>
      <w:r>
        <w:t xml:space="preserve"> agreed. According to </w:t>
      </w:r>
      <w:r w:rsidRPr="00A013F1">
        <w:t>the full report from spring 2014 RPS, those living in Burnt Oak or West Hendon were significantly more likely to feel that those from different backgrounds do not get on well together.</w:t>
      </w:r>
      <w:r>
        <w:t xml:space="preserve"> </w:t>
      </w:r>
    </w:p>
    <w:p w:rsidR="003450E1" w:rsidRDefault="003450E1" w:rsidP="00B7090B">
      <w:pPr>
        <w:pStyle w:val="Heading2"/>
        <w:jc w:val="both"/>
      </w:pPr>
      <w:bookmarkStart w:id="1023" w:name="_Toc431225266"/>
      <w:r>
        <w:t>Complaints</w:t>
      </w:r>
      <w:bookmarkEnd w:id="1023"/>
    </w:p>
    <w:p w:rsidR="003450E1" w:rsidRDefault="003450E1" w:rsidP="00B7090B">
      <w:pPr>
        <w:jc w:val="both"/>
        <w:rPr>
          <w:rFonts w:ascii="Calibri" w:hAnsi="Calibri" w:cs="Calibri"/>
          <w:b/>
          <w:bCs/>
          <w:i/>
          <w:lang w:val="en-US"/>
        </w:rPr>
      </w:pPr>
      <w:r>
        <w:t xml:space="preserve">Figure </w:t>
      </w:r>
      <w:r w:rsidR="00B7090B">
        <w:t>12-5</w:t>
      </w:r>
      <w:r>
        <w:t xml:space="preserve"> shows the top ten area</w:t>
      </w:r>
      <w:r w:rsidR="00487CD4">
        <w:t>s of complaint received by the C</w:t>
      </w:r>
      <w:r>
        <w:t xml:space="preserve">ouncil in quarter 4 of 2013/14. </w:t>
      </w:r>
    </w:p>
    <w:p w:rsidR="003450E1" w:rsidRPr="001B5877" w:rsidRDefault="00B7090B" w:rsidP="00B7090B">
      <w:pPr>
        <w:pStyle w:val="Caption"/>
        <w:rPr>
          <w:rFonts w:ascii="Calibri" w:hAnsi="Calibri" w:cs="Calibri"/>
          <w:b w:val="0"/>
          <w:bCs w:val="0"/>
          <w:i/>
        </w:rPr>
      </w:pPr>
      <w:r>
        <w:t xml:space="preserve">Figure </w:t>
      </w:r>
      <w:fldSimple w:instr=" STYLEREF 1 \s ">
        <w:r w:rsidR="001663C2">
          <w:rPr>
            <w:noProof/>
          </w:rPr>
          <w:t>12</w:t>
        </w:r>
      </w:fldSimple>
      <w:r w:rsidR="00943DC2">
        <w:noBreakHyphen/>
      </w:r>
      <w:fldSimple w:instr=" SEQ Figure \* ARABIC \s 1 ">
        <w:r w:rsidR="001663C2">
          <w:rPr>
            <w:noProof/>
          </w:rPr>
          <w:t>5</w:t>
        </w:r>
      </w:fldSimple>
      <w:r w:rsidR="003450E1" w:rsidRPr="00B7090B">
        <w:t>: Top Ten Areas of Complaint</w:t>
      </w:r>
    </w:p>
    <w:p w:rsidR="003450E1" w:rsidRDefault="003450E1" w:rsidP="003450E1">
      <w:pPr>
        <w:jc w:val="center"/>
      </w:pPr>
      <w:r>
        <w:rPr>
          <w:rFonts w:ascii="Arial" w:eastAsia="Times New Roman" w:hAnsi="Arial" w:cs="Arial"/>
          <w:bCs/>
          <w:iCs/>
          <w:noProof/>
          <w:lang w:eastAsia="en-GB"/>
        </w:rPr>
        <w:drawing>
          <wp:inline distT="0" distB="0" distL="0" distR="0" wp14:anchorId="37D5A5BF" wp14:editId="1A446D3A">
            <wp:extent cx="5022957" cy="2470068"/>
            <wp:effectExtent l="0" t="0" r="25400" b="26035"/>
            <wp:docPr id="4103" name="Chart 4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8"/>
              </a:graphicData>
            </a:graphic>
          </wp:inline>
        </w:drawing>
      </w:r>
    </w:p>
    <w:p w:rsidR="003450E1" w:rsidRPr="006E2852" w:rsidRDefault="003450E1" w:rsidP="00B7090B">
      <w:pPr>
        <w:jc w:val="both"/>
      </w:pPr>
      <w:r w:rsidRPr="00F12F0C">
        <w:lastRenderedPageBreak/>
        <w:t>The largest area for complaints, constituting almost a quarter of top ten complaints is recycling (24%), followed by domestic waste (21%), and garden waste (17%). Together, household waste and recycling constitute 62% of the top ten complaints.</w:t>
      </w:r>
    </w:p>
    <w:p w:rsidR="00671875" w:rsidRDefault="00671875">
      <w:pPr>
        <w:rPr>
          <w:rFonts w:asciiTheme="majorHAnsi" w:eastAsiaTheme="majorEastAsia" w:hAnsiTheme="majorHAnsi" w:cstheme="majorBidi"/>
          <w:b/>
          <w:bCs/>
          <w:color w:val="365F91" w:themeColor="accent1" w:themeShade="BF"/>
          <w:sz w:val="28"/>
          <w:szCs w:val="28"/>
        </w:rPr>
      </w:pPr>
      <w:r>
        <w:br w:type="page"/>
      </w:r>
    </w:p>
    <w:p w:rsidR="0046067C" w:rsidRDefault="00B971F8" w:rsidP="0046067C">
      <w:pPr>
        <w:pStyle w:val="Heading1"/>
      </w:pPr>
      <w:bookmarkStart w:id="1024" w:name="_Toc431225267"/>
      <w:r w:rsidRPr="0009746C">
        <w:lastRenderedPageBreak/>
        <w:t>Public Sector Finance</w:t>
      </w:r>
      <w:bookmarkStart w:id="1025" w:name="_Toc422840091"/>
      <w:bookmarkEnd w:id="1024"/>
    </w:p>
    <w:p w:rsidR="0046067C" w:rsidRPr="00695F19" w:rsidRDefault="0046067C" w:rsidP="0046067C"/>
    <w:p w:rsidR="0046067C" w:rsidRDefault="0046067C" w:rsidP="0046067C">
      <w:pPr>
        <w:pStyle w:val="Heading2"/>
        <w:spacing w:before="0"/>
      </w:pPr>
      <w:bookmarkStart w:id="1026" w:name="_Toc426723441"/>
      <w:bookmarkStart w:id="1027" w:name="_Toc427327514"/>
      <w:bookmarkStart w:id="1028" w:name="_Toc431225268"/>
      <w:r w:rsidRPr="0009746C">
        <w:t>Purpose</w:t>
      </w:r>
      <w:bookmarkEnd w:id="1026"/>
      <w:bookmarkEnd w:id="1027"/>
      <w:bookmarkEnd w:id="1028"/>
    </w:p>
    <w:p w:rsidR="0046067C" w:rsidRPr="00695F19" w:rsidRDefault="0046067C" w:rsidP="0046067C">
      <w:pPr>
        <w:spacing w:after="0"/>
      </w:pPr>
    </w:p>
    <w:p w:rsidR="0046067C" w:rsidRDefault="0046067C" w:rsidP="0046067C">
      <w:pPr>
        <w:spacing w:after="0"/>
        <w:jc w:val="both"/>
        <w:rPr>
          <w:rFonts w:cs="Arial"/>
        </w:rPr>
      </w:pPr>
      <w:r>
        <w:rPr>
          <w:rFonts w:cs="Arial"/>
        </w:rPr>
        <w:t xml:space="preserve">This section summarises the overall spend of different partners in Barnet including the Council, </w:t>
      </w:r>
      <w:r w:rsidRPr="00681CFB">
        <w:rPr>
          <w:rFonts w:cs="Arial"/>
        </w:rPr>
        <w:t>Bar</w:t>
      </w:r>
      <w:r>
        <w:rPr>
          <w:rFonts w:cs="Arial"/>
        </w:rPr>
        <w:t>net Clinical Commissioning Group, Adults and Communities, Children’s Service, and Public Health spending.</w:t>
      </w:r>
    </w:p>
    <w:p w:rsidR="0046067C" w:rsidRPr="00183999" w:rsidRDefault="0046067C" w:rsidP="0046067C">
      <w:pPr>
        <w:spacing w:after="0"/>
        <w:jc w:val="both"/>
        <w:rPr>
          <w:rFonts w:cs="Arial"/>
        </w:rPr>
      </w:pPr>
    </w:p>
    <w:p w:rsidR="0046067C" w:rsidRPr="00A527C9" w:rsidRDefault="0046067C" w:rsidP="0046067C">
      <w:pPr>
        <w:jc w:val="both"/>
        <w:rPr>
          <w:rFonts w:cs="Arial"/>
        </w:rPr>
      </w:pPr>
      <w:r>
        <w:rPr>
          <w:rFonts w:cs="Arial"/>
        </w:rPr>
        <w:t xml:space="preserve">The intention in setting out Council and </w:t>
      </w:r>
      <w:r w:rsidRPr="00A527C9">
        <w:rPr>
          <w:rFonts w:cs="Arial"/>
        </w:rPr>
        <w:t>NHS finances</w:t>
      </w:r>
      <w:r>
        <w:rPr>
          <w:rFonts w:cs="Arial"/>
        </w:rPr>
        <w:t xml:space="preserve"> is so that they can be viewed and understood against the context of </w:t>
      </w:r>
      <w:r w:rsidRPr="00A527C9">
        <w:rPr>
          <w:rFonts w:cs="Arial"/>
        </w:rPr>
        <w:t xml:space="preserve">the needs in the population </w:t>
      </w:r>
      <w:r>
        <w:rPr>
          <w:rFonts w:cs="Arial"/>
        </w:rPr>
        <w:t>identified in this</w:t>
      </w:r>
      <w:r w:rsidRPr="00A527C9">
        <w:rPr>
          <w:rFonts w:cs="Arial"/>
        </w:rPr>
        <w:t xml:space="preserve"> JSNA.</w:t>
      </w:r>
    </w:p>
    <w:p w:rsidR="0046067C" w:rsidRDefault="0046067C" w:rsidP="0046067C">
      <w:pPr>
        <w:pStyle w:val="Heading2"/>
        <w:spacing w:before="0"/>
      </w:pPr>
      <w:bookmarkStart w:id="1029" w:name="_Toc426723442"/>
      <w:bookmarkStart w:id="1030" w:name="_Toc427327515"/>
      <w:bookmarkStart w:id="1031" w:name="_Toc431225269"/>
      <w:r>
        <w:t xml:space="preserve">Overall Council Spend </w:t>
      </w:r>
      <w:r w:rsidRPr="00C032A7">
        <w:t>2014/15</w:t>
      </w:r>
      <w:bookmarkEnd w:id="1029"/>
      <w:bookmarkEnd w:id="1030"/>
      <w:bookmarkEnd w:id="1031"/>
    </w:p>
    <w:p w:rsidR="0046067C" w:rsidRPr="00695F19" w:rsidRDefault="0046067C" w:rsidP="0046067C">
      <w:pPr>
        <w:spacing w:after="0"/>
      </w:pPr>
    </w:p>
    <w:p w:rsidR="0046067C" w:rsidRDefault="0046067C" w:rsidP="0046067C">
      <w:pPr>
        <w:pStyle w:val="Caption"/>
        <w:spacing w:after="0"/>
      </w:pPr>
      <w:r>
        <w:t xml:space="preserve">Table </w:t>
      </w:r>
      <w:fldSimple w:instr=" STYLEREF 1 \s ">
        <w:r w:rsidR="001663C2">
          <w:rPr>
            <w:noProof/>
          </w:rPr>
          <w:t>13</w:t>
        </w:r>
      </w:fldSimple>
      <w:r>
        <w:noBreakHyphen/>
      </w:r>
      <w:fldSimple w:instr=" SEQ Table \* ARABIC \s 1 ">
        <w:r w:rsidR="001663C2">
          <w:rPr>
            <w:noProof/>
          </w:rPr>
          <w:t>1</w:t>
        </w:r>
      </w:fldSimple>
      <w:r>
        <w:t>:</w:t>
      </w:r>
      <w:r w:rsidRPr="00CD0B65">
        <w:t xml:space="preserve"> </w:t>
      </w:r>
      <w:r w:rsidRPr="00C032A7">
        <w:t xml:space="preserve">Overall </w:t>
      </w:r>
      <w:r>
        <w:t>Council Budget and Outturn</w:t>
      </w:r>
      <w:r w:rsidRPr="00C032A7">
        <w:t xml:space="preserve"> 2014/15</w:t>
      </w:r>
    </w:p>
    <w:tbl>
      <w:tblPr>
        <w:tblW w:w="9229" w:type="dxa"/>
        <w:tblInd w:w="93" w:type="dxa"/>
        <w:tblLook w:val="04A0" w:firstRow="1" w:lastRow="0" w:firstColumn="1" w:lastColumn="0" w:noHBand="0" w:noVBand="1"/>
      </w:tblPr>
      <w:tblGrid>
        <w:gridCol w:w="4126"/>
        <w:gridCol w:w="1701"/>
        <w:gridCol w:w="1701"/>
        <w:gridCol w:w="1701"/>
      </w:tblGrid>
      <w:tr w:rsidR="0046067C" w:rsidRPr="000405CF" w:rsidTr="00881CC4">
        <w:trPr>
          <w:trHeight w:val="300"/>
        </w:trPr>
        <w:tc>
          <w:tcPr>
            <w:tcW w:w="4126" w:type="dxa"/>
            <w:vMerge w:val="restart"/>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46067C" w:rsidRPr="000405CF" w:rsidRDefault="0046067C" w:rsidP="00881CC4">
            <w:pPr>
              <w:spacing w:after="0" w:line="240" w:lineRule="auto"/>
              <w:rPr>
                <w:rFonts w:ascii="Calibri" w:eastAsia="Times New Roman" w:hAnsi="Calibri" w:cs="Times New Roman"/>
                <w:b/>
                <w:bCs/>
                <w:color w:val="000000"/>
                <w:lang w:eastAsia="en-GB"/>
              </w:rPr>
            </w:pPr>
            <w:r w:rsidRPr="000405CF">
              <w:rPr>
                <w:rFonts w:ascii="Calibri" w:eastAsia="Times New Roman" w:hAnsi="Calibri" w:cs="Times New Roman"/>
                <w:b/>
                <w:bCs/>
                <w:color w:val="000000"/>
                <w:lang w:eastAsia="en-GB"/>
              </w:rPr>
              <w:t>Delivery Unit</w:t>
            </w:r>
          </w:p>
        </w:tc>
        <w:tc>
          <w:tcPr>
            <w:tcW w:w="1701" w:type="dxa"/>
            <w:tcBorders>
              <w:top w:val="single" w:sz="4" w:space="0" w:color="auto"/>
              <w:left w:val="nil"/>
              <w:bottom w:val="single" w:sz="4" w:space="0" w:color="auto"/>
              <w:right w:val="single" w:sz="4" w:space="0" w:color="auto"/>
            </w:tcBorders>
            <w:shd w:val="clear" w:color="000000" w:fill="BFBFBF"/>
            <w:noWrap/>
            <w:vAlign w:val="bottom"/>
            <w:hideMark/>
          </w:tcPr>
          <w:p w:rsidR="0046067C" w:rsidRPr="000405CF" w:rsidRDefault="0046067C" w:rsidP="00881CC4">
            <w:pPr>
              <w:spacing w:after="0" w:line="240" w:lineRule="auto"/>
              <w:jc w:val="center"/>
              <w:rPr>
                <w:rFonts w:ascii="Calibri" w:eastAsia="Times New Roman" w:hAnsi="Calibri" w:cs="Times New Roman"/>
                <w:b/>
                <w:bCs/>
                <w:lang w:eastAsia="en-GB"/>
              </w:rPr>
            </w:pPr>
            <w:r w:rsidRPr="000405CF">
              <w:rPr>
                <w:rFonts w:ascii="Calibri" w:eastAsia="Times New Roman" w:hAnsi="Calibri" w:cs="Times New Roman"/>
                <w:b/>
                <w:bCs/>
                <w:lang w:eastAsia="en-GB"/>
              </w:rPr>
              <w:t>Original Net Budget</w:t>
            </w:r>
          </w:p>
        </w:tc>
        <w:tc>
          <w:tcPr>
            <w:tcW w:w="1701" w:type="dxa"/>
            <w:tcBorders>
              <w:top w:val="single" w:sz="4" w:space="0" w:color="auto"/>
              <w:left w:val="nil"/>
              <w:bottom w:val="single" w:sz="4" w:space="0" w:color="auto"/>
              <w:right w:val="single" w:sz="4" w:space="0" w:color="auto"/>
            </w:tcBorders>
            <w:shd w:val="clear" w:color="000000" w:fill="BFBFBF"/>
            <w:noWrap/>
            <w:vAlign w:val="bottom"/>
            <w:hideMark/>
          </w:tcPr>
          <w:p w:rsidR="0046067C" w:rsidRPr="000405CF" w:rsidRDefault="0046067C" w:rsidP="00881CC4">
            <w:pPr>
              <w:spacing w:after="0" w:line="240" w:lineRule="auto"/>
              <w:jc w:val="center"/>
              <w:rPr>
                <w:rFonts w:ascii="Calibri" w:eastAsia="Times New Roman" w:hAnsi="Calibri" w:cs="Times New Roman"/>
                <w:b/>
                <w:bCs/>
                <w:color w:val="000000"/>
                <w:lang w:eastAsia="en-GB"/>
              </w:rPr>
            </w:pPr>
            <w:r w:rsidRPr="000405CF">
              <w:rPr>
                <w:rFonts w:ascii="Calibri" w:eastAsia="Times New Roman" w:hAnsi="Calibri" w:cs="Times New Roman"/>
                <w:b/>
                <w:bCs/>
                <w:color w:val="000000"/>
                <w:lang w:eastAsia="en-GB"/>
              </w:rPr>
              <w:t>Current Net Budget</w:t>
            </w:r>
          </w:p>
        </w:tc>
        <w:tc>
          <w:tcPr>
            <w:tcW w:w="1701" w:type="dxa"/>
            <w:tcBorders>
              <w:top w:val="single" w:sz="4" w:space="0" w:color="auto"/>
              <w:left w:val="nil"/>
              <w:bottom w:val="single" w:sz="4" w:space="0" w:color="auto"/>
              <w:right w:val="single" w:sz="4" w:space="0" w:color="auto"/>
            </w:tcBorders>
            <w:shd w:val="clear" w:color="000000" w:fill="BFBFBF"/>
            <w:noWrap/>
            <w:vAlign w:val="bottom"/>
            <w:hideMark/>
          </w:tcPr>
          <w:p w:rsidR="0046067C" w:rsidRPr="000405CF" w:rsidRDefault="0046067C" w:rsidP="00881CC4">
            <w:pPr>
              <w:spacing w:after="0" w:line="240" w:lineRule="auto"/>
              <w:jc w:val="center"/>
              <w:rPr>
                <w:rFonts w:ascii="Calibri" w:eastAsia="Times New Roman" w:hAnsi="Calibri" w:cs="Times New Roman"/>
                <w:b/>
                <w:bCs/>
                <w:color w:val="000000"/>
                <w:lang w:eastAsia="en-GB"/>
              </w:rPr>
            </w:pPr>
            <w:r>
              <w:rPr>
                <w:rFonts w:ascii="Calibri" w:eastAsia="Times New Roman" w:hAnsi="Calibri" w:cs="Times New Roman"/>
                <w:b/>
                <w:bCs/>
                <w:color w:val="000000"/>
                <w:lang w:eastAsia="en-GB"/>
              </w:rPr>
              <w:t>Outturn</w:t>
            </w:r>
          </w:p>
        </w:tc>
      </w:tr>
      <w:tr w:rsidR="0046067C" w:rsidRPr="000405CF" w:rsidTr="00881CC4">
        <w:trPr>
          <w:trHeight w:val="300"/>
        </w:trPr>
        <w:tc>
          <w:tcPr>
            <w:tcW w:w="4126" w:type="dxa"/>
            <w:vMerge/>
            <w:tcBorders>
              <w:top w:val="single" w:sz="4" w:space="0" w:color="auto"/>
              <w:left w:val="single" w:sz="4" w:space="0" w:color="auto"/>
              <w:bottom w:val="single" w:sz="4" w:space="0" w:color="auto"/>
              <w:right w:val="single" w:sz="4" w:space="0" w:color="auto"/>
            </w:tcBorders>
            <w:vAlign w:val="center"/>
            <w:hideMark/>
          </w:tcPr>
          <w:p w:rsidR="0046067C" w:rsidRPr="000405CF" w:rsidRDefault="0046067C" w:rsidP="00881CC4">
            <w:pPr>
              <w:spacing w:after="0" w:line="240" w:lineRule="auto"/>
              <w:rPr>
                <w:rFonts w:ascii="Calibri" w:eastAsia="Times New Roman" w:hAnsi="Calibri" w:cs="Times New Roman"/>
                <w:b/>
                <w:bCs/>
                <w:color w:val="000000"/>
                <w:lang w:eastAsia="en-GB"/>
              </w:rPr>
            </w:pPr>
          </w:p>
        </w:tc>
        <w:tc>
          <w:tcPr>
            <w:tcW w:w="1701" w:type="dxa"/>
            <w:tcBorders>
              <w:top w:val="nil"/>
              <w:left w:val="nil"/>
              <w:bottom w:val="single" w:sz="4" w:space="0" w:color="auto"/>
              <w:right w:val="single" w:sz="4" w:space="0" w:color="auto"/>
            </w:tcBorders>
            <w:shd w:val="clear" w:color="000000" w:fill="BFBFBF"/>
            <w:noWrap/>
            <w:vAlign w:val="bottom"/>
            <w:hideMark/>
          </w:tcPr>
          <w:p w:rsidR="0046067C" w:rsidRPr="000405CF" w:rsidRDefault="0046067C" w:rsidP="00881CC4">
            <w:pPr>
              <w:spacing w:after="0" w:line="240" w:lineRule="auto"/>
              <w:jc w:val="center"/>
              <w:rPr>
                <w:rFonts w:ascii="Calibri" w:eastAsia="Times New Roman" w:hAnsi="Calibri" w:cs="Times New Roman"/>
                <w:b/>
                <w:bCs/>
                <w:color w:val="000000"/>
                <w:lang w:eastAsia="en-GB"/>
              </w:rPr>
            </w:pPr>
            <w:r w:rsidRPr="000405CF">
              <w:rPr>
                <w:rFonts w:ascii="Calibri" w:eastAsia="Times New Roman" w:hAnsi="Calibri" w:cs="Times New Roman"/>
                <w:b/>
                <w:bCs/>
                <w:color w:val="000000"/>
                <w:lang w:eastAsia="en-GB"/>
              </w:rPr>
              <w:t>£'000</w:t>
            </w:r>
          </w:p>
        </w:tc>
        <w:tc>
          <w:tcPr>
            <w:tcW w:w="1701" w:type="dxa"/>
            <w:tcBorders>
              <w:top w:val="nil"/>
              <w:left w:val="nil"/>
              <w:bottom w:val="single" w:sz="4" w:space="0" w:color="auto"/>
              <w:right w:val="single" w:sz="4" w:space="0" w:color="auto"/>
            </w:tcBorders>
            <w:shd w:val="clear" w:color="000000" w:fill="BFBFBF"/>
            <w:noWrap/>
            <w:vAlign w:val="bottom"/>
            <w:hideMark/>
          </w:tcPr>
          <w:p w:rsidR="0046067C" w:rsidRPr="000405CF" w:rsidRDefault="0046067C" w:rsidP="00881CC4">
            <w:pPr>
              <w:spacing w:after="0" w:line="240" w:lineRule="auto"/>
              <w:jc w:val="center"/>
              <w:rPr>
                <w:rFonts w:ascii="Calibri" w:eastAsia="Times New Roman" w:hAnsi="Calibri" w:cs="Times New Roman"/>
                <w:b/>
                <w:bCs/>
                <w:color w:val="000000"/>
                <w:lang w:eastAsia="en-GB"/>
              </w:rPr>
            </w:pPr>
            <w:r w:rsidRPr="000405CF">
              <w:rPr>
                <w:rFonts w:ascii="Calibri" w:eastAsia="Times New Roman" w:hAnsi="Calibri" w:cs="Times New Roman"/>
                <w:b/>
                <w:bCs/>
                <w:color w:val="000000"/>
                <w:lang w:eastAsia="en-GB"/>
              </w:rPr>
              <w:t>£'000</w:t>
            </w:r>
          </w:p>
        </w:tc>
        <w:tc>
          <w:tcPr>
            <w:tcW w:w="1701" w:type="dxa"/>
            <w:tcBorders>
              <w:top w:val="nil"/>
              <w:left w:val="nil"/>
              <w:bottom w:val="single" w:sz="4" w:space="0" w:color="auto"/>
              <w:right w:val="single" w:sz="4" w:space="0" w:color="auto"/>
            </w:tcBorders>
            <w:shd w:val="clear" w:color="000000" w:fill="BFBFBF"/>
            <w:noWrap/>
            <w:vAlign w:val="bottom"/>
            <w:hideMark/>
          </w:tcPr>
          <w:p w:rsidR="0046067C" w:rsidRPr="000405CF" w:rsidRDefault="0046067C" w:rsidP="00881CC4">
            <w:pPr>
              <w:spacing w:after="0" w:line="240" w:lineRule="auto"/>
              <w:jc w:val="center"/>
              <w:rPr>
                <w:rFonts w:ascii="Calibri" w:eastAsia="Times New Roman" w:hAnsi="Calibri" w:cs="Times New Roman"/>
                <w:b/>
                <w:bCs/>
                <w:color w:val="000000"/>
                <w:lang w:eastAsia="en-GB"/>
              </w:rPr>
            </w:pPr>
            <w:r w:rsidRPr="000405CF">
              <w:rPr>
                <w:rFonts w:ascii="Calibri" w:eastAsia="Times New Roman" w:hAnsi="Calibri" w:cs="Times New Roman"/>
                <w:b/>
                <w:bCs/>
                <w:color w:val="000000"/>
                <w:lang w:eastAsia="en-GB"/>
              </w:rPr>
              <w:t>£'000</w:t>
            </w:r>
          </w:p>
        </w:tc>
      </w:tr>
      <w:tr w:rsidR="0046067C" w:rsidRPr="000405CF" w:rsidTr="00881CC4">
        <w:trPr>
          <w:trHeight w:val="300"/>
        </w:trPr>
        <w:tc>
          <w:tcPr>
            <w:tcW w:w="4126" w:type="dxa"/>
            <w:tcBorders>
              <w:top w:val="nil"/>
              <w:left w:val="single" w:sz="4" w:space="0" w:color="auto"/>
              <w:bottom w:val="single" w:sz="4" w:space="0" w:color="auto"/>
              <w:right w:val="single" w:sz="4" w:space="0" w:color="auto"/>
            </w:tcBorders>
            <w:shd w:val="clear" w:color="auto" w:fill="auto"/>
            <w:noWrap/>
            <w:vAlign w:val="bottom"/>
            <w:hideMark/>
          </w:tcPr>
          <w:p w:rsidR="0046067C" w:rsidRPr="000405CF" w:rsidRDefault="0046067C" w:rsidP="00881CC4">
            <w:pPr>
              <w:spacing w:after="0" w:line="240" w:lineRule="auto"/>
              <w:rPr>
                <w:rFonts w:ascii="Calibri" w:eastAsia="Times New Roman" w:hAnsi="Calibri" w:cs="Times New Roman"/>
                <w:color w:val="000000"/>
                <w:lang w:eastAsia="en-GB"/>
              </w:rPr>
            </w:pPr>
            <w:r w:rsidRPr="000405CF">
              <w:rPr>
                <w:rFonts w:ascii="Calibri" w:eastAsia="Times New Roman" w:hAnsi="Calibri" w:cs="Times New Roman"/>
                <w:color w:val="000000"/>
                <w:lang w:eastAsia="en-GB"/>
              </w:rPr>
              <w:t>Adults and Communities</w:t>
            </w:r>
          </w:p>
        </w:tc>
        <w:tc>
          <w:tcPr>
            <w:tcW w:w="1701" w:type="dxa"/>
            <w:tcBorders>
              <w:top w:val="nil"/>
              <w:left w:val="nil"/>
              <w:bottom w:val="single" w:sz="4" w:space="0" w:color="auto"/>
              <w:right w:val="single" w:sz="4" w:space="0" w:color="auto"/>
            </w:tcBorders>
            <w:shd w:val="clear" w:color="auto" w:fill="auto"/>
            <w:noWrap/>
            <w:vAlign w:val="center"/>
            <w:hideMark/>
          </w:tcPr>
          <w:p w:rsidR="0046067C" w:rsidRPr="000405CF" w:rsidRDefault="0046067C" w:rsidP="00881CC4">
            <w:pPr>
              <w:spacing w:after="0" w:line="240" w:lineRule="auto"/>
              <w:jc w:val="right"/>
              <w:rPr>
                <w:rFonts w:ascii="Calibri" w:eastAsia="Times New Roman" w:hAnsi="Calibri" w:cs="Times New Roman"/>
                <w:color w:val="000000"/>
                <w:lang w:eastAsia="en-GB"/>
              </w:rPr>
            </w:pPr>
            <w:r w:rsidRPr="000405CF">
              <w:rPr>
                <w:rFonts w:ascii="Calibri" w:eastAsia="Times New Roman" w:hAnsi="Calibri" w:cs="Times New Roman"/>
                <w:color w:val="000000"/>
                <w:lang w:eastAsia="en-GB"/>
              </w:rPr>
              <w:t>89,669</w:t>
            </w:r>
          </w:p>
        </w:tc>
        <w:tc>
          <w:tcPr>
            <w:tcW w:w="1701" w:type="dxa"/>
            <w:tcBorders>
              <w:top w:val="nil"/>
              <w:left w:val="nil"/>
              <w:bottom w:val="single" w:sz="4" w:space="0" w:color="auto"/>
              <w:right w:val="single" w:sz="4" w:space="0" w:color="auto"/>
            </w:tcBorders>
            <w:shd w:val="clear" w:color="auto" w:fill="auto"/>
            <w:noWrap/>
            <w:vAlign w:val="center"/>
            <w:hideMark/>
          </w:tcPr>
          <w:p w:rsidR="0046067C" w:rsidRPr="000405CF" w:rsidRDefault="0046067C" w:rsidP="00881CC4">
            <w:pPr>
              <w:spacing w:after="0" w:line="240" w:lineRule="auto"/>
              <w:jc w:val="right"/>
              <w:rPr>
                <w:rFonts w:ascii="Calibri" w:eastAsia="Times New Roman" w:hAnsi="Calibri" w:cs="Times New Roman"/>
                <w:color w:val="000000"/>
                <w:lang w:eastAsia="en-GB"/>
              </w:rPr>
            </w:pPr>
            <w:r w:rsidRPr="000405CF">
              <w:rPr>
                <w:rFonts w:ascii="Calibri" w:eastAsia="Times New Roman" w:hAnsi="Calibri" w:cs="Times New Roman"/>
                <w:color w:val="000000"/>
                <w:lang w:eastAsia="en-GB"/>
              </w:rPr>
              <w:t>90,746</w:t>
            </w:r>
          </w:p>
        </w:tc>
        <w:tc>
          <w:tcPr>
            <w:tcW w:w="1701" w:type="dxa"/>
            <w:tcBorders>
              <w:top w:val="nil"/>
              <w:left w:val="nil"/>
              <w:bottom w:val="single" w:sz="4" w:space="0" w:color="auto"/>
              <w:right w:val="single" w:sz="4" w:space="0" w:color="auto"/>
            </w:tcBorders>
            <w:shd w:val="clear" w:color="auto" w:fill="auto"/>
            <w:noWrap/>
            <w:vAlign w:val="bottom"/>
            <w:hideMark/>
          </w:tcPr>
          <w:p w:rsidR="0046067C" w:rsidRPr="000405CF" w:rsidRDefault="0046067C" w:rsidP="00881CC4">
            <w:pPr>
              <w:spacing w:after="0" w:line="240" w:lineRule="auto"/>
              <w:jc w:val="right"/>
              <w:rPr>
                <w:rFonts w:ascii="Calibri" w:eastAsia="Times New Roman" w:hAnsi="Calibri" w:cs="Times New Roman"/>
                <w:color w:val="000000"/>
                <w:lang w:eastAsia="en-GB"/>
              </w:rPr>
            </w:pPr>
            <w:r w:rsidRPr="000405CF">
              <w:rPr>
                <w:rFonts w:ascii="Calibri" w:eastAsia="Times New Roman" w:hAnsi="Calibri" w:cs="Times New Roman"/>
                <w:color w:val="000000"/>
                <w:lang w:eastAsia="en-GB"/>
              </w:rPr>
              <w:t>93,218</w:t>
            </w:r>
          </w:p>
        </w:tc>
      </w:tr>
      <w:tr w:rsidR="0046067C" w:rsidRPr="000405CF" w:rsidTr="00881CC4">
        <w:trPr>
          <w:trHeight w:val="300"/>
        </w:trPr>
        <w:tc>
          <w:tcPr>
            <w:tcW w:w="4126" w:type="dxa"/>
            <w:tcBorders>
              <w:top w:val="nil"/>
              <w:left w:val="single" w:sz="4" w:space="0" w:color="auto"/>
              <w:bottom w:val="single" w:sz="4" w:space="0" w:color="auto"/>
              <w:right w:val="single" w:sz="4" w:space="0" w:color="auto"/>
            </w:tcBorders>
            <w:shd w:val="clear" w:color="auto" w:fill="auto"/>
            <w:noWrap/>
            <w:vAlign w:val="bottom"/>
            <w:hideMark/>
          </w:tcPr>
          <w:p w:rsidR="0046067C" w:rsidRPr="000405CF" w:rsidRDefault="0046067C" w:rsidP="00881CC4">
            <w:pPr>
              <w:spacing w:after="0" w:line="240" w:lineRule="auto"/>
              <w:rPr>
                <w:rFonts w:ascii="Calibri" w:eastAsia="Times New Roman" w:hAnsi="Calibri" w:cs="Times New Roman"/>
                <w:color w:val="000000"/>
                <w:lang w:eastAsia="en-GB"/>
              </w:rPr>
            </w:pPr>
            <w:r>
              <w:rPr>
                <w:rFonts w:ascii="Calibri" w:eastAsia="Times New Roman" w:hAnsi="Calibri" w:cs="Times New Roman"/>
                <w:color w:val="000000"/>
                <w:lang w:eastAsia="en-GB"/>
              </w:rPr>
              <w:t>Central expenses</w:t>
            </w:r>
          </w:p>
        </w:tc>
        <w:tc>
          <w:tcPr>
            <w:tcW w:w="1701" w:type="dxa"/>
            <w:tcBorders>
              <w:top w:val="nil"/>
              <w:left w:val="nil"/>
              <w:bottom w:val="single" w:sz="4" w:space="0" w:color="auto"/>
              <w:right w:val="single" w:sz="4" w:space="0" w:color="auto"/>
            </w:tcBorders>
            <w:shd w:val="clear" w:color="auto" w:fill="auto"/>
            <w:noWrap/>
            <w:vAlign w:val="center"/>
            <w:hideMark/>
          </w:tcPr>
          <w:p w:rsidR="0046067C" w:rsidRPr="000405CF" w:rsidRDefault="0046067C" w:rsidP="00881CC4">
            <w:pPr>
              <w:spacing w:after="0" w:line="240" w:lineRule="auto"/>
              <w:jc w:val="right"/>
              <w:rPr>
                <w:rFonts w:ascii="Calibri" w:eastAsia="Times New Roman" w:hAnsi="Calibri" w:cs="Times New Roman"/>
                <w:color w:val="000000"/>
                <w:lang w:eastAsia="en-GB"/>
              </w:rPr>
            </w:pPr>
            <w:r w:rsidRPr="000405CF">
              <w:rPr>
                <w:rFonts w:ascii="Calibri" w:eastAsia="Times New Roman" w:hAnsi="Calibri" w:cs="Times New Roman"/>
                <w:color w:val="000000"/>
                <w:lang w:eastAsia="en-GB"/>
              </w:rPr>
              <w:t>74,323</w:t>
            </w:r>
          </w:p>
        </w:tc>
        <w:tc>
          <w:tcPr>
            <w:tcW w:w="1701" w:type="dxa"/>
            <w:tcBorders>
              <w:top w:val="nil"/>
              <w:left w:val="nil"/>
              <w:bottom w:val="single" w:sz="4" w:space="0" w:color="auto"/>
              <w:right w:val="single" w:sz="4" w:space="0" w:color="auto"/>
            </w:tcBorders>
            <w:shd w:val="clear" w:color="auto" w:fill="auto"/>
            <w:noWrap/>
            <w:vAlign w:val="center"/>
            <w:hideMark/>
          </w:tcPr>
          <w:p w:rsidR="0046067C" w:rsidRPr="000405CF" w:rsidRDefault="0046067C" w:rsidP="00881CC4">
            <w:pPr>
              <w:spacing w:after="0" w:line="240" w:lineRule="auto"/>
              <w:jc w:val="right"/>
              <w:rPr>
                <w:rFonts w:ascii="Calibri" w:eastAsia="Times New Roman" w:hAnsi="Calibri" w:cs="Times New Roman"/>
                <w:color w:val="000000"/>
                <w:lang w:eastAsia="en-GB"/>
              </w:rPr>
            </w:pPr>
            <w:r w:rsidRPr="000405CF">
              <w:rPr>
                <w:rFonts w:ascii="Calibri" w:eastAsia="Times New Roman" w:hAnsi="Calibri" w:cs="Times New Roman"/>
                <w:color w:val="000000"/>
                <w:lang w:eastAsia="en-GB"/>
              </w:rPr>
              <w:t>66,220</w:t>
            </w:r>
          </w:p>
        </w:tc>
        <w:tc>
          <w:tcPr>
            <w:tcW w:w="1701" w:type="dxa"/>
            <w:tcBorders>
              <w:top w:val="nil"/>
              <w:left w:val="nil"/>
              <w:bottom w:val="single" w:sz="4" w:space="0" w:color="auto"/>
              <w:right w:val="single" w:sz="4" w:space="0" w:color="auto"/>
            </w:tcBorders>
            <w:shd w:val="clear" w:color="auto" w:fill="auto"/>
            <w:noWrap/>
            <w:vAlign w:val="bottom"/>
            <w:hideMark/>
          </w:tcPr>
          <w:p w:rsidR="0046067C" w:rsidRPr="000405CF" w:rsidRDefault="0046067C" w:rsidP="00881CC4">
            <w:pPr>
              <w:spacing w:after="0" w:line="240" w:lineRule="auto"/>
              <w:jc w:val="right"/>
              <w:rPr>
                <w:rFonts w:ascii="Calibri" w:eastAsia="Times New Roman" w:hAnsi="Calibri" w:cs="Times New Roman"/>
                <w:color w:val="000000"/>
                <w:lang w:eastAsia="en-GB"/>
              </w:rPr>
            </w:pPr>
            <w:r w:rsidRPr="000405CF">
              <w:rPr>
                <w:rFonts w:ascii="Calibri" w:eastAsia="Times New Roman" w:hAnsi="Calibri" w:cs="Times New Roman"/>
                <w:color w:val="000000"/>
                <w:lang w:eastAsia="en-GB"/>
              </w:rPr>
              <w:t>64,352</w:t>
            </w:r>
          </w:p>
        </w:tc>
      </w:tr>
      <w:tr w:rsidR="0046067C" w:rsidRPr="000405CF" w:rsidTr="00881CC4">
        <w:trPr>
          <w:trHeight w:val="300"/>
        </w:trPr>
        <w:tc>
          <w:tcPr>
            <w:tcW w:w="4126" w:type="dxa"/>
            <w:tcBorders>
              <w:top w:val="nil"/>
              <w:left w:val="single" w:sz="4" w:space="0" w:color="auto"/>
              <w:bottom w:val="single" w:sz="4" w:space="0" w:color="auto"/>
              <w:right w:val="single" w:sz="4" w:space="0" w:color="auto"/>
            </w:tcBorders>
            <w:shd w:val="clear" w:color="auto" w:fill="auto"/>
            <w:noWrap/>
            <w:vAlign w:val="bottom"/>
            <w:hideMark/>
          </w:tcPr>
          <w:p w:rsidR="0046067C" w:rsidRPr="000405CF" w:rsidRDefault="0046067C" w:rsidP="00881CC4">
            <w:pPr>
              <w:spacing w:after="0" w:line="240" w:lineRule="auto"/>
              <w:rPr>
                <w:rFonts w:ascii="Calibri" w:eastAsia="Times New Roman" w:hAnsi="Calibri" w:cs="Times New Roman"/>
                <w:color w:val="000000"/>
                <w:lang w:eastAsia="en-GB"/>
              </w:rPr>
            </w:pPr>
            <w:r>
              <w:rPr>
                <w:rFonts w:ascii="Calibri" w:eastAsia="Times New Roman" w:hAnsi="Calibri" w:cs="Times New Roman"/>
                <w:color w:val="000000"/>
                <w:lang w:eastAsia="en-GB"/>
              </w:rPr>
              <w:t>Children's Service (Family Services )</w:t>
            </w:r>
          </w:p>
        </w:tc>
        <w:tc>
          <w:tcPr>
            <w:tcW w:w="1701" w:type="dxa"/>
            <w:tcBorders>
              <w:top w:val="nil"/>
              <w:left w:val="nil"/>
              <w:bottom w:val="single" w:sz="4" w:space="0" w:color="auto"/>
              <w:right w:val="single" w:sz="4" w:space="0" w:color="auto"/>
            </w:tcBorders>
            <w:shd w:val="clear" w:color="auto" w:fill="auto"/>
            <w:noWrap/>
            <w:vAlign w:val="center"/>
            <w:hideMark/>
          </w:tcPr>
          <w:p w:rsidR="0046067C" w:rsidRPr="000405CF" w:rsidRDefault="0046067C" w:rsidP="00881CC4">
            <w:pPr>
              <w:spacing w:after="0" w:line="240" w:lineRule="auto"/>
              <w:jc w:val="right"/>
              <w:rPr>
                <w:rFonts w:ascii="Calibri" w:eastAsia="Times New Roman" w:hAnsi="Calibri" w:cs="Times New Roman"/>
                <w:color w:val="000000"/>
                <w:lang w:eastAsia="en-GB"/>
              </w:rPr>
            </w:pPr>
            <w:r w:rsidRPr="000405CF">
              <w:rPr>
                <w:rFonts w:ascii="Calibri" w:eastAsia="Times New Roman" w:hAnsi="Calibri" w:cs="Times New Roman"/>
                <w:color w:val="000000"/>
                <w:lang w:eastAsia="en-GB"/>
              </w:rPr>
              <w:t>48,342</w:t>
            </w:r>
          </w:p>
        </w:tc>
        <w:tc>
          <w:tcPr>
            <w:tcW w:w="1701" w:type="dxa"/>
            <w:tcBorders>
              <w:top w:val="nil"/>
              <w:left w:val="nil"/>
              <w:bottom w:val="single" w:sz="4" w:space="0" w:color="auto"/>
              <w:right w:val="single" w:sz="4" w:space="0" w:color="auto"/>
            </w:tcBorders>
            <w:shd w:val="clear" w:color="auto" w:fill="auto"/>
            <w:noWrap/>
            <w:vAlign w:val="center"/>
            <w:hideMark/>
          </w:tcPr>
          <w:p w:rsidR="0046067C" w:rsidRPr="000405CF" w:rsidRDefault="0046067C" w:rsidP="00881CC4">
            <w:pPr>
              <w:spacing w:after="0" w:line="240" w:lineRule="auto"/>
              <w:jc w:val="right"/>
              <w:rPr>
                <w:rFonts w:ascii="Calibri" w:eastAsia="Times New Roman" w:hAnsi="Calibri" w:cs="Times New Roman"/>
                <w:color w:val="000000"/>
                <w:lang w:eastAsia="en-GB"/>
              </w:rPr>
            </w:pPr>
            <w:r w:rsidRPr="000405CF">
              <w:rPr>
                <w:rFonts w:ascii="Calibri" w:eastAsia="Times New Roman" w:hAnsi="Calibri" w:cs="Times New Roman"/>
                <w:color w:val="000000"/>
                <w:lang w:eastAsia="en-GB"/>
              </w:rPr>
              <w:t>50,436</w:t>
            </w:r>
          </w:p>
        </w:tc>
        <w:tc>
          <w:tcPr>
            <w:tcW w:w="1701" w:type="dxa"/>
            <w:tcBorders>
              <w:top w:val="nil"/>
              <w:left w:val="nil"/>
              <w:bottom w:val="single" w:sz="4" w:space="0" w:color="auto"/>
              <w:right w:val="single" w:sz="4" w:space="0" w:color="auto"/>
            </w:tcBorders>
            <w:shd w:val="clear" w:color="auto" w:fill="auto"/>
            <w:noWrap/>
            <w:vAlign w:val="bottom"/>
            <w:hideMark/>
          </w:tcPr>
          <w:p w:rsidR="0046067C" w:rsidRPr="000405CF" w:rsidRDefault="0046067C" w:rsidP="00881CC4">
            <w:pPr>
              <w:spacing w:after="0" w:line="240" w:lineRule="auto"/>
              <w:jc w:val="right"/>
              <w:rPr>
                <w:rFonts w:ascii="Calibri" w:eastAsia="Times New Roman" w:hAnsi="Calibri" w:cs="Times New Roman"/>
                <w:color w:val="000000"/>
                <w:lang w:eastAsia="en-GB"/>
              </w:rPr>
            </w:pPr>
            <w:r w:rsidRPr="000405CF">
              <w:rPr>
                <w:rFonts w:ascii="Calibri" w:eastAsia="Times New Roman" w:hAnsi="Calibri" w:cs="Times New Roman"/>
                <w:color w:val="000000"/>
                <w:lang w:eastAsia="en-GB"/>
              </w:rPr>
              <w:t>50,505</w:t>
            </w:r>
          </w:p>
        </w:tc>
      </w:tr>
      <w:tr w:rsidR="0046067C" w:rsidRPr="000405CF" w:rsidTr="00881CC4">
        <w:trPr>
          <w:trHeight w:val="300"/>
        </w:trPr>
        <w:tc>
          <w:tcPr>
            <w:tcW w:w="4126" w:type="dxa"/>
            <w:tcBorders>
              <w:top w:val="nil"/>
              <w:left w:val="single" w:sz="4" w:space="0" w:color="auto"/>
              <w:bottom w:val="single" w:sz="4" w:space="0" w:color="auto"/>
              <w:right w:val="single" w:sz="4" w:space="0" w:color="auto"/>
            </w:tcBorders>
            <w:shd w:val="clear" w:color="auto" w:fill="auto"/>
            <w:noWrap/>
            <w:vAlign w:val="bottom"/>
            <w:hideMark/>
          </w:tcPr>
          <w:p w:rsidR="0046067C" w:rsidRPr="000405CF" w:rsidRDefault="0046067C" w:rsidP="00881CC4">
            <w:pPr>
              <w:spacing w:after="0" w:line="240" w:lineRule="auto"/>
              <w:rPr>
                <w:rFonts w:ascii="Calibri" w:eastAsia="Times New Roman" w:hAnsi="Calibri" w:cs="Times New Roman"/>
                <w:color w:val="000000"/>
                <w:lang w:eastAsia="en-GB"/>
              </w:rPr>
            </w:pPr>
            <w:r w:rsidRPr="000405CF">
              <w:rPr>
                <w:rFonts w:ascii="Calibri" w:eastAsia="Times New Roman" w:hAnsi="Calibri" w:cs="Times New Roman"/>
                <w:color w:val="000000"/>
                <w:lang w:eastAsia="en-GB"/>
              </w:rPr>
              <w:t>CSG</w:t>
            </w:r>
          </w:p>
        </w:tc>
        <w:tc>
          <w:tcPr>
            <w:tcW w:w="1701" w:type="dxa"/>
            <w:tcBorders>
              <w:top w:val="nil"/>
              <w:left w:val="nil"/>
              <w:bottom w:val="single" w:sz="4" w:space="0" w:color="auto"/>
              <w:right w:val="single" w:sz="4" w:space="0" w:color="auto"/>
            </w:tcBorders>
            <w:shd w:val="clear" w:color="auto" w:fill="auto"/>
            <w:noWrap/>
            <w:vAlign w:val="center"/>
            <w:hideMark/>
          </w:tcPr>
          <w:p w:rsidR="0046067C" w:rsidRPr="000405CF" w:rsidRDefault="0046067C" w:rsidP="00881CC4">
            <w:pPr>
              <w:spacing w:after="0" w:line="240" w:lineRule="auto"/>
              <w:jc w:val="right"/>
              <w:rPr>
                <w:rFonts w:ascii="Calibri" w:eastAsia="Times New Roman" w:hAnsi="Calibri" w:cs="Times New Roman"/>
                <w:color w:val="000000"/>
                <w:lang w:eastAsia="en-GB"/>
              </w:rPr>
            </w:pPr>
            <w:r w:rsidRPr="000405CF">
              <w:rPr>
                <w:rFonts w:ascii="Calibri" w:eastAsia="Times New Roman" w:hAnsi="Calibri" w:cs="Times New Roman"/>
                <w:color w:val="000000"/>
                <w:lang w:eastAsia="en-GB"/>
              </w:rPr>
              <w:t>22,153</w:t>
            </w:r>
          </w:p>
        </w:tc>
        <w:tc>
          <w:tcPr>
            <w:tcW w:w="1701" w:type="dxa"/>
            <w:tcBorders>
              <w:top w:val="nil"/>
              <w:left w:val="nil"/>
              <w:bottom w:val="single" w:sz="4" w:space="0" w:color="auto"/>
              <w:right w:val="single" w:sz="4" w:space="0" w:color="auto"/>
            </w:tcBorders>
            <w:shd w:val="clear" w:color="auto" w:fill="auto"/>
            <w:noWrap/>
            <w:vAlign w:val="center"/>
            <w:hideMark/>
          </w:tcPr>
          <w:p w:rsidR="0046067C" w:rsidRPr="000405CF" w:rsidRDefault="0046067C" w:rsidP="00881CC4">
            <w:pPr>
              <w:spacing w:after="0" w:line="240" w:lineRule="auto"/>
              <w:jc w:val="right"/>
              <w:rPr>
                <w:rFonts w:ascii="Calibri" w:eastAsia="Times New Roman" w:hAnsi="Calibri" w:cs="Times New Roman"/>
                <w:color w:val="000000"/>
                <w:lang w:eastAsia="en-GB"/>
              </w:rPr>
            </w:pPr>
            <w:r w:rsidRPr="000405CF">
              <w:rPr>
                <w:rFonts w:ascii="Calibri" w:eastAsia="Times New Roman" w:hAnsi="Calibri" w:cs="Times New Roman"/>
                <w:color w:val="000000"/>
                <w:lang w:eastAsia="en-GB"/>
              </w:rPr>
              <w:t>23,341</w:t>
            </w:r>
          </w:p>
        </w:tc>
        <w:tc>
          <w:tcPr>
            <w:tcW w:w="1701" w:type="dxa"/>
            <w:tcBorders>
              <w:top w:val="nil"/>
              <w:left w:val="nil"/>
              <w:bottom w:val="single" w:sz="4" w:space="0" w:color="auto"/>
              <w:right w:val="single" w:sz="4" w:space="0" w:color="auto"/>
            </w:tcBorders>
            <w:shd w:val="clear" w:color="auto" w:fill="auto"/>
            <w:noWrap/>
            <w:vAlign w:val="bottom"/>
            <w:hideMark/>
          </w:tcPr>
          <w:p w:rsidR="0046067C" w:rsidRPr="000405CF" w:rsidRDefault="0046067C" w:rsidP="00881CC4">
            <w:pPr>
              <w:spacing w:after="0" w:line="240" w:lineRule="auto"/>
              <w:jc w:val="right"/>
              <w:rPr>
                <w:rFonts w:ascii="Calibri" w:eastAsia="Times New Roman" w:hAnsi="Calibri" w:cs="Times New Roman"/>
                <w:color w:val="000000"/>
                <w:lang w:eastAsia="en-GB"/>
              </w:rPr>
            </w:pPr>
            <w:r w:rsidRPr="000405CF">
              <w:rPr>
                <w:rFonts w:ascii="Calibri" w:eastAsia="Times New Roman" w:hAnsi="Calibri" w:cs="Times New Roman"/>
                <w:color w:val="000000"/>
                <w:lang w:eastAsia="en-GB"/>
              </w:rPr>
              <w:t>23,341</w:t>
            </w:r>
          </w:p>
        </w:tc>
      </w:tr>
      <w:tr w:rsidR="0046067C" w:rsidRPr="000405CF" w:rsidTr="00881CC4">
        <w:trPr>
          <w:trHeight w:val="300"/>
        </w:trPr>
        <w:tc>
          <w:tcPr>
            <w:tcW w:w="4126" w:type="dxa"/>
            <w:tcBorders>
              <w:top w:val="nil"/>
              <w:left w:val="single" w:sz="4" w:space="0" w:color="auto"/>
              <w:bottom w:val="single" w:sz="4" w:space="0" w:color="auto"/>
              <w:right w:val="single" w:sz="4" w:space="0" w:color="auto"/>
            </w:tcBorders>
            <w:shd w:val="clear" w:color="auto" w:fill="auto"/>
            <w:noWrap/>
            <w:vAlign w:val="bottom"/>
            <w:hideMark/>
          </w:tcPr>
          <w:p w:rsidR="0046067C" w:rsidRPr="000405CF" w:rsidRDefault="0046067C" w:rsidP="00881CC4">
            <w:pPr>
              <w:spacing w:after="0" w:line="240" w:lineRule="auto"/>
              <w:rPr>
                <w:rFonts w:ascii="Calibri" w:eastAsia="Times New Roman" w:hAnsi="Calibri" w:cs="Times New Roman"/>
                <w:color w:val="000000"/>
                <w:lang w:eastAsia="en-GB"/>
              </w:rPr>
            </w:pPr>
            <w:r w:rsidRPr="000405CF">
              <w:rPr>
                <w:rFonts w:ascii="Calibri" w:eastAsia="Times New Roman" w:hAnsi="Calibri" w:cs="Times New Roman"/>
                <w:color w:val="000000"/>
                <w:lang w:eastAsia="en-GB"/>
              </w:rPr>
              <w:t>Public Health</w:t>
            </w:r>
          </w:p>
        </w:tc>
        <w:tc>
          <w:tcPr>
            <w:tcW w:w="1701" w:type="dxa"/>
            <w:tcBorders>
              <w:top w:val="nil"/>
              <w:left w:val="nil"/>
              <w:bottom w:val="single" w:sz="4" w:space="0" w:color="auto"/>
              <w:right w:val="single" w:sz="4" w:space="0" w:color="auto"/>
            </w:tcBorders>
            <w:shd w:val="clear" w:color="auto" w:fill="auto"/>
            <w:noWrap/>
            <w:vAlign w:val="center"/>
            <w:hideMark/>
          </w:tcPr>
          <w:p w:rsidR="0046067C" w:rsidRPr="000405CF" w:rsidRDefault="0046067C" w:rsidP="00881CC4">
            <w:pPr>
              <w:spacing w:after="0" w:line="240" w:lineRule="auto"/>
              <w:jc w:val="right"/>
              <w:rPr>
                <w:rFonts w:ascii="Calibri" w:eastAsia="Times New Roman" w:hAnsi="Calibri" w:cs="Times New Roman"/>
                <w:color w:val="000000"/>
                <w:lang w:eastAsia="en-GB"/>
              </w:rPr>
            </w:pPr>
            <w:r w:rsidRPr="000405CF">
              <w:rPr>
                <w:rFonts w:ascii="Calibri" w:eastAsia="Times New Roman" w:hAnsi="Calibri" w:cs="Times New Roman"/>
                <w:color w:val="000000"/>
                <w:lang w:eastAsia="en-GB"/>
              </w:rPr>
              <w:t>14,302</w:t>
            </w:r>
          </w:p>
        </w:tc>
        <w:tc>
          <w:tcPr>
            <w:tcW w:w="1701" w:type="dxa"/>
            <w:tcBorders>
              <w:top w:val="nil"/>
              <w:left w:val="nil"/>
              <w:bottom w:val="single" w:sz="4" w:space="0" w:color="auto"/>
              <w:right w:val="single" w:sz="4" w:space="0" w:color="auto"/>
            </w:tcBorders>
            <w:shd w:val="clear" w:color="auto" w:fill="auto"/>
            <w:noWrap/>
            <w:vAlign w:val="center"/>
            <w:hideMark/>
          </w:tcPr>
          <w:p w:rsidR="0046067C" w:rsidRPr="000405CF" w:rsidRDefault="0046067C" w:rsidP="00881CC4">
            <w:pPr>
              <w:spacing w:after="0" w:line="240" w:lineRule="auto"/>
              <w:jc w:val="right"/>
              <w:rPr>
                <w:rFonts w:ascii="Calibri" w:eastAsia="Times New Roman" w:hAnsi="Calibri" w:cs="Times New Roman"/>
                <w:color w:val="000000"/>
                <w:lang w:eastAsia="en-GB"/>
              </w:rPr>
            </w:pPr>
            <w:r w:rsidRPr="000405CF">
              <w:rPr>
                <w:rFonts w:ascii="Calibri" w:eastAsia="Times New Roman" w:hAnsi="Calibri" w:cs="Times New Roman"/>
                <w:color w:val="000000"/>
                <w:lang w:eastAsia="en-GB"/>
              </w:rPr>
              <w:t>14,335</w:t>
            </w:r>
          </w:p>
        </w:tc>
        <w:tc>
          <w:tcPr>
            <w:tcW w:w="1701" w:type="dxa"/>
            <w:tcBorders>
              <w:top w:val="nil"/>
              <w:left w:val="nil"/>
              <w:bottom w:val="single" w:sz="4" w:space="0" w:color="auto"/>
              <w:right w:val="single" w:sz="4" w:space="0" w:color="auto"/>
            </w:tcBorders>
            <w:shd w:val="clear" w:color="auto" w:fill="auto"/>
            <w:noWrap/>
            <w:vAlign w:val="bottom"/>
            <w:hideMark/>
          </w:tcPr>
          <w:p w:rsidR="0046067C" w:rsidRPr="000405CF" w:rsidRDefault="0046067C" w:rsidP="00881CC4">
            <w:pPr>
              <w:spacing w:after="0" w:line="240" w:lineRule="auto"/>
              <w:jc w:val="right"/>
              <w:rPr>
                <w:rFonts w:ascii="Calibri" w:eastAsia="Times New Roman" w:hAnsi="Calibri" w:cs="Times New Roman"/>
                <w:color w:val="000000"/>
                <w:lang w:eastAsia="en-GB"/>
              </w:rPr>
            </w:pPr>
            <w:r w:rsidRPr="000405CF">
              <w:rPr>
                <w:rFonts w:ascii="Calibri" w:eastAsia="Times New Roman" w:hAnsi="Calibri" w:cs="Times New Roman"/>
                <w:color w:val="000000"/>
                <w:lang w:eastAsia="en-GB"/>
              </w:rPr>
              <w:t>14,335</w:t>
            </w:r>
          </w:p>
        </w:tc>
      </w:tr>
      <w:tr w:rsidR="0046067C" w:rsidRPr="000405CF" w:rsidTr="00881CC4">
        <w:trPr>
          <w:trHeight w:val="300"/>
        </w:trPr>
        <w:tc>
          <w:tcPr>
            <w:tcW w:w="4126" w:type="dxa"/>
            <w:tcBorders>
              <w:top w:val="nil"/>
              <w:left w:val="single" w:sz="4" w:space="0" w:color="auto"/>
              <w:bottom w:val="single" w:sz="4" w:space="0" w:color="auto"/>
              <w:right w:val="single" w:sz="4" w:space="0" w:color="auto"/>
            </w:tcBorders>
            <w:shd w:val="clear" w:color="auto" w:fill="auto"/>
            <w:noWrap/>
            <w:vAlign w:val="bottom"/>
            <w:hideMark/>
          </w:tcPr>
          <w:p w:rsidR="0046067C" w:rsidRPr="000405CF" w:rsidRDefault="0046067C" w:rsidP="00881CC4">
            <w:pPr>
              <w:spacing w:after="0" w:line="240" w:lineRule="auto"/>
              <w:rPr>
                <w:rFonts w:ascii="Calibri" w:eastAsia="Times New Roman" w:hAnsi="Calibri" w:cs="Times New Roman"/>
                <w:color w:val="000000"/>
                <w:lang w:eastAsia="en-GB"/>
              </w:rPr>
            </w:pPr>
            <w:proofErr w:type="spellStart"/>
            <w:r w:rsidRPr="000405CF">
              <w:rPr>
                <w:rFonts w:ascii="Calibri" w:eastAsia="Times New Roman" w:hAnsi="Calibri" w:cs="Times New Roman"/>
                <w:color w:val="000000"/>
                <w:lang w:eastAsia="en-GB"/>
              </w:rPr>
              <w:t>Streetscene</w:t>
            </w:r>
            <w:proofErr w:type="spellEnd"/>
          </w:p>
        </w:tc>
        <w:tc>
          <w:tcPr>
            <w:tcW w:w="1701" w:type="dxa"/>
            <w:tcBorders>
              <w:top w:val="nil"/>
              <w:left w:val="nil"/>
              <w:bottom w:val="single" w:sz="4" w:space="0" w:color="auto"/>
              <w:right w:val="single" w:sz="4" w:space="0" w:color="auto"/>
            </w:tcBorders>
            <w:shd w:val="clear" w:color="auto" w:fill="auto"/>
            <w:noWrap/>
            <w:vAlign w:val="center"/>
            <w:hideMark/>
          </w:tcPr>
          <w:p w:rsidR="0046067C" w:rsidRPr="000405CF" w:rsidRDefault="0046067C" w:rsidP="00881CC4">
            <w:pPr>
              <w:spacing w:after="0" w:line="240" w:lineRule="auto"/>
              <w:jc w:val="right"/>
              <w:rPr>
                <w:rFonts w:ascii="Calibri" w:eastAsia="Times New Roman" w:hAnsi="Calibri" w:cs="Times New Roman"/>
                <w:color w:val="000000"/>
                <w:lang w:eastAsia="en-GB"/>
              </w:rPr>
            </w:pPr>
            <w:r w:rsidRPr="000405CF">
              <w:rPr>
                <w:rFonts w:ascii="Calibri" w:eastAsia="Times New Roman" w:hAnsi="Calibri" w:cs="Times New Roman"/>
                <w:color w:val="000000"/>
                <w:lang w:eastAsia="en-GB"/>
              </w:rPr>
              <w:t>15,650</w:t>
            </w:r>
          </w:p>
        </w:tc>
        <w:tc>
          <w:tcPr>
            <w:tcW w:w="1701" w:type="dxa"/>
            <w:tcBorders>
              <w:top w:val="nil"/>
              <w:left w:val="nil"/>
              <w:bottom w:val="single" w:sz="4" w:space="0" w:color="auto"/>
              <w:right w:val="single" w:sz="4" w:space="0" w:color="auto"/>
            </w:tcBorders>
            <w:shd w:val="clear" w:color="auto" w:fill="auto"/>
            <w:noWrap/>
            <w:vAlign w:val="center"/>
            <w:hideMark/>
          </w:tcPr>
          <w:p w:rsidR="0046067C" w:rsidRPr="000405CF" w:rsidRDefault="0046067C" w:rsidP="00881CC4">
            <w:pPr>
              <w:spacing w:after="0" w:line="240" w:lineRule="auto"/>
              <w:jc w:val="right"/>
              <w:rPr>
                <w:rFonts w:ascii="Calibri" w:eastAsia="Times New Roman" w:hAnsi="Calibri" w:cs="Times New Roman"/>
                <w:color w:val="000000"/>
                <w:lang w:eastAsia="en-GB"/>
              </w:rPr>
            </w:pPr>
            <w:r w:rsidRPr="000405CF">
              <w:rPr>
                <w:rFonts w:ascii="Calibri" w:eastAsia="Times New Roman" w:hAnsi="Calibri" w:cs="Times New Roman"/>
                <w:color w:val="000000"/>
                <w:lang w:eastAsia="en-GB"/>
              </w:rPr>
              <w:t>15,357</w:t>
            </w:r>
          </w:p>
        </w:tc>
        <w:tc>
          <w:tcPr>
            <w:tcW w:w="1701" w:type="dxa"/>
            <w:tcBorders>
              <w:top w:val="nil"/>
              <w:left w:val="nil"/>
              <w:bottom w:val="single" w:sz="4" w:space="0" w:color="auto"/>
              <w:right w:val="single" w:sz="4" w:space="0" w:color="auto"/>
            </w:tcBorders>
            <w:shd w:val="clear" w:color="auto" w:fill="auto"/>
            <w:noWrap/>
            <w:vAlign w:val="bottom"/>
            <w:hideMark/>
          </w:tcPr>
          <w:p w:rsidR="0046067C" w:rsidRPr="000405CF" w:rsidRDefault="0046067C" w:rsidP="00881CC4">
            <w:pPr>
              <w:spacing w:after="0" w:line="240" w:lineRule="auto"/>
              <w:jc w:val="right"/>
              <w:rPr>
                <w:rFonts w:ascii="Calibri" w:eastAsia="Times New Roman" w:hAnsi="Calibri" w:cs="Times New Roman"/>
                <w:color w:val="000000"/>
                <w:lang w:eastAsia="en-GB"/>
              </w:rPr>
            </w:pPr>
            <w:r w:rsidRPr="000405CF">
              <w:rPr>
                <w:rFonts w:ascii="Calibri" w:eastAsia="Times New Roman" w:hAnsi="Calibri" w:cs="Times New Roman"/>
                <w:color w:val="000000"/>
                <w:lang w:eastAsia="en-GB"/>
              </w:rPr>
              <w:t>15,399</w:t>
            </w:r>
          </w:p>
        </w:tc>
      </w:tr>
      <w:tr w:rsidR="0046067C" w:rsidRPr="000405CF" w:rsidTr="00881CC4">
        <w:trPr>
          <w:trHeight w:val="300"/>
        </w:trPr>
        <w:tc>
          <w:tcPr>
            <w:tcW w:w="4126" w:type="dxa"/>
            <w:tcBorders>
              <w:top w:val="nil"/>
              <w:left w:val="single" w:sz="4" w:space="0" w:color="auto"/>
              <w:bottom w:val="single" w:sz="4" w:space="0" w:color="auto"/>
              <w:right w:val="single" w:sz="4" w:space="0" w:color="auto"/>
            </w:tcBorders>
            <w:shd w:val="clear" w:color="auto" w:fill="auto"/>
            <w:noWrap/>
            <w:vAlign w:val="bottom"/>
            <w:hideMark/>
          </w:tcPr>
          <w:p w:rsidR="0046067C" w:rsidRPr="000405CF" w:rsidRDefault="0046067C" w:rsidP="00881CC4">
            <w:pPr>
              <w:spacing w:after="0" w:line="240" w:lineRule="auto"/>
              <w:rPr>
                <w:rFonts w:ascii="Calibri" w:eastAsia="Times New Roman" w:hAnsi="Calibri" w:cs="Times New Roman"/>
                <w:color w:val="000000"/>
                <w:lang w:eastAsia="en-GB"/>
              </w:rPr>
            </w:pPr>
            <w:r>
              <w:rPr>
                <w:rFonts w:ascii="Calibri" w:eastAsia="Times New Roman" w:hAnsi="Calibri" w:cs="Times New Roman"/>
                <w:color w:val="000000"/>
                <w:lang w:eastAsia="en-GB"/>
              </w:rPr>
              <w:t>Children's Service (</w:t>
            </w:r>
            <w:r w:rsidRPr="000405CF">
              <w:rPr>
                <w:rFonts w:ascii="Calibri" w:eastAsia="Times New Roman" w:hAnsi="Calibri" w:cs="Times New Roman"/>
                <w:color w:val="000000"/>
                <w:lang w:eastAsia="en-GB"/>
              </w:rPr>
              <w:t>Education and Skills</w:t>
            </w:r>
            <w:r>
              <w:rPr>
                <w:rFonts w:ascii="Calibri" w:eastAsia="Times New Roman" w:hAnsi="Calibri" w:cs="Times New Roman"/>
                <w:color w:val="000000"/>
                <w:lang w:eastAsia="en-GB"/>
              </w:rPr>
              <w:t>)</w:t>
            </w:r>
          </w:p>
        </w:tc>
        <w:tc>
          <w:tcPr>
            <w:tcW w:w="1701" w:type="dxa"/>
            <w:tcBorders>
              <w:top w:val="nil"/>
              <w:left w:val="nil"/>
              <w:bottom w:val="single" w:sz="4" w:space="0" w:color="auto"/>
              <w:right w:val="single" w:sz="4" w:space="0" w:color="auto"/>
            </w:tcBorders>
            <w:shd w:val="clear" w:color="auto" w:fill="auto"/>
            <w:noWrap/>
            <w:vAlign w:val="center"/>
            <w:hideMark/>
          </w:tcPr>
          <w:p w:rsidR="0046067C" w:rsidRPr="000405CF" w:rsidRDefault="0046067C" w:rsidP="00881CC4">
            <w:pPr>
              <w:spacing w:after="0" w:line="240" w:lineRule="auto"/>
              <w:jc w:val="right"/>
              <w:rPr>
                <w:rFonts w:ascii="Calibri" w:eastAsia="Times New Roman" w:hAnsi="Calibri" w:cs="Times New Roman"/>
                <w:color w:val="000000"/>
                <w:lang w:eastAsia="en-GB"/>
              </w:rPr>
            </w:pPr>
            <w:r w:rsidRPr="000405CF">
              <w:rPr>
                <w:rFonts w:ascii="Calibri" w:eastAsia="Times New Roman" w:hAnsi="Calibri" w:cs="Times New Roman"/>
                <w:color w:val="000000"/>
                <w:lang w:eastAsia="en-GB"/>
              </w:rPr>
              <w:t>7,069</w:t>
            </w:r>
          </w:p>
        </w:tc>
        <w:tc>
          <w:tcPr>
            <w:tcW w:w="1701" w:type="dxa"/>
            <w:tcBorders>
              <w:top w:val="nil"/>
              <w:left w:val="nil"/>
              <w:bottom w:val="single" w:sz="4" w:space="0" w:color="auto"/>
              <w:right w:val="single" w:sz="4" w:space="0" w:color="auto"/>
            </w:tcBorders>
            <w:shd w:val="clear" w:color="auto" w:fill="auto"/>
            <w:noWrap/>
            <w:vAlign w:val="center"/>
            <w:hideMark/>
          </w:tcPr>
          <w:p w:rsidR="0046067C" w:rsidRPr="000405CF" w:rsidRDefault="0046067C" w:rsidP="00881CC4">
            <w:pPr>
              <w:spacing w:after="0" w:line="240" w:lineRule="auto"/>
              <w:jc w:val="right"/>
              <w:rPr>
                <w:rFonts w:ascii="Calibri" w:eastAsia="Times New Roman" w:hAnsi="Calibri" w:cs="Times New Roman"/>
                <w:color w:val="000000"/>
                <w:lang w:eastAsia="en-GB"/>
              </w:rPr>
            </w:pPr>
            <w:r w:rsidRPr="000405CF">
              <w:rPr>
                <w:rFonts w:ascii="Calibri" w:eastAsia="Times New Roman" w:hAnsi="Calibri" w:cs="Times New Roman"/>
                <w:color w:val="000000"/>
                <w:lang w:eastAsia="en-GB"/>
              </w:rPr>
              <w:t>7,211</w:t>
            </w:r>
          </w:p>
        </w:tc>
        <w:tc>
          <w:tcPr>
            <w:tcW w:w="1701" w:type="dxa"/>
            <w:tcBorders>
              <w:top w:val="nil"/>
              <w:left w:val="nil"/>
              <w:bottom w:val="single" w:sz="4" w:space="0" w:color="auto"/>
              <w:right w:val="single" w:sz="4" w:space="0" w:color="auto"/>
            </w:tcBorders>
            <w:shd w:val="clear" w:color="auto" w:fill="auto"/>
            <w:noWrap/>
            <w:vAlign w:val="bottom"/>
            <w:hideMark/>
          </w:tcPr>
          <w:p w:rsidR="0046067C" w:rsidRPr="000405CF" w:rsidRDefault="0046067C" w:rsidP="00881CC4">
            <w:pPr>
              <w:spacing w:after="0" w:line="240" w:lineRule="auto"/>
              <w:jc w:val="right"/>
              <w:rPr>
                <w:rFonts w:ascii="Calibri" w:eastAsia="Times New Roman" w:hAnsi="Calibri" w:cs="Times New Roman"/>
                <w:color w:val="000000"/>
                <w:lang w:eastAsia="en-GB"/>
              </w:rPr>
            </w:pPr>
            <w:r w:rsidRPr="000405CF">
              <w:rPr>
                <w:rFonts w:ascii="Calibri" w:eastAsia="Times New Roman" w:hAnsi="Calibri" w:cs="Times New Roman"/>
                <w:color w:val="000000"/>
                <w:lang w:eastAsia="en-GB"/>
              </w:rPr>
              <w:t>7,211</w:t>
            </w:r>
          </w:p>
        </w:tc>
      </w:tr>
      <w:tr w:rsidR="0046067C" w:rsidRPr="000405CF" w:rsidTr="00881CC4">
        <w:trPr>
          <w:trHeight w:val="300"/>
        </w:trPr>
        <w:tc>
          <w:tcPr>
            <w:tcW w:w="4126" w:type="dxa"/>
            <w:tcBorders>
              <w:top w:val="nil"/>
              <w:left w:val="single" w:sz="4" w:space="0" w:color="auto"/>
              <w:bottom w:val="single" w:sz="4" w:space="0" w:color="auto"/>
              <w:right w:val="single" w:sz="4" w:space="0" w:color="auto"/>
            </w:tcBorders>
            <w:shd w:val="clear" w:color="auto" w:fill="auto"/>
            <w:noWrap/>
            <w:vAlign w:val="bottom"/>
            <w:hideMark/>
          </w:tcPr>
          <w:p w:rsidR="0046067C" w:rsidRPr="000405CF" w:rsidRDefault="0046067C" w:rsidP="00881CC4">
            <w:pPr>
              <w:spacing w:after="0" w:line="240" w:lineRule="auto"/>
              <w:rPr>
                <w:rFonts w:ascii="Calibri" w:eastAsia="Times New Roman" w:hAnsi="Calibri" w:cs="Times New Roman"/>
                <w:color w:val="000000"/>
                <w:lang w:eastAsia="en-GB"/>
              </w:rPr>
            </w:pPr>
            <w:r w:rsidRPr="000405CF">
              <w:rPr>
                <w:rFonts w:ascii="Calibri" w:eastAsia="Times New Roman" w:hAnsi="Calibri" w:cs="Times New Roman"/>
                <w:color w:val="000000"/>
                <w:lang w:eastAsia="en-GB"/>
              </w:rPr>
              <w:t>Commissioning Group</w:t>
            </w:r>
          </w:p>
        </w:tc>
        <w:tc>
          <w:tcPr>
            <w:tcW w:w="1701" w:type="dxa"/>
            <w:tcBorders>
              <w:top w:val="nil"/>
              <w:left w:val="nil"/>
              <w:bottom w:val="single" w:sz="4" w:space="0" w:color="auto"/>
              <w:right w:val="single" w:sz="4" w:space="0" w:color="auto"/>
            </w:tcBorders>
            <w:shd w:val="clear" w:color="auto" w:fill="auto"/>
            <w:noWrap/>
            <w:vAlign w:val="center"/>
            <w:hideMark/>
          </w:tcPr>
          <w:p w:rsidR="0046067C" w:rsidRPr="000405CF" w:rsidRDefault="0046067C" w:rsidP="00881CC4">
            <w:pPr>
              <w:spacing w:after="0" w:line="240" w:lineRule="auto"/>
              <w:jc w:val="right"/>
              <w:rPr>
                <w:rFonts w:ascii="Calibri" w:eastAsia="Times New Roman" w:hAnsi="Calibri" w:cs="Times New Roman"/>
                <w:color w:val="000000"/>
                <w:lang w:eastAsia="en-GB"/>
              </w:rPr>
            </w:pPr>
            <w:r w:rsidRPr="000405CF">
              <w:rPr>
                <w:rFonts w:ascii="Calibri" w:eastAsia="Times New Roman" w:hAnsi="Calibri" w:cs="Times New Roman"/>
                <w:color w:val="000000"/>
                <w:lang w:eastAsia="en-GB"/>
              </w:rPr>
              <w:t>6,668</w:t>
            </w:r>
          </w:p>
        </w:tc>
        <w:tc>
          <w:tcPr>
            <w:tcW w:w="1701" w:type="dxa"/>
            <w:tcBorders>
              <w:top w:val="nil"/>
              <w:left w:val="nil"/>
              <w:bottom w:val="single" w:sz="4" w:space="0" w:color="auto"/>
              <w:right w:val="single" w:sz="4" w:space="0" w:color="auto"/>
            </w:tcBorders>
            <w:shd w:val="clear" w:color="auto" w:fill="auto"/>
            <w:noWrap/>
            <w:vAlign w:val="center"/>
            <w:hideMark/>
          </w:tcPr>
          <w:p w:rsidR="0046067C" w:rsidRPr="000405CF" w:rsidRDefault="0046067C" w:rsidP="00881CC4">
            <w:pPr>
              <w:spacing w:after="0" w:line="240" w:lineRule="auto"/>
              <w:jc w:val="right"/>
              <w:rPr>
                <w:rFonts w:ascii="Calibri" w:eastAsia="Times New Roman" w:hAnsi="Calibri" w:cs="Times New Roman"/>
                <w:color w:val="000000"/>
                <w:lang w:eastAsia="en-GB"/>
              </w:rPr>
            </w:pPr>
            <w:r w:rsidRPr="000405CF">
              <w:rPr>
                <w:rFonts w:ascii="Calibri" w:eastAsia="Times New Roman" w:hAnsi="Calibri" w:cs="Times New Roman"/>
                <w:color w:val="000000"/>
                <w:lang w:eastAsia="en-GB"/>
              </w:rPr>
              <w:t>7,760</w:t>
            </w:r>
          </w:p>
        </w:tc>
        <w:tc>
          <w:tcPr>
            <w:tcW w:w="1701" w:type="dxa"/>
            <w:tcBorders>
              <w:top w:val="nil"/>
              <w:left w:val="nil"/>
              <w:bottom w:val="single" w:sz="4" w:space="0" w:color="auto"/>
              <w:right w:val="single" w:sz="4" w:space="0" w:color="auto"/>
            </w:tcBorders>
            <w:shd w:val="clear" w:color="auto" w:fill="auto"/>
            <w:noWrap/>
            <w:vAlign w:val="bottom"/>
            <w:hideMark/>
          </w:tcPr>
          <w:p w:rsidR="0046067C" w:rsidRPr="000405CF" w:rsidRDefault="0046067C" w:rsidP="00881CC4">
            <w:pPr>
              <w:spacing w:after="0" w:line="240" w:lineRule="auto"/>
              <w:jc w:val="right"/>
              <w:rPr>
                <w:rFonts w:ascii="Calibri" w:eastAsia="Times New Roman" w:hAnsi="Calibri" w:cs="Times New Roman"/>
                <w:color w:val="000000"/>
                <w:lang w:eastAsia="en-GB"/>
              </w:rPr>
            </w:pPr>
            <w:r w:rsidRPr="000405CF">
              <w:rPr>
                <w:rFonts w:ascii="Calibri" w:eastAsia="Times New Roman" w:hAnsi="Calibri" w:cs="Times New Roman"/>
                <w:color w:val="000000"/>
                <w:lang w:eastAsia="en-GB"/>
              </w:rPr>
              <w:t>7,760</w:t>
            </w:r>
          </w:p>
        </w:tc>
      </w:tr>
      <w:tr w:rsidR="0046067C" w:rsidRPr="000405CF" w:rsidTr="00881CC4">
        <w:trPr>
          <w:trHeight w:val="300"/>
        </w:trPr>
        <w:tc>
          <w:tcPr>
            <w:tcW w:w="4126" w:type="dxa"/>
            <w:tcBorders>
              <w:top w:val="nil"/>
              <w:left w:val="single" w:sz="4" w:space="0" w:color="auto"/>
              <w:bottom w:val="single" w:sz="4" w:space="0" w:color="auto"/>
              <w:right w:val="single" w:sz="4" w:space="0" w:color="auto"/>
            </w:tcBorders>
            <w:shd w:val="clear" w:color="auto" w:fill="auto"/>
            <w:noWrap/>
            <w:vAlign w:val="bottom"/>
            <w:hideMark/>
          </w:tcPr>
          <w:p w:rsidR="0046067C" w:rsidRPr="000405CF" w:rsidRDefault="0046067C" w:rsidP="00881CC4">
            <w:pPr>
              <w:spacing w:after="0" w:line="240" w:lineRule="auto"/>
              <w:rPr>
                <w:rFonts w:ascii="Calibri" w:eastAsia="Times New Roman" w:hAnsi="Calibri" w:cs="Times New Roman"/>
                <w:color w:val="000000"/>
                <w:lang w:eastAsia="en-GB"/>
              </w:rPr>
            </w:pPr>
            <w:r w:rsidRPr="000405CF">
              <w:rPr>
                <w:rFonts w:ascii="Calibri" w:eastAsia="Times New Roman" w:hAnsi="Calibri" w:cs="Times New Roman"/>
                <w:color w:val="000000"/>
                <w:lang w:eastAsia="en-GB"/>
              </w:rPr>
              <w:t>Housing needs resources</w:t>
            </w:r>
          </w:p>
        </w:tc>
        <w:tc>
          <w:tcPr>
            <w:tcW w:w="1701" w:type="dxa"/>
            <w:tcBorders>
              <w:top w:val="nil"/>
              <w:left w:val="nil"/>
              <w:bottom w:val="single" w:sz="4" w:space="0" w:color="auto"/>
              <w:right w:val="single" w:sz="4" w:space="0" w:color="auto"/>
            </w:tcBorders>
            <w:shd w:val="clear" w:color="auto" w:fill="auto"/>
            <w:noWrap/>
            <w:vAlign w:val="center"/>
            <w:hideMark/>
          </w:tcPr>
          <w:p w:rsidR="0046067C" w:rsidRPr="000405CF" w:rsidRDefault="0046067C" w:rsidP="00881CC4">
            <w:pPr>
              <w:spacing w:after="0" w:line="240" w:lineRule="auto"/>
              <w:jc w:val="right"/>
              <w:rPr>
                <w:rFonts w:ascii="Calibri" w:eastAsia="Times New Roman" w:hAnsi="Calibri" w:cs="Times New Roman"/>
                <w:color w:val="000000"/>
                <w:lang w:eastAsia="en-GB"/>
              </w:rPr>
            </w:pPr>
            <w:r w:rsidRPr="000405CF">
              <w:rPr>
                <w:rFonts w:ascii="Calibri" w:eastAsia="Times New Roman" w:hAnsi="Calibri" w:cs="Times New Roman"/>
                <w:color w:val="000000"/>
                <w:lang w:eastAsia="en-GB"/>
              </w:rPr>
              <w:t>3,338</w:t>
            </w:r>
          </w:p>
        </w:tc>
        <w:tc>
          <w:tcPr>
            <w:tcW w:w="1701" w:type="dxa"/>
            <w:tcBorders>
              <w:top w:val="nil"/>
              <w:left w:val="nil"/>
              <w:bottom w:val="single" w:sz="4" w:space="0" w:color="auto"/>
              <w:right w:val="single" w:sz="4" w:space="0" w:color="auto"/>
            </w:tcBorders>
            <w:shd w:val="clear" w:color="auto" w:fill="auto"/>
            <w:noWrap/>
            <w:vAlign w:val="center"/>
            <w:hideMark/>
          </w:tcPr>
          <w:p w:rsidR="0046067C" w:rsidRPr="000405CF" w:rsidRDefault="0046067C" w:rsidP="00881CC4">
            <w:pPr>
              <w:spacing w:after="0" w:line="240" w:lineRule="auto"/>
              <w:jc w:val="right"/>
              <w:rPr>
                <w:rFonts w:ascii="Calibri" w:eastAsia="Times New Roman" w:hAnsi="Calibri" w:cs="Times New Roman"/>
                <w:color w:val="000000"/>
                <w:lang w:eastAsia="en-GB"/>
              </w:rPr>
            </w:pPr>
            <w:r w:rsidRPr="000405CF">
              <w:rPr>
                <w:rFonts w:ascii="Calibri" w:eastAsia="Times New Roman" w:hAnsi="Calibri" w:cs="Times New Roman"/>
                <w:color w:val="000000"/>
                <w:lang w:eastAsia="en-GB"/>
              </w:rPr>
              <w:t>4,833</w:t>
            </w:r>
          </w:p>
        </w:tc>
        <w:tc>
          <w:tcPr>
            <w:tcW w:w="1701" w:type="dxa"/>
            <w:tcBorders>
              <w:top w:val="nil"/>
              <w:left w:val="nil"/>
              <w:bottom w:val="single" w:sz="4" w:space="0" w:color="auto"/>
              <w:right w:val="single" w:sz="4" w:space="0" w:color="auto"/>
            </w:tcBorders>
            <w:shd w:val="clear" w:color="auto" w:fill="auto"/>
            <w:noWrap/>
            <w:vAlign w:val="bottom"/>
            <w:hideMark/>
          </w:tcPr>
          <w:p w:rsidR="0046067C" w:rsidRPr="000405CF" w:rsidRDefault="0046067C" w:rsidP="00881CC4">
            <w:pPr>
              <w:spacing w:after="0" w:line="240" w:lineRule="auto"/>
              <w:jc w:val="right"/>
              <w:rPr>
                <w:rFonts w:ascii="Calibri" w:eastAsia="Times New Roman" w:hAnsi="Calibri" w:cs="Times New Roman"/>
                <w:color w:val="000000"/>
                <w:lang w:eastAsia="en-GB"/>
              </w:rPr>
            </w:pPr>
            <w:r w:rsidRPr="000405CF">
              <w:rPr>
                <w:rFonts w:ascii="Calibri" w:eastAsia="Times New Roman" w:hAnsi="Calibri" w:cs="Times New Roman"/>
                <w:color w:val="000000"/>
                <w:lang w:eastAsia="en-GB"/>
              </w:rPr>
              <w:t>5,170</w:t>
            </w:r>
          </w:p>
        </w:tc>
      </w:tr>
      <w:tr w:rsidR="0046067C" w:rsidRPr="000405CF" w:rsidTr="00881CC4">
        <w:trPr>
          <w:trHeight w:val="300"/>
        </w:trPr>
        <w:tc>
          <w:tcPr>
            <w:tcW w:w="4126" w:type="dxa"/>
            <w:tcBorders>
              <w:top w:val="nil"/>
              <w:left w:val="single" w:sz="4" w:space="0" w:color="auto"/>
              <w:bottom w:val="single" w:sz="4" w:space="0" w:color="auto"/>
              <w:right w:val="single" w:sz="4" w:space="0" w:color="auto"/>
            </w:tcBorders>
            <w:shd w:val="clear" w:color="auto" w:fill="auto"/>
            <w:noWrap/>
            <w:vAlign w:val="bottom"/>
            <w:hideMark/>
          </w:tcPr>
          <w:p w:rsidR="0046067C" w:rsidRPr="000405CF" w:rsidRDefault="0046067C" w:rsidP="00881CC4">
            <w:pPr>
              <w:spacing w:after="0" w:line="240" w:lineRule="auto"/>
              <w:rPr>
                <w:rFonts w:ascii="Calibri" w:eastAsia="Times New Roman" w:hAnsi="Calibri" w:cs="Times New Roman"/>
                <w:color w:val="000000"/>
                <w:lang w:eastAsia="en-GB"/>
              </w:rPr>
            </w:pPr>
            <w:r w:rsidRPr="000405CF">
              <w:rPr>
                <w:rFonts w:ascii="Calibri" w:eastAsia="Times New Roman" w:hAnsi="Calibri" w:cs="Times New Roman"/>
                <w:color w:val="000000"/>
                <w:lang w:eastAsia="en-GB"/>
              </w:rPr>
              <w:t>HB Public Law</w:t>
            </w:r>
          </w:p>
        </w:tc>
        <w:tc>
          <w:tcPr>
            <w:tcW w:w="1701" w:type="dxa"/>
            <w:tcBorders>
              <w:top w:val="nil"/>
              <w:left w:val="nil"/>
              <w:bottom w:val="single" w:sz="4" w:space="0" w:color="auto"/>
              <w:right w:val="single" w:sz="4" w:space="0" w:color="auto"/>
            </w:tcBorders>
            <w:shd w:val="clear" w:color="auto" w:fill="auto"/>
            <w:noWrap/>
            <w:vAlign w:val="center"/>
            <w:hideMark/>
          </w:tcPr>
          <w:p w:rsidR="0046067C" w:rsidRPr="000405CF" w:rsidRDefault="0046067C" w:rsidP="00881CC4">
            <w:pPr>
              <w:spacing w:after="0" w:line="240" w:lineRule="auto"/>
              <w:jc w:val="right"/>
              <w:rPr>
                <w:rFonts w:ascii="Calibri" w:eastAsia="Times New Roman" w:hAnsi="Calibri" w:cs="Times New Roman"/>
                <w:color w:val="000000"/>
                <w:lang w:eastAsia="en-GB"/>
              </w:rPr>
            </w:pPr>
            <w:r w:rsidRPr="000405CF">
              <w:rPr>
                <w:rFonts w:ascii="Calibri" w:eastAsia="Times New Roman" w:hAnsi="Calibri" w:cs="Times New Roman"/>
                <w:color w:val="000000"/>
                <w:lang w:eastAsia="en-GB"/>
              </w:rPr>
              <w:t>1,782</w:t>
            </w:r>
          </w:p>
        </w:tc>
        <w:tc>
          <w:tcPr>
            <w:tcW w:w="1701" w:type="dxa"/>
            <w:tcBorders>
              <w:top w:val="nil"/>
              <w:left w:val="nil"/>
              <w:bottom w:val="single" w:sz="4" w:space="0" w:color="auto"/>
              <w:right w:val="single" w:sz="4" w:space="0" w:color="auto"/>
            </w:tcBorders>
            <w:shd w:val="clear" w:color="auto" w:fill="auto"/>
            <w:noWrap/>
            <w:vAlign w:val="center"/>
            <w:hideMark/>
          </w:tcPr>
          <w:p w:rsidR="0046067C" w:rsidRPr="000405CF" w:rsidRDefault="0046067C" w:rsidP="00881CC4">
            <w:pPr>
              <w:spacing w:after="0" w:line="240" w:lineRule="auto"/>
              <w:jc w:val="right"/>
              <w:rPr>
                <w:rFonts w:ascii="Calibri" w:eastAsia="Times New Roman" w:hAnsi="Calibri" w:cs="Times New Roman"/>
                <w:color w:val="000000"/>
                <w:lang w:eastAsia="en-GB"/>
              </w:rPr>
            </w:pPr>
            <w:r w:rsidRPr="000405CF">
              <w:rPr>
                <w:rFonts w:ascii="Calibri" w:eastAsia="Times New Roman" w:hAnsi="Calibri" w:cs="Times New Roman"/>
                <w:color w:val="000000"/>
                <w:lang w:eastAsia="en-GB"/>
              </w:rPr>
              <w:t>1,952</w:t>
            </w:r>
          </w:p>
        </w:tc>
        <w:tc>
          <w:tcPr>
            <w:tcW w:w="1701" w:type="dxa"/>
            <w:tcBorders>
              <w:top w:val="nil"/>
              <w:left w:val="nil"/>
              <w:bottom w:val="single" w:sz="4" w:space="0" w:color="auto"/>
              <w:right w:val="single" w:sz="4" w:space="0" w:color="auto"/>
            </w:tcBorders>
            <w:shd w:val="clear" w:color="auto" w:fill="auto"/>
            <w:noWrap/>
            <w:vAlign w:val="bottom"/>
            <w:hideMark/>
          </w:tcPr>
          <w:p w:rsidR="0046067C" w:rsidRPr="000405CF" w:rsidRDefault="0046067C" w:rsidP="00881CC4">
            <w:pPr>
              <w:spacing w:after="0" w:line="240" w:lineRule="auto"/>
              <w:jc w:val="right"/>
              <w:rPr>
                <w:rFonts w:ascii="Calibri" w:eastAsia="Times New Roman" w:hAnsi="Calibri" w:cs="Times New Roman"/>
                <w:color w:val="000000"/>
                <w:lang w:eastAsia="en-GB"/>
              </w:rPr>
            </w:pPr>
            <w:r w:rsidRPr="000405CF">
              <w:rPr>
                <w:rFonts w:ascii="Calibri" w:eastAsia="Times New Roman" w:hAnsi="Calibri" w:cs="Times New Roman"/>
                <w:color w:val="000000"/>
                <w:lang w:eastAsia="en-GB"/>
              </w:rPr>
              <w:t>1,883</w:t>
            </w:r>
          </w:p>
        </w:tc>
      </w:tr>
      <w:tr w:rsidR="0046067C" w:rsidRPr="000405CF" w:rsidTr="00881CC4">
        <w:trPr>
          <w:trHeight w:val="300"/>
        </w:trPr>
        <w:tc>
          <w:tcPr>
            <w:tcW w:w="4126" w:type="dxa"/>
            <w:tcBorders>
              <w:top w:val="nil"/>
              <w:left w:val="single" w:sz="4" w:space="0" w:color="auto"/>
              <w:bottom w:val="single" w:sz="4" w:space="0" w:color="auto"/>
              <w:right w:val="single" w:sz="4" w:space="0" w:color="auto"/>
            </w:tcBorders>
            <w:shd w:val="clear" w:color="auto" w:fill="auto"/>
            <w:noWrap/>
            <w:vAlign w:val="bottom"/>
            <w:hideMark/>
          </w:tcPr>
          <w:p w:rsidR="0046067C" w:rsidRPr="000405CF" w:rsidRDefault="0046067C" w:rsidP="00881CC4">
            <w:pPr>
              <w:spacing w:after="0" w:line="240" w:lineRule="auto"/>
              <w:rPr>
                <w:rFonts w:ascii="Calibri" w:eastAsia="Times New Roman" w:hAnsi="Calibri" w:cs="Times New Roman"/>
                <w:color w:val="000000"/>
                <w:lang w:eastAsia="en-GB"/>
              </w:rPr>
            </w:pPr>
            <w:r w:rsidRPr="000405CF">
              <w:rPr>
                <w:rFonts w:ascii="Calibri" w:eastAsia="Times New Roman" w:hAnsi="Calibri" w:cs="Times New Roman"/>
                <w:color w:val="000000"/>
                <w:lang w:eastAsia="en-GB"/>
              </w:rPr>
              <w:t>Assurance</w:t>
            </w:r>
          </w:p>
        </w:tc>
        <w:tc>
          <w:tcPr>
            <w:tcW w:w="1701" w:type="dxa"/>
            <w:tcBorders>
              <w:top w:val="nil"/>
              <w:left w:val="nil"/>
              <w:bottom w:val="single" w:sz="4" w:space="0" w:color="auto"/>
              <w:right w:val="single" w:sz="4" w:space="0" w:color="auto"/>
            </w:tcBorders>
            <w:shd w:val="clear" w:color="auto" w:fill="auto"/>
            <w:noWrap/>
            <w:vAlign w:val="center"/>
            <w:hideMark/>
          </w:tcPr>
          <w:p w:rsidR="0046067C" w:rsidRPr="000405CF" w:rsidRDefault="0046067C" w:rsidP="00881CC4">
            <w:pPr>
              <w:spacing w:after="0" w:line="240" w:lineRule="auto"/>
              <w:jc w:val="right"/>
              <w:rPr>
                <w:rFonts w:ascii="Calibri" w:eastAsia="Times New Roman" w:hAnsi="Calibri" w:cs="Times New Roman"/>
                <w:color w:val="000000"/>
                <w:lang w:eastAsia="en-GB"/>
              </w:rPr>
            </w:pPr>
            <w:r w:rsidRPr="000405CF">
              <w:rPr>
                <w:rFonts w:ascii="Calibri" w:eastAsia="Times New Roman" w:hAnsi="Calibri" w:cs="Times New Roman"/>
                <w:color w:val="000000"/>
                <w:lang w:eastAsia="en-GB"/>
              </w:rPr>
              <w:t>4,005</w:t>
            </w:r>
          </w:p>
        </w:tc>
        <w:tc>
          <w:tcPr>
            <w:tcW w:w="1701" w:type="dxa"/>
            <w:tcBorders>
              <w:top w:val="nil"/>
              <w:left w:val="nil"/>
              <w:bottom w:val="single" w:sz="4" w:space="0" w:color="auto"/>
              <w:right w:val="single" w:sz="4" w:space="0" w:color="auto"/>
            </w:tcBorders>
            <w:shd w:val="clear" w:color="auto" w:fill="auto"/>
            <w:noWrap/>
            <w:vAlign w:val="center"/>
            <w:hideMark/>
          </w:tcPr>
          <w:p w:rsidR="0046067C" w:rsidRPr="000405CF" w:rsidRDefault="0046067C" w:rsidP="00881CC4">
            <w:pPr>
              <w:spacing w:after="0" w:line="240" w:lineRule="auto"/>
              <w:jc w:val="right"/>
              <w:rPr>
                <w:rFonts w:ascii="Calibri" w:eastAsia="Times New Roman" w:hAnsi="Calibri" w:cs="Times New Roman"/>
                <w:color w:val="000000"/>
                <w:lang w:eastAsia="en-GB"/>
              </w:rPr>
            </w:pPr>
            <w:r w:rsidRPr="000405CF">
              <w:rPr>
                <w:rFonts w:ascii="Calibri" w:eastAsia="Times New Roman" w:hAnsi="Calibri" w:cs="Times New Roman"/>
                <w:color w:val="000000"/>
                <w:lang w:eastAsia="en-GB"/>
              </w:rPr>
              <w:t>4,060</w:t>
            </w:r>
          </w:p>
        </w:tc>
        <w:tc>
          <w:tcPr>
            <w:tcW w:w="1701" w:type="dxa"/>
            <w:tcBorders>
              <w:top w:val="nil"/>
              <w:left w:val="nil"/>
              <w:bottom w:val="single" w:sz="4" w:space="0" w:color="auto"/>
              <w:right w:val="single" w:sz="4" w:space="0" w:color="auto"/>
            </w:tcBorders>
            <w:shd w:val="clear" w:color="auto" w:fill="auto"/>
            <w:noWrap/>
            <w:vAlign w:val="bottom"/>
            <w:hideMark/>
          </w:tcPr>
          <w:p w:rsidR="0046067C" w:rsidRPr="000405CF" w:rsidRDefault="0046067C" w:rsidP="00881CC4">
            <w:pPr>
              <w:spacing w:after="0" w:line="240" w:lineRule="auto"/>
              <w:jc w:val="right"/>
              <w:rPr>
                <w:rFonts w:ascii="Calibri" w:eastAsia="Times New Roman" w:hAnsi="Calibri" w:cs="Times New Roman"/>
                <w:color w:val="000000"/>
                <w:lang w:eastAsia="en-GB"/>
              </w:rPr>
            </w:pPr>
            <w:r w:rsidRPr="000405CF">
              <w:rPr>
                <w:rFonts w:ascii="Calibri" w:eastAsia="Times New Roman" w:hAnsi="Calibri" w:cs="Times New Roman"/>
                <w:color w:val="000000"/>
                <w:lang w:eastAsia="en-GB"/>
              </w:rPr>
              <w:t>4,186</w:t>
            </w:r>
          </w:p>
        </w:tc>
      </w:tr>
      <w:tr w:rsidR="0046067C" w:rsidRPr="000405CF" w:rsidTr="00881CC4">
        <w:trPr>
          <w:trHeight w:val="300"/>
        </w:trPr>
        <w:tc>
          <w:tcPr>
            <w:tcW w:w="4126" w:type="dxa"/>
            <w:tcBorders>
              <w:top w:val="nil"/>
              <w:left w:val="single" w:sz="4" w:space="0" w:color="auto"/>
              <w:bottom w:val="single" w:sz="4" w:space="0" w:color="auto"/>
              <w:right w:val="single" w:sz="4" w:space="0" w:color="auto"/>
            </w:tcBorders>
            <w:shd w:val="clear" w:color="auto" w:fill="auto"/>
            <w:noWrap/>
            <w:vAlign w:val="bottom"/>
            <w:hideMark/>
          </w:tcPr>
          <w:p w:rsidR="0046067C" w:rsidRPr="000405CF" w:rsidRDefault="0046067C" w:rsidP="00881CC4">
            <w:pPr>
              <w:spacing w:after="0" w:line="240" w:lineRule="auto"/>
              <w:rPr>
                <w:rFonts w:ascii="Calibri" w:eastAsia="Times New Roman" w:hAnsi="Calibri" w:cs="Times New Roman"/>
                <w:color w:val="000000"/>
                <w:lang w:eastAsia="en-GB"/>
              </w:rPr>
            </w:pPr>
            <w:r w:rsidRPr="000405CF">
              <w:rPr>
                <w:rFonts w:ascii="Calibri" w:eastAsia="Times New Roman" w:hAnsi="Calibri" w:cs="Times New Roman"/>
                <w:color w:val="000000"/>
                <w:lang w:eastAsia="en-GB"/>
              </w:rPr>
              <w:t>Re</w:t>
            </w:r>
          </w:p>
        </w:tc>
        <w:tc>
          <w:tcPr>
            <w:tcW w:w="1701" w:type="dxa"/>
            <w:tcBorders>
              <w:top w:val="nil"/>
              <w:left w:val="nil"/>
              <w:bottom w:val="single" w:sz="4" w:space="0" w:color="auto"/>
              <w:right w:val="single" w:sz="4" w:space="0" w:color="auto"/>
            </w:tcBorders>
            <w:shd w:val="clear" w:color="auto" w:fill="auto"/>
            <w:noWrap/>
            <w:vAlign w:val="center"/>
            <w:hideMark/>
          </w:tcPr>
          <w:p w:rsidR="0046067C" w:rsidRPr="000405CF" w:rsidRDefault="0046067C" w:rsidP="00881CC4">
            <w:pPr>
              <w:spacing w:after="0" w:line="240" w:lineRule="auto"/>
              <w:jc w:val="right"/>
              <w:rPr>
                <w:rFonts w:ascii="Calibri" w:eastAsia="Times New Roman" w:hAnsi="Calibri" w:cs="Times New Roman"/>
                <w:color w:val="000000"/>
                <w:lang w:eastAsia="en-GB"/>
              </w:rPr>
            </w:pPr>
            <w:r w:rsidRPr="000405CF">
              <w:rPr>
                <w:rFonts w:ascii="Calibri" w:eastAsia="Times New Roman" w:hAnsi="Calibri" w:cs="Times New Roman"/>
                <w:color w:val="000000"/>
                <w:lang w:eastAsia="en-GB"/>
              </w:rPr>
              <w:t>767</w:t>
            </w:r>
          </w:p>
        </w:tc>
        <w:tc>
          <w:tcPr>
            <w:tcW w:w="1701" w:type="dxa"/>
            <w:tcBorders>
              <w:top w:val="nil"/>
              <w:left w:val="nil"/>
              <w:bottom w:val="single" w:sz="4" w:space="0" w:color="auto"/>
              <w:right w:val="single" w:sz="4" w:space="0" w:color="auto"/>
            </w:tcBorders>
            <w:shd w:val="clear" w:color="auto" w:fill="auto"/>
            <w:noWrap/>
            <w:vAlign w:val="center"/>
            <w:hideMark/>
          </w:tcPr>
          <w:p w:rsidR="0046067C" w:rsidRPr="000405CF" w:rsidRDefault="0046067C" w:rsidP="00881CC4">
            <w:pPr>
              <w:spacing w:after="0" w:line="240" w:lineRule="auto"/>
              <w:jc w:val="right"/>
              <w:rPr>
                <w:rFonts w:ascii="Calibri" w:eastAsia="Times New Roman" w:hAnsi="Calibri" w:cs="Times New Roman"/>
                <w:color w:val="000000"/>
                <w:lang w:eastAsia="en-GB"/>
              </w:rPr>
            </w:pPr>
            <w:r w:rsidRPr="000405CF">
              <w:rPr>
                <w:rFonts w:ascii="Calibri" w:eastAsia="Times New Roman" w:hAnsi="Calibri" w:cs="Times New Roman"/>
                <w:color w:val="000000"/>
                <w:lang w:eastAsia="en-GB"/>
              </w:rPr>
              <w:t>1,039</w:t>
            </w:r>
          </w:p>
        </w:tc>
        <w:tc>
          <w:tcPr>
            <w:tcW w:w="1701" w:type="dxa"/>
            <w:tcBorders>
              <w:top w:val="nil"/>
              <w:left w:val="nil"/>
              <w:bottom w:val="single" w:sz="4" w:space="0" w:color="auto"/>
              <w:right w:val="single" w:sz="4" w:space="0" w:color="auto"/>
            </w:tcBorders>
            <w:shd w:val="clear" w:color="auto" w:fill="auto"/>
            <w:noWrap/>
            <w:vAlign w:val="bottom"/>
            <w:hideMark/>
          </w:tcPr>
          <w:p w:rsidR="0046067C" w:rsidRPr="000405CF" w:rsidRDefault="0046067C" w:rsidP="00881CC4">
            <w:pPr>
              <w:spacing w:after="0" w:line="240" w:lineRule="auto"/>
              <w:jc w:val="right"/>
              <w:rPr>
                <w:rFonts w:ascii="Calibri" w:eastAsia="Times New Roman" w:hAnsi="Calibri" w:cs="Times New Roman"/>
                <w:color w:val="000000"/>
                <w:lang w:eastAsia="en-GB"/>
              </w:rPr>
            </w:pPr>
            <w:r w:rsidRPr="000405CF">
              <w:rPr>
                <w:rFonts w:ascii="Calibri" w:eastAsia="Times New Roman" w:hAnsi="Calibri" w:cs="Times New Roman"/>
                <w:color w:val="000000"/>
                <w:lang w:eastAsia="en-GB"/>
              </w:rPr>
              <w:t>1,257</w:t>
            </w:r>
          </w:p>
        </w:tc>
      </w:tr>
      <w:tr w:rsidR="0046067C" w:rsidRPr="000405CF" w:rsidTr="00881CC4">
        <w:trPr>
          <w:trHeight w:val="300"/>
        </w:trPr>
        <w:tc>
          <w:tcPr>
            <w:tcW w:w="4126" w:type="dxa"/>
            <w:tcBorders>
              <w:top w:val="nil"/>
              <w:left w:val="single" w:sz="4" w:space="0" w:color="auto"/>
              <w:bottom w:val="single" w:sz="4" w:space="0" w:color="auto"/>
              <w:right w:val="single" w:sz="4" w:space="0" w:color="auto"/>
            </w:tcBorders>
            <w:shd w:val="clear" w:color="auto" w:fill="auto"/>
            <w:noWrap/>
            <w:vAlign w:val="bottom"/>
            <w:hideMark/>
          </w:tcPr>
          <w:p w:rsidR="0046067C" w:rsidRPr="000405CF" w:rsidRDefault="0046067C" w:rsidP="00881CC4">
            <w:pPr>
              <w:spacing w:after="0" w:line="240" w:lineRule="auto"/>
              <w:rPr>
                <w:rFonts w:ascii="Calibri" w:eastAsia="Times New Roman" w:hAnsi="Calibri" w:cs="Times New Roman"/>
                <w:color w:val="000000"/>
                <w:lang w:eastAsia="en-GB"/>
              </w:rPr>
            </w:pPr>
            <w:r w:rsidRPr="000405CF">
              <w:rPr>
                <w:rFonts w:ascii="Calibri" w:eastAsia="Times New Roman" w:hAnsi="Calibri" w:cs="Times New Roman"/>
                <w:color w:val="000000"/>
                <w:lang w:eastAsia="en-GB"/>
              </w:rPr>
              <w:t>Commercial-Infrastructure and Parking</w:t>
            </w:r>
          </w:p>
        </w:tc>
        <w:tc>
          <w:tcPr>
            <w:tcW w:w="1701" w:type="dxa"/>
            <w:tcBorders>
              <w:top w:val="nil"/>
              <w:left w:val="nil"/>
              <w:bottom w:val="single" w:sz="4" w:space="0" w:color="auto"/>
              <w:right w:val="single" w:sz="4" w:space="0" w:color="auto"/>
            </w:tcBorders>
            <w:shd w:val="clear" w:color="auto" w:fill="auto"/>
            <w:noWrap/>
            <w:vAlign w:val="center"/>
            <w:hideMark/>
          </w:tcPr>
          <w:p w:rsidR="0046067C" w:rsidRPr="000405CF" w:rsidRDefault="0046067C" w:rsidP="00881CC4">
            <w:pPr>
              <w:spacing w:after="0" w:line="240" w:lineRule="auto"/>
              <w:jc w:val="right"/>
              <w:rPr>
                <w:rFonts w:ascii="Calibri" w:eastAsia="Times New Roman" w:hAnsi="Calibri" w:cs="Times New Roman"/>
                <w:color w:val="FF0000"/>
                <w:lang w:eastAsia="en-GB"/>
              </w:rPr>
            </w:pPr>
            <w:r w:rsidRPr="000405CF">
              <w:rPr>
                <w:rFonts w:ascii="Calibri" w:eastAsia="Times New Roman" w:hAnsi="Calibri" w:cs="Times New Roman"/>
                <w:color w:val="FF0000"/>
                <w:lang w:eastAsia="en-GB"/>
              </w:rPr>
              <w:t>-1,657</w:t>
            </w:r>
          </w:p>
        </w:tc>
        <w:tc>
          <w:tcPr>
            <w:tcW w:w="1701" w:type="dxa"/>
            <w:tcBorders>
              <w:top w:val="nil"/>
              <w:left w:val="nil"/>
              <w:bottom w:val="single" w:sz="4" w:space="0" w:color="auto"/>
              <w:right w:val="single" w:sz="4" w:space="0" w:color="auto"/>
            </w:tcBorders>
            <w:shd w:val="clear" w:color="auto" w:fill="auto"/>
            <w:noWrap/>
            <w:vAlign w:val="center"/>
            <w:hideMark/>
          </w:tcPr>
          <w:p w:rsidR="0046067C" w:rsidRPr="000405CF" w:rsidRDefault="0046067C" w:rsidP="00881CC4">
            <w:pPr>
              <w:spacing w:after="0" w:line="240" w:lineRule="auto"/>
              <w:jc w:val="right"/>
              <w:rPr>
                <w:rFonts w:ascii="Calibri" w:eastAsia="Times New Roman" w:hAnsi="Calibri" w:cs="Times New Roman"/>
                <w:color w:val="FF0000"/>
                <w:lang w:eastAsia="en-GB"/>
              </w:rPr>
            </w:pPr>
            <w:r w:rsidRPr="000405CF">
              <w:rPr>
                <w:rFonts w:ascii="Calibri" w:eastAsia="Times New Roman" w:hAnsi="Calibri" w:cs="Times New Roman"/>
                <w:color w:val="FF0000"/>
                <w:lang w:eastAsia="en-GB"/>
              </w:rPr>
              <w:t>-878</w:t>
            </w:r>
          </w:p>
        </w:tc>
        <w:tc>
          <w:tcPr>
            <w:tcW w:w="1701" w:type="dxa"/>
            <w:tcBorders>
              <w:top w:val="nil"/>
              <w:left w:val="nil"/>
              <w:bottom w:val="single" w:sz="4" w:space="0" w:color="auto"/>
              <w:right w:val="single" w:sz="4" w:space="0" w:color="auto"/>
            </w:tcBorders>
            <w:shd w:val="clear" w:color="auto" w:fill="auto"/>
            <w:noWrap/>
            <w:vAlign w:val="bottom"/>
            <w:hideMark/>
          </w:tcPr>
          <w:p w:rsidR="0046067C" w:rsidRPr="000405CF" w:rsidRDefault="0046067C" w:rsidP="00881CC4">
            <w:pPr>
              <w:spacing w:after="0" w:line="240" w:lineRule="auto"/>
              <w:jc w:val="right"/>
              <w:rPr>
                <w:rFonts w:ascii="Calibri" w:eastAsia="Times New Roman" w:hAnsi="Calibri" w:cs="Times New Roman"/>
                <w:color w:val="000000"/>
                <w:lang w:eastAsia="en-GB"/>
              </w:rPr>
            </w:pPr>
            <w:r w:rsidRPr="000405CF">
              <w:rPr>
                <w:rFonts w:ascii="Calibri" w:eastAsia="Times New Roman" w:hAnsi="Calibri" w:cs="Times New Roman"/>
                <w:color w:val="FF0000"/>
                <w:lang w:eastAsia="en-GB"/>
              </w:rPr>
              <w:t>-1,126</w:t>
            </w:r>
          </w:p>
        </w:tc>
      </w:tr>
      <w:tr w:rsidR="0046067C" w:rsidRPr="000405CF" w:rsidTr="00881CC4">
        <w:trPr>
          <w:trHeight w:val="300"/>
        </w:trPr>
        <w:tc>
          <w:tcPr>
            <w:tcW w:w="4126" w:type="dxa"/>
            <w:tcBorders>
              <w:top w:val="nil"/>
              <w:left w:val="single" w:sz="4" w:space="0" w:color="auto"/>
              <w:bottom w:val="single" w:sz="4" w:space="0" w:color="auto"/>
              <w:right w:val="single" w:sz="4" w:space="0" w:color="auto"/>
            </w:tcBorders>
            <w:shd w:val="clear" w:color="auto" w:fill="auto"/>
            <w:noWrap/>
            <w:vAlign w:val="bottom"/>
            <w:hideMark/>
          </w:tcPr>
          <w:p w:rsidR="0046067C" w:rsidRPr="000405CF" w:rsidRDefault="0046067C" w:rsidP="00881CC4">
            <w:pPr>
              <w:spacing w:after="0" w:line="240" w:lineRule="auto"/>
              <w:rPr>
                <w:rFonts w:ascii="Calibri" w:eastAsia="Times New Roman" w:hAnsi="Calibri" w:cs="Times New Roman"/>
                <w:b/>
                <w:bCs/>
                <w:color w:val="000000"/>
                <w:lang w:eastAsia="en-GB"/>
              </w:rPr>
            </w:pPr>
            <w:r w:rsidRPr="000405CF">
              <w:rPr>
                <w:rFonts w:ascii="Calibri" w:eastAsia="Times New Roman" w:hAnsi="Calibri" w:cs="Times New Roman"/>
                <w:b/>
                <w:bCs/>
                <w:color w:val="000000"/>
                <w:lang w:eastAsia="en-GB"/>
              </w:rPr>
              <w:t>Total</w:t>
            </w:r>
          </w:p>
        </w:tc>
        <w:tc>
          <w:tcPr>
            <w:tcW w:w="1701" w:type="dxa"/>
            <w:tcBorders>
              <w:top w:val="nil"/>
              <w:left w:val="nil"/>
              <w:bottom w:val="single" w:sz="4" w:space="0" w:color="auto"/>
              <w:right w:val="single" w:sz="4" w:space="0" w:color="auto"/>
            </w:tcBorders>
            <w:shd w:val="clear" w:color="auto" w:fill="auto"/>
            <w:noWrap/>
            <w:vAlign w:val="center"/>
            <w:hideMark/>
          </w:tcPr>
          <w:p w:rsidR="0046067C" w:rsidRPr="000405CF" w:rsidRDefault="0046067C" w:rsidP="00881CC4">
            <w:pPr>
              <w:spacing w:after="0" w:line="240" w:lineRule="auto"/>
              <w:jc w:val="right"/>
              <w:rPr>
                <w:rFonts w:ascii="Calibri" w:eastAsia="Times New Roman" w:hAnsi="Calibri" w:cs="Times New Roman"/>
                <w:b/>
                <w:bCs/>
                <w:color w:val="000000"/>
                <w:lang w:eastAsia="en-GB"/>
              </w:rPr>
            </w:pPr>
            <w:r w:rsidRPr="000405CF">
              <w:rPr>
                <w:rFonts w:ascii="Calibri" w:eastAsia="Times New Roman" w:hAnsi="Calibri" w:cs="Times New Roman"/>
                <w:b/>
                <w:bCs/>
                <w:color w:val="000000"/>
                <w:lang w:eastAsia="en-GB"/>
              </w:rPr>
              <w:t>286,411</w:t>
            </w:r>
          </w:p>
        </w:tc>
        <w:tc>
          <w:tcPr>
            <w:tcW w:w="1701" w:type="dxa"/>
            <w:tcBorders>
              <w:top w:val="nil"/>
              <w:left w:val="nil"/>
              <w:bottom w:val="single" w:sz="4" w:space="0" w:color="auto"/>
              <w:right w:val="single" w:sz="4" w:space="0" w:color="auto"/>
            </w:tcBorders>
            <w:shd w:val="clear" w:color="auto" w:fill="auto"/>
            <w:noWrap/>
            <w:vAlign w:val="center"/>
            <w:hideMark/>
          </w:tcPr>
          <w:p w:rsidR="0046067C" w:rsidRPr="000405CF" w:rsidRDefault="0046067C" w:rsidP="00881CC4">
            <w:pPr>
              <w:spacing w:after="0" w:line="240" w:lineRule="auto"/>
              <w:jc w:val="right"/>
              <w:rPr>
                <w:rFonts w:ascii="Calibri" w:eastAsia="Times New Roman" w:hAnsi="Calibri" w:cs="Times New Roman"/>
                <w:b/>
                <w:bCs/>
                <w:color w:val="000000"/>
                <w:lang w:eastAsia="en-GB"/>
              </w:rPr>
            </w:pPr>
            <w:r w:rsidRPr="000405CF">
              <w:rPr>
                <w:rFonts w:ascii="Calibri" w:eastAsia="Times New Roman" w:hAnsi="Calibri" w:cs="Times New Roman"/>
                <w:b/>
                <w:bCs/>
                <w:color w:val="000000"/>
                <w:lang w:eastAsia="en-GB"/>
              </w:rPr>
              <w:t>286,412</w:t>
            </w:r>
          </w:p>
        </w:tc>
        <w:tc>
          <w:tcPr>
            <w:tcW w:w="1701" w:type="dxa"/>
            <w:tcBorders>
              <w:top w:val="nil"/>
              <w:left w:val="nil"/>
              <w:bottom w:val="single" w:sz="4" w:space="0" w:color="auto"/>
              <w:right w:val="single" w:sz="4" w:space="0" w:color="auto"/>
            </w:tcBorders>
            <w:shd w:val="clear" w:color="auto" w:fill="auto"/>
            <w:noWrap/>
            <w:vAlign w:val="bottom"/>
            <w:hideMark/>
          </w:tcPr>
          <w:p w:rsidR="0046067C" w:rsidRPr="000405CF" w:rsidRDefault="0046067C" w:rsidP="00881CC4">
            <w:pPr>
              <w:spacing w:after="0" w:line="240" w:lineRule="auto"/>
              <w:jc w:val="right"/>
              <w:rPr>
                <w:rFonts w:ascii="Calibri" w:eastAsia="Times New Roman" w:hAnsi="Calibri" w:cs="Times New Roman"/>
                <w:b/>
                <w:bCs/>
                <w:color w:val="000000"/>
                <w:lang w:eastAsia="en-GB"/>
              </w:rPr>
            </w:pPr>
            <w:r w:rsidRPr="000405CF">
              <w:rPr>
                <w:rFonts w:ascii="Calibri" w:eastAsia="Times New Roman" w:hAnsi="Calibri" w:cs="Times New Roman"/>
                <w:b/>
                <w:bCs/>
                <w:color w:val="000000"/>
                <w:lang w:eastAsia="en-GB"/>
              </w:rPr>
              <w:t>287,491</w:t>
            </w:r>
          </w:p>
        </w:tc>
      </w:tr>
    </w:tbl>
    <w:p w:rsidR="0046067C" w:rsidRDefault="0046067C" w:rsidP="0046067C">
      <w:pPr>
        <w:spacing w:after="0" w:line="240" w:lineRule="auto"/>
        <w:jc w:val="both"/>
        <w:rPr>
          <w:b/>
          <w:bCs/>
          <w:noProof/>
          <w:szCs w:val="18"/>
        </w:rPr>
      </w:pPr>
    </w:p>
    <w:p w:rsidR="0046067C" w:rsidRPr="00033D3F" w:rsidRDefault="0046067C" w:rsidP="0046067C">
      <w:pPr>
        <w:spacing w:after="0" w:line="240" w:lineRule="auto"/>
        <w:jc w:val="both"/>
        <w:rPr>
          <w:b/>
          <w:sz w:val="18"/>
          <w:szCs w:val="18"/>
        </w:rPr>
      </w:pPr>
      <w:r w:rsidRPr="00033D3F">
        <w:rPr>
          <w:rFonts w:cs="Arial"/>
          <w:b/>
          <w:sz w:val="18"/>
          <w:szCs w:val="18"/>
        </w:rPr>
        <w:t xml:space="preserve">Note: </w:t>
      </w:r>
      <w:r w:rsidRPr="00033D3F">
        <w:rPr>
          <w:rFonts w:cs="Arial"/>
          <w:sz w:val="18"/>
          <w:szCs w:val="18"/>
        </w:rPr>
        <w:t>the difference in the Original Net Budget figures and Current Net Budget figures i</w:t>
      </w:r>
      <w:r w:rsidRPr="00033D3F">
        <w:rPr>
          <w:rFonts w:ascii="Calibri" w:eastAsia="Times New Roman" w:hAnsi="Calibri" w:cs="Times New Roman"/>
          <w:color w:val="000000"/>
          <w:sz w:val="18"/>
          <w:szCs w:val="18"/>
          <w:lang w:eastAsia="en-GB"/>
        </w:rPr>
        <w:t xml:space="preserve">s due to budget movements within the financial year. </w:t>
      </w:r>
      <w:r w:rsidRPr="00033D3F">
        <w:rPr>
          <w:rFonts w:cs="Arial"/>
          <w:sz w:val="18"/>
          <w:szCs w:val="18"/>
        </w:rPr>
        <w:t>These can include a transfer of services from another delivery unit, inflationary bids or pressures agreed from Contingency</w:t>
      </w:r>
      <w:r w:rsidRPr="00033D3F">
        <w:rPr>
          <w:sz w:val="18"/>
          <w:szCs w:val="18"/>
        </w:rPr>
        <w:t>.</w:t>
      </w:r>
    </w:p>
    <w:p w:rsidR="0046067C" w:rsidRPr="00033D3F" w:rsidRDefault="0046067C" w:rsidP="0046067C">
      <w:pPr>
        <w:spacing w:after="0" w:line="240" w:lineRule="auto"/>
        <w:jc w:val="both"/>
        <w:rPr>
          <w:b/>
          <w:sz w:val="18"/>
          <w:szCs w:val="18"/>
        </w:rPr>
      </w:pPr>
    </w:p>
    <w:p w:rsidR="0046067C" w:rsidRDefault="0046067C" w:rsidP="0046067C">
      <w:pPr>
        <w:rPr>
          <w:rFonts w:cs="Arial"/>
          <w:b/>
          <w:u w:val="single"/>
        </w:rPr>
      </w:pPr>
    </w:p>
    <w:p w:rsidR="0046067C" w:rsidRDefault="0046067C" w:rsidP="0046067C">
      <w:pPr>
        <w:jc w:val="both"/>
        <w:rPr>
          <w:rFonts w:cs="Arial"/>
          <w:b/>
          <w:u w:val="single"/>
        </w:rPr>
      </w:pPr>
    </w:p>
    <w:p w:rsidR="0046067C" w:rsidRDefault="0046067C" w:rsidP="0046067C">
      <w:pPr>
        <w:jc w:val="both"/>
        <w:rPr>
          <w:rFonts w:cs="Arial"/>
          <w:b/>
          <w:u w:val="single"/>
        </w:rPr>
      </w:pPr>
    </w:p>
    <w:p w:rsidR="0046067C" w:rsidRDefault="0046067C" w:rsidP="0046067C">
      <w:pPr>
        <w:jc w:val="both"/>
        <w:rPr>
          <w:rFonts w:cs="Arial"/>
          <w:b/>
          <w:u w:val="single"/>
        </w:rPr>
      </w:pPr>
    </w:p>
    <w:p w:rsidR="0046067C" w:rsidRPr="00183999" w:rsidRDefault="0046067C" w:rsidP="0046067C">
      <w:pPr>
        <w:jc w:val="both"/>
        <w:rPr>
          <w:rFonts w:cs="Arial"/>
          <w:b/>
          <w:u w:val="single"/>
        </w:rPr>
      </w:pPr>
    </w:p>
    <w:p w:rsidR="0046067C" w:rsidRDefault="0046067C" w:rsidP="0046067C">
      <w:pPr>
        <w:pStyle w:val="Caption"/>
        <w:spacing w:after="0"/>
      </w:pPr>
    </w:p>
    <w:p w:rsidR="0046067C" w:rsidRPr="00537AFB" w:rsidRDefault="0046067C" w:rsidP="0046067C">
      <w:pPr>
        <w:pStyle w:val="Caption"/>
        <w:spacing w:after="0"/>
        <w:rPr>
          <w:noProof/>
        </w:rPr>
      </w:pPr>
      <w:r>
        <w:lastRenderedPageBreak/>
        <w:t xml:space="preserve">Figure </w:t>
      </w:r>
      <w:fldSimple w:instr=" STYLEREF 1 \s ">
        <w:r w:rsidR="001663C2">
          <w:rPr>
            <w:noProof/>
          </w:rPr>
          <w:t>13</w:t>
        </w:r>
      </w:fldSimple>
      <w:r>
        <w:noBreakHyphen/>
      </w:r>
      <w:fldSimple w:instr=" SEQ Figure \* ARABIC \s 1 ">
        <w:r w:rsidR="001663C2">
          <w:rPr>
            <w:noProof/>
          </w:rPr>
          <w:t>1</w:t>
        </w:r>
      </w:fldSimple>
      <w:r>
        <w:rPr>
          <w:noProof/>
        </w:rPr>
        <w:t xml:space="preserve">: Overall Council Outturn 2014/15 </w:t>
      </w:r>
    </w:p>
    <w:p w:rsidR="0046067C" w:rsidRDefault="0046067C" w:rsidP="0046067C">
      <w:pPr>
        <w:jc w:val="both"/>
        <w:rPr>
          <w:noProof/>
          <w:lang w:eastAsia="en-GB"/>
        </w:rPr>
      </w:pPr>
      <w:r>
        <w:rPr>
          <w:noProof/>
          <w:lang w:eastAsia="en-GB"/>
        </w:rPr>
        <w:drawing>
          <wp:inline distT="0" distB="0" distL="0" distR="0" wp14:anchorId="78F28B0D" wp14:editId="0BCD66EA">
            <wp:extent cx="5734050" cy="6191250"/>
            <wp:effectExtent l="0" t="0" r="19050" b="1905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9"/>
              </a:graphicData>
            </a:graphic>
          </wp:inline>
        </w:drawing>
      </w:r>
    </w:p>
    <w:p w:rsidR="0046067C" w:rsidRDefault="0046067C" w:rsidP="0046067C">
      <w:pPr>
        <w:jc w:val="both"/>
        <w:rPr>
          <w:rFonts w:cs="Arial"/>
        </w:rPr>
      </w:pPr>
      <w:r>
        <w:rPr>
          <w:rFonts w:cs="Arial"/>
          <w:b/>
        </w:rPr>
        <w:t xml:space="preserve">Biggest areas of net spend: </w:t>
      </w:r>
      <w:r w:rsidRPr="00794D9F">
        <w:rPr>
          <w:rFonts w:cs="Arial"/>
        </w:rPr>
        <w:t>The biggest areas of</w:t>
      </w:r>
      <w:r>
        <w:rPr>
          <w:rFonts w:cs="Arial"/>
        </w:rPr>
        <w:t xml:space="preserve"> net</w:t>
      </w:r>
      <w:r w:rsidRPr="00794D9F">
        <w:rPr>
          <w:rFonts w:cs="Arial"/>
        </w:rPr>
        <w:t xml:space="preserve"> spend of the Council are </w:t>
      </w:r>
      <w:r w:rsidRPr="00C42730">
        <w:rPr>
          <w:rFonts w:cs="Arial"/>
          <w:b/>
        </w:rPr>
        <w:t>Adults and Communities</w:t>
      </w:r>
      <w:r w:rsidRPr="00794D9F">
        <w:rPr>
          <w:rFonts w:cs="Arial"/>
        </w:rPr>
        <w:t xml:space="preserve"> and </w:t>
      </w:r>
      <w:r w:rsidRPr="00C42730">
        <w:rPr>
          <w:rFonts w:cs="Arial"/>
          <w:b/>
        </w:rPr>
        <w:t>Children’s</w:t>
      </w:r>
      <w:r>
        <w:rPr>
          <w:rFonts w:cs="Arial"/>
          <w:b/>
        </w:rPr>
        <w:t xml:space="preserve"> Service</w:t>
      </w:r>
      <w:r w:rsidRPr="00C42730">
        <w:rPr>
          <w:rFonts w:cs="Arial"/>
          <w:b/>
        </w:rPr>
        <w:t xml:space="preserve"> </w:t>
      </w:r>
      <w:r>
        <w:rPr>
          <w:rFonts w:cs="Arial"/>
          <w:b/>
        </w:rPr>
        <w:t>(</w:t>
      </w:r>
      <w:r w:rsidRPr="00C42730">
        <w:rPr>
          <w:rFonts w:cs="Arial"/>
          <w:b/>
        </w:rPr>
        <w:t>Family Service</w:t>
      </w:r>
      <w:r>
        <w:rPr>
          <w:rFonts w:cs="Arial"/>
          <w:b/>
        </w:rPr>
        <w:t>s)</w:t>
      </w:r>
      <w:r>
        <w:rPr>
          <w:rFonts w:cs="Arial"/>
        </w:rPr>
        <w:t xml:space="preserve">. </w:t>
      </w:r>
    </w:p>
    <w:p w:rsidR="0046067C" w:rsidRDefault="0046067C" w:rsidP="0046067C">
      <w:pPr>
        <w:jc w:val="both"/>
        <w:rPr>
          <w:rFonts w:cs="Arial"/>
        </w:rPr>
      </w:pPr>
      <w:r>
        <w:rPr>
          <w:rFonts w:cs="Arial"/>
          <w:b/>
        </w:rPr>
        <w:t xml:space="preserve">Pressures: </w:t>
      </w:r>
      <w:r>
        <w:rPr>
          <w:rFonts w:cs="Arial"/>
        </w:rPr>
        <w:t>T</w:t>
      </w:r>
      <w:r w:rsidRPr="00183999">
        <w:rPr>
          <w:rFonts w:cs="Arial"/>
        </w:rPr>
        <w:t xml:space="preserve">he Council’s budget is expected to decrease by </w:t>
      </w:r>
      <w:r>
        <w:rPr>
          <w:rFonts w:cs="Arial"/>
          <w:b/>
        </w:rPr>
        <w:t>11.7</w:t>
      </w:r>
      <w:r w:rsidRPr="00183999">
        <w:rPr>
          <w:rFonts w:cs="Arial"/>
          <w:b/>
        </w:rPr>
        <w:t>%</w:t>
      </w:r>
      <w:r>
        <w:rPr>
          <w:rFonts w:cs="Arial"/>
        </w:rPr>
        <w:t xml:space="preserve"> over the five years to 2020.</w:t>
      </w:r>
    </w:p>
    <w:p w:rsidR="0046067C" w:rsidRDefault="0046067C" w:rsidP="0046067C">
      <w:pPr>
        <w:jc w:val="both"/>
        <w:rPr>
          <w:rFonts w:cs="Arial"/>
        </w:rPr>
      </w:pPr>
    </w:p>
    <w:p w:rsidR="0046067C" w:rsidRDefault="0046067C" w:rsidP="0046067C">
      <w:pPr>
        <w:jc w:val="both"/>
        <w:rPr>
          <w:rFonts w:cs="Arial"/>
        </w:rPr>
      </w:pPr>
    </w:p>
    <w:p w:rsidR="0046067C" w:rsidRDefault="0046067C" w:rsidP="0046067C">
      <w:pPr>
        <w:jc w:val="both"/>
        <w:rPr>
          <w:rFonts w:cs="Arial"/>
        </w:rPr>
      </w:pPr>
    </w:p>
    <w:p w:rsidR="0046067C" w:rsidRDefault="0046067C" w:rsidP="0046067C">
      <w:pPr>
        <w:jc w:val="both"/>
        <w:rPr>
          <w:rFonts w:cs="Arial"/>
        </w:rPr>
      </w:pPr>
    </w:p>
    <w:p w:rsidR="0046067C" w:rsidRDefault="0046067C" w:rsidP="0046067C">
      <w:pPr>
        <w:pStyle w:val="Heading2"/>
        <w:spacing w:before="0"/>
      </w:pPr>
      <w:bookmarkStart w:id="1032" w:name="_Toc426723443"/>
      <w:bookmarkStart w:id="1033" w:name="_Toc427327516"/>
      <w:bookmarkStart w:id="1034" w:name="_Toc431225270"/>
      <w:r w:rsidRPr="0009746C">
        <w:lastRenderedPageBreak/>
        <w:t>Adults and Communities 2014-15</w:t>
      </w:r>
      <w:bookmarkEnd w:id="1032"/>
      <w:bookmarkEnd w:id="1033"/>
      <w:bookmarkEnd w:id="1034"/>
    </w:p>
    <w:p w:rsidR="0046067C" w:rsidRPr="00695F19" w:rsidRDefault="0046067C" w:rsidP="0046067C">
      <w:pPr>
        <w:spacing w:after="0"/>
      </w:pPr>
    </w:p>
    <w:p w:rsidR="0046067C" w:rsidRDefault="0046067C" w:rsidP="0046067C">
      <w:pPr>
        <w:pStyle w:val="Caption"/>
        <w:spacing w:after="0"/>
      </w:pPr>
      <w:r>
        <w:t xml:space="preserve">Table </w:t>
      </w:r>
      <w:fldSimple w:instr=" STYLEREF 1 \s ">
        <w:r w:rsidR="001663C2">
          <w:rPr>
            <w:noProof/>
          </w:rPr>
          <w:t>13</w:t>
        </w:r>
      </w:fldSimple>
      <w:r>
        <w:noBreakHyphen/>
      </w:r>
      <w:fldSimple w:instr=" SEQ Table \* ARABIC \s 1 ">
        <w:r w:rsidR="001663C2">
          <w:rPr>
            <w:noProof/>
          </w:rPr>
          <w:t>2</w:t>
        </w:r>
      </w:fldSimple>
      <w:r>
        <w:rPr>
          <w:noProof/>
        </w:rPr>
        <w:t xml:space="preserve">: </w:t>
      </w:r>
      <w:r w:rsidRPr="0009746C">
        <w:t>Adults and Communities</w:t>
      </w:r>
      <w:r>
        <w:t xml:space="preserve"> Budget and Outturn</w:t>
      </w:r>
      <w:r w:rsidRPr="0009746C">
        <w:t xml:space="preserve"> 2014-15</w:t>
      </w:r>
    </w:p>
    <w:tbl>
      <w:tblPr>
        <w:tblW w:w="4966" w:type="pct"/>
        <w:jc w:val="center"/>
        <w:tblLayout w:type="fixed"/>
        <w:tblLook w:val="04A0" w:firstRow="1" w:lastRow="0" w:firstColumn="1" w:lastColumn="0" w:noHBand="0" w:noVBand="1"/>
      </w:tblPr>
      <w:tblGrid>
        <w:gridCol w:w="4076"/>
        <w:gridCol w:w="1701"/>
        <w:gridCol w:w="1701"/>
        <w:gridCol w:w="1701"/>
      </w:tblGrid>
      <w:tr w:rsidR="0046067C" w:rsidRPr="00541C37" w:rsidTr="00881CC4">
        <w:trPr>
          <w:trHeight w:val="600"/>
          <w:jc w:val="center"/>
        </w:trPr>
        <w:tc>
          <w:tcPr>
            <w:tcW w:w="4077" w:type="dxa"/>
            <w:vMerge w:val="restart"/>
            <w:tcBorders>
              <w:top w:val="single" w:sz="4" w:space="0" w:color="auto"/>
              <w:left w:val="single" w:sz="4" w:space="0" w:color="auto"/>
              <w:right w:val="single" w:sz="4" w:space="0" w:color="auto"/>
            </w:tcBorders>
            <w:shd w:val="clear" w:color="auto" w:fill="BFBFBF" w:themeFill="background1" w:themeFillShade="BF"/>
            <w:noWrap/>
            <w:vAlign w:val="center"/>
            <w:hideMark/>
          </w:tcPr>
          <w:p w:rsidR="0046067C" w:rsidRPr="003330AA" w:rsidRDefault="0046067C" w:rsidP="00881CC4">
            <w:pPr>
              <w:spacing w:after="0" w:line="240" w:lineRule="auto"/>
              <w:rPr>
                <w:rFonts w:eastAsia="Times New Roman" w:cs="Times New Roman"/>
                <w:b/>
                <w:bCs/>
                <w:color w:val="000000"/>
                <w:lang w:eastAsia="en-GB"/>
              </w:rPr>
            </w:pPr>
            <w:r w:rsidRPr="003330AA">
              <w:rPr>
                <w:rFonts w:eastAsia="Times New Roman" w:cs="Times New Roman"/>
                <w:b/>
                <w:bCs/>
                <w:color w:val="000000"/>
                <w:lang w:eastAsia="en-GB"/>
              </w:rPr>
              <w:t>Adults and Communities</w:t>
            </w:r>
          </w:p>
          <w:p w:rsidR="0046067C" w:rsidRPr="003330AA" w:rsidRDefault="0046067C" w:rsidP="00881CC4">
            <w:pPr>
              <w:spacing w:after="0" w:line="240" w:lineRule="auto"/>
              <w:rPr>
                <w:rFonts w:eastAsia="Times New Roman" w:cs="Times New Roman"/>
                <w:b/>
                <w:bCs/>
                <w:color w:val="000000"/>
                <w:lang w:eastAsia="en-GB"/>
              </w:rPr>
            </w:pPr>
            <w:r w:rsidRPr="003330AA">
              <w:rPr>
                <w:rFonts w:eastAsia="Times New Roman" w:cs="Times New Roman"/>
                <w:b/>
                <w:bCs/>
                <w:color w:val="000000"/>
                <w:lang w:eastAsia="en-GB"/>
              </w:rPr>
              <w:t> </w:t>
            </w:r>
          </w:p>
        </w:tc>
        <w:tc>
          <w:tcPr>
            <w:tcW w:w="1701"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46067C" w:rsidRPr="003330AA" w:rsidRDefault="0046067C" w:rsidP="00881CC4">
            <w:pPr>
              <w:spacing w:after="0" w:line="240" w:lineRule="auto"/>
              <w:jc w:val="center"/>
              <w:rPr>
                <w:rFonts w:eastAsia="Times New Roman" w:cs="Times New Roman"/>
                <w:b/>
                <w:bCs/>
                <w:color w:val="000000"/>
                <w:lang w:eastAsia="en-GB"/>
              </w:rPr>
            </w:pPr>
            <w:r w:rsidRPr="003330AA">
              <w:rPr>
                <w:rFonts w:eastAsia="Times New Roman" w:cs="Times New Roman"/>
                <w:b/>
                <w:bCs/>
                <w:color w:val="000000"/>
                <w:lang w:eastAsia="en-GB"/>
              </w:rPr>
              <w:t>Original Net Budget</w:t>
            </w:r>
          </w:p>
        </w:tc>
        <w:tc>
          <w:tcPr>
            <w:tcW w:w="1701"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46067C" w:rsidRPr="003330AA" w:rsidRDefault="0046067C" w:rsidP="00881CC4">
            <w:pPr>
              <w:spacing w:after="0" w:line="240" w:lineRule="auto"/>
              <w:jc w:val="center"/>
              <w:rPr>
                <w:rFonts w:eastAsia="Times New Roman" w:cs="Times New Roman"/>
                <w:b/>
                <w:bCs/>
                <w:color w:val="000000"/>
                <w:lang w:eastAsia="en-GB"/>
              </w:rPr>
            </w:pPr>
            <w:r w:rsidRPr="003330AA">
              <w:rPr>
                <w:rFonts w:eastAsia="Times New Roman" w:cs="Times New Roman"/>
                <w:b/>
                <w:bCs/>
                <w:color w:val="000000"/>
                <w:lang w:eastAsia="en-GB"/>
              </w:rPr>
              <w:t>Current Net Budget</w:t>
            </w:r>
          </w:p>
        </w:tc>
        <w:tc>
          <w:tcPr>
            <w:tcW w:w="1701"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46067C" w:rsidRPr="003330AA" w:rsidRDefault="0046067C" w:rsidP="00881CC4">
            <w:pPr>
              <w:spacing w:after="0" w:line="240" w:lineRule="auto"/>
              <w:jc w:val="center"/>
              <w:rPr>
                <w:rFonts w:eastAsia="Times New Roman" w:cs="Times New Roman"/>
                <w:b/>
                <w:bCs/>
                <w:color w:val="000000"/>
                <w:lang w:eastAsia="en-GB"/>
              </w:rPr>
            </w:pPr>
            <w:r>
              <w:rPr>
                <w:rFonts w:eastAsia="Times New Roman" w:cs="Times New Roman"/>
                <w:b/>
                <w:bCs/>
                <w:color w:val="000000"/>
                <w:lang w:eastAsia="en-GB"/>
              </w:rPr>
              <w:t>Outturn</w:t>
            </w:r>
          </w:p>
        </w:tc>
      </w:tr>
      <w:tr w:rsidR="0046067C" w:rsidRPr="00541C37" w:rsidTr="00881CC4">
        <w:trPr>
          <w:trHeight w:val="300"/>
          <w:jc w:val="center"/>
        </w:trPr>
        <w:tc>
          <w:tcPr>
            <w:tcW w:w="4077" w:type="dxa"/>
            <w:vMerge/>
            <w:tcBorders>
              <w:left w:val="single" w:sz="4" w:space="0" w:color="auto"/>
              <w:bottom w:val="single" w:sz="4" w:space="0" w:color="auto"/>
              <w:right w:val="single" w:sz="4" w:space="0" w:color="auto"/>
            </w:tcBorders>
            <w:shd w:val="clear" w:color="auto" w:fill="BFBFBF" w:themeFill="background1" w:themeFillShade="BF"/>
            <w:noWrap/>
            <w:vAlign w:val="bottom"/>
            <w:hideMark/>
          </w:tcPr>
          <w:p w:rsidR="0046067C" w:rsidRPr="003330AA" w:rsidRDefault="0046067C" w:rsidP="00881CC4">
            <w:pPr>
              <w:spacing w:after="0" w:line="240" w:lineRule="auto"/>
              <w:rPr>
                <w:rFonts w:eastAsia="Times New Roman" w:cs="Times New Roman"/>
                <w:b/>
                <w:bCs/>
                <w:color w:val="000000"/>
                <w:lang w:eastAsia="en-GB"/>
              </w:rPr>
            </w:pPr>
          </w:p>
        </w:tc>
        <w:tc>
          <w:tcPr>
            <w:tcW w:w="1701" w:type="dxa"/>
            <w:tcBorders>
              <w:top w:val="nil"/>
              <w:left w:val="nil"/>
              <w:bottom w:val="single" w:sz="4" w:space="0" w:color="auto"/>
              <w:right w:val="single" w:sz="4" w:space="0" w:color="auto"/>
            </w:tcBorders>
            <w:shd w:val="clear" w:color="auto" w:fill="BFBFBF" w:themeFill="background1" w:themeFillShade="BF"/>
            <w:noWrap/>
            <w:vAlign w:val="center"/>
            <w:hideMark/>
          </w:tcPr>
          <w:p w:rsidR="0046067C" w:rsidRPr="003330AA" w:rsidRDefault="0046067C" w:rsidP="00881CC4">
            <w:pPr>
              <w:spacing w:after="0" w:line="240" w:lineRule="auto"/>
              <w:jc w:val="center"/>
              <w:rPr>
                <w:rFonts w:eastAsia="Times New Roman" w:cs="Times New Roman"/>
                <w:b/>
                <w:bCs/>
                <w:color w:val="000000"/>
                <w:lang w:eastAsia="en-GB"/>
              </w:rPr>
            </w:pPr>
            <w:r w:rsidRPr="003330AA">
              <w:rPr>
                <w:rFonts w:eastAsia="Times New Roman" w:cs="Times New Roman"/>
                <w:b/>
                <w:bCs/>
                <w:color w:val="000000"/>
                <w:lang w:eastAsia="en-GB"/>
              </w:rPr>
              <w:t>£'000</w:t>
            </w:r>
          </w:p>
        </w:tc>
        <w:tc>
          <w:tcPr>
            <w:tcW w:w="1701" w:type="dxa"/>
            <w:tcBorders>
              <w:top w:val="nil"/>
              <w:left w:val="nil"/>
              <w:bottom w:val="single" w:sz="4" w:space="0" w:color="auto"/>
              <w:right w:val="single" w:sz="4" w:space="0" w:color="auto"/>
            </w:tcBorders>
            <w:shd w:val="clear" w:color="auto" w:fill="BFBFBF" w:themeFill="background1" w:themeFillShade="BF"/>
            <w:noWrap/>
            <w:vAlign w:val="center"/>
            <w:hideMark/>
          </w:tcPr>
          <w:p w:rsidR="0046067C" w:rsidRPr="003330AA" w:rsidRDefault="0046067C" w:rsidP="00881CC4">
            <w:pPr>
              <w:spacing w:after="0" w:line="240" w:lineRule="auto"/>
              <w:jc w:val="center"/>
              <w:rPr>
                <w:rFonts w:eastAsia="Times New Roman" w:cs="Times New Roman"/>
                <w:b/>
                <w:bCs/>
                <w:color w:val="000000"/>
                <w:lang w:eastAsia="en-GB"/>
              </w:rPr>
            </w:pPr>
            <w:r w:rsidRPr="003330AA">
              <w:rPr>
                <w:rFonts w:eastAsia="Times New Roman" w:cs="Times New Roman"/>
                <w:b/>
                <w:bCs/>
                <w:color w:val="000000"/>
                <w:lang w:eastAsia="en-GB"/>
              </w:rPr>
              <w:t>£'000</w:t>
            </w:r>
          </w:p>
        </w:tc>
        <w:tc>
          <w:tcPr>
            <w:tcW w:w="1701" w:type="dxa"/>
            <w:tcBorders>
              <w:top w:val="nil"/>
              <w:left w:val="nil"/>
              <w:bottom w:val="single" w:sz="4" w:space="0" w:color="auto"/>
              <w:right w:val="single" w:sz="4" w:space="0" w:color="auto"/>
            </w:tcBorders>
            <w:shd w:val="clear" w:color="auto" w:fill="BFBFBF" w:themeFill="background1" w:themeFillShade="BF"/>
            <w:noWrap/>
            <w:vAlign w:val="center"/>
            <w:hideMark/>
          </w:tcPr>
          <w:p w:rsidR="0046067C" w:rsidRPr="003330AA" w:rsidRDefault="0046067C" w:rsidP="00881CC4">
            <w:pPr>
              <w:spacing w:after="0" w:line="240" w:lineRule="auto"/>
              <w:jc w:val="center"/>
              <w:rPr>
                <w:rFonts w:eastAsia="Times New Roman" w:cs="Times New Roman"/>
                <w:b/>
                <w:bCs/>
                <w:color w:val="000000"/>
                <w:lang w:eastAsia="en-GB"/>
              </w:rPr>
            </w:pPr>
            <w:r w:rsidRPr="003330AA">
              <w:rPr>
                <w:rFonts w:eastAsia="Times New Roman" w:cs="Times New Roman"/>
                <w:b/>
                <w:bCs/>
                <w:color w:val="000000"/>
                <w:lang w:eastAsia="en-GB"/>
              </w:rPr>
              <w:t>£'000</w:t>
            </w:r>
          </w:p>
        </w:tc>
      </w:tr>
      <w:tr w:rsidR="0046067C" w:rsidRPr="00541C37" w:rsidTr="00881CC4">
        <w:trPr>
          <w:trHeight w:val="300"/>
          <w:jc w:val="center"/>
        </w:trPr>
        <w:tc>
          <w:tcPr>
            <w:tcW w:w="4077" w:type="dxa"/>
            <w:tcBorders>
              <w:top w:val="nil"/>
              <w:left w:val="single" w:sz="4" w:space="0" w:color="auto"/>
              <w:bottom w:val="single" w:sz="4" w:space="0" w:color="auto"/>
              <w:right w:val="single" w:sz="4" w:space="0" w:color="auto"/>
            </w:tcBorders>
            <w:shd w:val="clear" w:color="000000" w:fill="FFFFFF"/>
            <w:noWrap/>
            <w:hideMark/>
          </w:tcPr>
          <w:p w:rsidR="0046067C" w:rsidRPr="003330AA" w:rsidRDefault="0046067C" w:rsidP="00881CC4">
            <w:pPr>
              <w:spacing w:after="0" w:line="240" w:lineRule="auto"/>
              <w:rPr>
                <w:rFonts w:eastAsia="Times New Roman" w:cs="Arial"/>
                <w:lang w:eastAsia="en-GB"/>
              </w:rPr>
            </w:pPr>
            <w:r w:rsidRPr="003330AA">
              <w:rPr>
                <w:rFonts w:eastAsia="Times New Roman" w:cs="Arial"/>
                <w:lang w:eastAsia="en-GB"/>
              </w:rPr>
              <w:t>Births, Deaths &amp; Marriages</w:t>
            </w:r>
          </w:p>
        </w:tc>
        <w:tc>
          <w:tcPr>
            <w:tcW w:w="1701" w:type="dxa"/>
            <w:tcBorders>
              <w:top w:val="nil"/>
              <w:left w:val="nil"/>
              <w:bottom w:val="single" w:sz="4" w:space="0" w:color="auto"/>
              <w:right w:val="single" w:sz="4" w:space="0" w:color="auto"/>
            </w:tcBorders>
            <w:shd w:val="clear" w:color="000000" w:fill="FFFFFF"/>
            <w:noWrap/>
            <w:hideMark/>
          </w:tcPr>
          <w:p w:rsidR="0046067C" w:rsidRPr="003330AA" w:rsidRDefault="0046067C" w:rsidP="00881CC4">
            <w:pPr>
              <w:spacing w:after="0" w:line="240" w:lineRule="auto"/>
              <w:jc w:val="right"/>
              <w:rPr>
                <w:rFonts w:eastAsia="Times New Roman" w:cs="Arial"/>
                <w:color w:val="FF0000"/>
                <w:lang w:eastAsia="en-GB"/>
              </w:rPr>
            </w:pPr>
            <w:r w:rsidRPr="003330AA">
              <w:rPr>
                <w:rFonts w:eastAsia="Times New Roman" w:cs="Arial"/>
                <w:color w:val="FF0000"/>
                <w:lang w:eastAsia="en-GB"/>
              </w:rPr>
              <w:t>-161</w:t>
            </w:r>
          </w:p>
        </w:tc>
        <w:tc>
          <w:tcPr>
            <w:tcW w:w="1701" w:type="dxa"/>
            <w:tcBorders>
              <w:top w:val="nil"/>
              <w:left w:val="nil"/>
              <w:bottom w:val="single" w:sz="4" w:space="0" w:color="auto"/>
              <w:right w:val="single" w:sz="4" w:space="0" w:color="auto"/>
            </w:tcBorders>
            <w:shd w:val="clear" w:color="000000" w:fill="FFFFFF"/>
            <w:noWrap/>
            <w:hideMark/>
          </w:tcPr>
          <w:p w:rsidR="0046067C" w:rsidRPr="003330AA" w:rsidRDefault="0046067C" w:rsidP="00881CC4">
            <w:pPr>
              <w:spacing w:after="0" w:line="240" w:lineRule="auto"/>
              <w:jc w:val="right"/>
              <w:rPr>
                <w:rFonts w:eastAsia="Times New Roman" w:cs="Arial"/>
                <w:color w:val="FF0000"/>
                <w:lang w:eastAsia="en-GB"/>
              </w:rPr>
            </w:pPr>
            <w:r w:rsidRPr="003330AA">
              <w:rPr>
                <w:rFonts w:eastAsia="Times New Roman" w:cs="Arial"/>
                <w:color w:val="FF0000"/>
                <w:lang w:eastAsia="en-GB"/>
              </w:rPr>
              <w:t>-160</w:t>
            </w:r>
          </w:p>
        </w:tc>
        <w:tc>
          <w:tcPr>
            <w:tcW w:w="1701" w:type="dxa"/>
            <w:tcBorders>
              <w:top w:val="nil"/>
              <w:left w:val="nil"/>
              <w:bottom w:val="single" w:sz="4" w:space="0" w:color="auto"/>
              <w:right w:val="single" w:sz="4" w:space="0" w:color="auto"/>
            </w:tcBorders>
            <w:shd w:val="clear" w:color="000000" w:fill="FFFFFF"/>
            <w:noWrap/>
            <w:hideMark/>
          </w:tcPr>
          <w:p w:rsidR="0046067C" w:rsidRPr="003330AA" w:rsidRDefault="0046067C" w:rsidP="00881CC4">
            <w:pPr>
              <w:spacing w:after="0" w:line="240" w:lineRule="auto"/>
              <w:jc w:val="right"/>
              <w:rPr>
                <w:rFonts w:eastAsia="Times New Roman" w:cs="Arial"/>
                <w:color w:val="FF0000"/>
                <w:lang w:eastAsia="en-GB"/>
              </w:rPr>
            </w:pPr>
            <w:r w:rsidRPr="003330AA">
              <w:rPr>
                <w:rFonts w:eastAsia="Times New Roman" w:cs="Arial"/>
                <w:color w:val="FF0000"/>
                <w:lang w:eastAsia="en-GB"/>
              </w:rPr>
              <w:t>-12</w:t>
            </w:r>
          </w:p>
        </w:tc>
      </w:tr>
      <w:tr w:rsidR="0046067C" w:rsidRPr="00541C37" w:rsidTr="00881CC4">
        <w:trPr>
          <w:trHeight w:val="300"/>
          <w:jc w:val="center"/>
        </w:trPr>
        <w:tc>
          <w:tcPr>
            <w:tcW w:w="4077" w:type="dxa"/>
            <w:tcBorders>
              <w:top w:val="nil"/>
              <w:left w:val="single" w:sz="4" w:space="0" w:color="auto"/>
              <w:bottom w:val="single" w:sz="4" w:space="0" w:color="auto"/>
              <w:right w:val="single" w:sz="4" w:space="0" w:color="auto"/>
            </w:tcBorders>
            <w:shd w:val="clear" w:color="000000" w:fill="FFFFFF"/>
            <w:hideMark/>
          </w:tcPr>
          <w:p w:rsidR="0046067C" w:rsidRPr="003330AA" w:rsidRDefault="0046067C" w:rsidP="00881CC4">
            <w:pPr>
              <w:spacing w:after="0" w:line="240" w:lineRule="auto"/>
              <w:rPr>
                <w:rFonts w:eastAsia="Times New Roman" w:cs="Arial"/>
                <w:lang w:eastAsia="en-GB"/>
              </w:rPr>
            </w:pPr>
            <w:r w:rsidRPr="003330AA">
              <w:rPr>
                <w:rFonts w:eastAsia="Times New Roman" w:cs="Arial"/>
                <w:lang w:eastAsia="en-GB"/>
              </w:rPr>
              <w:t>Care Quality</w:t>
            </w:r>
          </w:p>
        </w:tc>
        <w:tc>
          <w:tcPr>
            <w:tcW w:w="1701" w:type="dxa"/>
            <w:tcBorders>
              <w:top w:val="nil"/>
              <w:left w:val="nil"/>
              <w:bottom w:val="single" w:sz="4" w:space="0" w:color="auto"/>
              <w:right w:val="single" w:sz="4" w:space="0" w:color="auto"/>
            </w:tcBorders>
            <w:shd w:val="clear" w:color="000000" w:fill="FFFFFF"/>
            <w:noWrap/>
            <w:hideMark/>
          </w:tcPr>
          <w:p w:rsidR="0046067C" w:rsidRPr="003330AA" w:rsidRDefault="0046067C" w:rsidP="00881CC4">
            <w:pPr>
              <w:spacing w:after="0" w:line="240" w:lineRule="auto"/>
              <w:jc w:val="right"/>
              <w:rPr>
                <w:rFonts w:eastAsia="Times New Roman" w:cs="Arial"/>
                <w:color w:val="FFFFFF" w:themeColor="background1"/>
                <w:lang w:eastAsia="en-GB"/>
              </w:rPr>
            </w:pPr>
            <w:r w:rsidRPr="003330AA">
              <w:rPr>
                <w:rFonts w:eastAsia="Times New Roman" w:cs="Arial"/>
                <w:lang w:eastAsia="en-GB"/>
              </w:rPr>
              <w:t>1,363</w:t>
            </w:r>
          </w:p>
        </w:tc>
        <w:tc>
          <w:tcPr>
            <w:tcW w:w="1701" w:type="dxa"/>
            <w:tcBorders>
              <w:top w:val="nil"/>
              <w:left w:val="nil"/>
              <w:bottom w:val="single" w:sz="4" w:space="0" w:color="auto"/>
              <w:right w:val="single" w:sz="4" w:space="0" w:color="auto"/>
            </w:tcBorders>
            <w:shd w:val="clear" w:color="000000" w:fill="FFFFFF"/>
            <w:noWrap/>
            <w:hideMark/>
          </w:tcPr>
          <w:p w:rsidR="0046067C" w:rsidRPr="003330AA" w:rsidRDefault="0046067C" w:rsidP="00881CC4">
            <w:pPr>
              <w:spacing w:after="0" w:line="240" w:lineRule="auto"/>
              <w:jc w:val="right"/>
              <w:rPr>
                <w:rFonts w:eastAsia="Times New Roman" w:cs="Arial"/>
                <w:color w:val="FFFFFF" w:themeColor="background1"/>
                <w:lang w:eastAsia="en-GB"/>
              </w:rPr>
            </w:pPr>
            <w:r w:rsidRPr="003330AA">
              <w:rPr>
                <w:rFonts w:eastAsia="Times New Roman" w:cs="Arial"/>
                <w:lang w:eastAsia="en-GB"/>
              </w:rPr>
              <w:t>1,353</w:t>
            </w:r>
          </w:p>
        </w:tc>
        <w:tc>
          <w:tcPr>
            <w:tcW w:w="1701" w:type="dxa"/>
            <w:tcBorders>
              <w:top w:val="nil"/>
              <w:left w:val="nil"/>
              <w:bottom w:val="single" w:sz="4" w:space="0" w:color="auto"/>
              <w:right w:val="single" w:sz="4" w:space="0" w:color="auto"/>
            </w:tcBorders>
            <w:shd w:val="clear" w:color="000000" w:fill="FFFFFF"/>
            <w:noWrap/>
            <w:hideMark/>
          </w:tcPr>
          <w:p w:rsidR="0046067C" w:rsidRPr="003330AA" w:rsidRDefault="0046067C" w:rsidP="00881CC4">
            <w:pPr>
              <w:spacing w:after="0" w:line="240" w:lineRule="auto"/>
              <w:jc w:val="right"/>
              <w:rPr>
                <w:rFonts w:eastAsia="Times New Roman" w:cs="Arial"/>
                <w:color w:val="FFFFFF" w:themeColor="background1"/>
                <w:lang w:eastAsia="en-GB"/>
              </w:rPr>
            </w:pPr>
            <w:r w:rsidRPr="003330AA">
              <w:rPr>
                <w:rFonts w:eastAsia="Times New Roman" w:cs="Arial"/>
                <w:lang w:eastAsia="en-GB"/>
              </w:rPr>
              <w:t>1,227</w:t>
            </w:r>
          </w:p>
        </w:tc>
      </w:tr>
      <w:tr w:rsidR="0046067C" w:rsidRPr="00541C37" w:rsidTr="00881CC4">
        <w:trPr>
          <w:trHeight w:val="300"/>
          <w:jc w:val="center"/>
        </w:trPr>
        <w:tc>
          <w:tcPr>
            <w:tcW w:w="4077" w:type="dxa"/>
            <w:tcBorders>
              <w:top w:val="nil"/>
              <w:left w:val="single" w:sz="4" w:space="0" w:color="auto"/>
              <w:bottom w:val="single" w:sz="4" w:space="0" w:color="auto"/>
              <w:right w:val="single" w:sz="4" w:space="0" w:color="auto"/>
            </w:tcBorders>
            <w:shd w:val="clear" w:color="000000" w:fill="FFFFFF"/>
            <w:noWrap/>
            <w:hideMark/>
          </w:tcPr>
          <w:p w:rsidR="0046067C" w:rsidRPr="003330AA" w:rsidRDefault="0046067C" w:rsidP="00881CC4">
            <w:pPr>
              <w:spacing w:after="0" w:line="240" w:lineRule="auto"/>
              <w:rPr>
                <w:rFonts w:eastAsia="Times New Roman" w:cs="Arial"/>
                <w:lang w:eastAsia="en-GB"/>
              </w:rPr>
            </w:pPr>
            <w:r w:rsidRPr="003330AA">
              <w:rPr>
                <w:rFonts w:eastAsia="Times New Roman" w:cs="Arial"/>
                <w:lang w:eastAsia="en-GB"/>
              </w:rPr>
              <w:t>Community Safety</w:t>
            </w:r>
          </w:p>
        </w:tc>
        <w:tc>
          <w:tcPr>
            <w:tcW w:w="1701" w:type="dxa"/>
            <w:tcBorders>
              <w:top w:val="nil"/>
              <w:left w:val="nil"/>
              <w:bottom w:val="single" w:sz="4" w:space="0" w:color="auto"/>
              <w:right w:val="single" w:sz="4" w:space="0" w:color="auto"/>
            </w:tcBorders>
            <w:shd w:val="clear" w:color="000000" w:fill="FFFFFF"/>
            <w:noWrap/>
            <w:hideMark/>
          </w:tcPr>
          <w:p w:rsidR="0046067C" w:rsidRPr="003330AA" w:rsidRDefault="0046067C" w:rsidP="00881CC4">
            <w:pPr>
              <w:spacing w:after="0" w:line="240" w:lineRule="auto"/>
              <w:jc w:val="right"/>
              <w:rPr>
                <w:rFonts w:eastAsia="Times New Roman" w:cs="Arial"/>
                <w:color w:val="FFFFFF" w:themeColor="background1"/>
                <w:lang w:eastAsia="en-GB"/>
              </w:rPr>
            </w:pPr>
            <w:r w:rsidRPr="003330AA">
              <w:rPr>
                <w:rFonts w:eastAsia="Times New Roman" w:cs="Arial"/>
                <w:lang w:eastAsia="en-GB"/>
              </w:rPr>
              <w:t>1,965</w:t>
            </w:r>
          </w:p>
        </w:tc>
        <w:tc>
          <w:tcPr>
            <w:tcW w:w="1701" w:type="dxa"/>
            <w:tcBorders>
              <w:top w:val="nil"/>
              <w:left w:val="nil"/>
              <w:bottom w:val="single" w:sz="4" w:space="0" w:color="auto"/>
              <w:right w:val="single" w:sz="4" w:space="0" w:color="auto"/>
            </w:tcBorders>
            <w:shd w:val="clear" w:color="000000" w:fill="FFFFFF"/>
            <w:noWrap/>
            <w:hideMark/>
          </w:tcPr>
          <w:p w:rsidR="0046067C" w:rsidRPr="003330AA" w:rsidRDefault="0046067C" w:rsidP="00881CC4">
            <w:pPr>
              <w:spacing w:after="0" w:line="240" w:lineRule="auto"/>
              <w:jc w:val="right"/>
              <w:rPr>
                <w:rFonts w:eastAsia="Times New Roman" w:cs="Arial"/>
                <w:color w:val="FFFFFF" w:themeColor="background1"/>
                <w:lang w:eastAsia="en-GB"/>
              </w:rPr>
            </w:pPr>
            <w:r w:rsidRPr="003330AA">
              <w:rPr>
                <w:rFonts w:eastAsia="Times New Roman" w:cs="Arial"/>
                <w:lang w:eastAsia="en-GB"/>
              </w:rPr>
              <w:t>1,911</w:t>
            </w:r>
          </w:p>
        </w:tc>
        <w:tc>
          <w:tcPr>
            <w:tcW w:w="1701" w:type="dxa"/>
            <w:tcBorders>
              <w:top w:val="nil"/>
              <w:left w:val="nil"/>
              <w:bottom w:val="single" w:sz="4" w:space="0" w:color="auto"/>
              <w:right w:val="single" w:sz="4" w:space="0" w:color="auto"/>
            </w:tcBorders>
            <w:shd w:val="clear" w:color="000000" w:fill="FFFFFF"/>
            <w:noWrap/>
            <w:hideMark/>
          </w:tcPr>
          <w:p w:rsidR="0046067C" w:rsidRPr="003330AA" w:rsidRDefault="0046067C" w:rsidP="00881CC4">
            <w:pPr>
              <w:spacing w:after="0" w:line="240" w:lineRule="auto"/>
              <w:jc w:val="right"/>
              <w:rPr>
                <w:rFonts w:eastAsia="Times New Roman" w:cs="Arial"/>
                <w:color w:val="FFFFFF" w:themeColor="background1"/>
                <w:lang w:eastAsia="en-GB"/>
              </w:rPr>
            </w:pPr>
            <w:r w:rsidRPr="003330AA">
              <w:rPr>
                <w:rFonts w:eastAsia="Times New Roman" w:cs="Arial"/>
                <w:lang w:eastAsia="en-GB"/>
              </w:rPr>
              <w:t>1,623</w:t>
            </w:r>
          </w:p>
        </w:tc>
      </w:tr>
      <w:tr w:rsidR="0046067C" w:rsidRPr="00541C37" w:rsidTr="00881CC4">
        <w:trPr>
          <w:trHeight w:val="300"/>
          <w:jc w:val="center"/>
        </w:trPr>
        <w:tc>
          <w:tcPr>
            <w:tcW w:w="4077" w:type="dxa"/>
            <w:tcBorders>
              <w:top w:val="nil"/>
              <w:left w:val="single" w:sz="4" w:space="0" w:color="auto"/>
              <w:bottom w:val="single" w:sz="4" w:space="0" w:color="auto"/>
              <w:right w:val="single" w:sz="4" w:space="0" w:color="auto"/>
            </w:tcBorders>
            <w:shd w:val="clear" w:color="000000" w:fill="FFFFFF"/>
            <w:noWrap/>
            <w:hideMark/>
          </w:tcPr>
          <w:p w:rsidR="0046067C" w:rsidRPr="003330AA" w:rsidRDefault="0046067C" w:rsidP="00881CC4">
            <w:pPr>
              <w:spacing w:after="0" w:line="240" w:lineRule="auto"/>
              <w:rPr>
                <w:rFonts w:eastAsia="Times New Roman" w:cs="Arial"/>
                <w:lang w:eastAsia="en-GB"/>
              </w:rPr>
            </w:pPr>
            <w:r w:rsidRPr="003330AA">
              <w:rPr>
                <w:rFonts w:eastAsia="Times New Roman" w:cs="Arial"/>
                <w:lang w:eastAsia="en-GB"/>
              </w:rPr>
              <w:t>Community Well-being</w:t>
            </w:r>
          </w:p>
        </w:tc>
        <w:tc>
          <w:tcPr>
            <w:tcW w:w="1701" w:type="dxa"/>
            <w:tcBorders>
              <w:top w:val="nil"/>
              <w:left w:val="nil"/>
              <w:bottom w:val="single" w:sz="4" w:space="0" w:color="auto"/>
              <w:right w:val="single" w:sz="4" w:space="0" w:color="auto"/>
            </w:tcBorders>
            <w:shd w:val="clear" w:color="000000" w:fill="FFFFFF"/>
            <w:noWrap/>
            <w:hideMark/>
          </w:tcPr>
          <w:p w:rsidR="0046067C" w:rsidRPr="003330AA" w:rsidRDefault="0046067C" w:rsidP="00881CC4">
            <w:pPr>
              <w:spacing w:after="0" w:line="240" w:lineRule="auto"/>
              <w:jc w:val="right"/>
              <w:rPr>
                <w:rFonts w:eastAsia="Times New Roman" w:cs="Arial"/>
                <w:color w:val="FFFFFF" w:themeColor="background1"/>
                <w:lang w:eastAsia="en-GB"/>
              </w:rPr>
            </w:pPr>
            <w:r w:rsidRPr="003330AA">
              <w:rPr>
                <w:rFonts w:eastAsia="Times New Roman" w:cs="Arial"/>
                <w:color w:val="FF0000"/>
                <w:lang w:eastAsia="en-GB"/>
              </w:rPr>
              <w:t>-289</w:t>
            </w:r>
          </w:p>
        </w:tc>
        <w:tc>
          <w:tcPr>
            <w:tcW w:w="1701" w:type="dxa"/>
            <w:tcBorders>
              <w:top w:val="nil"/>
              <w:left w:val="nil"/>
              <w:bottom w:val="single" w:sz="4" w:space="0" w:color="auto"/>
              <w:right w:val="single" w:sz="4" w:space="0" w:color="auto"/>
            </w:tcBorders>
            <w:shd w:val="clear" w:color="000000" w:fill="FFFFFF"/>
            <w:noWrap/>
            <w:hideMark/>
          </w:tcPr>
          <w:p w:rsidR="0046067C" w:rsidRPr="003330AA" w:rsidRDefault="0046067C" w:rsidP="00881CC4">
            <w:pPr>
              <w:spacing w:after="0" w:line="240" w:lineRule="auto"/>
              <w:jc w:val="right"/>
              <w:rPr>
                <w:rFonts w:eastAsia="Times New Roman" w:cs="Arial"/>
                <w:color w:val="FFFFFF" w:themeColor="background1"/>
                <w:lang w:eastAsia="en-GB"/>
              </w:rPr>
            </w:pPr>
            <w:r w:rsidRPr="003330AA">
              <w:rPr>
                <w:rFonts w:eastAsia="Times New Roman" w:cs="Arial"/>
                <w:lang w:eastAsia="en-GB"/>
              </w:rPr>
              <w:t>212</w:t>
            </w:r>
          </w:p>
        </w:tc>
        <w:tc>
          <w:tcPr>
            <w:tcW w:w="1701" w:type="dxa"/>
            <w:tcBorders>
              <w:top w:val="nil"/>
              <w:left w:val="nil"/>
              <w:bottom w:val="single" w:sz="4" w:space="0" w:color="auto"/>
              <w:right w:val="single" w:sz="4" w:space="0" w:color="auto"/>
            </w:tcBorders>
            <w:shd w:val="clear" w:color="000000" w:fill="FFFFFF"/>
            <w:noWrap/>
            <w:hideMark/>
          </w:tcPr>
          <w:p w:rsidR="0046067C" w:rsidRPr="003330AA" w:rsidRDefault="0046067C" w:rsidP="00881CC4">
            <w:pPr>
              <w:spacing w:after="0" w:line="240" w:lineRule="auto"/>
              <w:jc w:val="right"/>
              <w:rPr>
                <w:rFonts w:eastAsia="Times New Roman" w:cs="Arial"/>
                <w:color w:val="FFFFFF" w:themeColor="background1"/>
                <w:lang w:eastAsia="en-GB"/>
              </w:rPr>
            </w:pPr>
            <w:r w:rsidRPr="003330AA">
              <w:rPr>
                <w:rFonts w:eastAsia="Times New Roman" w:cs="Arial"/>
                <w:color w:val="FF0000"/>
                <w:lang w:eastAsia="en-GB"/>
              </w:rPr>
              <w:t>-135</w:t>
            </w:r>
          </w:p>
        </w:tc>
      </w:tr>
      <w:tr w:rsidR="0046067C" w:rsidRPr="00541C37" w:rsidTr="00881CC4">
        <w:trPr>
          <w:trHeight w:val="300"/>
          <w:jc w:val="center"/>
        </w:trPr>
        <w:tc>
          <w:tcPr>
            <w:tcW w:w="4077" w:type="dxa"/>
            <w:tcBorders>
              <w:top w:val="nil"/>
              <w:left w:val="single" w:sz="4" w:space="0" w:color="auto"/>
              <w:bottom w:val="single" w:sz="4" w:space="0" w:color="auto"/>
              <w:right w:val="single" w:sz="4" w:space="0" w:color="auto"/>
            </w:tcBorders>
            <w:shd w:val="clear" w:color="000000" w:fill="FFFFFF"/>
            <w:noWrap/>
            <w:hideMark/>
          </w:tcPr>
          <w:p w:rsidR="0046067C" w:rsidRPr="003330AA" w:rsidRDefault="0046067C" w:rsidP="00881CC4">
            <w:pPr>
              <w:spacing w:after="0" w:line="240" w:lineRule="auto"/>
              <w:rPr>
                <w:rFonts w:eastAsia="Times New Roman" w:cs="Arial"/>
                <w:lang w:eastAsia="en-GB"/>
              </w:rPr>
            </w:pPr>
            <w:r w:rsidRPr="003330AA">
              <w:rPr>
                <w:rFonts w:eastAsia="Times New Roman" w:cs="Arial"/>
                <w:lang w:eastAsia="en-GB"/>
              </w:rPr>
              <w:t>Director Adults Social Service &amp; Health</w:t>
            </w:r>
          </w:p>
        </w:tc>
        <w:tc>
          <w:tcPr>
            <w:tcW w:w="1701" w:type="dxa"/>
            <w:tcBorders>
              <w:top w:val="nil"/>
              <w:left w:val="nil"/>
              <w:bottom w:val="single" w:sz="4" w:space="0" w:color="auto"/>
              <w:right w:val="single" w:sz="4" w:space="0" w:color="auto"/>
            </w:tcBorders>
            <w:shd w:val="clear" w:color="000000" w:fill="FFFFFF"/>
            <w:noWrap/>
            <w:hideMark/>
          </w:tcPr>
          <w:p w:rsidR="0046067C" w:rsidRPr="003330AA" w:rsidRDefault="0046067C" w:rsidP="00881CC4">
            <w:pPr>
              <w:spacing w:after="0" w:line="240" w:lineRule="auto"/>
              <w:jc w:val="right"/>
              <w:rPr>
                <w:rFonts w:eastAsia="Times New Roman" w:cs="Arial"/>
                <w:color w:val="FFFFFF" w:themeColor="background1"/>
                <w:lang w:eastAsia="en-GB"/>
              </w:rPr>
            </w:pPr>
            <w:r w:rsidRPr="003330AA">
              <w:rPr>
                <w:rFonts w:eastAsia="Times New Roman" w:cs="Arial"/>
                <w:lang w:eastAsia="en-GB"/>
              </w:rPr>
              <w:t>185</w:t>
            </w:r>
          </w:p>
        </w:tc>
        <w:tc>
          <w:tcPr>
            <w:tcW w:w="1701" w:type="dxa"/>
            <w:tcBorders>
              <w:top w:val="nil"/>
              <w:left w:val="nil"/>
              <w:bottom w:val="single" w:sz="4" w:space="0" w:color="auto"/>
              <w:right w:val="single" w:sz="4" w:space="0" w:color="auto"/>
            </w:tcBorders>
            <w:shd w:val="clear" w:color="000000" w:fill="FFFFFF"/>
            <w:noWrap/>
            <w:hideMark/>
          </w:tcPr>
          <w:p w:rsidR="0046067C" w:rsidRPr="003330AA" w:rsidRDefault="0046067C" w:rsidP="00881CC4">
            <w:pPr>
              <w:spacing w:after="0" w:line="240" w:lineRule="auto"/>
              <w:jc w:val="right"/>
              <w:rPr>
                <w:rFonts w:eastAsia="Times New Roman" w:cs="Arial"/>
                <w:color w:val="FFFFFF" w:themeColor="background1"/>
                <w:lang w:eastAsia="en-GB"/>
              </w:rPr>
            </w:pPr>
            <w:r w:rsidRPr="003330AA">
              <w:rPr>
                <w:rFonts w:eastAsia="Times New Roman" w:cs="Arial"/>
                <w:lang w:eastAsia="en-GB"/>
              </w:rPr>
              <w:t>187</w:t>
            </w:r>
          </w:p>
        </w:tc>
        <w:tc>
          <w:tcPr>
            <w:tcW w:w="1701" w:type="dxa"/>
            <w:tcBorders>
              <w:top w:val="nil"/>
              <w:left w:val="nil"/>
              <w:bottom w:val="single" w:sz="4" w:space="0" w:color="auto"/>
              <w:right w:val="single" w:sz="4" w:space="0" w:color="auto"/>
            </w:tcBorders>
            <w:shd w:val="clear" w:color="000000" w:fill="FFFFFF"/>
            <w:noWrap/>
            <w:hideMark/>
          </w:tcPr>
          <w:p w:rsidR="0046067C" w:rsidRPr="003330AA" w:rsidRDefault="0046067C" w:rsidP="00881CC4">
            <w:pPr>
              <w:spacing w:after="0" w:line="240" w:lineRule="auto"/>
              <w:jc w:val="right"/>
              <w:rPr>
                <w:rFonts w:eastAsia="Times New Roman" w:cs="Arial"/>
                <w:color w:val="FFFFFF" w:themeColor="background1"/>
                <w:lang w:eastAsia="en-GB"/>
              </w:rPr>
            </w:pPr>
            <w:r w:rsidRPr="003330AA">
              <w:rPr>
                <w:rFonts w:eastAsia="Times New Roman" w:cs="Arial"/>
                <w:lang w:eastAsia="en-GB"/>
              </w:rPr>
              <w:t>178</w:t>
            </w:r>
          </w:p>
        </w:tc>
      </w:tr>
      <w:tr w:rsidR="0046067C" w:rsidRPr="00541C37" w:rsidTr="00881CC4">
        <w:trPr>
          <w:trHeight w:val="300"/>
          <w:jc w:val="center"/>
        </w:trPr>
        <w:tc>
          <w:tcPr>
            <w:tcW w:w="4077" w:type="dxa"/>
            <w:tcBorders>
              <w:top w:val="nil"/>
              <w:left w:val="single" w:sz="4" w:space="0" w:color="auto"/>
              <w:bottom w:val="single" w:sz="4" w:space="0" w:color="auto"/>
              <w:right w:val="single" w:sz="4" w:space="0" w:color="auto"/>
            </w:tcBorders>
            <w:shd w:val="clear" w:color="000000" w:fill="FFFFFF"/>
            <w:noWrap/>
            <w:hideMark/>
          </w:tcPr>
          <w:p w:rsidR="0046067C" w:rsidRPr="003330AA" w:rsidRDefault="0046067C" w:rsidP="00881CC4">
            <w:pPr>
              <w:spacing w:after="0" w:line="240" w:lineRule="auto"/>
              <w:rPr>
                <w:rFonts w:eastAsia="Times New Roman" w:cs="Arial"/>
                <w:lang w:eastAsia="en-GB"/>
              </w:rPr>
            </w:pPr>
            <w:r w:rsidRPr="003330AA">
              <w:rPr>
                <w:rFonts w:eastAsia="Times New Roman" w:cs="Arial"/>
                <w:lang w:eastAsia="en-GB"/>
              </w:rPr>
              <w:t xml:space="preserve">Integrated Care </w:t>
            </w:r>
            <w:r>
              <w:rPr>
                <w:rFonts w:eastAsia="Times New Roman" w:cs="Arial"/>
                <w:lang w:eastAsia="en-GB"/>
              </w:rPr>
              <w:t>–</w:t>
            </w:r>
            <w:r w:rsidRPr="003330AA">
              <w:rPr>
                <w:rFonts w:eastAsia="Times New Roman" w:cs="Arial"/>
                <w:lang w:eastAsia="en-GB"/>
              </w:rPr>
              <w:t xml:space="preserve"> L</w:t>
            </w:r>
            <w:r>
              <w:rPr>
                <w:rFonts w:eastAsia="Times New Roman" w:cs="Arial"/>
                <w:lang w:eastAsia="en-GB"/>
              </w:rPr>
              <w:t>earning Disability &amp; Mental Health</w:t>
            </w:r>
          </w:p>
        </w:tc>
        <w:tc>
          <w:tcPr>
            <w:tcW w:w="1701" w:type="dxa"/>
            <w:tcBorders>
              <w:top w:val="nil"/>
              <w:left w:val="nil"/>
              <w:bottom w:val="single" w:sz="4" w:space="0" w:color="auto"/>
              <w:right w:val="single" w:sz="4" w:space="0" w:color="auto"/>
            </w:tcBorders>
            <w:shd w:val="clear" w:color="000000" w:fill="FFFFFF"/>
            <w:noWrap/>
            <w:hideMark/>
          </w:tcPr>
          <w:p w:rsidR="0046067C" w:rsidRPr="003330AA" w:rsidRDefault="0046067C" w:rsidP="00881CC4">
            <w:pPr>
              <w:spacing w:after="0" w:line="240" w:lineRule="auto"/>
              <w:jc w:val="right"/>
              <w:rPr>
                <w:rFonts w:eastAsia="Times New Roman" w:cs="Arial"/>
                <w:color w:val="FFFFFF" w:themeColor="background1"/>
                <w:lang w:eastAsia="en-GB"/>
              </w:rPr>
            </w:pPr>
            <w:r w:rsidRPr="003330AA">
              <w:rPr>
                <w:rFonts w:eastAsia="Times New Roman" w:cs="Arial"/>
                <w:lang w:eastAsia="en-GB"/>
              </w:rPr>
              <w:t>38,923</w:t>
            </w:r>
          </w:p>
        </w:tc>
        <w:tc>
          <w:tcPr>
            <w:tcW w:w="1701" w:type="dxa"/>
            <w:tcBorders>
              <w:top w:val="nil"/>
              <w:left w:val="nil"/>
              <w:bottom w:val="single" w:sz="4" w:space="0" w:color="auto"/>
              <w:right w:val="single" w:sz="4" w:space="0" w:color="auto"/>
            </w:tcBorders>
            <w:shd w:val="clear" w:color="000000" w:fill="FFFFFF"/>
            <w:noWrap/>
            <w:hideMark/>
          </w:tcPr>
          <w:p w:rsidR="0046067C" w:rsidRPr="003330AA" w:rsidRDefault="0046067C" w:rsidP="00881CC4">
            <w:pPr>
              <w:spacing w:after="0" w:line="240" w:lineRule="auto"/>
              <w:jc w:val="right"/>
              <w:rPr>
                <w:rFonts w:eastAsia="Times New Roman" w:cs="Arial"/>
                <w:color w:val="FFFFFF" w:themeColor="background1"/>
                <w:lang w:eastAsia="en-GB"/>
              </w:rPr>
            </w:pPr>
            <w:r w:rsidRPr="003330AA">
              <w:rPr>
                <w:rFonts w:eastAsia="Times New Roman" w:cs="Arial"/>
                <w:lang w:eastAsia="en-GB"/>
              </w:rPr>
              <w:t>40,845</w:t>
            </w:r>
          </w:p>
        </w:tc>
        <w:tc>
          <w:tcPr>
            <w:tcW w:w="1701" w:type="dxa"/>
            <w:tcBorders>
              <w:top w:val="nil"/>
              <w:left w:val="nil"/>
              <w:bottom w:val="single" w:sz="4" w:space="0" w:color="auto"/>
              <w:right w:val="single" w:sz="4" w:space="0" w:color="auto"/>
            </w:tcBorders>
            <w:shd w:val="clear" w:color="000000" w:fill="FFFFFF"/>
            <w:noWrap/>
            <w:hideMark/>
          </w:tcPr>
          <w:p w:rsidR="0046067C" w:rsidRPr="003330AA" w:rsidRDefault="0046067C" w:rsidP="00881CC4">
            <w:pPr>
              <w:spacing w:after="0" w:line="240" w:lineRule="auto"/>
              <w:jc w:val="right"/>
              <w:rPr>
                <w:rFonts w:eastAsia="Times New Roman" w:cs="Arial"/>
                <w:color w:val="FFFFFF" w:themeColor="background1"/>
                <w:lang w:eastAsia="en-GB"/>
              </w:rPr>
            </w:pPr>
            <w:r w:rsidRPr="003330AA">
              <w:rPr>
                <w:rFonts w:eastAsia="Times New Roman" w:cs="Arial"/>
                <w:lang w:eastAsia="en-GB"/>
              </w:rPr>
              <w:t>42,711</w:t>
            </w:r>
          </w:p>
        </w:tc>
      </w:tr>
      <w:tr w:rsidR="0046067C" w:rsidRPr="00541C37" w:rsidTr="00881CC4">
        <w:trPr>
          <w:trHeight w:val="300"/>
          <w:jc w:val="center"/>
        </w:trPr>
        <w:tc>
          <w:tcPr>
            <w:tcW w:w="4077" w:type="dxa"/>
            <w:tcBorders>
              <w:top w:val="nil"/>
              <w:left w:val="single" w:sz="4" w:space="0" w:color="auto"/>
              <w:bottom w:val="single" w:sz="4" w:space="0" w:color="auto"/>
              <w:right w:val="single" w:sz="4" w:space="0" w:color="auto"/>
            </w:tcBorders>
            <w:shd w:val="clear" w:color="000000" w:fill="FFFFFF"/>
            <w:noWrap/>
            <w:hideMark/>
          </w:tcPr>
          <w:p w:rsidR="0046067C" w:rsidRPr="003330AA" w:rsidRDefault="0046067C" w:rsidP="00881CC4">
            <w:pPr>
              <w:spacing w:after="0" w:line="240" w:lineRule="auto"/>
              <w:rPr>
                <w:rFonts w:eastAsia="Times New Roman" w:cs="Arial"/>
                <w:lang w:eastAsia="en-GB"/>
              </w:rPr>
            </w:pPr>
            <w:r>
              <w:rPr>
                <w:rFonts w:eastAsia="Times New Roman" w:cs="Arial"/>
                <w:lang w:eastAsia="en-GB"/>
              </w:rPr>
              <w:t>Integrated Care – Older people &amp; Physical Disability</w:t>
            </w:r>
          </w:p>
        </w:tc>
        <w:tc>
          <w:tcPr>
            <w:tcW w:w="1701" w:type="dxa"/>
            <w:tcBorders>
              <w:top w:val="nil"/>
              <w:left w:val="nil"/>
              <w:bottom w:val="single" w:sz="4" w:space="0" w:color="auto"/>
              <w:right w:val="single" w:sz="4" w:space="0" w:color="auto"/>
            </w:tcBorders>
            <w:shd w:val="clear" w:color="000000" w:fill="FFFFFF"/>
            <w:noWrap/>
            <w:hideMark/>
          </w:tcPr>
          <w:p w:rsidR="0046067C" w:rsidRPr="003330AA" w:rsidRDefault="0046067C" w:rsidP="00881CC4">
            <w:pPr>
              <w:spacing w:after="0" w:line="240" w:lineRule="auto"/>
              <w:jc w:val="right"/>
              <w:rPr>
                <w:rFonts w:eastAsia="Times New Roman" w:cs="Arial"/>
                <w:color w:val="FFFFFF" w:themeColor="background1"/>
                <w:lang w:eastAsia="en-GB"/>
              </w:rPr>
            </w:pPr>
            <w:r w:rsidRPr="003330AA">
              <w:rPr>
                <w:rFonts w:eastAsia="Times New Roman" w:cs="Arial"/>
                <w:lang w:eastAsia="en-GB"/>
              </w:rPr>
              <w:t>38,403</w:t>
            </w:r>
          </w:p>
        </w:tc>
        <w:tc>
          <w:tcPr>
            <w:tcW w:w="1701" w:type="dxa"/>
            <w:tcBorders>
              <w:top w:val="nil"/>
              <w:left w:val="nil"/>
              <w:bottom w:val="single" w:sz="4" w:space="0" w:color="auto"/>
              <w:right w:val="single" w:sz="4" w:space="0" w:color="auto"/>
            </w:tcBorders>
            <w:shd w:val="clear" w:color="000000" w:fill="FFFFFF"/>
            <w:noWrap/>
            <w:hideMark/>
          </w:tcPr>
          <w:p w:rsidR="0046067C" w:rsidRPr="003330AA" w:rsidRDefault="0046067C" w:rsidP="00881CC4">
            <w:pPr>
              <w:spacing w:after="0" w:line="240" w:lineRule="auto"/>
              <w:jc w:val="right"/>
              <w:rPr>
                <w:rFonts w:eastAsia="Times New Roman" w:cs="Arial"/>
                <w:color w:val="FFFFFF" w:themeColor="background1"/>
                <w:lang w:eastAsia="en-GB"/>
              </w:rPr>
            </w:pPr>
            <w:r w:rsidRPr="003330AA">
              <w:rPr>
                <w:rFonts w:eastAsia="Times New Roman" w:cs="Arial"/>
                <w:lang w:eastAsia="en-GB"/>
              </w:rPr>
              <w:t>38,595</w:t>
            </w:r>
          </w:p>
        </w:tc>
        <w:tc>
          <w:tcPr>
            <w:tcW w:w="1701" w:type="dxa"/>
            <w:tcBorders>
              <w:top w:val="nil"/>
              <w:left w:val="nil"/>
              <w:bottom w:val="single" w:sz="4" w:space="0" w:color="auto"/>
              <w:right w:val="single" w:sz="4" w:space="0" w:color="auto"/>
            </w:tcBorders>
            <w:shd w:val="clear" w:color="000000" w:fill="FFFFFF"/>
            <w:noWrap/>
            <w:hideMark/>
          </w:tcPr>
          <w:p w:rsidR="0046067C" w:rsidRPr="003330AA" w:rsidRDefault="0046067C" w:rsidP="00881CC4">
            <w:pPr>
              <w:spacing w:after="0" w:line="240" w:lineRule="auto"/>
              <w:jc w:val="right"/>
              <w:rPr>
                <w:rFonts w:eastAsia="Times New Roman" w:cs="Arial"/>
                <w:color w:val="FFFFFF" w:themeColor="background1"/>
                <w:lang w:eastAsia="en-GB"/>
              </w:rPr>
            </w:pPr>
            <w:r w:rsidRPr="003330AA">
              <w:rPr>
                <w:rFonts w:eastAsia="Times New Roman" w:cs="Arial"/>
                <w:lang w:eastAsia="en-GB"/>
              </w:rPr>
              <w:t>41,145</w:t>
            </w:r>
          </w:p>
        </w:tc>
      </w:tr>
      <w:tr w:rsidR="0046067C" w:rsidRPr="00541C37" w:rsidTr="00881CC4">
        <w:trPr>
          <w:trHeight w:val="300"/>
          <w:jc w:val="center"/>
        </w:trPr>
        <w:tc>
          <w:tcPr>
            <w:tcW w:w="4077" w:type="dxa"/>
            <w:tcBorders>
              <w:top w:val="nil"/>
              <w:left w:val="single" w:sz="4" w:space="0" w:color="auto"/>
              <w:bottom w:val="single" w:sz="4" w:space="0" w:color="auto"/>
              <w:right w:val="single" w:sz="4" w:space="0" w:color="auto"/>
            </w:tcBorders>
            <w:shd w:val="clear" w:color="000000" w:fill="FFFFFF"/>
            <w:noWrap/>
            <w:hideMark/>
          </w:tcPr>
          <w:p w:rsidR="0046067C" w:rsidRPr="003330AA" w:rsidRDefault="0046067C" w:rsidP="00881CC4">
            <w:pPr>
              <w:spacing w:after="0" w:line="240" w:lineRule="auto"/>
              <w:rPr>
                <w:rFonts w:eastAsia="Times New Roman" w:cs="Arial"/>
                <w:lang w:eastAsia="en-GB"/>
              </w:rPr>
            </w:pPr>
            <w:r w:rsidRPr="003330AA">
              <w:rPr>
                <w:rFonts w:eastAsia="Times New Roman" w:cs="Arial"/>
                <w:lang w:eastAsia="en-GB"/>
              </w:rPr>
              <w:t>Prevention &amp; Well-being</w:t>
            </w:r>
          </w:p>
        </w:tc>
        <w:tc>
          <w:tcPr>
            <w:tcW w:w="1701" w:type="dxa"/>
            <w:tcBorders>
              <w:top w:val="nil"/>
              <w:left w:val="nil"/>
              <w:bottom w:val="single" w:sz="4" w:space="0" w:color="auto"/>
              <w:right w:val="single" w:sz="4" w:space="0" w:color="auto"/>
            </w:tcBorders>
            <w:shd w:val="clear" w:color="000000" w:fill="FFFFFF"/>
            <w:noWrap/>
            <w:hideMark/>
          </w:tcPr>
          <w:p w:rsidR="0046067C" w:rsidRPr="003330AA" w:rsidRDefault="0046067C" w:rsidP="00881CC4">
            <w:pPr>
              <w:spacing w:after="0" w:line="240" w:lineRule="auto"/>
              <w:jc w:val="right"/>
              <w:rPr>
                <w:rFonts w:eastAsia="Times New Roman" w:cs="Arial"/>
                <w:color w:val="FFFFFF" w:themeColor="background1"/>
                <w:lang w:eastAsia="en-GB"/>
              </w:rPr>
            </w:pPr>
            <w:r w:rsidRPr="003330AA">
              <w:rPr>
                <w:rFonts w:eastAsia="Times New Roman" w:cs="Arial"/>
                <w:lang w:eastAsia="en-GB"/>
              </w:rPr>
              <w:t>6,967</w:t>
            </w:r>
          </w:p>
        </w:tc>
        <w:tc>
          <w:tcPr>
            <w:tcW w:w="1701" w:type="dxa"/>
            <w:tcBorders>
              <w:top w:val="nil"/>
              <w:left w:val="nil"/>
              <w:bottom w:val="single" w:sz="4" w:space="0" w:color="auto"/>
              <w:right w:val="single" w:sz="4" w:space="0" w:color="auto"/>
            </w:tcBorders>
            <w:shd w:val="clear" w:color="000000" w:fill="FFFFFF"/>
            <w:noWrap/>
            <w:hideMark/>
          </w:tcPr>
          <w:p w:rsidR="0046067C" w:rsidRPr="003330AA" w:rsidRDefault="0046067C" w:rsidP="00881CC4">
            <w:pPr>
              <w:spacing w:after="0" w:line="240" w:lineRule="auto"/>
              <w:jc w:val="right"/>
              <w:rPr>
                <w:rFonts w:eastAsia="Times New Roman" w:cs="Arial"/>
                <w:color w:val="FFFFFF" w:themeColor="background1"/>
                <w:lang w:eastAsia="en-GB"/>
              </w:rPr>
            </w:pPr>
            <w:r w:rsidRPr="003330AA">
              <w:rPr>
                <w:rFonts w:eastAsia="Times New Roman" w:cs="Arial"/>
                <w:lang w:eastAsia="en-GB"/>
              </w:rPr>
              <w:t>6,471</w:t>
            </w:r>
          </w:p>
        </w:tc>
        <w:tc>
          <w:tcPr>
            <w:tcW w:w="1701" w:type="dxa"/>
            <w:tcBorders>
              <w:top w:val="nil"/>
              <w:left w:val="nil"/>
              <w:bottom w:val="single" w:sz="4" w:space="0" w:color="auto"/>
              <w:right w:val="single" w:sz="4" w:space="0" w:color="auto"/>
            </w:tcBorders>
            <w:shd w:val="clear" w:color="000000" w:fill="FFFFFF"/>
            <w:noWrap/>
            <w:hideMark/>
          </w:tcPr>
          <w:p w:rsidR="0046067C" w:rsidRPr="003330AA" w:rsidRDefault="0046067C" w:rsidP="00881CC4">
            <w:pPr>
              <w:spacing w:after="0" w:line="240" w:lineRule="auto"/>
              <w:jc w:val="right"/>
              <w:rPr>
                <w:rFonts w:eastAsia="Times New Roman" w:cs="Arial"/>
                <w:color w:val="FFFFFF" w:themeColor="background1"/>
                <w:lang w:eastAsia="en-GB"/>
              </w:rPr>
            </w:pPr>
            <w:r w:rsidRPr="003330AA">
              <w:rPr>
                <w:rFonts w:eastAsia="Times New Roman" w:cs="Arial"/>
                <w:lang w:eastAsia="en-GB"/>
              </w:rPr>
              <w:t>5,175</w:t>
            </w:r>
          </w:p>
        </w:tc>
      </w:tr>
      <w:tr w:rsidR="0046067C" w:rsidRPr="00541C37" w:rsidTr="00881CC4">
        <w:trPr>
          <w:trHeight w:val="300"/>
          <w:jc w:val="center"/>
        </w:trPr>
        <w:tc>
          <w:tcPr>
            <w:tcW w:w="4077" w:type="dxa"/>
            <w:tcBorders>
              <w:top w:val="nil"/>
              <w:left w:val="single" w:sz="4" w:space="0" w:color="auto"/>
              <w:bottom w:val="single" w:sz="4" w:space="0" w:color="auto"/>
              <w:right w:val="single" w:sz="4" w:space="0" w:color="auto"/>
            </w:tcBorders>
            <w:shd w:val="clear" w:color="000000" w:fill="FFFFFF"/>
            <w:noWrap/>
            <w:hideMark/>
          </w:tcPr>
          <w:p w:rsidR="0046067C" w:rsidRPr="003330AA" w:rsidRDefault="0046067C" w:rsidP="00881CC4">
            <w:pPr>
              <w:spacing w:after="0" w:line="240" w:lineRule="auto"/>
              <w:rPr>
                <w:rFonts w:eastAsia="Times New Roman" w:cs="Arial"/>
                <w:lang w:eastAsia="en-GB"/>
              </w:rPr>
            </w:pPr>
            <w:r w:rsidRPr="003330AA">
              <w:rPr>
                <w:rFonts w:eastAsia="Times New Roman" w:cs="Arial"/>
                <w:lang w:eastAsia="en-GB"/>
              </w:rPr>
              <w:t>Social Care Commissioning</w:t>
            </w:r>
          </w:p>
        </w:tc>
        <w:tc>
          <w:tcPr>
            <w:tcW w:w="1701" w:type="dxa"/>
            <w:tcBorders>
              <w:top w:val="nil"/>
              <w:left w:val="nil"/>
              <w:bottom w:val="single" w:sz="4" w:space="0" w:color="auto"/>
              <w:right w:val="single" w:sz="4" w:space="0" w:color="auto"/>
            </w:tcBorders>
            <w:shd w:val="clear" w:color="000000" w:fill="FFFFFF"/>
            <w:noWrap/>
            <w:hideMark/>
          </w:tcPr>
          <w:p w:rsidR="0046067C" w:rsidRPr="003330AA" w:rsidRDefault="0046067C" w:rsidP="00881CC4">
            <w:pPr>
              <w:spacing w:after="0" w:line="240" w:lineRule="auto"/>
              <w:jc w:val="right"/>
              <w:rPr>
                <w:rFonts w:eastAsia="Times New Roman" w:cs="Arial"/>
                <w:color w:val="FFFFFF" w:themeColor="background1"/>
                <w:lang w:eastAsia="en-GB"/>
              </w:rPr>
            </w:pPr>
            <w:r w:rsidRPr="003330AA">
              <w:rPr>
                <w:rFonts w:eastAsia="Times New Roman" w:cs="Arial"/>
                <w:lang w:eastAsia="en-GB"/>
              </w:rPr>
              <w:t>918</w:t>
            </w:r>
          </w:p>
        </w:tc>
        <w:tc>
          <w:tcPr>
            <w:tcW w:w="1701" w:type="dxa"/>
            <w:tcBorders>
              <w:top w:val="nil"/>
              <w:left w:val="nil"/>
              <w:bottom w:val="single" w:sz="4" w:space="0" w:color="auto"/>
              <w:right w:val="single" w:sz="4" w:space="0" w:color="auto"/>
            </w:tcBorders>
            <w:shd w:val="clear" w:color="000000" w:fill="FFFFFF"/>
            <w:noWrap/>
            <w:hideMark/>
          </w:tcPr>
          <w:p w:rsidR="0046067C" w:rsidRPr="003330AA" w:rsidRDefault="0046067C" w:rsidP="00881CC4">
            <w:pPr>
              <w:spacing w:after="0" w:line="240" w:lineRule="auto"/>
              <w:jc w:val="right"/>
              <w:rPr>
                <w:rFonts w:eastAsia="Times New Roman" w:cs="Arial"/>
                <w:color w:val="FFFFFF" w:themeColor="background1"/>
                <w:lang w:eastAsia="en-GB"/>
              </w:rPr>
            </w:pPr>
            <w:r w:rsidRPr="003330AA">
              <w:rPr>
                <w:rFonts w:eastAsia="Times New Roman" w:cs="Arial"/>
                <w:lang w:eastAsia="en-GB"/>
              </w:rPr>
              <w:t>936</w:t>
            </w:r>
          </w:p>
        </w:tc>
        <w:tc>
          <w:tcPr>
            <w:tcW w:w="1701" w:type="dxa"/>
            <w:tcBorders>
              <w:top w:val="nil"/>
              <w:left w:val="nil"/>
              <w:bottom w:val="single" w:sz="4" w:space="0" w:color="auto"/>
              <w:right w:val="single" w:sz="4" w:space="0" w:color="auto"/>
            </w:tcBorders>
            <w:shd w:val="clear" w:color="000000" w:fill="FFFFFF"/>
            <w:noWrap/>
            <w:hideMark/>
          </w:tcPr>
          <w:p w:rsidR="0046067C" w:rsidRPr="003330AA" w:rsidRDefault="0046067C" w:rsidP="00881CC4">
            <w:pPr>
              <w:spacing w:after="0" w:line="240" w:lineRule="auto"/>
              <w:jc w:val="right"/>
              <w:rPr>
                <w:rFonts w:eastAsia="Times New Roman" w:cs="Arial"/>
                <w:color w:val="FFFFFF" w:themeColor="background1"/>
                <w:lang w:eastAsia="en-GB"/>
              </w:rPr>
            </w:pPr>
            <w:r w:rsidRPr="003330AA">
              <w:rPr>
                <w:rFonts w:eastAsia="Times New Roman" w:cs="Arial"/>
                <w:lang w:eastAsia="en-GB"/>
              </w:rPr>
              <w:t>987</w:t>
            </w:r>
          </w:p>
        </w:tc>
      </w:tr>
      <w:tr w:rsidR="0046067C" w:rsidRPr="00541C37" w:rsidTr="00881CC4">
        <w:trPr>
          <w:trHeight w:val="300"/>
          <w:jc w:val="center"/>
        </w:trPr>
        <w:tc>
          <w:tcPr>
            <w:tcW w:w="4077" w:type="dxa"/>
            <w:tcBorders>
              <w:top w:val="nil"/>
              <w:left w:val="single" w:sz="4" w:space="0" w:color="auto"/>
              <w:bottom w:val="single" w:sz="4" w:space="0" w:color="auto"/>
              <w:right w:val="single" w:sz="4" w:space="0" w:color="auto"/>
            </w:tcBorders>
            <w:shd w:val="clear" w:color="000000" w:fill="FFFFFF"/>
            <w:noWrap/>
            <w:hideMark/>
          </w:tcPr>
          <w:p w:rsidR="0046067C" w:rsidRPr="003330AA" w:rsidRDefault="0046067C" w:rsidP="00881CC4">
            <w:pPr>
              <w:spacing w:after="0" w:line="240" w:lineRule="auto"/>
              <w:rPr>
                <w:rFonts w:eastAsia="Times New Roman" w:cs="Arial"/>
                <w:lang w:eastAsia="en-GB"/>
              </w:rPr>
            </w:pPr>
            <w:r w:rsidRPr="003330AA">
              <w:rPr>
                <w:rFonts w:eastAsia="Times New Roman" w:cs="Arial"/>
                <w:lang w:eastAsia="en-GB"/>
              </w:rPr>
              <w:t xml:space="preserve">Social </w:t>
            </w:r>
            <w:r>
              <w:rPr>
                <w:rFonts w:eastAsia="Times New Roman" w:cs="Arial"/>
                <w:lang w:eastAsia="en-GB"/>
              </w:rPr>
              <w:t>C</w:t>
            </w:r>
            <w:r w:rsidRPr="003330AA">
              <w:rPr>
                <w:rFonts w:eastAsia="Times New Roman" w:cs="Arial"/>
                <w:lang w:eastAsia="en-GB"/>
              </w:rPr>
              <w:t>are Management</w:t>
            </w:r>
          </w:p>
        </w:tc>
        <w:tc>
          <w:tcPr>
            <w:tcW w:w="1701" w:type="dxa"/>
            <w:tcBorders>
              <w:top w:val="nil"/>
              <w:left w:val="nil"/>
              <w:bottom w:val="single" w:sz="4" w:space="0" w:color="auto"/>
              <w:right w:val="single" w:sz="4" w:space="0" w:color="auto"/>
            </w:tcBorders>
            <w:shd w:val="clear" w:color="000000" w:fill="FFFFFF"/>
            <w:noWrap/>
            <w:hideMark/>
          </w:tcPr>
          <w:p w:rsidR="0046067C" w:rsidRPr="003330AA" w:rsidRDefault="0046067C" w:rsidP="00881CC4">
            <w:pPr>
              <w:spacing w:after="0" w:line="240" w:lineRule="auto"/>
              <w:jc w:val="right"/>
              <w:rPr>
                <w:rFonts w:eastAsia="Times New Roman" w:cs="Arial"/>
                <w:color w:val="FFFFFF" w:themeColor="background1"/>
                <w:lang w:eastAsia="en-GB"/>
              </w:rPr>
            </w:pPr>
            <w:r w:rsidRPr="003330AA">
              <w:rPr>
                <w:rFonts w:eastAsia="Times New Roman" w:cs="Arial"/>
                <w:lang w:eastAsia="en-GB"/>
              </w:rPr>
              <w:t>1,396</w:t>
            </w:r>
          </w:p>
        </w:tc>
        <w:tc>
          <w:tcPr>
            <w:tcW w:w="1701" w:type="dxa"/>
            <w:tcBorders>
              <w:top w:val="nil"/>
              <w:left w:val="nil"/>
              <w:bottom w:val="single" w:sz="4" w:space="0" w:color="auto"/>
              <w:right w:val="single" w:sz="4" w:space="0" w:color="auto"/>
            </w:tcBorders>
            <w:shd w:val="clear" w:color="000000" w:fill="FFFFFF"/>
            <w:noWrap/>
            <w:hideMark/>
          </w:tcPr>
          <w:p w:rsidR="0046067C" w:rsidRPr="003330AA" w:rsidRDefault="0046067C" w:rsidP="00881CC4">
            <w:pPr>
              <w:spacing w:after="0" w:line="240" w:lineRule="auto"/>
              <w:jc w:val="right"/>
              <w:rPr>
                <w:rFonts w:eastAsia="Times New Roman" w:cs="Arial"/>
                <w:color w:val="FFFFFF" w:themeColor="background1"/>
                <w:lang w:eastAsia="en-GB"/>
              </w:rPr>
            </w:pPr>
            <w:r w:rsidRPr="003330AA">
              <w:rPr>
                <w:rFonts w:eastAsia="Times New Roman" w:cs="Arial"/>
                <w:lang w:eastAsia="en-GB"/>
              </w:rPr>
              <w:t>396</w:t>
            </w:r>
          </w:p>
        </w:tc>
        <w:tc>
          <w:tcPr>
            <w:tcW w:w="1701" w:type="dxa"/>
            <w:tcBorders>
              <w:top w:val="nil"/>
              <w:left w:val="nil"/>
              <w:bottom w:val="single" w:sz="4" w:space="0" w:color="auto"/>
              <w:right w:val="single" w:sz="4" w:space="0" w:color="auto"/>
            </w:tcBorders>
            <w:shd w:val="clear" w:color="000000" w:fill="FFFFFF"/>
            <w:noWrap/>
            <w:hideMark/>
          </w:tcPr>
          <w:p w:rsidR="0046067C" w:rsidRPr="003330AA" w:rsidRDefault="0046067C" w:rsidP="00881CC4">
            <w:pPr>
              <w:spacing w:after="0" w:line="240" w:lineRule="auto"/>
              <w:jc w:val="right"/>
              <w:rPr>
                <w:rFonts w:eastAsia="Times New Roman" w:cs="Arial"/>
                <w:color w:val="FFFFFF" w:themeColor="background1"/>
                <w:lang w:eastAsia="en-GB"/>
              </w:rPr>
            </w:pPr>
            <w:r w:rsidRPr="003330AA">
              <w:rPr>
                <w:rFonts w:eastAsia="Times New Roman" w:cs="Arial"/>
                <w:lang w:eastAsia="en-GB"/>
              </w:rPr>
              <w:t>319</w:t>
            </w:r>
          </w:p>
        </w:tc>
      </w:tr>
      <w:tr w:rsidR="0046067C" w:rsidRPr="00541C37" w:rsidTr="00881CC4">
        <w:trPr>
          <w:trHeight w:val="300"/>
          <w:jc w:val="center"/>
        </w:trPr>
        <w:tc>
          <w:tcPr>
            <w:tcW w:w="4077" w:type="dxa"/>
            <w:tcBorders>
              <w:top w:val="nil"/>
              <w:left w:val="single" w:sz="4" w:space="0" w:color="auto"/>
              <w:bottom w:val="single" w:sz="4" w:space="0" w:color="auto"/>
              <w:right w:val="single" w:sz="4" w:space="0" w:color="auto"/>
            </w:tcBorders>
            <w:shd w:val="clear" w:color="auto" w:fill="auto"/>
            <w:noWrap/>
            <w:hideMark/>
          </w:tcPr>
          <w:p w:rsidR="0046067C" w:rsidRPr="003330AA" w:rsidRDefault="0046067C" w:rsidP="00881CC4">
            <w:pPr>
              <w:spacing w:after="0" w:line="240" w:lineRule="auto"/>
              <w:rPr>
                <w:rFonts w:eastAsia="Times New Roman" w:cs="Arial"/>
                <w:b/>
                <w:bCs/>
                <w:lang w:eastAsia="en-GB"/>
              </w:rPr>
            </w:pPr>
            <w:r w:rsidRPr="003330AA">
              <w:rPr>
                <w:rFonts w:eastAsia="Times New Roman" w:cs="Arial"/>
                <w:b/>
                <w:bCs/>
                <w:lang w:eastAsia="en-GB"/>
              </w:rPr>
              <w:t>Total</w:t>
            </w:r>
          </w:p>
        </w:tc>
        <w:tc>
          <w:tcPr>
            <w:tcW w:w="1701" w:type="dxa"/>
            <w:tcBorders>
              <w:top w:val="nil"/>
              <w:left w:val="nil"/>
              <w:bottom w:val="single" w:sz="4" w:space="0" w:color="auto"/>
              <w:right w:val="single" w:sz="4" w:space="0" w:color="auto"/>
            </w:tcBorders>
            <w:shd w:val="clear" w:color="auto" w:fill="auto"/>
            <w:noWrap/>
            <w:hideMark/>
          </w:tcPr>
          <w:p w:rsidR="0046067C" w:rsidRPr="003330AA" w:rsidRDefault="0046067C" w:rsidP="00881CC4">
            <w:pPr>
              <w:spacing w:after="0" w:line="240" w:lineRule="auto"/>
              <w:jc w:val="right"/>
              <w:rPr>
                <w:rFonts w:eastAsia="Times New Roman" w:cs="Arial"/>
                <w:b/>
                <w:bCs/>
                <w:color w:val="FFFFFF" w:themeColor="background1"/>
                <w:lang w:eastAsia="en-GB"/>
              </w:rPr>
            </w:pPr>
            <w:r w:rsidRPr="003330AA">
              <w:rPr>
                <w:rFonts w:eastAsia="Times New Roman" w:cs="Arial"/>
                <w:b/>
                <w:bCs/>
                <w:lang w:eastAsia="en-GB"/>
              </w:rPr>
              <w:t>89,670</w:t>
            </w:r>
          </w:p>
        </w:tc>
        <w:tc>
          <w:tcPr>
            <w:tcW w:w="1701" w:type="dxa"/>
            <w:tcBorders>
              <w:top w:val="nil"/>
              <w:left w:val="nil"/>
              <w:bottom w:val="single" w:sz="4" w:space="0" w:color="auto"/>
              <w:right w:val="single" w:sz="4" w:space="0" w:color="auto"/>
            </w:tcBorders>
            <w:shd w:val="clear" w:color="auto" w:fill="auto"/>
            <w:noWrap/>
            <w:hideMark/>
          </w:tcPr>
          <w:p w:rsidR="0046067C" w:rsidRPr="003330AA" w:rsidRDefault="0046067C" w:rsidP="00881CC4">
            <w:pPr>
              <w:spacing w:after="0" w:line="240" w:lineRule="auto"/>
              <w:jc w:val="right"/>
              <w:rPr>
                <w:rFonts w:eastAsia="Times New Roman" w:cs="Arial"/>
                <w:b/>
                <w:bCs/>
                <w:color w:val="FFFFFF" w:themeColor="background1"/>
                <w:lang w:eastAsia="en-GB"/>
              </w:rPr>
            </w:pPr>
            <w:r w:rsidRPr="003330AA">
              <w:rPr>
                <w:rFonts w:eastAsia="Times New Roman" w:cs="Arial"/>
                <w:b/>
                <w:bCs/>
                <w:lang w:eastAsia="en-GB"/>
              </w:rPr>
              <w:t>90,746</w:t>
            </w:r>
          </w:p>
        </w:tc>
        <w:tc>
          <w:tcPr>
            <w:tcW w:w="1701" w:type="dxa"/>
            <w:tcBorders>
              <w:top w:val="nil"/>
              <w:left w:val="nil"/>
              <w:bottom w:val="single" w:sz="4" w:space="0" w:color="auto"/>
              <w:right w:val="single" w:sz="4" w:space="0" w:color="auto"/>
            </w:tcBorders>
            <w:shd w:val="clear" w:color="auto" w:fill="auto"/>
            <w:noWrap/>
            <w:hideMark/>
          </w:tcPr>
          <w:p w:rsidR="0046067C" w:rsidRPr="003330AA" w:rsidRDefault="0046067C" w:rsidP="00881CC4">
            <w:pPr>
              <w:spacing w:after="0" w:line="240" w:lineRule="auto"/>
              <w:jc w:val="right"/>
              <w:rPr>
                <w:rFonts w:eastAsia="Times New Roman" w:cs="Arial"/>
                <w:b/>
                <w:bCs/>
                <w:color w:val="FFFFFF" w:themeColor="background1"/>
                <w:lang w:eastAsia="en-GB"/>
              </w:rPr>
            </w:pPr>
            <w:r w:rsidRPr="003330AA">
              <w:rPr>
                <w:rFonts w:eastAsia="Times New Roman" w:cs="Arial"/>
                <w:b/>
                <w:bCs/>
                <w:lang w:eastAsia="en-GB"/>
              </w:rPr>
              <w:t>93,218</w:t>
            </w:r>
          </w:p>
        </w:tc>
      </w:tr>
    </w:tbl>
    <w:p w:rsidR="0046067C" w:rsidRDefault="0046067C" w:rsidP="0046067C">
      <w:pPr>
        <w:spacing w:after="0" w:line="240" w:lineRule="auto"/>
        <w:rPr>
          <w:rFonts w:cs="Arial"/>
          <w:b/>
          <w:sz w:val="20"/>
          <w:szCs w:val="20"/>
        </w:rPr>
      </w:pPr>
    </w:p>
    <w:p w:rsidR="0046067C" w:rsidRPr="00033D3F" w:rsidRDefault="0046067C" w:rsidP="0046067C">
      <w:pPr>
        <w:spacing w:after="0" w:line="240" w:lineRule="auto"/>
        <w:jc w:val="both"/>
        <w:rPr>
          <w:b/>
          <w:sz w:val="18"/>
          <w:szCs w:val="18"/>
        </w:rPr>
      </w:pPr>
      <w:r w:rsidRPr="00033D3F">
        <w:rPr>
          <w:rFonts w:cs="Arial"/>
          <w:b/>
          <w:sz w:val="18"/>
          <w:szCs w:val="18"/>
        </w:rPr>
        <w:t xml:space="preserve">Note: </w:t>
      </w:r>
      <w:r w:rsidRPr="00033D3F">
        <w:rPr>
          <w:rFonts w:cs="Arial"/>
          <w:sz w:val="18"/>
          <w:szCs w:val="18"/>
        </w:rPr>
        <w:t>the difference in the Original Net Budget figures and Current Net Budget figures i</w:t>
      </w:r>
      <w:r w:rsidRPr="00033D3F">
        <w:rPr>
          <w:rFonts w:ascii="Calibri" w:eastAsia="Times New Roman" w:hAnsi="Calibri" w:cs="Times New Roman"/>
          <w:color w:val="000000"/>
          <w:sz w:val="18"/>
          <w:szCs w:val="18"/>
          <w:lang w:eastAsia="en-GB"/>
        </w:rPr>
        <w:t xml:space="preserve">s due to budget movements within the financial year. </w:t>
      </w:r>
      <w:r w:rsidRPr="00033D3F">
        <w:rPr>
          <w:rFonts w:cs="Arial"/>
          <w:sz w:val="18"/>
          <w:szCs w:val="18"/>
        </w:rPr>
        <w:t>These can include a transfer of services from another delivery unit, inflationary bids or pressures agreed from Contingency</w:t>
      </w:r>
      <w:r w:rsidRPr="00033D3F">
        <w:rPr>
          <w:sz w:val="18"/>
          <w:szCs w:val="18"/>
        </w:rPr>
        <w:t>.</w:t>
      </w:r>
    </w:p>
    <w:p w:rsidR="0046067C" w:rsidRDefault="0046067C" w:rsidP="0046067C">
      <w:pPr>
        <w:spacing w:after="0" w:line="240" w:lineRule="auto"/>
        <w:jc w:val="both"/>
        <w:rPr>
          <w:b/>
        </w:rPr>
      </w:pPr>
    </w:p>
    <w:p w:rsidR="0046067C" w:rsidRPr="00C42730" w:rsidRDefault="0046067C" w:rsidP="0046067C">
      <w:pPr>
        <w:spacing w:after="0" w:line="240" w:lineRule="auto"/>
        <w:jc w:val="both"/>
        <w:rPr>
          <w:b/>
        </w:rPr>
      </w:pPr>
      <w:r>
        <w:rPr>
          <w:b/>
        </w:rPr>
        <w:t xml:space="preserve">Biggest areas of net spend: </w:t>
      </w:r>
      <w:r>
        <w:t xml:space="preserve">The biggest areas of net spend within Adults are towards </w:t>
      </w:r>
      <w:r w:rsidRPr="00C42730">
        <w:rPr>
          <w:b/>
        </w:rPr>
        <w:t>Integrated Care for Learning Disability</w:t>
      </w:r>
      <w:r>
        <w:t xml:space="preserve"> </w:t>
      </w:r>
      <w:r w:rsidRPr="00C42730">
        <w:rPr>
          <w:b/>
        </w:rPr>
        <w:t>and</w:t>
      </w:r>
      <w:r>
        <w:t xml:space="preserve"> </w:t>
      </w:r>
      <w:r w:rsidRPr="00C42730">
        <w:rPr>
          <w:b/>
        </w:rPr>
        <w:t xml:space="preserve">Mental Health </w:t>
      </w:r>
      <w:r w:rsidRPr="00C42730">
        <w:t>and</w:t>
      </w:r>
      <w:r w:rsidRPr="00C42730">
        <w:rPr>
          <w:b/>
        </w:rPr>
        <w:t xml:space="preserve"> Integrated Care for Older People and Physical Disability</w:t>
      </w:r>
      <w:r w:rsidRPr="00D7378E">
        <w:t>.</w:t>
      </w:r>
    </w:p>
    <w:p w:rsidR="0046067C" w:rsidRDefault="0046067C" w:rsidP="0046067C">
      <w:pPr>
        <w:spacing w:after="0"/>
        <w:jc w:val="both"/>
      </w:pPr>
    </w:p>
    <w:p w:rsidR="0046067C" w:rsidRDefault="0046067C" w:rsidP="0046067C">
      <w:pPr>
        <w:jc w:val="both"/>
      </w:pPr>
    </w:p>
    <w:p w:rsidR="0046067C" w:rsidRDefault="0046067C" w:rsidP="0046067C">
      <w:pPr>
        <w:jc w:val="both"/>
      </w:pPr>
    </w:p>
    <w:p w:rsidR="0046067C" w:rsidRDefault="0046067C" w:rsidP="0046067C">
      <w:pPr>
        <w:jc w:val="both"/>
      </w:pPr>
    </w:p>
    <w:p w:rsidR="0046067C" w:rsidRDefault="0046067C" w:rsidP="0046067C">
      <w:pPr>
        <w:jc w:val="both"/>
      </w:pPr>
    </w:p>
    <w:p w:rsidR="0046067C" w:rsidRDefault="0046067C" w:rsidP="0046067C">
      <w:pPr>
        <w:jc w:val="both"/>
      </w:pPr>
    </w:p>
    <w:p w:rsidR="0046067C" w:rsidRDefault="0046067C" w:rsidP="0046067C">
      <w:pPr>
        <w:jc w:val="both"/>
      </w:pPr>
    </w:p>
    <w:p w:rsidR="0046067C" w:rsidRDefault="0046067C" w:rsidP="0046067C">
      <w:pPr>
        <w:jc w:val="both"/>
      </w:pPr>
    </w:p>
    <w:p w:rsidR="0046067C" w:rsidRDefault="0046067C" w:rsidP="0046067C">
      <w:pPr>
        <w:jc w:val="both"/>
      </w:pPr>
    </w:p>
    <w:p w:rsidR="0046067C" w:rsidRDefault="0046067C" w:rsidP="0046067C">
      <w:pPr>
        <w:jc w:val="both"/>
      </w:pPr>
    </w:p>
    <w:p w:rsidR="0046067C" w:rsidRDefault="0046067C" w:rsidP="0046067C">
      <w:pPr>
        <w:jc w:val="both"/>
      </w:pPr>
    </w:p>
    <w:p w:rsidR="0046067C" w:rsidRPr="00183999" w:rsidRDefault="0046067C" w:rsidP="0046067C">
      <w:pPr>
        <w:jc w:val="both"/>
      </w:pPr>
    </w:p>
    <w:p w:rsidR="0046067C" w:rsidRDefault="0046067C" w:rsidP="0046067C">
      <w:pPr>
        <w:pStyle w:val="Heading2"/>
        <w:spacing w:before="0"/>
      </w:pPr>
      <w:bookmarkStart w:id="1035" w:name="_Toc426723444"/>
      <w:bookmarkStart w:id="1036" w:name="_Toc427327517"/>
      <w:bookmarkStart w:id="1037" w:name="_Toc431225271"/>
      <w:r w:rsidRPr="0009746C">
        <w:lastRenderedPageBreak/>
        <w:t>Children’s Service 2014/15</w:t>
      </w:r>
      <w:bookmarkEnd w:id="1035"/>
      <w:bookmarkEnd w:id="1036"/>
      <w:bookmarkEnd w:id="1037"/>
    </w:p>
    <w:p w:rsidR="0046067C" w:rsidRDefault="0046067C" w:rsidP="0046067C">
      <w:pPr>
        <w:pStyle w:val="Caption"/>
        <w:spacing w:after="0"/>
      </w:pPr>
    </w:p>
    <w:p w:rsidR="0046067C" w:rsidRDefault="0046067C" w:rsidP="0046067C">
      <w:pPr>
        <w:pStyle w:val="Caption"/>
        <w:spacing w:after="0"/>
      </w:pPr>
      <w:r>
        <w:t xml:space="preserve">Table </w:t>
      </w:r>
      <w:fldSimple w:instr=" STYLEREF 1 \s ">
        <w:r w:rsidR="001663C2">
          <w:rPr>
            <w:noProof/>
          </w:rPr>
          <w:t>13</w:t>
        </w:r>
      </w:fldSimple>
      <w:r>
        <w:noBreakHyphen/>
      </w:r>
      <w:fldSimple w:instr=" SEQ Table \* ARABIC \s 1 ">
        <w:r w:rsidR="001663C2">
          <w:rPr>
            <w:noProof/>
          </w:rPr>
          <w:t>3</w:t>
        </w:r>
      </w:fldSimple>
      <w:r>
        <w:t xml:space="preserve">: </w:t>
      </w:r>
      <w:r w:rsidRPr="0009746C">
        <w:t>Children’s Service</w:t>
      </w:r>
      <w:r>
        <w:t xml:space="preserve"> (Family Services) Budget and Outturn</w:t>
      </w:r>
      <w:r w:rsidRPr="0009746C">
        <w:t xml:space="preserve"> 2014/15</w:t>
      </w:r>
    </w:p>
    <w:tbl>
      <w:tblPr>
        <w:tblW w:w="5000" w:type="pct"/>
        <w:jc w:val="center"/>
        <w:tblLayout w:type="fixed"/>
        <w:tblLook w:val="04A0" w:firstRow="1" w:lastRow="0" w:firstColumn="1" w:lastColumn="0" w:noHBand="0" w:noVBand="1"/>
      </w:tblPr>
      <w:tblGrid>
        <w:gridCol w:w="4219"/>
        <w:gridCol w:w="1701"/>
        <w:gridCol w:w="1559"/>
        <w:gridCol w:w="1763"/>
      </w:tblGrid>
      <w:tr w:rsidR="0046067C" w:rsidRPr="0070484C" w:rsidTr="00881CC4">
        <w:trPr>
          <w:trHeight w:val="300"/>
          <w:jc w:val="center"/>
        </w:trPr>
        <w:tc>
          <w:tcPr>
            <w:tcW w:w="4219" w:type="dxa"/>
            <w:vMerge w:val="restart"/>
            <w:tcBorders>
              <w:top w:val="single" w:sz="4" w:space="0" w:color="auto"/>
              <w:left w:val="single" w:sz="4" w:space="0" w:color="auto"/>
              <w:right w:val="single" w:sz="4" w:space="0" w:color="auto"/>
            </w:tcBorders>
            <w:shd w:val="clear" w:color="auto" w:fill="BFBFBF" w:themeFill="background1" w:themeFillShade="BF"/>
            <w:noWrap/>
            <w:vAlign w:val="center"/>
            <w:hideMark/>
          </w:tcPr>
          <w:p w:rsidR="0046067C" w:rsidRDefault="0046067C" w:rsidP="00881CC4">
            <w:pPr>
              <w:spacing w:after="0" w:line="240" w:lineRule="auto"/>
              <w:rPr>
                <w:rFonts w:eastAsia="Times New Roman" w:cs="Times New Roman"/>
                <w:b/>
                <w:bCs/>
                <w:color w:val="000000"/>
                <w:lang w:eastAsia="en-GB"/>
              </w:rPr>
            </w:pPr>
          </w:p>
          <w:p w:rsidR="0046067C" w:rsidRPr="000F13EB" w:rsidRDefault="0046067C" w:rsidP="00881CC4">
            <w:pPr>
              <w:spacing w:after="0" w:line="240" w:lineRule="auto"/>
              <w:rPr>
                <w:rFonts w:eastAsia="Times New Roman" w:cs="Times New Roman"/>
                <w:b/>
                <w:bCs/>
                <w:color w:val="000000"/>
                <w:lang w:eastAsia="en-GB"/>
              </w:rPr>
            </w:pPr>
            <w:r>
              <w:rPr>
                <w:rFonts w:eastAsia="Times New Roman" w:cs="Times New Roman"/>
                <w:b/>
                <w:bCs/>
                <w:color w:val="000000"/>
                <w:lang w:eastAsia="en-GB"/>
              </w:rPr>
              <w:t>Children's Services (Family Services</w:t>
            </w:r>
            <w:r w:rsidRPr="000F13EB">
              <w:rPr>
                <w:rFonts w:eastAsia="Times New Roman" w:cs="Times New Roman"/>
                <w:b/>
                <w:bCs/>
                <w:color w:val="000000"/>
                <w:lang w:eastAsia="en-GB"/>
              </w:rPr>
              <w:t>)</w:t>
            </w:r>
          </w:p>
          <w:p w:rsidR="0046067C" w:rsidRPr="000F13EB" w:rsidRDefault="0046067C" w:rsidP="00881CC4">
            <w:pPr>
              <w:spacing w:after="0" w:line="240" w:lineRule="auto"/>
              <w:rPr>
                <w:rFonts w:eastAsia="Times New Roman" w:cs="Times New Roman"/>
                <w:b/>
                <w:bCs/>
                <w:color w:val="000000"/>
                <w:lang w:eastAsia="en-GB"/>
              </w:rPr>
            </w:pPr>
            <w:r w:rsidRPr="000F13EB">
              <w:rPr>
                <w:rFonts w:eastAsia="Times New Roman" w:cs="Times New Roman"/>
                <w:b/>
                <w:bCs/>
                <w:color w:val="000000"/>
                <w:lang w:eastAsia="en-GB"/>
              </w:rPr>
              <w:t> </w:t>
            </w:r>
          </w:p>
        </w:tc>
        <w:tc>
          <w:tcPr>
            <w:tcW w:w="1701"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46067C" w:rsidRPr="000F13EB" w:rsidRDefault="0046067C" w:rsidP="00881CC4">
            <w:pPr>
              <w:spacing w:after="0" w:line="240" w:lineRule="auto"/>
              <w:jc w:val="center"/>
              <w:rPr>
                <w:rFonts w:eastAsia="Times New Roman" w:cs="Times New Roman"/>
                <w:b/>
                <w:bCs/>
                <w:color w:val="000000"/>
                <w:lang w:eastAsia="en-GB"/>
              </w:rPr>
            </w:pPr>
            <w:r w:rsidRPr="000F13EB">
              <w:rPr>
                <w:rFonts w:eastAsia="Times New Roman" w:cs="Times New Roman"/>
                <w:b/>
                <w:bCs/>
                <w:color w:val="000000"/>
                <w:lang w:eastAsia="en-GB"/>
              </w:rPr>
              <w:t>Original Net Budget</w:t>
            </w:r>
          </w:p>
        </w:tc>
        <w:tc>
          <w:tcPr>
            <w:tcW w:w="1559"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46067C" w:rsidRPr="000F13EB" w:rsidRDefault="0046067C" w:rsidP="00881CC4">
            <w:pPr>
              <w:spacing w:after="0" w:line="240" w:lineRule="auto"/>
              <w:jc w:val="center"/>
              <w:rPr>
                <w:rFonts w:eastAsia="Times New Roman" w:cs="Times New Roman"/>
                <w:b/>
                <w:bCs/>
                <w:color w:val="000000"/>
                <w:lang w:eastAsia="en-GB"/>
              </w:rPr>
            </w:pPr>
            <w:r w:rsidRPr="000F13EB">
              <w:rPr>
                <w:rFonts w:eastAsia="Times New Roman" w:cs="Times New Roman"/>
                <w:b/>
                <w:bCs/>
                <w:color w:val="000000"/>
                <w:lang w:eastAsia="en-GB"/>
              </w:rPr>
              <w:t>Current Net Budget</w:t>
            </w:r>
          </w:p>
        </w:tc>
        <w:tc>
          <w:tcPr>
            <w:tcW w:w="1763"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46067C" w:rsidRPr="000F13EB" w:rsidRDefault="0046067C" w:rsidP="00881CC4">
            <w:pPr>
              <w:spacing w:after="0" w:line="240" w:lineRule="auto"/>
              <w:jc w:val="center"/>
              <w:rPr>
                <w:rFonts w:eastAsia="Times New Roman" w:cs="Times New Roman"/>
                <w:b/>
                <w:bCs/>
                <w:color w:val="000000"/>
                <w:lang w:eastAsia="en-GB"/>
              </w:rPr>
            </w:pPr>
            <w:r>
              <w:rPr>
                <w:rFonts w:eastAsia="Times New Roman" w:cs="Times New Roman"/>
                <w:b/>
                <w:bCs/>
                <w:color w:val="000000"/>
                <w:lang w:eastAsia="en-GB"/>
              </w:rPr>
              <w:t>Outturn</w:t>
            </w:r>
          </w:p>
        </w:tc>
      </w:tr>
      <w:tr w:rsidR="0046067C" w:rsidRPr="0070484C" w:rsidTr="00881CC4">
        <w:trPr>
          <w:trHeight w:val="300"/>
          <w:jc w:val="center"/>
        </w:trPr>
        <w:tc>
          <w:tcPr>
            <w:tcW w:w="4219" w:type="dxa"/>
            <w:vMerge/>
            <w:tcBorders>
              <w:left w:val="single" w:sz="4" w:space="0" w:color="auto"/>
              <w:bottom w:val="single" w:sz="4" w:space="0" w:color="auto"/>
              <w:right w:val="single" w:sz="4" w:space="0" w:color="auto"/>
            </w:tcBorders>
            <w:shd w:val="clear" w:color="auto" w:fill="BFBFBF" w:themeFill="background1" w:themeFillShade="BF"/>
            <w:noWrap/>
            <w:vAlign w:val="bottom"/>
            <w:hideMark/>
          </w:tcPr>
          <w:p w:rsidR="0046067C" w:rsidRPr="000F13EB" w:rsidRDefault="0046067C" w:rsidP="00881CC4">
            <w:pPr>
              <w:spacing w:after="0" w:line="240" w:lineRule="auto"/>
              <w:rPr>
                <w:rFonts w:eastAsia="Times New Roman" w:cs="Times New Roman"/>
                <w:b/>
                <w:bCs/>
                <w:color w:val="000000"/>
                <w:lang w:eastAsia="en-GB"/>
              </w:rPr>
            </w:pPr>
          </w:p>
        </w:tc>
        <w:tc>
          <w:tcPr>
            <w:tcW w:w="1701" w:type="dxa"/>
            <w:tcBorders>
              <w:top w:val="nil"/>
              <w:left w:val="nil"/>
              <w:bottom w:val="single" w:sz="4" w:space="0" w:color="auto"/>
              <w:right w:val="single" w:sz="4" w:space="0" w:color="auto"/>
            </w:tcBorders>
            <w:shd w:val="clear" w:color="auto" w:fill="BFBFBF" w:themeFill="background1" w:themeFillShade="BF"/>
            <w:noWrap/>
            <w:vAlign w:val="center"/>
            <w:hideMark/>
          </w:tcPr>
          <w:p w:rsidR="0046067C" w:rsidRPr="000F13EB" w:rsidRDefault="0046067C" w:rsidP="00881CC4">
            <w:pPr>
              <w:spacing w:after="0" w:line="240" w:lineRule="auto"/>
              <w:jc w:val="center"/>
              <w:rPr>
                <w:rFonts w:eastAsia="Times New Roman" w:cs="Times New Roman"/>
                <w:b/>
                <w:bCs/>
                <w:color w:val="000000"/>
                <w:lang w:eastAsia="en-GB"/>
              </w:rPr>
            </w:pPr>
            <w:r w:rsidRPr="000F13EB">
              <w:rPr>
                <w:rFonts w:eastAsia="Times New Roman" w:cs="Times New Roman"/>
                <w:b/>
                <w:bCs/>
                <w:color w:val="000000"/>
                <w:lang w:eastAsia="en-GB"/>
              </w:rPr>
              <w:t>£'000</w:t>
            </w:r>
          </w:p>
        </w:tc>
        <w:tc>
          <w:tcPr>
            <w:tcW w:w="1559" w:type="dxa"/>
            <w:tcBorders>
              <w:top w:val="nil"/>
              <w:left w:val="nil"/>
              <w:bottom w:val="single" w:sz="4" w:space="0" w:color="auto"/>
              <w:right w:val="single" w:sz="4" w:space="0" w:color="auto"/>
            </w:tcBorders>
            <w:shd w:val="clear" w:color="auto" w:fill="BFBFBF" w:themeFill="background1" w:themeFillShade="BF"/>
            <w:noWrap/>
            <w:vAlign w:val="center"/>
            <w:hideMark/>
          </w:tcPr>
          <w:p w:rsidR="0046067C" w:rsidRPr="000F13EB" w:rsidRDefault="0046067C" w:rsidP="00881CC4">
            <w:pPr>
              <w:spacing w:after="0" w:line="240" w:lineRule="auto"/>
              <w:jc w:val="center"/>
              <w:rPr>
                <w:rFonts w:eastAsia="Times New Roman" w:cs="Times New Roman"/>
                <w:b/>
                <w:bCs/>
                <w:color w:val="000000"/>
                <w:lang w:eastAsia="en-GB"/>
              </w:rPr>
            </w:pPr>
            <w:r w:rsidRPr="000F13EB">
              <w:rPr>
                <w:rFonts w:eastAsia="Times New Roman" w:cs="Times New Roman"/>
                <w:b/>
                <w:bCs/>
                <w:color w:val="000000"/>
                <w:lang w:eastAsia="en-GB"/>
              </w:rPr>
              <w:t>£'000</w:t>
            </w:r>
          </w:p>
        </w:tc>
        <w:tc>
          <w:tcPr>
            <w:tcW w:w="1763" w:type="dxa"/>
            <w:tcBorders>
              <w:top w:val="nil"/>
              <w:left w:val="nil"/>
              <w:bottom w:val="single" w:sz="4" w:space="0" w:color="auto"/>
              <w:right w:val="single" w:sz="4" w:space="0" w:color="auto"/>
            </w:tcBorders>
            <w:shd w:val="clear" w:color="auto" w:fill="BFBFBF" w:themeFill="background1" w:themeFillShade="BF"/>
            <w:noWrap/>
            <w:vAlign w:val="center"/>
            <w:hideMark/>
          </w:tcPr>
          <w:p w:rsidR="0046067C" w:rsidRPr="000F13EB" w:rsidRDefault="0046067C" w:rsidP="00881CC4">
            <w:pPr>
              <w:spacing w:after="0" w:line="240" w:lineRule="auto"/>
              <w:jc w:val="center"/>
              <w:rPr>
                <w:rFonts w:eastAsia="Times New Roman" w:cs="Times New Roman"/>
                <w:b/>
                <w:bCs/>
                <w:color w:val="000000"/>
                <w:lang w:eastAsia="en-GB"/>
              </w:rPr>
            </w:pPr>
            <w:r w:rsidRPr="000F13EB">
              <w:rPr>
                <w:rFonts w:eastAsia="Times New Roman" w:cs="Times New Roman"/>
                <w:b/>
                <w:bCs/>
                <w:color w:val="000000"/>
                <w:lang w:eastAsia="en-GB"/>
              </w:rPr>
              <w:t>£'000</w:t>
            </w:r>
          </w:p>
        </w:tc>
      </w:tr>
      <w:tr w:rsidR="0046067C" w:rsidRPr="0070484C" w:rsidTr="00881CC4">
        <w:trPr>
          <w:trHeight w:val="300"/>
          <w:jc w:val="center"/>
        </w:trPr>
        <w:tc>
          <w:tcPr>
            <w:tcW w:w="4219" w:type="dxa"/>
            <w:tcBorders>
              <w:top w:val="nil"/>
              <w:left w:val="single" w:sz="4" w:space="0" w:color="auto"/>
              <w:bottom w:val="single" w:sz="4" w:space="0" w:color="auto"/>
              <w:right w:val="single" w:sz="4" w:space="0" w:color="auto"/>
            </w:tcBorders>
            <w:shd w:val="clear" w:color="000000" w:fill="FFFFFF"/>
            <w:noWrap/>
            <w:hideMark/>
          </w:tcPr>
          <w:p w:rsidR="0046067C" w:rsidRPr="000F13EB" w:rsidRDefault="0046067C" w:rsidP="00881CC4">
            <w:pPr>
              <w:spacing w:after="0" w:line="240" w:lineRule="auto"/>
              <w:rPr>
                <w:rFonts w:eastAsia="Times New Roman" w:cs="Arial"/>
                <w:lang w:eastAsia="en-GB"/>
              </w:rPr>
            </w:pPr>
            <w:r w:rsidRPr="000F13EB">
              <w:rPr>
                <w:rFonts w:eastAsia="Times New Roman" w:cs="Arial"/>
                <w:lang w:eastAsia="en-GB"/>
              </w:rPr>
              <w:t>Assessment &amp; Children in Need</w:t>
            </w:r>
          </w:p>
        </w:tc>
        <w:tc>
          <w:tcPr>
            <w:tcW w:w="1701" w:type="dxa"/>
            <w:tcBorders>
              <w:top w:val="nil"/>
              <w:left w:val="nil"/>
              <w:bottom w:val="single" w:sz="4" w:space="0" w:color="auto"/>
              <w:right w:val="single" w:sz="4" w:space="0" w:color="auto"/>
            </w:tcBorders>
            <w:shd w:val="clear" w:color="000000" w:fill="FFFFFF"/>
            <w:noWrap/>
            <w:hideMark/>
          </w:tcPr>
          <w:p w:rsidR="0046067C" w:rsidRPr="000F13EB" w:rsidRDefault="0046067C" w:rsidP="00881CC4">
            <w:pPr>
              <w:spacing w:after="0" w:line="240" w:lineRule="auto"/>
              <w:jc w:val="right"/>
              <w:rPr>
                <w:rFonts w:eastAsia="Times New Roman" w:cs="Arial"/>
                <w:color w:val="FFFFFF" w:themeColor="background1"/>
                <w:lang w:eastAsia="en-GB"/>
              </w:rPr>
            </w:pPr>
            <w:r w:rsidRPr="000F13EB">
              <w:rPr>
                <w:rFonts w:eastAsia="Times New Roman" w:cs="Arial"/>
                <w:lang w:eastAsia="en-GB"/>
              </w:rPr>
              <w:t>6,807</w:t>
            </w:r>
          </w:p>
        </w:tc>
        <w:tc>
          <w:tcPr>
            <w:tcW w:w="1559" w:type="dxa"/>
            <w:tcBorders>
              <w:top w:val="nil"/>
              <w:left w:val="nil"/>
              <w:bottom w:val="single" w:sz="4" w:space="0" w:color="auto"/>
              <w:right w:val="single" w:sz="4" w:space="0" w:color="auto"/>
            </w:tcBorders>
            <w:shd w:val="clear" w:color="000000" w:fill="FFFFFF"/>
            <w:noWrap/>
            <w:hideMark/>
          </w:tcPr>
          <w:p w:rsidR="0046067C" w:rsidRPr="000F13EB" w:rsidRDefault="0046067C" w:rsidP="00881CC4">
            <w:pPr>
              <w:spacing w:after="0" w:line="240" w:lineRule="auto"/>
              <w:jc w:val="right"/>
              <w:rPr>
                <w:rFonts w:eastAsia="Times New Roman" w:cs="Arial"/>
                <w:color w:val="FFFFFF" w:themeColor="background1"/>
                <w:lang w:eastAsia="en-GB"/>
              </w:rPr>
            </w:pPr>
            <w:r w:rsidRPr="000F13EB">
              <w:rPr>
                <w:rFonts w:eastAsia="Times New Roman" w:cs="Arial"/>
                <w:lang w:eastAsia="en-GB"/>
              </w:rPr>
              <w:t>7,214</w:t>
            </w:r>
          </w:p>
        </w:tc>
        <w:tc>
          <w:tcPr>
            <w:tcW w:w="1763" w:type="dxa"/>
            <w:tcBorders>
              <w:top w:val="nil"/>
              <w:left w:val="nil"/>
              <w:bottom w:val="single" w:sz="4" w:space="0" w:color="auto"/>
              <w:right w:val="single" w:sz="4" w:space="0" w:color="auto"/>
            </w:tcBorders>
            <w:shd w:val="clear" w:color="000000" w:fill="FFFFFF"/>
            <w:noWrap/>
            <w:hideMark/>
          </w:tcPr>
          <w:p w:rsidR="0046067C" w:rsidRPr="000F13EB" w:rsidRDefault="0046067C" w:rsidP="00881CC4">
            <w:pPr>
              <w:spacing w:after="0" w:line="240" w:lineRule="auto"/>
              <w:jc w:val="right"/>
              <w:rPr>
                <w:rFonts w:eastAsia="Times New Roman" w:cs="Arial"/>
                <w:color w:val="FFFFFF" w:themeColor="background1"/>
                <w:lang w:eastAsia="en-GB"/>
              </w:rPr>
            </w:pPr>
            <w:r w:rsidRPr="000F13EB">
              <w:rPr>
                <w:rFonts w:eastAsia="Times New Roman" w:cs="Arial"/>
                <w:lang w:eastAsia="en-GB"/>
              </w:rPr>
              <w:t>7,781</w:t>
            </w:r>
          </w:p>
        </w:tc>
      </w:tr>
      <w:tr w:rsidR="0046067C" w:rsidRPr="0070484C" w:rsidTr="00881CC4">
        <w:trPr>
          <w:trHeight w:val="300"/>
          <w:jc w:val="center"/>
        </w:trPr>
        <w:tc>
          <w:tcPr>
            <w:tcW w:w="4219" w:type="dxa"/>
            <w:tcBorders>
              <w:top w:val="nil"/>
              <w:left w:val="single" w:sz="4" w:space="0" w:color="auto"/>
              <w:bottom w:val="single" w:sz="4" w:space="0" w:color="auto"/>
              <w:right w:val="single" w:sz="4" w:space="0" w:color="auto"/>
            </w:tcBorders>
            <w:shd w:val="clear" w:color="000000" w:fill="FFFFFF"/>
            <w:noWrap/>
            <w:hideMark/>
          </w:tcPr>
          <w:p w:rsidR="0046067C" w:rsidRPr="000F13EB" w:rsidRDefault="0046067C" w:rsidP="00881CC4">
            <w:pPr>
              <w:spacing w:after="0" w:line="240" w:lineRule="auto"/>
              <w:rPr>
                <w:rFonts w:eastAsia="Times New Roman" w:cs="Arial"/>
                <w:lang w:eastAsia="en-GB"/>
              </w:rPr>
            </w:pPr>
            <w:r w:rsidRPr="000F13EB">
              <w:rPr>
                <w:rFonts w:eastAsia="Times New Roman" w:cs="Arial"/>
                <w:lang w:eastAsia="en-GB"/>
              </w:rPr>
              <w:t>Children in Care - Provider Service</w:t>
            </w:r>
          </w:p>
        </w:tc>
        <w:tc>
          <w:tcPr>
            <w:tcW w:w="1701" w:type="dxa"/>
            <w:tcBorders>
              <w:top w:val="nil"/>
              <w:left w:val="nil"/>
              <w:bottom w:val="single" w:sz="4" w:space="0" w:color="auto"/>
              <w:right w:val="single" w:sz="4" w:space="0" w:color="auto"/>
            </w:tcBorders>
            <w:shd w:val="clear" w:color="000000" w:fill="FFFFFF"/>
            <w:noWrap/>
            <w:hideMark/>
          </w:tcPr>
          <w:p w:rsidR="0046067C" w:rsidRPr="000F13EB" w:rsidRDefault="0046067C" w:rsidP="00881CC4">
            <w:pPr>
              <w:spacing w:after="0" w:line="240" w:lineRule="auto"/>
              <w:jc w:val="right"/>
              <w:rPr>
                <w:rFonts w:eastAsia="Times New Roman" w:cs="Arial"/>
                <w:color w:val="FFFFFF" w:themeColor="background1"/>
                <w:lang w:eastAsia="en-GB"/>
              </w:rPr>
            </w:pPr>
            <w:r w:rsidRPr="000F13EB">
              <w:rPr>
                <w:rFonts w:eastAsia="Times New Roman" w:cs="Arial"/>
                <w:lang w:eastAsia="en-GB"/>
              </w:rPr>
              <w:t>20,829</w:t>
            </w:r>
          </w:p>
        </w:tc>
        <w:tc>
          <w:tcPr>
            <w:tcW w:w="1559" w:type="dxa"/>
            <w:tcBorders>
              <w:top w:val="nil"/>
              <w:left w:val="nil"/>
              <w:bottom w:val="single" w:sz="4" w:space="0" w:color="auto"/>
              <w:right w:val="single" w:sz="4" w:space="0" w:color="auto"/>
            </w:tcBorders>
            <w:shd w:val="clear" w:color="000000" w:fill="FFFFFF"/>
            <w:noWrap/>
            <w:hideMark/>
          </w:tcPr>
          <w:p w:rsidR="0046067C" w:rsidRPr="000F13EB" w:rsidRDefault="0046067C" w:rsidP="00881CC4">
            <w:pPr>
              <w:spacing w:after="0" w:line="240" w:lineRule="auto"/>
              <w:jc w:val="right"/>
              <w:rPr>
                <w:rFonts w:eastAsia="Times New Roman" w:cs="Arial"/>
                <w:color w:val="FFFFFF" w:themeColor="background1"/>
                <w:lang w:eastAsia="en-GB"/>
              </w:rPr>
            </w:pPr>
            <w:r w:rsidRPr="000F13EB">
              <w:rPr>
                <w:rFonts w:eastAsia="Times New Roman" w:cs="Arial"/>
                <w:lang w:eastAsia="en-GB"/>
              </w:rPr>
              <w:t>22,010</w:t>
            </w:r>
          </w:p>
        </w:tc>
        <w:tc>
          <w:tcPr>
            <w:tcW w:w="1763" w:type="dxa"/>
            <w:tcBorders>
              <w:top w:val="nil"/>
              <w:left w:val="nil"/>
              <w:bottom w:val="single" w:sz="4" w:space="0" w:color="auto"/>
              <w:right w:val="single" w:sz="4" w:space="0" w:color="auto"/>
            </w:tcBorders>
            <w:shd w:val="clear" w:color="000000" w:fill="FFFFFF"/>
            <w:noWrap/>
            <w:hideMark/>
          </w:tcPr>
          <w:p w:rsidR="0046067C" w:rsidRPr="000F13EB" w:rsidRDefault="0046067C" w:rsidP="00881CC4">
            <w:pPr>
              <w:spacing w:after="0" w:line="240" w:lineRule="auto"/>
              <w:jc w:val="right"/>
              <w:rPr>
                <w:rFonts w:eastAsia="Times New Roman" w:cs="Arial"/>
                <w:color w:val="FFFFFF" w:themeColor="background1"/>
                <w:lang w:eastAsia="en-GB"/>
              </w:rPr>
            </w:pPr>
            <w:r w:rsidRPr="000F13EB">
              <w:rPr>
                <w:rFonts w:eastAsia="Times New Roman" w:cs="Arial"/>
                <w:lang w:eastAsia="en-GB"/>
              </w:rPr>
              <w:t>22,796</w:t>
            </w:r>
          </w:p>
        </w:tc>
      </w:tr>
      <w:tr w:rsidR="0046067C" w:rsidRPr="0070484C" w:rsidTr="00881CC4">
        <w:trPr>
          <w:trHeight w:val="300"/>
          <w:jc w:val="center"/>
        </w:trPr>
        <w:tc>
          <w:tcPr>
            <w:tcW w:w="4219" w:type="dxa"/>
            <w:tcBorders>
              <w:top w:val="nil"/>
              <w:left w:val="single" w:sz="4" w:space="0" w:color="auto"/>
              <w:bottom w:val="single" w:sz="4" w:space="0" w:color="auto"/>
              <w:right w:val="single" w:sz="4" w:space="0" w:color="auto"/>
            </w:tcBorders>
            <w:shd w:val="clear" w:color="000000" w:fill="FFFFFF"/>
            <w:noWrap/>
            <w:hideMark/>
          </w:tcPr>
          <w:p w:rsidR="0046067C" w:rsidRPr="000F13EB" w:rsidRDefault="0046067C" w:rsidP="00881CC4">
            <w:pPr>
              <w:spacing w:after="0" w:line="240" w:lineRule="auto"/>
              <w:rPr>
                <w:rFonts w:eastAsia="Times New Roman" w:cs="Arial"/>
                <w:lang w:eastAsia="en-GB"/>
              </w:rPr>
            </w:pPr>
            <w:r w:rsidRPr="000F13EB">
              <w:rPr>
                <w:rFonts w:eastAsia="Times New Roman" w:cs="Arial"/>
                <w:lang w:eastAsia="en-GB"/>
              </w:rPr>
              <w:t>Commissioning &amp; Business Improvement</w:t>
            </w:r>
          </w:p>
        </w:tc>
        <w:tc>
          <w:tcPr>
            <w:tcW w:w="1701" w:type="dxa"/>
            <w:tcBorders>
              <w:top w:val="nil"/>
              <w:left w:val="nil"/>
              <w:bottom w:val="single" w:sz="4" w:space="0" w:color="auto"/>
              <w:right w:val="single" w:sz="4" w:space="0" w:color="auto"/>
            </w:tcBorders>
            <w:shd w:val="clear" w:color="000000" w:fill="FFFFFF"/>
            <w:noWrap/>
            <w:hideMark/>
          </w:tcPr>
          <w:p w:rsidR="0046067C" w:rsidRPr="000F13EB" w:rsidRDefault="0046067C" w:rsidP="00881CC4">
            <w:pPr>
              <w:spacing w:after="0" w:line="240" w:lineRule="auto"/>
              <w:jc w:val="right"/>
              <w:rPr>
                <w:rFonts w:eastAsia="Times New Roman" w:cs="Arial"/>
                <w:color w:val="FFFFFF" w:themeColor="background1"/>
                <w:lang w:eastAsia="en-GB"/>
              </w:rPr>
            </w:pPr>
            <w:r w:rsidRPr="000F13EB">
              <w:rPr>
                <w:rFonts w:eastAsia="Times New Roman" w:cs="Arial"/>
                <w:lang w:eastAsia="en-GB"/>
              </w:rPr>
              <w:t>3,006</w:t>
            </w:r>
          </w:p>
        </w:tc>
        <w:tc>
          <w:tcPr>
            <w:tcW w:w="1559" w:type="dxa"/>
            <w:tcBorders>
              <w:top w:val="nil"/>
              <w:left w:val="nil"/>
              <w:bottom w:val="single" w:sz="4" w:space="0" w:color="auto"/>
              <w:right w:val="single" w:sz="4" w:space="0" w:color="auto"/>
            </w:tcBorders>
            <w:shd w:val="clear" w:color="000000" w:fill="FFFFFF"/>
            <w:noWrap/>
            <w:hideMark/>
          </w:tcPr>
          <w:p w:rsidR="0046067C" w:rsidRPr="000F13EB" w:rsidRDefault="0046067C" w:rsidP="00881CC4">
            <w:pPr>
              <w:spacing w:after="0" w:line="240" w:lineRule="auto"/>
              <w:jc w:val="right"/>
              <w:rPr>
                <w:rFonts w:eastAsia="Times New Roman" w:cs="Arial"/>
                <w:color w:val="FFFFFF" w:themeColor="background1"/>
                <w:lang w:eastAsia="en-GB"/>
              </w:rPr>
            </w:pPr>
            <w:r w:rsidRPr="000F13EB">
              <w:rPr>
                <w:rFonts w:eastAsia="Times New Roman" w:cs="Arial"/>
                <w:lang w:eastAsia="en-GB"/>
              </w:rPr>
              <w:t>3,285</w:t>
            </w:r>
          </w:p>
        </w:tc>
        <w:tc>
          <w:tcPr>
            <w:tcW w:w="1763" w:type="dxa"/>
            <w:tcBorders>
              <w:top w:val="nil"/>
              <w:left w:val="nil"/>
              <w:bottom w:val="single" w:sz="4" w:space="0" w:color="auto"/>
              <w:right w:val="single" w:sz="4" w:space="0" w:color="auto"/>
            </w:tcBorders>
            <w:shd w:val="clear" w:color="000000" w:fill="FFFFFF"/>
            <w:noWrap/>
            <w:hideMark/>
          </w:tcPr>
          <w:p w:rsidR="0046067C" w:rsidRPr="000F13EB" w:rsidRDefault="0046067C" w:rsidP="00881CC4">
            <w:pPr>
              <w:spacing w:after="0" w:line="240" w:lineRule="auto"/>
              <w:jc w:val="right"/>
              <w:rPr>
                <w:rFonts w:eastAsia="Times New Roman" w:cs="Arial"/>
                <w:color w:val="FFFFFF" w:themeColor="background1"/>
                <w:lang w:eastAsia="en-GB"/>
              </w:rPr>
            </w:pPr>
            <w:r w:rsidRPr="000F13EB">
              <w:rPr>
                <w:rFonts w:eastAsia="Times New Roman" w:cs="Arial"/>
                <w:lang w:eastAsia="en-GB"/>
              </w:rPr>
              <w:t>2,476</w:t>
            </w:r>
          </w:p>
        </w:tc>
      </w:tr>
      <w:tr w:rsidR="0046067C" w:rsidRPr="0070484C" w:rsidTr="00881CC4">
        <w:trPr>
          <w:trHeight w:val="300"/>
          <w:jc w:val="center"/>
        </w:trPr>
        <w:tc>
          <w:tcPr>
            <w:tcW w:w="4219" w:type="dxa"/>
            <w:tcBorders>
              <w:top w:val="nil"/>
              <w:left w:val="single" w:sz="4" w:space="0" w:color="auto"/>
              <w:bottom w:val="single" w:sz="4" w:space="0" w:color="auto"/>
              <w:right w:val="single" w:sz="4" w:space="0" w:color="auto"/>
            </w:tcBorders>
            <w:shd w:val="clear" w:color="000000" w:fill="FFFFFF"/>
            <w:noWrap/>
            <w:hideMark/>
          </w:tcPr>
          <w:p w:rsidR="0046067C" w:rsidRPr="000F13EB" w:rsidRDefault="0046067C" w:rsidP="00881CC4">
            <w:pPr>
              <w:spacing w:after="0" w:line="240" w:lineRule="auto"/>
              <w:rPr>
                <w:rFonts w:eastAsia="Times New Roman" w:cs="Arial"/>
                <w:lang w:eastAsia="en-GB"/>
              </w:rPr>
            </w:pPr>
            <w:r w:rsidRPr="000F13EB">
              <w:rPr>
                <w:rFonts w:eastAsia="Times New Roman" w:cs="Arial"/>
                <w:lang w:eastAsia="en-GB"/>
              </w:rPr>
              <w:t>Early Years</w:t>
            </w:r>
          </w:p>
        </w:tc>
        <w:tc>
          <w:tcPr>
            <w:tcW w:w="1701" w:type="dxa"/>
            <w:tcBorders>
              <w:top w:val="nil"/>
              <w:left w:val="nil"/>
              <w:bottom w:val="single" w:sz="4" w:space="0" w:color="auto"/>
              <w:right w:val="single" w:sz="4" w:space="0" w:color="auto"/>
            </w:tcBorders>
            <w:shd w:val="clear" w:color="000000" w:fill="FFFFFF"/>
            <w:noWrap/>
            <w:hideMark/>
          </w:tcPr>
          <w:p w:rsidR="0046067C" w:rsidRPr="000F13EB" w:rsidRDefault="0046067C" w:rsidP="00881CC4">
            <w:pPr>
              <w:spacing w:after="0" w:line="240" w:lineRule="auto"/>
              <w:jc w:val="right"/>
              <w:rPr>
                <w:rFonts w:eastAsia="Times New Roman" w:cs="Arial"/>
                <w:color w:val="FFFFFF" w:themeColor="background1"/>
                <w:lang w:eastAsia="en-GB"/>
              </w:rPr>
            </w:pPr>
            <w:r w:rsidRPr="000F13EB">
              <w:rPr>
                <w:rFonts w:eastAsia="Times New Roman" w:cs="Arial"/>
                <w:lang w:eastAsia="en-GB"/>
              </w:rPr>
              <w:t>5,027</w:t>
            </w:r>
          </w:p>
        </w:tc>
        <w:tc>
          <w:tcPr>
            <w:tcW w:w="1559" w:type="dxa"/>
            <w:tcBorders>
              <w:top w:val="nil"/>
              <w:left w:val="nil"/>
              <w:bottom w:val="single" w:sz="4" w:space="0" w:color="auto"/>
              <w:right w:val="single" w:sz="4" w:space="0" w:color="auto"/>
            </w:tcBorders>
            <w:shd w:val="clear" w:color="000000" w:fill="FFFFFF"/>
            <w:noWrap/>
            <w:hideMark/>
          </w:tcPr>
          <w:p w:rsidR="0046067C" w:rsidRPr="000F13EB" w:rsidRDefault="0046067C" w:rsidP="00881CC4">
            <w:pPr>
              <w:spacing w:after="0" w:line="240" w:lineRule="auto"/>
              <w:jc w:val="right"/>
              <w:rPr>
                <w:rFonts w:eastAsia="Times New Roman" w:cs="Arial"/>
                <w:color w:val="FFFFFF" w:themeColor="background1"/>
                <w:lang w:eastAsia="en-GB"/>
              </w:rPr>
            </w:pPr>
            <w:r w:rsidRPr="000F13EB">
              <w:rPr>
                <w:rFonts w:eastAsia="Times New Roman" w:cs="Arial"/>
                <w:lang w:eastAsia="en-GB"/>
              </w:rPr>
              <w:t>4,697</w:t>
            </w:r>
          </w:p>
        </w:tc>
        <w:tc>
          <w:tcPr>
            <w:tcW w:w="1763" w:type="dxa"/>
            <w:tcBorders>
              <w:top w:val="nil"/>
              <w:left w:val="nil"/>
              <w:bottom w:val="single" w:sz="4" w:space="0" w:color="auto"/>
              <w:right w:val="single" w:sz="4" w:space="0" w:color="auto"/>
            </w:tcBorders>
            <w:shd w:val="clear" w:color="000000" w:fill="FFFFFF"/>
            <w:noWrap/>
            <w:hideMark/>
          </w:tcPr>
          <w:p w:rsidR="0046067C" w:rsidRPr="000F13EB" w:rsidRDefault="0046067C" w:rsidP="00881CC4">
            <w:pPr>
              <w:spacing w:after="0" w:line="240" w:lineRule="auto"/>
              <w:jc w:val="right"/>
              <w:rPr>
                <w:rFonts w:eastAsia="Times New Roman" w:cs="Arial"/>
                <w:color w:val="FFFFFF" w:themeColor="background1"/>
                <w:lang w:eastAsia="en-GB"/>
              </w:rPr>
            </w:pPr>
            <w:r w:rsidRPr="000F13EB">
              <w:rPr>
                <w:rFonts w:eastAsia="Times New Roman" w:cs="Arial"/>
                <w:lang w:eastAsia="en-GB"/>
              </w:rPr>
              <w:t>5,039</w:t>
            </w:r>
          </w:p>
        </w:tc>
      </w:tr>
      <w:tr w:rsidR="0046067C" w:rsidRPr="0070484C" w:rsidTr="00881CC4">
        <w:trPr>
          <w:trHeight w:val="300"/>
          <w:jc w:val="center"/>
        </w:trPr>
        <w:tc>
          <w:tcPr>
            <w:tcW w:w="4219" w:type="dxa"/>
            <w:tcBorders>
              <w:top w:val="nil"/>
              <w:left w:val="single" w:sz="4" w:space="0" w:color="auto"/>
              <w:bottom w:val="single" w:sz="4" w:space="0" w:color="auto"/>
              <w:right w:val="single" w:sz="4" w:space="0" w:color="auto"/>
            </w:tcBorders>
            <w:shd w:val="clear" w:color="000000" w:fill="FFFFFF"/>
            <w:noWrap/>
            <w:hideMark/>
          </w:tcPr>
          <w:p w:rsidR="0046067C" w:rsidRPr="000F13EB" w:rsidRDefault="0046067C" w:rsidP="00881CC4">
            <w:pPr>
              <w:spacing w:after="0" w:line="240" w:lineRule="auto"/>
              <w:rPr>
                <w:rFonts w:eastAsia="Times New Roman" w:cs="Arial"/>
                <w:lang w:eastAsia="en-GB"/>
              </w:rPr>
            </w:pPr>
            <w:r w:rsidRPr="000F13EB">
              <w:rPr>
                <w:rFonts w:eastAsia="Times New Roman" w:cs="Arial"/>
                <w:lang w:eastAsia="en-GB"/>
              </w:rPr>
              <w:t>Family Services Management</w:t>
            </w:r>
          </w:p>
        </w:tc>
        <w:tc>
          <w:tcPr>
            <w:tcW w:w="1701" w:type="dxa"/>
            <w:tcBorders>
              <w:top w:val="nil"/>
              <w:left w:val="nil"/>
              <w:bottom w:val="single" w:sz="4" w:space="0" w:color="auto"/>
              <w:right w:val="single" w:sz="4" w:space="0" w:color="auto"/>
            </w:tcBorders>
            <w:shd w:val="clear" w:color="000000" w:fill="FFFFFF"/>
            <w:noWrap/>
            <w:hideMark/>
          </w:tcPr>
          <w:p w:rsidR="0046067C" w:rsidRPr="000F13EB" w:rsidRDefault="0046067C" w:rsidP="00881CC4">
            <w:pPr>
              <w:spacing w:after="0" w:line="240" w:lineRule="auto"/>
              <w:jc w:val="right"/>
              <w:rPr>
                <w:rFonts w:eastAsia="Times New Roman" w:cs="Arial"/>
                <w:color w:val="FFFFFF" w:themeColor="background1"/>
                <w:lang w:eastAsia="en-GB"/>
              </w:rPr>
            </w:pPr>
            <w:r w:rsidRPr="000F13EB">
              <w:rPr>
                <w:rFonts w:eastAsia="Times New Roman" w:cs="Arial"/>
                <w:lang w:eastAsia="en-GB"/>
              </w:rPr>
              <w:t>660</w:t>
            </w:r>
          </w:p>
        </w:tc>
        <w:tc>
          <w:tcPr>
            <w:tcW w:w="1559" w:type="dxa"/>
            <w:tcBorders>
              <w:top w:val="nil"/>
              <w:left w:val="nil"/>
              <w:bottom w:val="single" w:sz="4" w:space="0" w:color="auto"/>
              <w:right w:val="single" w:sz="4" w:space="0" w:color="auto"/>
            </w:tcBorders>
            <w:shd w:val="clear" w:color="000000" w:fill="FFFFFF"/>
            <w:noWrap/>
            <w:hideMark/>
          </w:tcPr>
          <w:p w:rsidR="0046067C" w:rsidRPr="000F13EB" w:rsidRDefault="0046067C" w:rsidP="00881CC4">
            <w:pPr>
              <w:spacing w:after="0" w:line="240" w:lineRule="auto"/>
              <w:jc w:val="right"/>
              <w:rPr>
                <w:rFonts w:eastAsia="Times New Roman" w:cs="Arial"/>
                <w:color w:val="FFFFFF" w:themeColor="background1"/>
                <w:lang w:eastAsia="en-GB"/>
              </w:rPr>
            </w:pPr>
            <w:r w:rsidRPr="000F13EB">
              <w:rPr>
                <w:rFonts w:eastAsia="Times New Roman" w:cs="Arial"/>
                <w:lang w:eastAsia="en-GB"/>
              </w:rPr>
              <w:t>899</w:t>
            </w:r>
          </w:p>
        </w:tc>
        <w:tc>
          <w:tcPr>
            <w:tcW w:w="1763" w:type="dxa"/>
            <w:tcBorders>
              <w:top w:val="nil"/>
              <w:left w:val="nil"/>
              <w:bottom w:val="single" w:sz="4" w:space="0" w:color="auto"/>
              <w:right w:val="single" w:sz="4" w:space="0" w:color="auto"/>
            </w:tcBorders>
            <w:shd w:val="clear" w:color="000000" w:fill="FFFFFF"/>
            <w:noWrap/>
            <w:hideMark/>
          </w:tcPr>
          <w:p w:rsidR="0046067C" w:rsidRPr="000F13EB" w:rsidRDefault="0046067C" w:rsidP="00881CC4">
            <w:pPr>
              <w:spacing w:after="0" w:line="240" w:lineRule="auto"/>
              <w:jc w:val="right"/>
              <w:rPr>
                <w:rFonts w:eastAsia="Times New Roman" w:cs="Arial"/>
                <w:color w:val="FFFFFF" w:themeColor="background1"/>
                <w:lang w:eastAsia="en-GB"/>
              </w:rPr>
            </w:pPr>
            <w:r w:rsidRPr="000F13EB">
              <w:rPr>
                <w:rFonts w:eastAsia="Times New Roman" w:cs="Arial"/>
                <w:lang w:eastAsia="en-GB"/>
              </w:rPr>
              <w:t>324</w:t>
            </w:r>
          </w:p>
        </w:tc>
      </w:tr>
      <w:tr w:rsidR="0046067C" w:rsidRPr="0070484C" w:rsidTr="00881CC4">
        <w:trPr>
          <w:trHeight w:val="300"/>
          <w:jc w:val="center"/>
        </w:trPr>
        <w:tc>
          <w:tcPr>
            <w:tcW w:w="4219" w:type="dxa"/>
            <w:tcBorders>
              <w:top w:val="nil"/>
              <w:left w:val="single" w:sz="4" w:space="0" w:color="auto"/>
              <w:bottom w:val="single" w:sz="4" w:space="0" w:color="auto"/>
              <w:right w:val="single" w:sz="4" w:space="0" w:color="auto"/>
            </w:tcBorders>
            <w:shd w:val="clear" w:color="000000" w:fill="FFFFFF"/>
            <w:noWrap/>
            <w:hideMark/>
          </w:tcPr>
          <w:p w:rsidR="0046067C" w:rsidRPr="000F13EB" w:rsidRDefault="0046067C" w:rsidP="00881CC4">
            <w:pPr>
              <w:spacing w:after="0" w:line="240" w:lineRule="auto"/>
              <w:rPr>
                <w:rFonts w:eastAsia="Times New Roman" w:cs="Arial"/>
                <w:lang w:eastAsia="en-GB"/>
              </w:rPr>
            </w:pPr>
            <w:r w:rsidRPr="000F13EB">
              <w:rPr>
                <w:rFonts w:eastAsia="Times New Roman" w:cs="Arial"/>
                <w:lang w:eastAsia="en-GB"/>
              </w:rPr>
              <w:t>Family Support &amp; Early Intervention</w:t>
            </w:r>
          </w:p>
        </w:tc>
        <w:tc>
          <w:tcPr>
            <w:tcW w:w="1701" w:type="dxa"/>
            <w:tcBorders>
              <w:top w:val="nil"/>
              <w:left w:val="nil"/>
              <w:bottom w:val="single" w:sz="4" w:space="0" w:color="auto"/>
              <w:right w:val="single" w:sz="4" w:space="0" w:color="auto"/>
            </w:tcBorders>
            <w:shd w:val="clear" w:color="000000" w:fill="FFFFFF"/>
            <w:noWrap/>
            <w:hideMark/>
          </w:tcPr>
          <w:p w:rsidR="0046067C" w:rsidRPr="000F13EB" w:rsidRDefault="0046067C" w:rsidP="00881CC4">
            <w:pPr>
              <w:spacing w:after="0" w:line="240" w:lineRule="auto"/>
              <w:jc w:val="right"/>
              <w:rPr>
                <w:rFonts w:eastAsia="Times New Roman" w:cs="Arial"/>
                <w:color w:val="FFFFFF" w:themeColor="background1"/>
                <w:lang w:eastAsia="en-GB"/>
              </w:rPr>
            </w:pPr>
            <w:r w:rsidRPr="000F13EB">
              <w:rPr>
                <w:rFonts w:eastAsia="Times New Roman" w:cs="Arial"/>
                <w:lang w:eastAsia="en-GB"/>
              </w:rPr>
              <w:t>776</w:t>
            </w:r>
          </w:p>
        </w:tc>
        <w:tc>
          <w:tcPr>
            <w:tcW w:w="1559" w:type="dxa"/>
            <w:tcBorders>
              <w:top w:val="nil"/>
              <w:left w:val="nil"/>
              <w:bottom w:val="single" w:sz="4" w:space="0" w:color="auto"/>
              <w:right w:val="single" w:sz="4" w:space="0" w:color="auto"/>
            </w:tcBorders>
            <w:shd w:val="clear" w:color="000000" w:fill="FFFFFF"/>
            <w:noWrap/>
            <w:hideMark/>
          </w:tcPr>
          <w:p w:rsidR="0046067C" w:rsidRPr="000F13EB" w:rsidRDefault="0046067C" w:rsidP="00881CC4">
            <w:pPr>
              <w:spacing w:after="0" w:line="240" w:lineRule="auto"/>
              <w:jc w:val="right"/>
              <w:rPr>
                <w:rFonts w:eastAsia="Times New Roman" w:cs="Arial"/>
                <w:color w:val="FFFFFF" w:themeColor="background1"/>
                <w:lang w:eastAsia="en-GB"/>
              </w:rPr>
            </w:pPr>
            <w:r w:rsidRPr="000F13EB">
              <w:rPr>
                <w:rFonts w:eastAsia="Times New Roman" w:cs="Arial"/>
                <w:lang w:eastAsia="en-GB"/>
              </w:rPr>
              <w:t>740</w:t>
            </w:r>
          </w:p>
        </w:tc>
        <w:tc>
          <w:tcPr>
            <w:tcW w:w="1763" w:type="dxa"/>
            <w:tcBorders>
              <w:top w:val="nil"/>
              <w:left w:val="nil"/>
              <w:bottom w:val="single" w:sz="4" w:space="0" w:color="auto"/>
              <w:right w:val="single" w:sz="4" w:space="0" w:color="auto"/>
            </w:tcBorders>
            <w:shd w:val="clear" w:color="000000" w:fill="FFFFFF"/>
            <w:noWrap/>
            <w:hideMark/>
          </w:tcPr>
          <w:p w:rsidR="0046067C" w:rsidRPr="000F13EB" w:rsidRDefault="0046067C" w:rsidP="00881CC4">
            <w:pPr>
              <w:spacing w:after="0" w:line="240" w:lineRule="auto"/>
              <w:jc w:val="right"/>
              <w:rPr>
                <w:rFonts w:eastAsia="Times New Roman" w:cs="Arial"/>
                <w:color w:val="FFFFFF" w:themeColor="background1"/>
                <w:lang w:eastAsia="en-GB"/>
              </w:rPr>
            </w:pPr>
            <w:r w:rsidRPr="000F13EB">
              <w:rPr>
                <w:rFonts w:eastAsia="Times New Roman" w:cs="Arial"/>
                <w:lang w:eastAsia="en-GB"/>
              </w:rPr>
              <w:t>761</w:t>
            </w:r>
          </w:p>
        </w:tc>
      </w:tr>
      <w:tr w:rsidR="0046067C" w:rsidRPr="0070484C" w:rsidTr="00881CC4">
        <w:trPr>
          <w:trHeight w:val="300"/>
          <w:jc w:val="center"/>
        </w:trPr>
        <w:tc>
          <w:tcPr>
            <w:tcW w:w="4219" w:type="dxa"/>
            <w:tcBorders>
              <w:top w:val="nil"/>
              <w:left w:val="single" w:sz="4" w:space="0" w:color="auto"/>
              <w:bottom w:val="single" w:sz="4" w:space="0" w:color="auto"/>
              <w:right w:val="single" w:sz="4" w:space="0" w:color="auto"/>
            </w:tcBorders>
            <w:shd w:val="clear" w:color="000000" w:fill="FFFFFF"/>
            <w:noWrap/>
            <w:hideMark/>
          </w:tcPr>
          <w:p w:rsidR="0046067C" w:rsidRPr="000F13EB" w:rsidRDefault="0046067C" w:rsidP="00881CC4">
            <w:pPr>
              <w:spacing w:after="0" w:line="240" w:lineRule="auto"/>
              <w:rPr>
                <w:rFonts w:eastAsia="Times New Roman" w:cs="Arial"/>
                <w:lang w:eastAsia="en-GB"/>
              </w:rPr>
            </w:pPr>
            <w:r w:rsidRPr="000F13EB">
              <w:rPr>
                <w:rFonts w:eastAsia="Times New Roman" w:cs="Arial"/>
                <w:lang w:eastAsia="en-GB"/>
              </w:rPr>
              <w:t>Safeguarding &amp; Quality Assurance</w:t>
            </w:r>
          </w:p>
        </w:tc>
        <w:tc>
          <w:tcPr>
            <w:tcW w:w="1701" w:type="dxa"/>
            <w:tcBorders>
              <w:top w:val="nil"/>
              <w:left w:val="nil"/>
              <w:bottom w:val="single" w:sz="4" w:space="0" w:color="auto"/>
              <w:right w:val="single" w:sz="4" w:space="0" w:color="auto"/>
            </w:tcBorders>
            <w:shd w:val="clear" w:color="000000" w:fill="FFFFFF"/>
            <w:noWrap/>
            <w:hideMark/>
          </w:tcPr>
          <w:p w:rsidR="0046067C" w:rsidRPr="000F13EB" w:rsidRDefault="0046067C" w:rsidP="00881CC4">
            <w:pPr>
              <w:spacing w:after="0" w:line="240" w:lineRule="auto"/>
              <w:jc w:val="right"/>
              <w:rPr>
                <w:rFonts w:eastAsia="Times New Roman" w:cs="Arial"/>
                <w:color w:val="FFFFFF" w:themeColor="background1"/>
                <w:lang w:eastAsia="en-GB"/>
              </w:rPr>
            </w:pPr>
            <w:r w:rsidRPr="000F13EB">
              <w:rPr>
                <w:rFonts w:eastAsia="Times New Roman" w:cs="Arial"/>
                <w:lang w:eastAsia="en-GB"/>
              </w:rPr>
              <w:t>1,857</w:t>
            </w:r>
          </w:p>
        </w:tc>
        <w:tc>
          <w:tcPr>
            <w:tcW w:w="1559" w:type="dxa"/>
            <w:tcBorders>
              <w:top w:val="nil"/>
              <w:left w:val="nil"/>
              <w:bottom w:val="single" w:sz="4" w:space="0" w:color="auto"/>
              <w:right w:val="single" w:sz="4" w:space="0" w:color="auto"/>
            </w:tcBorders>
            <w:shd w:val="clear" w:color="000000" w:fill="FFFFFF"/>
            <w:noWrap/>
            <w:hideMark/>
          </w:tcPr>
          <w:p w:rsidR="0046067C" w:rsidRPr="000F13EB" w:rsidRDefault="0046067C" w:rsidP="00881CC4">
            <w:pPr>
              <w:spacing w:after="0" w:line="240" w:lineRule="auto"/>
              <w:jc w:val="right"/>
              <w:rPr>
                <w:rFonts w:eastAsia="Times New Roman" w:cs="Arial"/>
                <w:color w:val="FFFFFF" w:themeColor="background1"/>
                <w:lang w:eastAsia="en-GB"/>
              </w:rPr>
            </w:pPr>
            <w:r w:rsidRPr="000F13EB">
              <w:rPr>
                <w:rFonts w:eastAsia="Times New Roman" w:cs="Arial"/>
                <w:lang w:eastAsia="en-GB"/>
              </w:rPr>
              <w:t>1,937</w:t>
            </w:r>
          </w:p>
        </w:tc>
        <w:tc>
          <w:tcPr>
            <w:tcW w:w="1763" w:type="dxa"/>
            <w:tcBorders>
              <w:top w:val="nil"/>
              <w:left w:val="nil"/>
              <w:bottom w:val="single" w:sz="4" w:space="0" w:color="auto"/>
              <w:right w:val="single" w:sz="4" w:space="0" w:color="auto"/>
            </w:tcBorders>
            <w:shd w:val="clear" w:color="000000" w:fill="FFFFFF"/>
            <w:noWrap/>
            <w:hideMark/>
          </w:tcPr>
          <w:p w:rsidR="0046067C" w:rsidRPr="000F13EB" w:rsidRDefault="0046067C" w:rsidP="00881CC4">
            <w:pPr>
              <w:spacing w:after="0" w:line="240" w:lineRule="auto"/>
              <w:jc w:val="right"/>
              <w:rPr>
                <w:rFonts w:eastAsia="Times New Roman" w:cs="Arial"/>
                <w:color w:val="FFFFFF" w:themeColor="background1"/>
                <w:lang w:eastAsia="en-GB"/>
              </w:rPr>
            </w:pPr>
            <w:r w:rsidRPr="000F13EB">
              <w:rPr>
                <w:rFonts w:eastAsia="Times New Roman" w:cs="Arial"/>
                <w:lang w:eastAsia="en-GB"/>
              </w:rPr>
              <w:t>2,092</w:t>
            </w:r>
          </w:p>
        </w:tc>
      </w:tr>
      <w:tr w:rsidR="0046067C" w:rsidRPr="0070484C" w:rsidTr="00881CC4">
        <w:trPr>
          <w:trHeight w:val="300"/>
          <w:jc w:val="center"/>
        </w:trPr>
        <w:tc>
          <w:tcPr>
            <w:tcW w:w="4219" w:type="dxa"/>
            <w:tcBorders>
              <w:top w:val="nil"/>
              <w:left w:val="single" w:sz="4" w:space="0" w:color="auto"/>
              <w:bottom w:val="single" w:sz="4" w:space="0" w:color="auto"/>
              <w:right w:val="single" w:sz="4" w:space="0" w:color="auto"/>
            </w:tcBorders>
            <w:shd w:val="clear" w:color="000000" w:fill="FFFFFF"/>
            <w:noWrap/>
            <w:hideMark/>
          </w:tcPr>
          <w:p w:rsidR="0046067C" w:rsidRPr="000F13EB" w:rsidRDefault="0046067C" w:rsidP="00881CC4">
            <w:pPr>
              <w:spacing w:after="0" w:line="240" w:lineRule="auto"/>
              <w:rPr>
                <w:rFonts w:eastAsia="Times New Roman" w:cs="Arial"/>
                <w:lang w:eastAsia="en-GB"/>
              </w:rPr>
            </w:pPr>
            <w:r w:rsidRPr="000F13EB">
              <w:rPr>
                <w:rFonts w:eastAsia="Times New Roman" w:cs="Arial"/>
                <w:lang w:eastAsia="en-GB"/>
              </w:rPr>
              <w:t>Social Care Management</w:t>
            </w:r>
          </w:p>
        </w:tc>
        <w:tc>
          <w:tcPr>
            <w:tcW w:w="1701" w:type="dxa"/>
            <w:tcBorders>
              <w:top w:val="nil"/>
              <w:left w:val="nil"/>
              <w:bottom w:val="single" w:sz="4" w:space="0" w:color="auto"/>
              <w:right w:val="single" w:sz="4" w:space="0" w:color="auto"/>
            </w:tcBorders>
            <w:shd w:val="clear" w:color="000000" w:fill="FFFFFF"/>
            <w:noWrap/>
            <w:hideMark/>
          </w:tcPr>
          <w:p w:rsidR="0046067C" w:rsidRPr="000F13EB" w:rsidRDefault="0046067C" w:rsidP="00881CC4">
            <w:pPr>
              <w:spacing w:after="0" w:line="240" w:lineRule="auto"/>
              <w:jc w:val="right"/>
              <w:rPr>
                <w:rFonts w:eastAsia="Times New Roman" w:cs="Arial"/>
                <w:color w:val="FFFFFF" w:themeColor="background1"/>
                <w:lang w:eastAsia="en-GB"/>
              </w:rPr>
            </w:pPr>
            <w:r w:rsidRPr="000F13EB">
              <w:rPr>
                <w:rFonts w:eastAsia="Times New Roman" w:cs="Arial"/>
                <w:lang w:eastAsia="en-GB"/>
              </w:rPr>
              <w:t>1,694</w:t>
            </w:r>
          </w:p>
        </w:tc>
        <w:tc>
          <w:tcPr>
            <w:tcW w:w="1559" w:type="dxa"/>
            <w:tcBorders>
              <w:top w:val="nil"/>
              <w:left w:val="nil"/>
              <w:bottom w:val="single" w:sz="4" w:space="0" w:color="auto"/>
              <w:right w:val="single" w:sz="4" w:space="0" w:color="auto"/>
            </w:tcBorders>
            <w:shd w:val="clear" w:color="000000" w:fill="FFFFFF"/>
            <w:noWrap/>
            <w:hideMark/>
          </w:tcPr>
          <w:p w:rsidR="0046067C" w:rsidRPr="000F13EB" w:rsidRDefault="0046067C" w:rsidP="00881CC4">
            <w:pPr>
              <w:spacing w:after="0" w:line="240" w:lineRule="auto"/>
              <w:jc w:val="right"/>
              <w:rPr>
                <w:rFonts w:eastAsia="Times New Roman" w:cs="Arial"/>
                <w:color w:val="FFFFFF" w:themeColor="background1"/>
                <w:lang w:eastAsia="en-GB"/>
              </w:rPr>
            </w:pPr>
            <w:r w:rsidRPr="000F13EB">
              <w:rPr>
                <w:rFonts w:eastAsia="Times New Roman" w:cs="Arial"/>
                <w:lang w:eastAsia="en-GB"/>
              </w:rPr>
              <w:t>1,716</w:t>
            </w:r>
          </w:p>
        </w:tc>
        <w:tc>
          <w:tcPr>
            <w:tcW w:w="1763" w:type="dxa"/>
            <w:tcBorders>
              <w:top w:val="nil"/>
              <w:left w:val="nil"/>
              <w:bottom w:val="single" w:sz="4" w:space="0" w:color="auto"/>
              <w:right w:val="single" w:sz="4" w:space="0" w:color="auto"/>
            </w:tcBorders>
            <w:shd w:val="clear" w:color="000000" w:fill="FFFFFF"/>
            <w:noWrap/>
            <w:hideMark/>
          </w:tcPr>
          <w:p w:rsidR="0046067C" w:rsidRPr="000F13EB" w:rsidRDefault="0046067C" w:rsidP="00881CC4">
            <w:pPr>
              <w:spacing w:after="0" w:line="240" w:lineRule="auto"/>
              <w:jc w:val="right"/>
              <w:rPr>
                <w:rFonts w:eastAsia="Times New Roman" w:cs="Arial"/>
                <w:color w:val="FFFFFF" w:themeColor="background1"/>
                <w:lang w:eastAsia="en-GB"/>
              </w:rPr>
            </w:pPr>
            <w:r w:rsidRPr="000F13EB">
              <w:rPr>
                <w:rFonts w:eastAsia="Times New Roman" w:cs="Arial"/>
                <w:lang w:eastAsia="en-GB"/>
              </w:rPr>
              <w:t>1,678</w:t>
            </w:r>
          </w:p>
        </w:tc>
      </w:tr>
      <w:tr w:rsidR="0046067C" w:rsidRPr="0070484C" w:rsidTr="00881CC4">
        <w:trPr>
          <w:trHeight w:val="300"/>
          <w:jc w:val="center"/>
        </w:trPr>
        <w:tc>
          <w:tcPr>
            <w:tcW w:w="4219" w:type="dxa"/>
            <w:tcBorders>
              <w:top w:val="nil"/>
              <w:left w:val="single" w:sz="4" w:space="0" w:color="auto"/>
              <w:bottom w:val="single" w:sz="4" w:space="0" w:color="auto"/>
              <w:right w:val="single" w:sz="4" w:space="0" w:color="auto"/>
            </w:tcBorders>
            <w:shd w:val="clear" w:color="000000" w:fill="FFFFFF"/>
            <w:noWrap/>
            <w:hideMark/>
          </w:tcPr>
          <w:p w:rsidR="0046067C" w:rsidRPr="000F13EB" w:rsidRDefault="0046067C" w:rsidP="00881CC4">
            <w:pPr>
              <w:spacing w:after="0" w:line="240" w:lineRule="auto"/>
              <w:rPr>
                <w:rFonts w:eastAsia="Times New Roman" w:cs="Arial"/>
                <w:lang w:eastAsia="en-GB"/>
              </w:rPr>
            </w:pPr>
            <w:r w:rsidRPr="000F13EB">
              <w:rPr>
                <w:rFonts w:eastAsia="Times New Roman" w:cs="Arial"/>
                <w:lang w:eastAsia="en-GB"/>
              </w:rPr>
              <w:t>Youth &amp; Community</w:t>
            </w:r>
          </w:p>
        </w:tc>
        <w:tc>
          <w:tcPr>
            <w:tcW w:w="1701" w:type="dxa"/>
            <w:tcBorders>
              <w:top w:val="nil"/>
              <w:left w:val="nil"/>
              <w:bottom w:val="single" w:sz="4" w:space="0" w:color="auto"/>
              <w:right w:val="single" w:sz="4" w:space="0" w:color="auto"/>
            </w:tcBorders>
            <w:shd w:val="clear" w:color="000000" w:fill="FFFFFF"/>
            <w:noWrap/>
            <w:hideMark/>
          </w:tcPr>
          <w:p w:rsidR="0046067C" w:rsidRPr="000F13EB" w:rsidRDefault="0046067C" w:rsidP="00881CC4">
            <w:pPr>
              <w:spacing w:after="0" w:line="240" w:lineRule="auto"/>
              <w:jc w:val="right"/>
              <w:rPr>
                <w:rFonts w:eastAsia="Times New Roman" w:cs="Arial"/>
                <w:color w:val="FFFFFF" w:themeColor="background1"/>
                <w:lang w:eastAsia="en-GB"/>
              </w:rPr>
            </w:pPr>
            <w:r w:rsidRPr="000F13EB">
              <w:rPr>
                <w:rFonts w:eastAsia="Times New Roman" w:cs="Arial"/>
                <w:lang w:eastAsia="en-GB"/>
              </w:rPr>
              <w:t>7,687</w:t>
            </w:r>
          </w:p>
        </w:tc>
        <w:tc>
          <w:tcPr>
            <w:tcW w:w="1559" w:type="dxa"/>
            <w:tcBorders>
              <w:top w:val="nil"/>
              <w:left w:val="nil"/>
              <w:bottom w:val="single" w:sz="4" w:space="0" w:color="auto"/>
              <w:right w:val="single" w:sz="4" w:space="0" w:color="auto"/>
            </w:tcBorders>
            <w:shd w:val="clear" w:color="000000" w:fill="FFFFFF"/>
            <w:noWrap/>
            <w:hideMark/>
          </w:tcPr>
          <w:p w:rsidR="0046067C" w:rsidRPr="000F13EB" w:rsidRDefault="0046067C" w:rsidP="00881CC4">
            <w:pPr>
              <w:spacing w:after="0" w:line="240" w:lineRule="auto"/>
              <w:jc w:val="right"/>
              <w:rPr>
                <w:rFonts w:eastAsia="Times New Roman" w:cs="Arial"/>
                <w:color w:val="FFFFFF" w:themeColor="background1"/>
                <w:lang w:eastAsia="en-GB"/>
              </w:rPr>
            </w:pPr>
            <w:r w:rsidRPr="000F13EB">
              <w:rPr>
                <w:rFonts w:eastAsia="Times New Roman" w:cs="Arial"/>
                <w:lang w:eastAsia="en-GB"/>
              </w:rPr>
              <w:t>7,939</w:t>
            </w:r>
          </w:p>
        </w:tc>
        <w:tc>
          <w:tcPr>
            <w:tcW w:w="1763" w:type="dxa"/>
            <w:tcBorders>
              <w:top w:val="nil"/>
              <w:left w:val="nil"/>
              <w:bottom w:val="single" w:sz="4" w:space="0" w:color="auto"/>
              <w:right w:val="single" w:sz="4" w:space="0" w:color="auto"/>
            </w:tcBorders>
            <w:shd w:val="clear" w:color="000000" w:fill="FFFFFF"/>
            <w:noWrap/>
            <w:hideMark/>
          </w:tcPr>
          <w:p w:rsidR="0046067C" w:rsidRPr="000F13EB" w:rsidRDefault="0046067C" w:rsidP="00881CC4">
            <w:pPr>
              <w:spacing w:after="0" w:line="240" w:lineRule="auto"/>
              <w:jc w:val="right"/>
              <w:rPr>
                <w:rFonts w:eastAsia="Times New Roman" w:cs="Arial"/>
                <w:color w:val="FFFFFF" w:themeColor="background1"/>
                <w:lang w:eastAsia="en-GB"/>
              </w:rPr>
            </w:pPr>
            <w:r w:rsidRPr="000F13EB">
              <w:rPr>
                <w:rFonts w:eastAsia="Times New Roman" w:cs="Arial"/>
                <w:lang w:eastAsia="en-GB"/>
              </w:rPr>
              <w:t>7,559</w:t>
            </w:r>
          </w:p>
        </w:tc>
      </w:tr>
      <w:tr w:rsidR="0046067C" w:rsidRPr="0070484C" w:rsidTr="00881CC4">
        <w:trPr>
          <w:trHeight w:val="235"/>
          <w:jc w:val="center"/>
        </w:trPr>
        <w:tc>
          <w:tcPr>
            <w:tcW w:w="4219" w:type="dxa"/>
            <w:tcBorders>
              <w:top w:val="nil"/>
              <w:left w:val="single" w:sz="4" w:space="0" w:color="auto"/>
              <w:bottom w:val="single" w:sz="4" w:space="0" w:color="auto"/>
              <w:right w:val="single" w:sz="4" w:space="0" w:color="auto"/>
            </w:tcBorders>
            <w:shd w:val="clear" w:color="auto" w:fill="auto"/>
            <w:noWrap/>
            <w:hideMark/>
          </w:tcPr>
          <w:p w:rsidR="0046067C" w:rsidRPr="000F13EB" w:rsidRDefault="0046067C" w:rsidP="00881CC4">
            <w:pPr>
              <w:spacing w:after="0" w:line="240" w:lineRule="auto"/>
              <w:rPr>
                <w:rFonts w:eastAsia="Times New Roman" w:cs="Arial"/>
                <w:b/>
                <w:bCs/>
                <w:lang w:eastAsia="en-GB"/>
              </w:rPr>
            </w:pPr>
            <w:r w:rsidRPr="000F13EB">
              <w:rPr>
                <w:rFonts w:eastAsia="Times New Roman" w:cs="Arial"/>
                <w:b/>
                <w:bCs/>
                <w:lang w:eastAsia="en-GB"/>
              </w:rPr>
              <w:t>Total</w:t>
            </w:r>
          </w:p>
        </w:tc>
        <w:tc>
          <w:tcPr>
            <w:tcW w:w="1701" w:type="dxa"/>
            <w:tcBorders>
              <w:top w:val="nil"/>
              <w:left w:val="nil"/>
              <w:bottom w:val="single" w:sz="4" w:space="0" w:color="auto"/>
              <w:right w:val="single" w:sz="4" w:space="0" w:color="auto"/>
            </w:tcBorders>
            <w:shd w:val="clear" w:color="auto" w:fill="auto"/>
            <w:noWrap/>
            <w:hideMark/>
          </w:tcPr>
          <w:p w:rsidR="0046067C" w:rsidRPr="000F13EB" w:rsidRDefault="0046067C" w:rsidP="00881CC4">
            <w:pPr>
              <w:spacing w:after="0" w:line="240" w:lineRule="auto"/>
              <w:jc w:val="right"/>
              <w:rPr>
                <w:rFonts w:eastAsia="Times New Roman" w:cs="Arial"/>
                <w:b/>
                <w:bCs/>
                <w:color w:val="FFFFFF" w:themeColor="background1"/>
                <w:lang w:eastAsia="en-GB"/>
              </w:rPr>
            </w:pPr>
            <w:r w:rsidRPr="000F13EB">
              <w:rPr>
                <w:rFonts w:eastAsia="Times New Roman" w:cs="Arial"/>
                <w:b/>
                <w:bCs/>
                <w:lang w:eastAsia="en-GB"/>
              </w:rPr>
              <w:t>48,343</w:t>
            </w:r>
          </w:p>
        </w:tc>
        <w:tc>
          <w:tcPr>
            <w:tcW w:w="1559" w:type="dxa"/>
            <w:tcBorders>
              <w:top w:val="nil"/>
              <w:left w:val="nil"/>
              <w:bottom w:val="single" w:sz="4" w:space="0" w:color="auto"/>
              <w:right w:val="single" w:sz="4" w:space="0" w:color="auto"/>
            </w:tcBorders>
            <w:shd w:val="clear" w:color="auto" w:fill="auto"/>
            <w:noWrap/>
            <w:hideMark/>
          </w:tcPr>
          <w:p w:rsidR="0046067C" w:rsidRPr="000F13EB" w:rsidRDefault="0046067C" w:rsidP="00881CC4">
            <w:pPr>
              <w:spacing w:after="0" w:line="240" w:lineRule="auto"/>
              <w:jc w:val="right"/>
              <w:rPr>
                <w:rFonts w:eastAsia="Times New Roman" w:cs="Arial"/>
                <w:b/>
                <w:bCs/>
                <w:color w:val="FFFFFF" w:themeColor="background1"/>
                <w:lang w:eastAsia="en-GB"/>
              </w:rPr>
            </w:pPr>
            <w:r w:rsidRPr="000F13EB">
              <w:rPr>
                <w:rFonts w:eastAsia="Times New Roman" w:cs="Arial"/>
                <w:b/>
                <w:bCs/>
                <w:lang w:eastAsia="en-GB"/>
              </w:rPr>
              <w:t>50,437</w:t>
            </w:r>
          </w:p>
        </w:tc>
        <w:tc>
          <w:tcPr>
            <w:tcW w:w="1763" w:type="dxa"/>
            <w:tcBorders>
              <w:top w:val="nil"/>
              <w:left w:val="nil"/>
              <w:bottom w:val="single" w:sz="4" w:space="0" w:color="auto"/>
              <w:right w:val="single" w:sz="4" w:space="0" w:color="auto"/>
            </w:tcBorders>
            <w:shd w:val="clear" w:color="auto" w:fill="auto"/>
            <w:noWrap/>
            <w:hideMark/>
          </w:tcPr>
          <w:p w:rsidR="0046067C" w:rsidRPr="000F13EB" w:rsidRDefault="0046067C" w:rsidP="00881CC4">
            <w:pPr>
              <w:spacing w:after="0" w:line="240" w:lineRule="auto"/>
              <w:jc w:val="right"/>
              <w:rPr>
                <w:rFonts w:eastAsia="Times New Roman" w:cs="Arial"/>
                <w:b/>
                <w:bCs/>
                <w:color w:val="FFFFFF" w:themeColor="background1"/>
                <w:lang w:eastAsia="en-GB"/>
              </w:rPr>
            </w:pPr>
            <w:r w:rsidRPr="000F13EB">
              <w:rPr>
                <w:rFonts w:eastAsia="Times New Roman" w:cs="Arial"/>
                <w:b/>
                <w:bCs/>
                <w:lang w:eastAsia="en-GB"/>
              </w:rPr>
              <w:t>50,506</w:t>
            </w:r>
          </w:p>
        </w:tc>
      </w:tr>
    </w:tbl>
    <w:p w:rsidR="0046067C" w:rsidRDefault="0046067C" w:rsidP="0046067C">
      <w:pPr>
        <w:spacing w:after="0" w:line="240" w:lineRule="auto"/>
        <w:jc w:val="right"/>
        <w:rPr>
          <w:rFonts w:cs="Arial"/>
          <w:b/>
          <w:sz w:val="20"/>
          <w:szCs w:val="20"/>
        </w:rPr>
      </w:pPr>
    </w:p>
    <w:p w:rsidR="0046067C" w:rsidRDefault="0046067C" w:rsidP="0046067C">
      <w:pPr>
        <w:spacing w:after="0" w:line="240" w:lineRule="auto"/>
        <w:jc w:val="both"/>
        <w:rPr>
          <w:rFonts w:cs="Arial"/>
          <w:sz w:val="18"/>
          <w:szCs w:val="18"/>
        </w:rPr>
      </w:pPr>
      <w:r w:rsidRPr="00682619">
        <w:rPr>
          <w:rFonts w:cs="Arial"/>
          <w:b/>
          <w:sz w:val="18"/>
          <w:szCs w:val="18"/>
        </w:rPr>
        <w:t xml:space="preserve">Note: </w:t>
      </w:r>
      <w:r w:rsidRPr="00682619">
        <w:rPr>
          <w:rFonts w:cs="Arial"/>
          <w:sz w:val="18"/>
          <w:szCs w:val="18"/>
        </w:rPr>
        <w:t>the difference in the Original Net Budget figures and Current Net Budget figures i</w:t>
      </w:r>
      <w:r w:rsidRPr="00682619">
        <w:rPr>
          <w:rFonts w:ascii="Calibri" w:eastAsia="Times New Roman" w:hAnsi="Calibri" w:cs="Times New Roman"/>
          <w:color w:val="000000"/>
          <w:sz w:val="18"/>
          <w:szCs w:val="18"/>
          <w:lang w:eastAsia="en-GB"/>
        </w:rPr>
        <w:t xml:space="preserve">s due to budget movements within the financial year. </w:t>
      </w:r>
      <w:r w:rsidRPr="00682619">
        <w:rPr>
          <w:rFonts w:cs="Arial"/>
          <w:sz w:val="18"/>
          <w:szCs w:val="18"/>
        </w:rPr>
        <w:t>These can include a transfer of services from another delivery unit, inflationary bids or pressures agreed from Contin</w:t>
      </w:r>
      <w:r>
        <w:rPr>
          <w:rFonts w:cs="Arial"/>
          <w:sz w:val="18"/>
          <w:szCs w:val="18"/>
        </w:rPr>
        <w:t xml:space="preserve">gency. </w:t>
      </w:r>
    </w:p>
    <w:p w:rsidR="0046067C" w:rsidRDefault="0046067C" w:rsidP="0046067C">
      <w:pPr>
        <w:spacing w:after="0" w:line="240" w:lineRule="auto"/>
        <w:jc w:val="both"/>
        <w:rPr>
          <w:rFonts w:cs="Arial"/>
          <w:sz w:val="18"/>
          <w:szCs w:val="18"/>
        </w:rPr>
      </w:pPr>
    </w:p>
    <w:p w:rsidR="0046067C" w:rsidRDefault="0046067C" w:rsidP="0046067C">
      <w:pPr>
        <w:spacing w:after="0" w:line="240" w:lineRule="auto"/>
        <w:jc w:val="both"/>
        <w:rPr>
          <w:rFonts w:cs="Arial"/>
          <w:sz w:val="18"/>
          <w:szCs w:val="18"/>
        </w:rPr>
      </w:pPr>
    </w:p>
    <w:p w:rsidR="0046067C" w:rsidRPr="00682619" w:rsidRDefault="0046067C" w:rsidP="0046067C">
      <w:pPr>
        <w:spacing w:after="0" w:line="240" w:lineRule="auto"/>
        <w:jc w:val="both"/>
        <w:rPr>
          <w:rFonts w:eastAsia="Times New Roman" w:cs="Times New Roman"/>
          <w:sz w:val="18"/>
          <w:szCs w:val="18"/>
          <w:lang w:eastAsia="en-GB"/>
        </w:rPr>
      </w:pPr>
    </w:p>
    <w:p w:rsidR="0046067C" w:rsidRDefault="0046067C" w:rsidP="0046067C">
      <w:pPr>
        <w:pStyle w:val="Caption"/>
        <w:spacing w:after="0"/>
        <w:rPr>
          <w:noProof/>
        </w:rPr>
      </w:pPr>
      <w:r>
        <w:t xml:space="preserve">Table </w:t>
      </w:r>
      <w:fldSimple w:instr=" STYLEREF 1 \s ">
        <w:r w:rsidR="001663C2">
          <w:rPr>
            <w:noProof/>
          </w:rPr>
          <w:t>13</w:t>
        </w:r>
      </w:fldSimple>
      <w:r>
        <w:noBreakHyphen/>
      </w:r>
      <w:fldSimple w:instr=" SEQ Table \* ARABIC \s 1 ">
        <w:r w:rsidR="001663C2">
          <w:rPr>
            <w:noProof/>
          </w:rPr>
          <w:t>4</w:t>
        </w:r>
      </w:fldSimple>
      <w:r>
        <w:rPr>
          <w:noProof/>
        </w:rPr>
        <w:t xml:space="preserve">: </w:t>
      </w:r>
      <w:r w:rsidRPr="0009746C">
        <w:t>Children’s Service</w:t>
      </w:r>
      <w:r>
        <w:t xml:space="preserve"> (Education and Skills) Budget and Outturn</w:t>
      </w:r>
      <w:r w:rsidRPr="0009746C">
        <w:t xml:space="preserve"> 2014/15</w:t>
      </w:r>
    </w:p>
    <w:tbl>
      <w:tblPr>
        <w:tblW w:w="5000" w:type="pct"/>
        <w:jc w:val="center"/>
        <w:tblLayout w:type="fixed"/>
        <w:tblLook w:val="04A0" w:firstRow="1" w:lastRow="0" w:firstColumn="1" w:lastColumn="0" w:noHBand="0" w:noVBand="1"/>
      </w:tblPr>
      <w:tblGrid>
        <w:gridCol w:w="4077"/>
        <w:gridCol w:w="1843"/>
        <w:gridCol w:w="1701"/>
        <w:gridCol w:w="1621"/>
      </w:tblGrid>
      <w:tr w:rsidR="0046067C" w:rsidRPr="003330AA" w:rsidTr="00881CC4">
        <w:trPr>
          <w:trHeight w:val="300"/>
          <w:jc w:val="center"/>
        </w:trPr>
        <w:tc>
          <w:tcPr>
            <w:tcW w:w="4077" w:type="dxa"/>
            <w:vMerge w:val="restart"/>
            <w:tcBorders>
              <w:top w:val="single" w:sz="4" w:space="0" w:color="auto"/>
              <w:left w:val="single" w:sz="4" w:space="0" w:color="auto"/>
              <w:right w:val="single" w:sz="4" w:space="0" w:color="auto"/>
            </w:tcBorders>
            <w:shd w:val="clear" w:color="auto" w:fill="BFBFBF" w:themeFill="background1" w:themeFillShade="BF"/>
            <w:noWrap/>
            <w:vAlign w:val="center"/>
            <w:hideMark/>
          </w:tcPr>
          <w:p w:rsidR="0046067C" w:rsidRPr="003330AA" w:rsidRDefault="0046067C" w:rsidP="00881CC4">
            <w:pPr>
              <w:spacing w:after="0" w:line="240" w:lineRule="auto"/>
              <w:rPr>
                <w:rFonts w:eastAsia="Times New Roman" w:cs="Times New Roman"/>
                <w:b/>
                <w:bCs/>
                <w:color w:val="000000"/>
                <w:lang w:eastAsia="en-GB"/>
              </w:rPr>
            </w:pPr>
            <w:r w:rsidRPr="003330AA">
              <w:rPr>
                <w:rFonts w:eastAsia="Times New Roman" w:cs="Times New Roman"/>
                <w:b/>
                <w:bCs/>
                <w:color w:val="000000"/>
                <w:lang w:eastAsia="en-GB"/>
              </w:rPr>
              <w:t>Children's Service (Education</w:t>
            </w:r>
            <w:r>
              <w:rPr>
                <w:rFonts w:eastAsia="Times New Roman" w:cs="Times New Roman"/>
                <w:b/>
                <w:bCs/>
                <w:color w:val="000000"/>
                <w:lang w:eastAsia="en-GB"/>
              </w:rPr>
              <w:t xml:space="preserve"> and Skills</w:t>
            </w:r>
            <w:r w:rsidRPr="003330AA">
              <w:rPr>
                <w:rFonts w:eastAsia="Times New Roman" w:cs="Times New Roman"/>
                <w:b/>
                <w:bCs/>
                <w:color w:val="000000"/>
                <w:lang w:eastAsia="en-GB"/>
              </w:rPr>
              <w:t>)</w:t>
            </w:r>
          </w:p>
        </w:tc>
        <w:tc>
          <w:tcPr>
            <w:tcW w:w="1843"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46067C" w:rsidRPr="003330AA" w:rsidRDefault="0046067C" w:rsidP="00881CC4">
            <w:pPr>
              <w:spacing w:after="0" w:line="240" w:lineRule="auto"/>
              <w:jc w:val="center"/>
              <w:rPr>
                <w:rFonts w:eastAsia="Times New Roman" w:cs="Times New Roman"/>
                <w:b/>
                <w:bCs/>
                <w:color w:val="000000"/>
                <w:lang w:eastAsia="en-GB"/>
              </w:rPr>
            </w:pPr>
            <w:r w:rsidRPr="003330AA">
              <w:rPr>
                <w:rFonts w:eastAsia="Times New Roman" w:cs="Times New Roman"/>
                <w:b/>
                <w:bCs/>
                <w:color w:val="000000"/>
                <w:lang w:eastAsia="en-GB"/>
              </w:rPr>
              <w:t>Original Net Budget</w:t>
            </w:r>
          </w:p>
        </w:tc>
        <w:tc>
          <w:tcPr>
            <w:tcW w:w="1701"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46067C" w:rsidRPr="003330AA" w:rsidRDefault="0046067C" w:rsidP="00881CC4">
            <w:pPr>
              <w:spacing w:after="0" w:line="240" w:lineRule="auto"/>
              <w:jc w:val="center"/>
              <w:rPr>
                <w:rFonts w:eastAsia="Times New Roman" w:cs="Times New Roman"/>
                <w:b/>
                <w:bCs/>
                <w:color w:val="000000"/>
                <w:lang w:eastAsia="en-GB"/>
              </w:rPr>
            </w:pPr>
            <w:r w:rsidRPr="003330AA">
              <w:rPr>
                <w:rFonts w:eastAsia="Times New Roman" w:cs="Times New Roman"/>
                <w:b/>
                <w:bCs/>
                <w:color w:val="000000"/>
                <w:lang w:eastAsia="en-GB"/>
              </w:rPr>
              <w:t>Current Net Budget</w:t>
            </w:r>
          </w:p>
        </w:tc>
        <w:tc>
          <w:tcPr>
            <w:tcW w:w="1621"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46067C" w:rsidRPr="003330AA" w:rsidRDefault="0046067C" w:rsidP="00881CC4">
            <w:pPr>
              <w:spacing w:after="0" w:line="240" w:lineRule="auto"/>
              <w:jc w:val="center"/>
              <w:rPr>
                <w:rFonts w:eastAsia="Times New Roman" w:cs="Times New Roman"/>
                <w:b/>
                <w:bCs/>
                <w:color w:val="000000"/>
                <w:lang w:eastAsia="en-GB"/>
              </w:rPr>
            </w:pPr>
            <w:r>
              <w:rPr>
                <w:rFonts w:eastAsia="Times New Roman" w:cs="Times New Roman"/>
                <w:b/>
                <w:bCs/>
                <w:color w:val="000000"/>
                <w:lang w:eastAsia="en-GB"/>
              </w:rPr>
              <w:t>Outturn</w:t>
            </w:r>
          </w:p>
        </w:tc>
      </w:tr>
      <w:tr w:rsidR="0046067C" w:rsidRPr="003330AA" w:rsidTr="00881CC4">
        <w:trPr>
          <w:trHeight w:val="300"/>
          <w:jc w:val="center"/>
        </w:trPr>
        <w:tc>
          <w:tcPr>
            <w:tcW w:w="4077" w:type="dxa"/>
            <w:vMerge/>
            <w:tcBorders>
              <w:left w:val="single" w:sz="4" w:space="0" w:color="auto"/>
              <w:bottom w:val="single" w:sz="4" w:space="0" w:color="auto"/>
              <w:right w:val="single" w:sz="4" w:space="0" w:color="auto"/>
            </w:tcBorders>
            <w:shd w:val="clear" w:color="auto" w:fill="BFBFBF" w:themeFill="background1" w:themeFillShade="BF"/>
            <w:noWrap/>
            <w:vAlign w:val="bottom"/>
          </w:tcPr>
          <w:p w:rsidR="0046067C" w:rsidRPr="003330AA" w:rsidRDefault="0046067C" w:rsidP="00881CC4">
            <w:pPr>
              <w:spacing w:after="0" w:line="240" w:lineRule="auto"/>
              <w:rPr>
                <w:rFonts w:eastAsia="Times New Roman" w:cs="Times New Roman"/>
                <w:b/>
                <w:bCs/>
                <w:color w:val="000000"/>
                <w:lang w:eastAsia="en-GB"/>
              </w:rPr>
            </w:pPr>
          </w:p>
        </w:tc>
        <w:tc>
          <w:tcPr>
            <w:tcW w:w="1843" w:type="dxa"/>
            <w:tcBorders>
              <w:top w:val="single" w:sz="4" w:space="0" w:color="auto"/>
              <w:left w:val="nil"/>
              <w:bottom w:val="single" w:sz="4" w:space="0" w:color="auto"/>
              <w:right w:val="single" w:sz="4" w:space="0" w:color="auto"/>
            </w:tcBorders>
            <w:shd w:val="clear" w:color="auto" w:fill="BFBFBF" w:themeFill="background1" w:themeFillShade="BF"/>
            <w:noWrap/>
            <w:vAlign w:val="center"/>
          </w:tcPr>
          <w:p w:rsidR="0046067C" w:rsidRPr="003330AA" w:rsidRDefault="0046067C" w:rsidP="00881CC4">
            <w:pPr>
              <w:spacing w:after="0" w:line="240" w:lineRule="auto"/>
              <w:jc w:val="center"/>
              <w:rPr>
                <w:rFonts w:eastAsia="Times New Roman" w:cs="Times New Roman"/>
                <w:b/>
                <w:bCs/>
                <w:color w:val="000000"/>
                <w:lang w:eastAsia="en-GB"/>
              </w:rPr>
            </w:pPr>
            <w:r w:rsidRPr="003330AA">
              <w:rPr>
                <w:rFonts w:eastAsia="Times New Roman" w:cs="Times New Roman"/>
                <w:b/>
                <w:bCs/>
                <w:color w:val="000000"/>
                <w:lang w:eastAsia="en-GB"/>
              </w:rPr>
              <w:t>£'000</w:t>
            </w:r>
          </w:p>
        </w:tc>
        <w:tc>
          <w:tcPr>
            <w:tcW w:w="1701" w:type="dxa"/>
            <w:tcBorders>
              <w:top w:val="single" w:sz="4" w:space="0" w:color="auto"/>
              <w:left w:val="nil"/>
              <w:bottom w:val="single" w:sz="4" w:space="0" w:color="auto"/>
              <w:right w:val="single" w:sz="4" w:space="0" w:color="auto"/>
            </w:tcBorders>
            <w:shd w:val="clear" w:color="auto" w:fill="BFBFBF" w:themeFill="background1" w:themeFillShade="BF"/>
            <w:noWrap/>
            <w:vAlign w:val="center"/>
          </w:tcPr>
          <w:p w:rsidR="0046067C" w:rsidRPr="003330AA" w:rsidRDefault="0046067C" w:rsidP="00881CC4">
            <w:pPr>
              <w:spacing w:after="0" w:line="240" w:lineRule="auto"/>
              <w:jc w:val="center"/>
              <w:rPr>
                <w:rFonts w:eastAsia="Times New Roman" w:cs="Times New Roman"/>
                <w:b/>
                <w:bCs/>
                <w:color w:val="000000"/>
                <w:lang w:eastAsia="en-GB"/>
              </w:rPr>
            </w:pPr>
            <w:r w:rsidRPr="003330AA">
              <w:rPr>
                <w:rFonts w:eastAsia="Times New Roman" w:cs="Times New Roman"/>
                <w:b/>
                <w:bCs/>
                <w:color w:val="000000"/>
                <w:lang w:eastAsia="en-GB"/>
              </w:rPr>
              <w:t>£'000</w:t>
            </w:r>
          </w:p>
        </w:tc>
        <w:tc>
          <w:tcPr>
            <w:tcW w:w="1621" w:type="dxa"/>
            <w:tcBorders>
              <w:top w:val="single" w:sz="4" w:space="0" w:color="auto"/>
              <w:left w:val="nil"/>
              <w:bottom w:val="single" w:sz="4" w:space="0" w:color="auto"/>
              <w:right w:val="single" w:sz="4" w:space="0" w:color="auto"/>
            </w:tcBorders>
            <w:shd w:val="clear" w:color="auto" w:fill="BFBFBF" w:themeFill="background1" w:themeFillShade="BF"/>
            <w:noWrap/>
            <w:vAlign w:val="center"/>
          </w:tcPr>
          <w:p w:rsidR="0046067C" w:rsidRPr="003330AA" w:rsidRDefault="0046067C" w:rsidP="00881CC4">
            <w:pPr>
              <w:spacing w:after="0" w:line="240" w:lineRule="auto"/>
              <w:jc w:val="center"/>
              <w:rPr>
                <w:rFonts w:eastAsia="Times New Roman" w:cs="Times New Roman"/>
                <w:b/>
                <w:bCs/>
                <w:color w:val="000000"/>
                <w:lang w:eastAsia="en-GB"/>
              </w:rPr>
            </w:pPr>
            <w:r w:rsidRPr="003330AA">
              <w:rPr>
                <w:rFonts w:eastAsia="Times New Roman" w:cs="Times New Roman"/>
                <w:b/>
                <w:bCs/>
                <w:color w:val="000000"/>
                <w:lang w:eastAsia="en-GB"/>
              </w:rPr>
              <w:t>£'000</w:t>
            </w:r>
          </w:p>
        </w:tc>
      </w:tr>
      <w:tr w:rsidR="0046067C" w:rsidRPr="003330AA" w:rsidTr="00881CC4">
        <w:trPr>
          <w:trHeight w:val="300"/>
          <w:jc w:val="center"/>
        </w:trPr>
        <w:tc>
          <w:tcPr>
            <w:tcW w:w="4077" w:type="dxa"/>
            <w:tcBorders>
              <w:top w:val="nil"/>
              <w:left w:val="single" w:sz="4" w:space="0" w:color="auto"/>
              <w:bottom w:val="single" w:sz="4" w:space="0" w:color="auto"/>
              <w:right w:val="single" w:sz="4" w:space="0" w:color="auto"/>
            </w:tcBorders>
            <w:shd w:val="clear" w:color="000000" w:fill="FFFFFF"/>
            <w:noWrap/>
            <w:hideMark/>
          </w:tcPr>
          <w:p w:rsidR="0046067C" w:rsidRPr="003330AA" w:rsidRDefault="0046067C" w:rsidP="00881CC4">
            <w:pPr>
              <w:spacing w:after="0" w:line="240" w:lineRule="auto"/>
              <w:rPr>
                <w:rFonts w:eastAsia="Times New Roman" w:cs="Arial"/>
                <w:lang w:eastAsia="en-GB"/>
              </w:rPr>
            </w:pPr>
            <w:r w:rsidRPr="003330AA">
              <w:rPr>
                <w:rFonts w:eastAsia="Times New Roman" w:cs="Arial"/>
                <w:lang w:eastAsia="en-GB"/>
              </w:rPr>
              <w:t>Edu Partnership &amp; Commercial</w:t>
            </w:r>
          </w:p>
        </w:tc>
        <w:tc>
          <w:tcPr>
            <w:tcW w:w="1843" w:type="dxa"/>
            <w:tcBorders>
              <w:top w:val="nil"/>
              <w:left w:val="nil"/>
              <w:bottom w:val="single" w:sz="4" w:space="0" w:color="auto"/>
              <w:right w:val="single" w:sz="4" w:space="0" w:color="auto"/>
            </w:tcBorders>
            <w:shd w:val="clear" w:color="000000" w:fill="FFFFFF"/>
            <w:noWrap/>
            <w:vAlign w:val="center"/>
            <w:hideMark/>
          </w:tcPr>
          <w:p w:rsidR="0046067C" w:rsidRPr="003330AA" w:rsidRDefault="0046067C" w:rsidP="00881CC4">
            <w:pPr>
              <w:spacing w:after="0" w:line="240" w:lineRule="auto"/>
              <w:jc w:val="right"/>
              <w:rPr>
                <w:rFonts w:eastAsia="Times New Roman" w:cs="Arial"/>
                <w:color w:val="FFFFFF" w:themeColor="background1"/>
                <w:lang w:eastAsia="en-GB"/>
              </w:rPr>
            </w:pPr>
            <w:r w:rsidRPr="003330AA">
              <w:rPr>
                <w:rFonts w:eastAsia="Times New Roman" w:cs="Arial"/>
                <w:lang w:eastAsia="en-GB"/>
              </w:rPr>
              <w:t>1,056</w:t>
            </w:r>
          </w:p>
        </w:tc>
        <w:tc>
          <w:tcPr>
            <w:tcW w:w="1701" w:type="dxa"/>
            <w:tcBorders>
              <w:top w:val="nil"/>
              <w:left w:val="nil"/>
              <w:bottom w:val="single" w:sz="4" w:space="0" w:color="auto"/>
              <w:right w:val="single" w:sz="4" w:space="0" w:color="auto"/>
            </w:tcBorders>
            <w:shd w:val="clear" w:color="000000" w:fill="FFFFFF"/>
            <w:noWrap/>
            <w:vAlign w:val="center"/>
            <w:hideMark/>
          </w:tcPr>
          <w:p w:rsidR="0046067C" w:rsidRPr="003330AA" w:rsidRDefault="0046067C" w:rsidP="00881CC4">
            <w:pPr>
              <w:spacing w:after="0" w:line="240" w:lineRule="auto"/>
              <w:jc w:val="right"/>
              <w:rPr>
                <w:rFonts w:eastAsia="Times New Roman" w:cs="Arial"/>
                <w:color w:val="FFFFFF" w:themeColor="background1"/>
                <w:lang w:eastAsia="en-GB"/>
              </w:rPr>
            </w:pPr>
            <w:r w:rsidRPr="003330AA">
              <w:rPr>
                <w:rFonts w:eastAsia="Times New Roman" w:cs="Arial"/>
                <w:lang w:eastAsia="en-GB"/>
              </w:rPr>
              <w:t>949</w:t>
            </w:r>
          </w:p>
        </w:tc>
        <w:tc>
          <w:tcPr>
            <w:tcW w:w="1621" w:type="dxa"/>
            <w:tcBorders>
              <w:top w:val="nil"/>
              <w:left w:val="nil"/>
              <w:bottom w:val="single" w:sz="4" w:space="0" w:color="auto"/>
              <w:right w:val="single" w:sz="4" w:space="0" w:color="auto"/>
            </w:tcBorders>
            <w:shd w:val="clear" w:color="000000" w:fill="FFFFFF"/>
            <w:noWrap/>
            <w:vAlign w:val="center"/>
            <w:hideMark/>
          </w:tcPr>
          <w:p w:rsidR="0046067C" w:rsidRPr="003330AA" w:rsidRDefault="0046067C" w:rsidP="00881CC4">
            <w:pPr>
              <w:spacing w:after="0" w:line="240" w:lineRule="auto"/>
              <w:jc w:val="right"/>
              <w:rPr>
                <w:rFonts w:eastAsia="Times New Roman" w:cs="Arial"/>
                <w:color w:val="FFFFFF" w:themeColor="background1"/>
                <w:lang w:eastAsia="en-GB"/>
              </w:rPr>
            </w:pPr>
            <w:r w:rsidRPr="003330AA">
              <w:rPr>
                <w:rFonts w:eastAsia="Times New Roman" w:cs="Arial"/>
                <w:lang w:eastAsia="en-GB"/>
              </w:rPr>
              <w:t>740</w:t>
            </w:r>
          </w:p>
        </w:tc>
      </w:tr>
      <w:tr w:rsidR="0046067C" w:rsidRPr="003330AA" w:rsidTr="00881CC4">
        <w:trPr>
          <w:trHeight w:val="300"/>
          <w:jc w:val="center"/>
        </w:trPr>
        <w:tc>
          <w:tcPr>
            <w:tcW w:w="4077" w:type="dxa"/>
            <w:tcBorders>
              <w:top w:val="nil"/>
              <w:left w:val="single" w:sz="4" w:space="0" w:color="auto"/>
              <w:bottom w:val="single" w:sz="4" w:space="0" w:color="auto"/>
              <w:right w:val="single" w:sz="4" w:space="0" w:color="auto"/>
            </w:tcBorders>
            <w:shd w:val="clear" w:color="000000" w:fill="FFFFFF"/>
            <w:noWrap/>
            <w:hideMark/>
          </w:tcPr>
          <w:p w:rsidR="0046067C" w:rsidRPr="003330AA" w:rsidRDefault="0046067C" w:rsidP="00881CC4">
            <w:pPr>
              <w:spacing w:after="0" w:line="240" w:lineRule="auto"/>
              <w:rPr>
                <w:rFonts w:eastAsia="Times New Roman" w:cs="Arial"/>
                <w:lang w:eastAsia="en-GB"/>
              </w:rPr>
            </w:pPr>
            <w:r w:rsidRPr="003330AA">
              <w:rPr>
                <w:rFonts w:eastAsia="Times New Roman" w:cs="Arial"/>
                <w:lang w:eastAsia="en-GB"/>
              </w:rPr>
              <w:t>Education Management Team</w:t>
            </w:r>
          </w:p>
        </w:tc>
        <w:tc>
          <w:tcPr>
            <w:tcW w:w="1843" w:type="dxa"/>
            <w:tcBorders>
              <w:top w:val="nil"/>
              <w:left w:val="nil"/>
              <w:bottom w:val="single" w:sz="4" w:space="0" w:color="auto"/>
              <w:right w:val="single" w:sz="4" w:space="0" w:color="auto"/>
            </w:tcBorders>
            <w:shd w:val="clear" w:color="000000" w:fill="FFFFFF"/>
            <w:noWrap/>
            <w:vAlign w:val="center"/>
            <w:hideMark/>
          </w:tcPr>
          <w:p w:rsidR="0046067C" w:rsidRPr="003330AA" w:rsidRDefault="0046067C" w:rsidP="00881CC4">
            <w:pPr>
              <w:spacing w:after="0" w:line="240" w:lineRule="auto"/>
              <w:jc w:val="right"/>
              <w:rPr>
                <w:rFonts w:eastAsia="Times New Roman" w:cs="Arial"/>
                <w:color w:val="FFFFFF" w:themeColor="background1"/>
                <w:lang w:eastAsia="en-GB"/>
              </w:rPr>
            </w:pPr>
            <w:r w:rsidRPr="003330AA">
              <w:rPr>
                <w:rFonts w:eastAsia="Times New Roman" w:cs="Arial"/>
                <w:lang w:eastAsia="en-GB"/>
              </w:rPr>
              <w:t>195</w:t>
            </w:r>
          </w:p>
        </w:tc>
        <w:tc>
          <w:tcPr>
            <w:tcW w:w="1701" w:type="dxa"/>
            <w:tcBorders>
              <w:top w:val="nil"/>
              <w:left w:val="nil"/>
              <w:bottom w:val="single" w:sz="4" w:space="0" w:color="auto"/>
              <w:right w:val="single" w:sz="4" w:space="0" w:color="auto"/>
            </w:tcBorders>
            <w:shd w:val="clear" w:color="000000" w:fill="FFFFFF"/>
            <w:noWrap/>
            <w:vAlign w:val="center"/>
            <w:hideMark/>
          </w:tcPr>
          <w:p w:rsidR="0046067C" w:rsidRPr="003330AA" w:rsidRDefault="0046067C" w:rsidP="00881CC4">
            <w:pPr>
              <w:spacing w:after="0" w:line="240" w:lineRule="auto"/>
              <w:jc w:val="right"/>
              <w:rPr>
                <w:rFonts w:eastAsia="Times New Roman" w:cs="Arial"/>
                <w:color w:val="FFFFFF" w:themeColor="background1"/>
                <w:lang w:eastAsia="en-GB"/>
              </w:rPr>
            </w:pPr>
            <w:r w:rsidRPr="003330AA">
              <w:rPr>
                <w:rFonts w:eastAsia="Times New Roman" w:cs="Arial"/>
                <w:lang w:eastAsia="en-GB"/>
              </w:rPr>
              <w:t>196</w:t>
            </w:r>
          </w:p>
        </w:tc>
        <w:tc>
          <w:tcPr>
            <w:tcW w:w="1621" w:type="dxa"/>
            <w:tcBorders>
              <w:top w:val="nil"/>
              <w:left w:val="nil"/>
              <w:bottom w:val="single" w:sz="4" w:space="0" w:color="auto"/>
              <w:right w:val="single" w:sz="4" w:space="0" w:color="auto"/>
            </w:tcBorders>
            <w:shd w:val="clear" w:color="000000" w:fill="FFFFFF"/>
            <w:noWrap/>
            <w:vAlign w:val="center"/>
            <w:hideMark/>
          </w:tcPr>
          <w:p w:rsidR="0046067C" w:rsidRPr="003330AA" w:rsidRDefault="0046067C" w:rsidP="00881CC4">
            <w:pPr>
              <w:spacing w:after="0" w:line="240" w:lineRule="auto"/>
              <w:jc w:val="right"/>
              <w:rPr>
                <w:rFonts w:eastAsia="Times New Roman" w:cs="Arial"/>
                <w:color w:val="FF0000"/>
                <w:lang w:eastAsia="en-GB"/>
              </w:rPr>
            </w:pPr>
            <w:r w:rsidRPr="003330AA">
              <w:rPr>
                <w:rFonts w:eastAsia="Times New Roman" w:cs="Arial"/>
                <w:color w:val="FF0000"/>
                <w:lang w:eastAsia="en-GB"/>
              </w:rPr>
              <w:t>-97</w:t>
            </w:r>
          </w:p>
        </w:tc>
      </w:tr>
      <w:tr w:rsidR="0046067C" w:rsidRPr="003330AA" w:rsidTr="00881CC4">
        <w:trPr>
          <w:trHeight w:val="300"/>
          <w:jc w:val="center"/>
        </w:trPr>
        <w:tc>
          <w:tcPr>
            <w:tcW w:w="4077" w:type="dxa"/>
            <w:tcBorders>
              <w:top w:val="nil"/>
              <w:left w:val="single" w:sz="4" w:space="0" w:color="auto"/>
              <w:bottom w:val="single" w:sz="4" w:space="0" w:color="auto"/>
              <w:right w:val="single" w:sz="4" w:space="0" w:color="auto"/>
            </w:tcBorders>
            <w:shd w:val="clear" w:color="000000" w:fill="FFFFFF"/>
            <w:noWrap/>
            <w:hideMark/>
          </w:tcPr>
          <w:p w:rsidR="0046067C" w:rsidRPr="003330AA" w:rsidRDefault="0046067C" w:rsidP="00881CC4">
            <w:pPr>
              <w:spacing w:after="0" w:line="240" w:lineRule="auto"/>
              <w:rPr>
                <w:rFonts w:eastAsia="Times New Roman" w:cs="Arial"/>
                <w:lang w:eastAsia="en-GB"/>
              </w:rPr>
            </w:pPr>
            <w:r w:rsidRPr="003330AA">
              <w:rPr>
                <w:rFonts w:eastAsia="Times New Roman" w:cs="Arial"/>
                <w:lang w:eastAsia="en-GB"/>
              </w:rPr>
              <w:t>High Needs Support</w:t>
            </w:r>
          </w:p>
        </w:tc>
        <w:tc>
          <w:tcPr>
            <w:tcW w:w="1843" w:type="dxa"/>
            <w:tcBorders>
              <w:top w:val="nil"/>
              <w:left w:val="nil"/>
              <w:bottom w:val="single" w:sz="4" w:space="0" w:color="auto"/>
              <w:right w:val="single" w:sz="4" w:space="0" w:color="auto"/>
            </w:tcBorders>
            <w:shd w:val="clear" w:color="000000" w:fill="FFFFFF"/>
            <w:noWrap/>
            <w:vAlign w:val="center"/>
            <w:hideMark/>
          </w:tcPr>
          <w:p w:rsidR="0046067C" w:rsidRPr="003330AA" w:rsidRDefault="0046067C" w:rsidP="00881CC4">
            <w:pPr>
              <w:spacing w:after="0" w:line="240" w:lineRule="auto"/>
              <w:jc w:val="right"/>
              <w:rPr>
                <w:rFonts w:eastAsia="Times New Roman" w:cs="Arial"/>
                <w:color w:val="FFFFFF" w:themeColor="background1"/>
                <w:lang w:eastAsia="en-GB"/>
              </w:rPr>
            </w:pPr>
            <w:r w:rsidRPr="003330AA">
              <w:rPr>
                <w:rFonts w:eastAsia="Times New Roman" w:cs="Arial"/>
                <w:lang w:eastAsia="en-GB"/>
              </w:rPr>
              <w:t>5,806</w:t>
            </w:r>
          </w:p>
        </w:tc>
        <w:tc>
          <w:tcPr>
            <w:tcW w:w="1701" w:type="dxa"/>
            <w:tcBorders>
              <w:top w:val="nil"/>
              <w:left w:val="nil"/>
              <w:bottom w:val="single" w:sz="4" w:space="0" w:color="auto"/>
              <w:right w:val="single" w:sz="4" w:space="0" w:color="auto"/>
            </w:tcBorders>
            <w:shd w:val="clear" w:color="000000" w:fill="FFFFFF"/>
            <w:noWrap/>
            <w:vAlign w:val="center"/>
            <w:hideMark/>
          </w:tcPr>
          <w:p w:rsidR="0046067C" w:rsidRPr="003330AA" w:rsidRDefault="0046067C" w:rsidP="00881CC4">
            <w:pPr>
              <w:spacing w:after="0" w:line="240" w:lineRule="auto"/>
              <w:jc w:val="right"/>
              <w:rPr>
                <w:rFonts w:eastAsia="Times New Roman" w:cs="Arial"/>
                <w:color w:val="FFFFFF" w:themeColor="background1"/>
                <w:lang w:eastAsia="en-GB"/>
              </w:rPr>
            </w:pPr>
            <w:r w:rsidRPr="003330AA">
              <w:rPr>
                <w:rFonts w:eastAsia="Times New Roman" w:cs="Arial"/>
                <w:lang w:eastAsia="en-GB"/>
              </w:rPr>
              <w:t>6,067</w:t>
            </w:r>
          </w:p>
        </w:tc>
        <w:tc>
          <w:tcPr>
            <w:tcW w:w="1621" w:type="dxa"/>
            <w:tcBorders>
              <w:top w:val="nil"/>
              <w:left w:val="nil"/>
              <w:bottom w:val="single" w:sz="4" w:space="0" w:color="auto"/>
              <w:right w:val="single" w:sz="4" w:space="0" w:color="auto"/>
            </w:tcBorders>
            <w:shd w:val="clear" w:color="000000" w:fill="FFFFFF"/>
            <w:noWrap/>
            <w:vAlign w:val="center"/>
            <w:hideMark/>
          </w:tcPr>
          <w:p w:rsidR="0046067C" w:rsidRPr="003330AA" w:rsidRDefault="0046067C" w:rsidP="00881CC4">
            <w:pPr>
              <w:spacing w:after="0" w:line="240" w:lineRule="auto"/>
              <w:jc w:val="right"/>
              <w:rPr>
                <w:rFonts w:eastAsia="Times New Roman" w:cs="Arial"/>
                <w:color w:val="FFFFFF" w:themeColor="background1"/>
                <w:lang w:eastAsia="en-GB"/>
              </w:rPr>
            </w:pPr>
            <w:r w:rsidRPr="003330AA">
              <w:rPr>
                <w:rFonts w:eastAsia="Times New Roman" w:cs="Arial"/>
                <w:lang w:eastAsia="en-GB"/>
              </w:rPr>
              <w:t>6,569</w:t>
            </w:r>
          </w:p>
        </w:tc>
      </w:tr>
      <w:tr w:rsidR="0046067C" w:rsidRPr="003330AA" w:rsidTr="00881CC4">
        <w:trPr>
          <w:trHeight w:val="300"/>
          <w:jc w:val="center"/>
        </w:trPr>
        <w:tc>
          <w:tcPr>
            <w:tcW w:w="4077" w:type="dxa"/>
            <w:tcBorders>
              <w:top w:val="nil"/>
              <w:left w:val="single" w:sz="4" w:space="0" w:color="auto"/>
              <w:bottom w:val="single" w:sz="4" w:space="0" w:color="auto"/>
              <w:right w:val="single" w:sz="4" w:space="0" w:color="auto"/>
            </w:tcBorders>
            <w:shd w:val="clear" w:color="auto" w:fill="auto"/>
            <w:noWrap/>
            <w:vAlign w:val="bottom"/>
            <w:hideMark/>
          </w:tcPr>
          <w:p w:rsidR="0046067C" w:rsidRPr="003330AA" w:rsidRDefault="0046067C" w:rsidP="00881CC4">
            <w:pPr>
              <w:spacing w:after="0" w:line="240" w:lineRule="auto"/>
              <w:rPr>
                <w:rFonts w:eastAsia="Times New Roman" w:cs="Times New Roman"/>
                <w:b/>
                <w:color w:val="000000"/>
                <w:lang w:eastAsia="en-GB"/>
              </w:rPr>
            </w:pPr>
            <w:r w:rsidRPr="003330AA">
              <w:rPr>
                <w:rFonts w:eastAsia="Times New Roman" w:cs="Times New Roman"/>
                <w:b/>
                <w:color w:val="000000"/>
                <w:lang w:eastAsia="en-GB"/>
              </w:rPr>
              <w:t>Total</w:t>
            </w:r>
          </w:p>
        </w:tc>
        <w:tc>
          <w:tcPr>
            <w:tcW w:w="1843" w:type="dxa"/>
            <w:tcBorders>
              <w:top w:val="nil"/>
              <w:left w:val="nil"/>
              <w:bottom w:val="single" w:sz="4" w:space="0" w:color="auto"/>
              <w:right w:val="single" w:sz="4" w:space="0" w:color="auto"/>
            </w:tcBorders>
            <w:shd w:val="clear" w:color="auto" w:fill="auto"/>
            <w:noWrap/>
            <w:vAlign w:val="center"/>
            <w:hideMark/>
          </w:tcPr>
          <w:p w:rsidR="0046067C" w:rsidRPr="003330AA" w:rsidRDefault="0046067C" w:rsidP="00881CC4">
            <w:pPr>
              <w:spacing w:after="0" w:line="240" w:lineRule="auto"/>
              <w:jc w:val="right"/>
              <w:rPr>
                <w:rFonts w:eastAsia="Times New Roman" w:cs="Times New Roman"/>
                <w:b/>
                <w:color w:val="000000"/>
                <w:lang w:eastAsia="en-GB"/>
              </w:rPr>
            </w:pPr>
            <w:r w:rsidRPr="003330AA">
              <w:rPr>
                <w:rFonts w:eastAsia="Times New Roman" w:cs="Times New Roman"/>
                <w:b/>
                <w:color w:val="000000"/>
                <w:lang w:eastAsia="en-GB"/>
              </w:rPr>
              <w:t>7,057</w:t>
            </w:r>
          </w:p>
        </w:tc>
        <w:tc>
          <w:tcPr>
            <w:tcW w:w="1701" w:type="dxa"/>
            <w:tcBorders>
              <w:top w:val="nil"/>
              <w:left w:val="nil"/>
              <w:bottom w:val="single" w:sz="4" w:space="0" w:color="auto"/>
              <w:right w:val="single" w:sz="4" w:space="0" w:color="auto"/>
            </w:tcBorders>
            <w:shd w:val="clear" w:color="auto" w:fill="auto"/>
            <w:noWrap/>
            <w:vAlign w:val="center"/>
            <w:hideMark/>
          </w:tcPr>
          <w:p w:rsidR="0046067C" w:rsidRPr="003330AA" w:rsidRDefault="0046067C" w:rsidP="00881CC4">
            <w:pPr>
              <w:spacing w:after="0" w:line="240" w:lineRule="auto"/>
              <w:jc w:val="right"/>
              <w:rPr>
                <w:rFonts w:eastAsia="Times New Roman" w:cs="Times New Roman"/>
                <w:b/>
                <w:color w:val="000000"/>
                <w:lang w:eastAsia="en-GB"/>
              </w:rPr>
            </w:pPr>
            <w:r w:rsidRPr="003330AA">
              <w:rPr>
                <w:rFonts w:eastAsia="Times New Roman" w:cs="Times New Roman"/>
                <w:b/>
                <w:color w:val="000000"/>
                <w:lang w:eastAsia="en-GB"/>
              </w:rPr>
              <w:t>7,212</w:t>
            </w:r>
          </w:p>
        </w:tc>
        <w:tc>
          <w:tcPr>
            <w:tcW w:w="1621" w:type="dxa"/>
            <w:tcBorders>
              <w:top w:val="nil"/>
              <w:left w:val="nil"/>
              <w:bottom w:val="single" w:sz="4" w:space="0" w:color="auto"/>
              <w:right w:val="single" w:sz="4" w:space="0" w:color="auto"/>
            </w:tcBorders>
            <w:shd w:val="clear" w:color="auto" w:fill="auto"/>
            <w:noWrap/>
            <w:vAlign w:val="center"/>
            <w:hideMark/>
          </w:tcPr>
          <w:p w:rsidR="0046067C" w:rsidRPr="003330AA" w:rsidRDefault="0046067C" w:rsidP="00881CC4">
            <w:pPr>
              <w:spacing w:after="0" w:line="240" w:lineRule="auto"/>
              <w:jc w:val="right"/>
              <w:rPr>
                <w:rFonts w:eastAsia="Times New Roman" w:cs="Times New Roman"/>
                <w:b/>
                <w:color w:val="000000"/>
                <w:lang w:eastAsia="en-GB"/>
              </w:rPr>
            </w:pPr>
            <w:r w:rsidRPr="003330AA">
              <w:rPr>
                <w:rFonts w:eastAsia="Times New Roman" w:cs="Times New Roman"/>
                <w:b/>
                <w:color w:val="000000"/>
                <w:lang w:eastAsia="en-GB"/>
              </w:rPr>
              <w:t>7,212</w:t>
            </w:r>
          </w:p>
        </w:tc>
      </w:tr>
    </w:tbl>
    <w:p w:rsidR="0046067C" w:rsidRDefault="0046067C" w:rsidP="0046067C">
      <w:pPr>
        <w:spacing w:after="0" w:line="240" w:lineRule="auto"/>
        <w:jc w:val="both"/>
        <w:rPr>
          <w:rFonts w:cs="Arial"/>
          <w:b/>
          <w:sz w:val="20"/>
          <w:szCs w:val="20"/>
        </w:rPr>
      </w:pPr>
    </w:p>
    <w:p w:rsidR="0046067C" w:rsidRDefault="0046067C" w:rsidP="0046067C">
      <w:pPr>
        <w:spacing w:after="0" w:line="240" w:lineRule="auto"/>
        <w:jc w:val="both"/>
        <w:rPr>
          <w:rFonts w:cs="Arial"/>
          <w:sz w:val="18"/>
          <w:szCs w:val="18"/>
        </w:rPr>
      </w:pPr>
      <w:r w:rsidRPr="00682619">
        <w:rPr>
          <w:rFonts w:cs="Arial"/>
          <w:b/>
          <w:sz w:val="18"/>
          <w:szCs w:val="18"/>
        </w:rPr>
        <w:t xml:space="preserve">Note: </w:t>
      </w:r>
      <w:r w:rsidRPr="00682619">
        <w:rPr>
          <w:rFonts w:cs="Arial"/>
          <w:sz w:val="18"/>
          <w:szCs w:val="18"/>
        </w:rPr>
        <w:t>the difference in the Original Net Budget figures and Current Net Budget figures i</w:t>
      </w:r>
      <w:r w:rsidRPr="00682619">
        <w:rPr>
          <w:rFonts w:ascii="Calibri" w:eastAsia="Times New Roman" w:hAnsi="Calibri" w:cs="Times New Roman"/>
          <w:color w:val="000000"/>
          <w:sz w:val="18"/>
          <w:szCs w:val="18"/>
          <w:lang w:eastAsia="en-GB"/>
        </w:rPr>
        <w:t xml:space="preserve">s due to budget movements within the financial year. </w:t>
      </w:r>
      <w:r w:rsidRPr="00682619">
        <w:rPr>
          <w:rFonts w:cs="Arial"/>
          <w:sz w:val="18"/>
          <w:szCs w:val="18"/>
        </w:rPr>
        <w:t>These can include a transfer of services from another delivery unit, inflationary bids or pressures agreed from Co</w:t>
      </w:r>
      <w:r>
        <w:rPr>
          <w:rFonts w:cs="Arial"/>
          <w:sz w:val="18"/>
          <w:szCs w:val="18"/>
        </w:rPr>
        <w:t>ntingency.</w:t>
      </w:r>
    </w:p>
    <w:p w:rsidR="0046067C" w:rsidRDefault="0046067C" w:rsidP="0046067C">
      <w:pPr>
        <w:autoSpaceDE w:val="0"/>
        <w:autoSpaceDN w:val="0"/>
        <w:adjustRightInd w:val="0"/>
        <w:spacing w:after="0" w:line="240" w:lineRule="auto"/>
        <w:jc w:val="both"/>
        <w:rPr>
          <w:rFonts w:cs="Arial"/>
          <w:b/>
        </w:rPr>
      </w:pPr>
    </w:p>
    <w:p w:rsidR="0046067C" w:rsidRPr="00E07D18" w:rsidRDefault="0046067C" w:rsidP="0046067C">
      <w:pPr>
        <w:autoSpaceDE w:val="0"/>
        <w:autoSpaceDN w:val="0"/>
        <w:adjustRightInd w:val="0"/>
        <w:spacing w:after="0" w:line="240" w:lineRule="auto"/>
        <w:jc w:val="both"/>
        <w:rPr>
          <w:rFonts w:cs="Arial"/>
          <w:b/>
        </w:rPr>
      </w:pPr>
      <w:r>
        <w:rPr>
          <w:rFonts w:cs="Arial"/>
          <w:b/>
        </w:rPr>
        <w:t xml:space="preserve">Biggest areas of net spend: </w:t>
      </w:r>
      <w:r>
        <w:rPr>
          <w:rFonts w:cs="Arial"/>
        </w:rPr>
        <w:t xml:space="preserve">Within Family services the biggest areas of net spend are around </w:t>
      </w:r>
      <w:r w:rsidRPr="00C42730">
        <w:rPr>
          <w:rFonts w:cs="Arial"/>
          <w:b/>
        </w:rPr>
        <w:t>Children in Care-Provider Service</w:t>
      </w:r>
      <w:r>
        <w:rPr>
          <w:rFonts w:cs="Arial"/>
        </w:rPr>
        <w:t xml:space="preserve"> and </w:t>
      </w:r>
      <w:r w:rsidRPr="00C42730">
        <w:rPr>
          <w:rFonts w:cs="Arial"/>
          <w:b/>
        </w:rPr>
        <w:t>Assessment &amp; Children in Need</w:t>
      </w:r>
      <w:r>
        <w:rPr>
          <w:rFonts w:cs="Arial"/>
        </w:rPr>
        <w:t xml:space="preserve">. </w:t>
      </w:r>
      <w:r w:rsidRPr="00506246">
        <w:rPr>
          <w:rFonts w:cs="Arial"/>
        </w:rPr>
        <w:t>Within</w:t>
      </w:r>
      <w:r>
        <w:rPr>
          <w:rFonts w:cs="Arial"/>
        </w:rPr>
        <w:t xml:space="preserve"> Education and Skills the biggest area of net spend is around </w:t>
      </w:r>
      <w:r w:rsidRPr="00E07D18">
        <w:rPr>
          <w:rFonts w:cs="Arial"/>
          <w:b/>
        </w:rPr>
        <w:t>High Needs Support</w:t>
      </w:r>
      <w:r>
        <w:rPr>
          <w:rFonts w:cs="Arial"/>
          <w:b/>
        </w:rPr>
        <w:t>.</w:t>
      </w:r>
    </w:p>
    <w:p w:rsidR="0046067C" w:rsidRDefault="0046067C" w:rsidP="0046067C">
      <w:pPr>
        <w:autoSpaceDE w:val="0"/>
        <w:autoSpaceDN w:val="0"/>
        <w:adjustRightInd w:val="0"/>
        <w:spacing w:after="0" w:line="240" w:lineRule="auto"/>
        <w:rPr>
          <w:rFonts w:cs="Arial"/>
          <w:b/>
        </w:rPr>
      </w:pPr>
    </w:p>
    <w:p w:rsidR="0046067C" w:rsidRDefault="0046067C" w:rsidP="0046067C">
      <w:pPr>
        <w:autoSpaceDE w:val="0"/>
        <w:autoSpaceDN w:val="0"/>
        <w:adjustRightInd w:val="0"/>
        <w:spacing w:after="0" w:line="240" w:lineRule="auto"/>
        <w:rPr>
          <w:rFonts w:cs="Arial"/>
          <w:b/>
        </w:rPr>
      </w:pPr>
    </w:p>
    <w:p w:rsidR="0046067C" w:rsidRDefault="0046067C" w:rsidP="0046067C">
      <w:pPr>
        <w:autoSpaceDE w:val="0"/>
        <w:autoSpaceDN w:val="0"/>
        <w:adjustRightInd w:val="0"/>
        <w:spacing w:after="0" w:line="240" w:lineRule="auto"/>
        <w:rPr>
          <w:rFonts w:cs="Arial"/>
          <w:b/>
          <w:color w:val="4F81BD" w:themeColor="accent1"/>
          <w:sz w:val="26"/>
          <w:szCs w:val="26"/>
          <w:u w:val="single"/>
        </w:rPr>
      </w:pPr>
    </w:p>
    <w:p w:rsidR="0046067C" w:rsidRDefault="0046067C" w:rsidP="0046067C">
      <w:pPr>
        <w:autoSpaceDE w:val="0"/>
        <w:autoSpaceDN w:val="0"/>
        <w:adjustRightInd w:val="0"/>
        <w:spacing w:after="0" w:line="240" w:lineRule="auto"/>
        <w:rPr>
          <w:rFonts w:cs="Arial"/>
          <w:b/>
          <w:color w:val="4F81BD" w:themeColor="accent1"/>
          <w:sz w:val="26"/>
          <w:szCs w:val="26"/>
          <w:u w:val="single"/>
        </w:rPr>
      </w:pPr>
    </w:p>
    <w:p w:rsidR="0046067C" w:rsidRDefault="0046067C" w:rsidP="0046067C">
      <w:pPr>
        <w:autoSpaceDE w:val="0"/>
        <w:autoSpaceDN w:val="0"/>
        <w:adjustRightInd w:val="0"/>
        <w:spacing w:after="0" w:line="240" w:lineRule="auto"/>
        <w:rPr>
          <w:rFonts w:cs="Arial"/>
          <w:b/>
          <w:color w:val="4F81BD" w:themeColor="accent1"/>
          <w:sz w:val="26"/>
          <w:szCs w:val="26"/>
          <w:u w:val="single"/>
        </w:rPr>
      </w:pPr>
    </w:p>
    <w:p w:rsidR="0046067C" w:rsidRDefault="0046067C" w:rsidP="0046067C">
      <w:pPr>
        <w:autoSpaceDE w:val="0"/>
        <w:autoSpaceDN w:val="0"/>
        <w:adjustRightInd w:val="0"/>
        <w:spacing w:after="0" w:line="240" w:lineRule="auto"/>
        <w:rPr>
          <w:rFonts w:cs="Arial"/>
          <w:b/>
          <w:color w:val="4F81BD" w:themeColor="accent1"/>
          <w:sz w:val="26"/>
          <w:szCs w:val="26"/>
          <w:u w:val="single"/>
        </w:rPr>
      </w:pPr>
    </w:p>
    <w:p w:rsidR="008D4AA9" w:rsidRDefault="008D4AA9" w:rsidP="0046067C">
      <w:pPr>
        <w:autoSpaceDE w:val="0"/>
        <w:autoSpaceDN w:val="0"/>
        <w:adjustRightInd w:val="0"/>
        <w:spacing w:after="0" w:line="240" w:lineRule="auto"/>
        <w:rPr>
          <w:rFonts w:cs="Arial"/>
          <w:b/>
          <w:color w:val="4F81BD" w:themeColor="accent1"/>
          <w:sz w:val="26"/>
          <w:szCs w:val="26"/>
          <w:u w:val="single"/>
        </w:rPr>
      </w:pPr>
    </w:p>
    <w:p w:rsidR="008D4AA9" w:rsidRDefault="008D4AA9" w:rsidP="0046067C">
      <w:pPr>
        <w:autoSpaceDE w:val="0"/>
        <w:autoSpaceDN w:val="0"/>
        <w:adjustRightInd w:val="0"/>
        <w:spacing w:after="0" w:line="240" w:lineRule="auto"/>
        <w:rPr>
          <w:rFonts w:cs="Arial"/>
          <w:b/>
          <w:color w:val="4F81BD" w:themeColor="accent1"/>
          <w:sz w:val="26"/>
          <w:szCs w:val="26"/>
          <w:u w:val="single"/>
        </w:rPr>
      </w:pPr>
    </w:p>
    <w:p w:rsidR="0046067C" w:rsidRDefault="0046067C" w:rsidP="0046067C">
      <w:pPr>
        <w:autoSpaceDE w:val="0"/>
        <w:autoSpaceDN w:val="0"/>
        <w:adjustRightInd w:val="0"/>
        <w:spacing w:after="0" w:line="240" w:lineRule="auto"/>
        <w:rPr>
          <w:rFonts w:cs="Arial"/>
          <w:b/>
          <w:color w:val="4F81BD" w:themeColor="accent1"/>
          <w:sz w:val="26"/>
          <w:szCs w:val="26"/>
          <w:u w:val="single"/>
        </w:rPr>
      </w:pPr>
    </w:p>
    <w:p w:rsidR="0046067C" w:rsidRDefault="0046067C" w:rsidP="0046067C">
      <w:pPr>
        <w:pStyle w:val="Heading2"/>
        <w:spacing w:before="0"/>
      </w:pPr>
      <w:bookmarkStart w:id="1038" w:name="_Toc426723445"/>
      <w:bookmarkStart w:id="1039" w:name="_Toc427327518"/>
      <w:bookmarkStart w:id="1040" w:name="_Toc431225272"/>
      <w:r w:rsidRPr="0009746C">
        <w:lastRenderedPageBreak/>
        <w:t>Public Health 2014-15</w:t>
      </w:r>
      <w:bookmarkEnd w:id="1038"/>
      <w:bookmarkEnd w:id="1039"/>
      <w:bookmarkEnd w:id="1040"/>
    </w:p>
    <w:p w:rsidR="0046067C" w:rsidRDefault="0046067C" w:rsidP="0046067C">
      <w:pPr>
        <w:pStyle w:val="Caption"/>
        <w:spacing w:after="0"/>
        <w:rPr>
          <w:b w:val="0"/>
          <w:bCs w:val="0"/>
          <w:szCs w:val="22"/>
        </w:rPr>
      </w:pPr>
    </w:p>
    <w:p w:rsidR="0046067C" w:rsidRPr="009F7D9C" w:rsidRDefault="0046067C" w:rsidP="0046067C">
      <w:pPr>
        <w:pStyle w:val="Caption"/>
        <w:spacing w:after="0"/>
      </w:pPr>
      <w:r>
        <w:t xml:space="preserve">Table </w:t>
      </w:r>
      <w:fldSimple w:instr=" STYLEREF 1 \s ">
        <w:r w:rsidR="001663C2">
          <w:rPr>
            <w:noProof/>
          </w:rPr>
          <w:t>13</w:t>
        </w:r>
      </w:fldSimple>
      <w:r>
        <w:noBreakHyphen/>
      </w:r>
      <w:fldSimple w:instr=" SEQ Table \* ARABIC \s 1 ">
        <w:r w:rsidR="001663C2">
          <w:rPr>
            <w:noProof/>
          </w:rPr>
          <w:t>5</w:t>
        </w:r>
      </w:fldSimple>
      <w:r>
        <w:t xml:space="preserve">: </w:t>
      </w:r>
      <w:r w:rsidRPr="0009746C">
        <w:t>Public Health</w:t>
      </w:r>
      <w:r>
        <w:t xml:space="preserve"> Expenditure of £14,335,000 grant 2014/</w:t>
      </w:r>
      <w:r w:rsidRPr="0009746C">
        <w:t>15</w:t>
      </w:r>
    </w:p>
    <w:tbl>
      <w:tblPr>
        <w:tblW w:w="9229" w:type="dxa"/>
        <w:tblInd w:w="93" w:type="dxa"/>
        <w:tblLook w:val="04A0" w:firstRow="1" w:lastRow="0" w:firstColumn="1" w:lastColumn="0" w:noHBand="0" w:noVBand="1"/>
      </w:tblPr>
      <w:tblGrid>
        <w:gridCol w:w="4126"/>
        <w:gridCol w:w="1701"/>
        <w:gridCol w:w="1701"/>
        <w:gridCol w:w="1701"/>
      </w:tblGrid>
      <w:tr w:rsidR="0046067C" w:rsidRPr="00695F19" w:rsidTr="00881CC4">
        <w:trPr>
          <w:trHeight w:val="300"/>
        </w:trPr>
        <w:tc>
          <w:tcPr>
            <w:tcW w:w="4126" w:type="dxa"/>
            <w:vMerge w:val="restart"/>
            <w:tcBorders>
              <w:top w:val="single" w:sz="4" w:space="0" w:color="auto"/>
              <w:left w:val="single" w:sz="4" w:space="0" w:color="auto"/>
              <w:bottom w:val="single" w:sz="4" w:space="0" w:color="000000"/>
              <w:right w:val="single" w:sz="4" w:space="0" w:color="auto"/>
            </w:tcBorders>
            <w:shd w:val="clear" w:color="000000" w:fill="BFBFBF"/>
            <w:noWrap/>
            <w:vAlign w:val="bottom"/>
            <w:hideMark/>
          </w:tcPr>
          <w:p w:rsidR="0046067C" w:rsidRPr="00695F19" w:rsidRDefault="0046067C" w:rsidP="00881CC4">
            <w:pPr>
              <w:spacing w:after="0" w:line="240" w:lineRule="auto"/>
              <w:jc w:val="center"/>
              <w:rPr>
                <w:rFonts w:ascii="Calibri" w:eastAsia="Times New Roman" w:hAnsi="Calibri" w:cs="Times New Roman"/>
                <w:b/>
                <w:bCs/>
                <w:color w:val="000000"/>
                <w:lang w:eastAsia="en-GB"/>
              </w:rPr>
            </w:pPr>
            <w:r w:rsidRPr="00695F19">
              <w:rPr>
                <w:rFonts w:ascii="Calibri" w:eastAsia="Times New Roman" w:hAnsi="Calibri" w:cs="Times New Roman"/>
                <w:b/>
                <w:bCs/>
                <w:color w:val="000000"/>
                <w:lang w:eastAsia="en-GB"/>
              </w:rPr>
              <w:t>Public Health</w:t>
            </w:r>
          </w:p>
        </w:tc>
        <w:tc>
          <w:tcPr>
            <w:tcW w:w="1701" w:type="dxa"/>
            <w:tcBorders>
              <w:top w:val="single" w:sz="4" w:space="0" w:color="auto"/>
              <w:left w:val="nil"/>
              <w:bottom w:val="single" w:sz="4" w:space="0" w:color="auto"/>
              <w:right w:val="single" w:sz="4" w:space="0" w:color="auto"/>
            </w:tcBorders>
            <w:shd w:val="clear" w:color="000000" w:fill="BFBFBF"/>
            <w:noWrap/>
            <w:vAlign w:val="bottom"/>
            <w:hideMark/>
          </w:tcPr>
          <w:p w:rsidR="0046067C" w:rsidRPr="00695F19" w:rsidRDefault="0046067C" w:rsidP="00881CC4">
            <w:pPr>
              <w:spacing w:after="0" w:line="240" w:lineRule="auto"/>
              <w:jc w:val="center"/>
              <w:rPr>
                <w:rFonts w:ascii="Calibri" w:eastAsia="Times New Roman" w:hAnsi="Calibri" w:cs="Times New Roman"/>
                <w:b/>
                <w:bCs/>
                <w:color w:val="000000"/>
                <w:lang w:eastAsia="en-GB"/>
              </w:rPr>
            </w:pPr>
            <w:r w:rsidRPr="00695F19">
              <w:rPr>
                <w:rFonts w:ascii="Calibri" w:eastAsia="Times New Roman" w:hAnsi="Calibri" w:cs="Times New Roman"/>
                <w:b/>
                <w:bCs/>
                <w:color w:val="000000"/>
                <w:lang w:eastAsia="en-GB"/>
              </w:rPr>
              <w:t>Original Net Budget</w:t>
            </w:r>
          </w:p>
        </w:tc>
        <w:tc>
          <w:tcPr>
            <w:tcW w:w="1701" w:type="dxa"/>
            <w:tcBorders>
              <w:top w:val="single" w:sz="4" w:space="0" w:color="auto"/>
              <w:left w:val="nil"/>
              <w:bottom w:val="single" w:sz="4" w:space="0" w:color="auto"/>
              <w:right w:val="single" w:sz="4" w:space="0" w:color="auto"/>
            </w:tcBorders>
            <w:shd w:val="clear" w:color="000000" w:fill="BFBFBF"/>
            <w:noWrap/>
            <w:vAlign w:val="bottom"/>
            <w:hideMark/>
          </w:tcPr>
          <w:p w:rsidR="0046067C" w:rsidRPr="00695F19" w:rsidRDefault="0046067C" w:rsidP="00881CC4">
            <w:pPr>
              <w:spacing w:after="0" w:line="240" w:lineRule="auto"/>
              <w:jc w:val="center"/>
              <w:rPr>
                <w:rFonts w:ascii="Calibri" w:eastAsia="Times New Roman" w:hAnsi="Calibri" w:cs="Times New Roman"/>
                <w:b/>
                <w:bCs/>
                <w:color w:val="000000"/>
                <w:lang w:eastAsia="en-GB"/>
              </w:rPr>
            </w:pPr>
            <w:r w:rsidRPr="00695F19">
              <w:rPr>
                <w:rFonts w:ascii="Calibri" w:eastAsia="Times New Roman" w:hAnsi="Calibri" w:cs="Times New Roman"/>
                <w:b/>
                <w:bCs/>
                <w:color w:val="000000"/>
                <w:lang w:eastAsia="en-GB"/>
              </w:rPr>
              <w:t>Current Net Budget</w:t>
            </w:r>
          </w:p>
        </w:tc>
        <w:tc>
          <w:tcPr>
            <w:tcW w:w="1701" w:type="dxa"/>
            <w:tcBorders>
              <w:top w:val="single" w:sz="4" w:space="0" w:color="auto"/>
              <w:left w:val="nil"/>
              <w:bottom w:val="single" w:sz="4" w:space="0" w:color="auto"/>
              <w:right w:val="single" w:sz="4" w:space="0" w:color="auto"/>
            </w:tcBorders>
            <w:shd w:val="clear" w:color="000000" w:fill="BFBFBF"/>
            <w:noWrap/>
            <w:vAlign w:val="bottom"/>
            <w:hideMark/>
          </w:tcPr>
          <w:p w:rsidR="0046067C" w:rsidRPr="00695F19" w:rsidRDefault="0046067C" w:rsidP="00881CC4">
            <w:pPr>
              <w:spacing w:after="0" w:line="240" w:lineRule="auto"/>
              <w:jc w:val="center"/>
              <w:rPr>
                <w:rFonts w:ascii="Calibri" w:eastAsia="Times New Roman" w:hAnsi="Calibri" w:cs="Times New Roman"/>
                <w:b/>
                <w:bCs/>
                <w:color w:val="000000"/>
                <w:lang w:eastAsia="en-GB"/>
              </w:rPr>
            </w:pPr>
            <w:r w:rsidRPr="00695F19">
              <w:rPr>
                <w:rFonts w:ascii="Calibri" w:eastAsia="Times New Roman" w:hAnsi="Calibri" w:cs="Times New Roman"/>
                <w:b/>
                <w:bCs/>
                <w:color w:val="000000"/>
                <w:lang w:eastAsia="en-GB"/>
              </w:rPr>
              <w:t>Outturn</w:t>
            </w:r>
          </w:p>
        </w:tc>
      </w:tr>
      <w:tr w:rsidR="0046067C" w:rsidRPr="00695F19" w:rsidTr="00881CC4">
        <w:trPr>
          <w:trHeight w:val="300"/>
        </w:trPr>
        <w:tc>
          <w:tcPr>
            <w:tcW w:w="4126" w:type="dxa"/>
            <w:vMerge/>
            <w:tcBorders>
              <w:top w:val="single" w:sz="4" w:space="0" w:color="auto"/>
              <w:left w:val="single" w:sz="4" w:space="0" w:color="auto"/>
              <w:bottom w:val="single" w:sz="4" w:space="0" w:color="000000"/>
              <w:right w:val="single" w:sz="4" w:space="0" w:color="auto"/>
            </w:tcBorders>
            <w:vAlign w:val="center"/>
            <w:hideMark/>
          </w:tcPr>
          <w:p w:rsidR="0046067C" w:rsidRPr="00695F19" w:rsidRDefault="0046067C" w:rsidP="00881CC4">
            <w:pPr>
              <w:spacing w:after="0" w:line="240" w:lineRule="auto"/>
              <w:rPr>
                <w:rFonts w:ascii="Calibri" w:eastAsia="Times New Roman" w:hAnsi="Calibri" w:cs="Times New Roman"/>
                <w:b/>
                <w:bCs/>
                <w:color w:val="000000"/>
                <w:lang w:eastAsia="en-GB"/>
              </w:rPr>
            </w:pPr>
          </w:p>
        </w:tc>
        <w:tc>
          <w:tcPr>
            <w:tcW w:w="1701" w:type="dxa"/>
            <w:tcBorders>
              <w:top w:val="nil"/>
              <w:left w:val="nil"/>
              <w:bottom w:val="single" w:sz="4" w:space="0" w:color="auto"/>
              <w:right w:val="single" w:sz="4" w:space="0" w:color="auto"/>
            </w:tcBorders>
            <w:shd w:val="clear" w:color="000000" w:fill="BFBFBF"/>
            <w:vAlign w:val="center"/>
            <w:hideMark/>
          </w:tcPr>
          <w:p w:rsidR="0046067C" w:rsidRPr="00695F19" w:rsidRDefault="0046067C" w:rsidP="00881CC4">
            <w:pPr>
              <w:spacing w:after="0" w:line="240" w:lineRule="auto"/>
              <w:jc w:val="center"/>
              <w:rPr>
                <w:rFonts w:ascii="Calibri" w:eastAsia="Times New Roman" w:hAnsi="Calibri" w:cs="Times New Roman"/>
                <w:b/>
                <w:bCs/>
                <w:color w:val="000000"/>
                <w:lang w:eastAsia="en-GB"/>
              </w:rPr>
            </w:pPr>
            <w:r w:rsidRPr="00695F19">
              <w:rPr>
                <w:rFonts w:ascii="Calibri" w:eastAsia="Times New Roman" w:hAnsi="Calibri" w:cs="Times New Roman"/>
                <w:b/>
                <w:bCs/>
                <w:color w:val="000000"/>
                <w:lang w:eastAsia="en-GB"/>
              </w:rPr>
              <w:t>£’000</w:t>
            </w:r>
          </w:p>
        </w:tc>
        <w:tc>
          <w:tcPr>
            <w:tcW w:w="1701" w:type="dxa"/>
            <w:tcBorders>
              <w:top w:val="nil"/>
              <w:left w:val="nil"/>
              <w:bottom w:val="single" w:sz="4" w:space="0" w:color="auto"/>
              <w:right w:val="single" w:sz="4" w:space="0" w:color="auto"/>
            </w:tcBorders>
            <w:shd w:val="clear" w:color="000000" w:fill="BFBFBF"/>
            <w:vAlign w:val="center"/>
            <w:hideMark/>
          </w:tcPr>
          <w:p w:rsidR="0046067C" w:rsidRPr="00695F19" w:rsidRDefault="0046067C" w:rsidP="00881CC4">
            <w:pPr>
              <w:spacing w:after="0" w:line="240" w:lineRule="auto"/>
              <w:jc w:val="center"/>
              <w:rPr>
                <w:rFonts w:ascii="Calibri" w:eastAsia="Times New Roman" w:hAnsi="Calibri" w:cs="Times New Roman"/>
                <w:b/>
                <w:bCs/>
                <w:color w:val="000000"/>
                <w:lang w:eastAsia="en-GB"/>
              </w:rPr>
            </w:pPr>
            <w:r w:rsidRPr="00695F19">
              <w:rPr>
                <w:rFonts w:ascii="Calibri" w:eastAsia="Times New Roman" w:hAnsi="Calibri" w:cs="Times New Roman"/>
                <w:b/>
                <w:bCs/>
                <w:color w:val="000000"/>
                <w:lang w:eastAsia="en-GB"/>
              </w:rPr>
              <w:t>£’000</w:t>
            </w:r>
          </w:p>
        </w:tc>
        <w:tc>
          <w:tcPr>
            <w:tcW w:w="1701" w:type="dxa"/>
            <w:tcBorders>
              <w:top w:val="nil"/>
              <w:left w:val="nil"/>
              <w:bottom w:val="single" w:sz="4" w:space="0" w:color="auto"/>
              <w:right w:val="single" w:sz="4" w:space="0" w:color="auto"/>
            </w:tcBorders>
            <w:shd w:val="clear" w:color="000000" w:fill="BFBFBF"/>
            <w:vAlign w:val="center"/>
            <w:hideMark/>
          </w:tcPr>
          <w:p w:rsidR="0046067C" w:rsidRPr="00695F19" w:rsidRDefault="0046067C" w:rsidP="00881CC4">
            <w:pPr>
              <w:spacing w:after="0" w:line="240" w:lineRule="auto"/>
              <w:jc w:val="center"/>
              <w:rPr>
                <w:rFonts w:ascii="Calibri" w:eastAsia="Times New Roman" w:hAnsi="Calibri" w:cs="Times New Roman"/>
                <w:b/>
                <w:bCs/>
                <w:color w:val="000000"/>
                <w:lang w:eastAsia="en-GB"/>
              </w:rPr>
            </w:pPr>
            <w:r w:rsidRPr="00695F19">
              <w:rPr>
                <w:rFonts w:ascii="Calibri" w:eastAsia="Times New Roman" w:hAnsi="Calibri" w:cs="Times New Roman"/>
                <w:b/>
                <w:bCs/>
                <w:color w:val="000000"/>
                <w:lang w:eastAsia="en-GB"/>
              </w:rPr>
              <w:t>£’000</w:t>
            </w:r>
          </w:p>
        </w:tc>
      </w:tr>
      <w:tr w:rsidR="0046067C" w:rsidRPr="00695F19" w:rsidTr="00881CC4">
        <w:trPr>
          <w:trHeight w:val="300"/>
        </w:trPr>
        <w:tc>
          <w:tcPr>
            <w:tcW w:w="4126" w:type="dxa"/>
            <w:tcBorders>
              <w:top w:val="nil"/>
              <w:left w:val="single" w:sz="4" w:space="0" w:color="auto"/>
              <w:bottom w:val="single" w:sz="4" w:space="0" w:color="auto"/>
              <w:right w:val="single" w:sz="4" w:space="0" w:color="auto"/>
            </w:tcBorders>
            <w:shd w:val="clear" w:color="auto" w:fill="auto"/>
            <w:vAlign w:val="center"/>
            <w:hideMark/>
          </w:tcPr>
          <w:p w:rsidR="0046067C" w:rsidRPr="00695F19" w:rsidRDefault="0046067C" w:rsidP="00881CC4">
            <w:pPr>
              <w:spacing w:after="0" w:line="240" w:lineRule="auto"/>
              <w:rPr>
                <w:rFonts w:ascii="Calibri" w:eastAsia="Times New Roman" w:hAnsi="Calibri" w:cs="Times New Roman"/>
                <w:b/>
                <w:bCs/>
                <w:color w:val="FF0000"/>
                <w:lang w:eastAsia="en-GB"/>
              </w:rPr>
            </w:pPr>
            <w:r w:rsidRPr="00695F19">
              <w:rPr>
                <w:rFonts w:ascii="Calibri" w:eastAsia="Times New Roman" w:hAnsi="Calibri" w:cs="Times New Roman"/>
                <w:b/>
                <w:bCs/>
                <w:color w:val="FF0000"/>
                <w:lang w:eastAsia="en-GB"/>
              </w:rPr>
              <w:t>Mandatory Services</w:t>
            </w:r>
          </w:p>
        </w:tc>
        <w:tc>
          <w:tcPr>
            <w:tcW w:w="1701" w:type="dxa"/>
            <w:tcBorders>
              <w:top w:val="nil"/>
              <w:left w:val="nil"/>
              <w:bottom w:val="single" w:sz="4" w:space="0" w:color="auto"/>
              <w:right w:val="nil"/>
            </w:tcBorders>
            <w:shd w:val="clear" w:color="auto" w:fill="auto"/>
            <w:vAlign w:val="center"/>
            <w:hideMark/>
          </w:tcPr>
          <w:p w:rsidR="0046067C" w:rsidRPr="00695F19" w:rsidRDefault="0046067C" w:rsidP="00881CC4">
            <w:pPr>
              <w:spacing w:after="0" w:line="240" w:lineRule="auto"/>
              <w:rPr>
                <w:rFonts w:ascii="Calibri" w:eastAsia="Times New Roman" w:hAnsi="Calibri" w:cs="Times New Roman"/>
                <w:color w:val="000000"/>
                <w:lang w:eastAsia="en-GB"/>
              </w:rPr>
            </w:pPr>
            <w:r w:rsidRPr="00695F19">
              <w:rPr>
                <w:rFonts w:ascii="Calibri" w:eastAsia="Times New Roman" w:hAnsi="Calibri" w:cs="Times New Roman"/>
                <w:color w:val="000000"/>
                <w:lang w:eastAsia="en-GB"/>
              </w:rPr>
              <w:t> </w:t>
            </w:r>
          </w:p>
        </w:tc>
        <w:tc>
          <w:tcPr>
            <w:tcW w:w="1701" w:type="dxa"/>
            <w:tcBorders>
              <w:top w:val="nil"/>
              <w:left w:val="single" w:sz="4" w:space="0" w:color="auto"/>
              <w:bottom w:val="single" w:sz="4" w:space="0" w:color="auto"/>
              <w:right w:val="single" w:sz="4" w:space="0" w:color="auto"/>
            </w:tcBorders>
            <w:shd w:val="clear" w:color="auto" w:fill="auto"/>
            <w:vAlign w:val="center"/>
            <w:hideMark/>
          </w:tcPr>
          <w:p w:rsidR="0046067C" w:rsidRPr="00695F19" w:rsidRDefault="0046067C" w:rsidP="00881CC4">
            <w:pPr>
              <w:spacing w:after="0" w:line="240" w:lineRule="auto"/>
              <w:rPr>
                <w:rFonts w:ascii="Calibri" w:eastAsia="Times New Roman" w:hAnsi="Calibri" w:cs="Times New Roman"/>
                <w:color w:val="000000"/>
                <w:lang w:eastAsia="en-GB"/>
              </w:rPr>
            </w:pPr>
            <w:r w:rsidRPr="00695F19">
              <w:rPr>
                <w:rFonts w:ascii="Calibri" w:eastAsia="Times New Roman" w:hAnsi="Calibri" w:cs="Times New Roman"/>
                <w:color w:val="000000"/>
                <w:lang w:eastAsia="en-GB"/>
              </w:rPr>
              <w:t> </w:t>
            </w:r>
          </w:p>
        </w:tc>
        <w:tc>
          <w:tcPr>
            <w:tcW w:w="1701" w:type="dxa"/>
            <w:tcBorders>
              <w:top w:val="nil"/>
              <w:left w:val="nil"/>
              <w:bottom w:val="single" w:sz="4" w:space="0" w:color="auto"/>
              <w:right w:val="single" w:sz="4" w:space="0" w:color="auto"/>
            </w:tcBorders>
            <w:shd w:val="clear" w:color="auto" w:fill="auto"/>
            <w:vAlign w:val="center"/>
            <w:hideMark/>
          </w:tcPr>
          <w:p w:rsidR="0046067C" w:rsidRPr="00695F19" w:rsidRDefault="0046067C" w:rsidP="00881CC4">
            <w:pPr>
              <w:spacing w:after="0" w:line="240" w:lineRule="auto"/>
              <w:rPr>
                <w:rFonts w:ascii="Calibri" w:eastAsia="Times New Roman" w:hAnsi="Calibri" w:cs="Times New Roman"/>
                <w:color w:val="000000"/>
                <w:sz w:val="20"/>
                <w:szCs w:val="20"/>
                <w:lang w:eastAsia="en-GB"/>
              </w:rPr>
            </w:pPr>
            <w:r w:rsidRPr="00695F19">
              <w:rPr>
                <w:rFonts w:ascii="Calibri" w:eastAsia="Times New Roman" w:hAnsi="Calibri" w:cs="Times New Roman"/>
                <w:color w:val="000000"/>
                <w:sz w:val="20"/>
                <w:szCs w:val="20"/>
                <w:lang w:eastAsia="en-GB"/>
              </w:rPr>
              <w:t> </w:t>
            </w:r>
          </w:p>
        </w:tc>
      </w:tr>
      <w:tr w:rsidR="0046067C" w:rsidRPr="00695F19" w:rsidTr="00881CC4">
        <w:trPr>
          <w:trHeight w:val="300"/>
        </w:trPr>
        <w:tc>
          <w:tcPr>
            <w:tcW w:w="4126" w:type="dxa"/>
            <w:tcBorders>
              <w:top w:val="nil"/>
              <w:left w:val="single" w:sz="4" w:space="0" w:color="auto"/>
              <w:bottom w:val="single" w:sz="4" w:space="0" w:color="auto"/>
              <w:right w:val="single" w:sz="4" w:space="0" w:color="auto"/>
            </w:tcBorders>
            <w:shd w:val="clear" w:color="auto" w:fill="auto"/>
            <w:vAlign w:val="center"/>
            <w:hideMark/>
          </w:tcPr>
          <w:p w:rsidR="0046067C" w:rsidRPr="00695F19" w:rsidRDefault="0046067C" w:rsidP="00881CC4">
            <w:pPr>
              <w:spacing w:after="0" w:line="240" w:lineRule="auto"/>
              <w:rPr>
                <w:rFonts w:ascii="Calibri" w:eastAsia="Times New Roman" w:hAnsi="Calibri" w:cs="Times New Roman"/>
                <w:color w:val="000000"/>
                <w:lang w:eastAsia="en-GB"/>
              </w:rPr>
            </w:pPr>
            <w:r w:rsidRPr="00695F19">
              <w:rPr>
                <w:rFonts w:ascii="Calibri" w:eastAsia="Times New Roman" w:hAnsi="Calibri" w:cs="Times New Roman"/>
                <w:color w:val="000000"/>
                <w:lang w:eastAsia="en-GB"/>
              </w:rPr>
              <w:t>Sexual health</w:t>
            </w:r>
          </w:p>
        </w:tc>
        <w:tc>
          <w:tcPr>
            <w:tcW w:w="1701" w:type="dxa"/>
            <w:tcBorders>
              <w:top w:val="nil"/>
              <w:left w:val="nil"/>
              <w:bottom w:val="single" w:sz="4" w:space="0" w:color="auto"/>
              <w:right w:val="nil"/>
            </w:tcBorders>
            <w:shd w:val="clear" w:color="auto" w:fill="auto"/>
            <w:vAlign w:val="center"/>
            <w:hideMark/>
          </w:tcPr>
          <w:p w:rsidR="0046067C" w:rsidRPr="00695F19" w:rsidRDefault="0046067C" w:rsidP="00881CC4">
            <w:pPr>
              <w:spacing w:after="0" w:line="240" w:lineRule="auto"/>
              <w:jc w:val="right"/>
              <w:rPr>
                <w:rFonts w:ascii="Calibri" w:eastAsia="Times New Roman" w:hAnsi="Calibri" w:cs="Times New Roman"/>
                <w:color w:val="000000"/>
                <w:lang w:eastAsia="en-GB"/>
              </w:rPr>
            </w:pPr>
            <w:r w:rsidRPr="00695F19">
              <w:rPr>
                <w:rFonts w:ascii="Calibri" w:eastAsia="Times New Roman" w:hAnsi="Calibri" w:cs="Times New Roman"/>
                <w:color w:val="000000"/>
                <w:lang w:eastAsia="en-GB"/>
              </w:rPr>
              <w:t>4,368</w:t>
            </w:r>
          </w:p>
        </w:tc>
        <w:tc>
          <w:tcPr>
            <w:tcW w:w="1701" w:type="dxa"/>
            <w:tcBorders>
              <w:top w:val="nil"/>
              <w:left w:val="single" w:sz="4" w:space="0" w:color="auto"/>
              <w:bottom w:val="single" w:sz="4" w:space="0" w:color="auto"/>
              <w:right w:val="nil"/>
            </w:tcBorders>
            <w:shd w:val="clear" w:color="auto" w:fill="auto"/>
            <w:vAlign w:val="center"/>
            <w:hideMark/>
          </w:tcPr>
          <w:p w:rsidR="0046067C" w:rsidRPr="00695F19" w:rsidRDefault="0046067C" w:rsidP="00881CC4">
            <w:pPr>
              <w:spacing w:after="0" w:line="240" w:lineRule="auto"/>
              <w:jc w:val="right"/>
              <w:rPr>
                <w:rFonts w:ascii="Calibri" w:eastAsia="Times New Roman" w:hAnsi="Calibri" w:cs="Times New Roman"/>
                <w:color w:val="000000"/>
                <w:lang w:eastAsia="en-GB"/>
              </w:rPr>
            </w:pPr>
            <w:r w:rsidRPr="00695F19">
              <w:rPr>
                <w:rFonts w:ascii="Calibri" w:eastAsia="Times New Roman" w:hAnsi="Calibri" w:cs="Times New Roman"/>
                <w:color w:val="000000"/>
                <w:lang w:eastAsia="en-GB"/>
              </w:rPr>
              <w:t>4,368</w:t>
            </w:r>
          </w:p>
        </w:tc>
        <w:tc>
          <w:tcPr>
            <w:tcW w:w="1701" w:type="dxa"/>
            <w:tcBorders>
              <w:top w:val="nil"/>
              <w:left w:val="single" w:sz="4" w:space="0" w:color="auto"/>
              <w:bottom w:val="single" w:sz="4" w:space="0" w:color="auto"/>
              <w:right w:val="single" w:sz="4" w:space="0" w:color="auto"/>
            </w:tcBorders>
            <w:shd w:val="clear" w:color="auto" w:fill="auto"/>
            <w:vAlign w:val="center"/>
            <w:hideMark/>
          </w:tcPr>
          <w:p w:rsidR="0046067C" w:rsidRPr="00695F19" w:rsidRDefault="0046067C" w:rsidP="00881CC4">
            <w:pPr>
              <w:spacing w:after="0" w:line="240" w:lineRule="auto"/>
              <w:jc w:val="right"/>
              <w:rPr>
                <w:rFonts w:ascii="Calibri" w:eastAsia="Times New Roman" w:hAnsi="Calibri" w:cs="Times New Roman"/>
                <w:color w:val="000000"/>
                <w:lang w:eastAsia="en-GB"/>
              </w:rPr>
            </w:pPr>
            <w:r w:rsidRPr="00695F19">
              <w:rPr>
                <w:rFonts w:ascii="Calibri" w:eastAsia="Times New Roman" w:hAnsi="Calibri" w:cs="Times New Roman"/>
                <w:color w:val="000000"/>
                <w:lang w:eastAsia="en-GB"/>
              </w:rPr>
              <w:t>4,555</w:t>
            </w:r>
          </w:p>
        </w:tc>
      </w:tr>
      <w:tr w:rsidR="0046067C" w:rsidRPr="00695F19" w:rsidTr="00881CC4">
        <w:trPr>
          <w:trHeight w:val="300"/>
        </w:trPr>
        <w:tc>
          <w:tcPr>
            <w:tcW w:w="4126" w:type="dxa"/>
            <w:tcBorders>
              <w:top w:val="nil"/>
              <w:left w:val="single" w:sz="4" w:space="0" w:color="auto"/>
              <w:bottom w:val="single" w:sz="4" w:space="0" w:color="auto"/>
              <w:right w:val="single" w:sz="4" w:space="0" w:color="auto"/>
            </w:tcBorders>
            <w:shd w:val="clear" w:color="auto" w:fill="auto"/>
            <w:vAlign w:val="center"/>
            <w:hideMark/>
          </w:tcPr>
          <w:p w:rsidR="0046067C" w:rsidRPr="00695F19" w:rsidRDefault="0046067C" w:rsidP="00881CC4">
            <w:pPr>
              <w:spacing w:after="0" w:line="240" w:lineRule="auto"/>
              <w:rPr>
                <w:rFonts w:ascii="Calibri" w:eastAsia="Times New Roman" w:hAnsi="Calibri" w:cs="Times New Roman"/>
                <w:color w:val="000000"/>
                <w:lang w:eastAsia="en-GB"/>
              </w:rPr>
            </w:pPr>
            <w:r w:rsidRPr="00695F19">
              <w:rPr>
                <w:rFonts w:ascii="Calibri" w:eastAsia="Times New Roman" w:hAnsi="Calibri" w:cs="Times New Roman"/>
                <w:color w:val="000000"/>
                <w:lang w:eastAsia="en-GB"/>
              </w:rPr>
              <w:t>Health Checks</w:t>
            </w:r>
          </w:p>
        </w:tc>
        <w:tc>
          <w:tcPr>
            <w:tcW w:w="1701" w:type="dxa"/>
            <w:tcBorders>
              <w:top w:val="nil"/>
              <w:left w:val="nil"/>
              <w:bottom w:val="single" w:sz="4" w:space="0" w:color="auto"/>
              <w:right w:val="nil"/>
            </w:tcBorders>
            <w:shd w:val="clear" w:color="auto" w:fill="auto"/>
            <w:vAlign w:val="center"/>
            <w:hideMark/>
          </w:tcPr>
          <w:p w:rsidR="0046067C" w:rsidRPr="00695F19" w:rsidRDefault="0046067C" w:rsidP="00881CC4">
            <w:pPr>
              <w:spacing w:after="0" w:line="240" w:lineRule="auto"/>
              <w:jc w:val="right"/>
              <w:rPr>
                <w:rFonts w:ascii="Calibri" w:eastAsia="Times New Roman" w:hAnsi="Calibri" w:cs="Times New Roman"/>
                <w:color w:val="000000"/>
                <w:lang w:eastAsia="en-GB"/>
              </w:rPr>
            </w:pPr>
            <w:r w:rsidRPr="00695F19">
              <w:rPr>
                <w:rFonts w:ascii="Calibri" w:eastAsia="Times New Roman" w:hAnsi="Calibri" w:cs="Times New Roman"/>
                <w:color w:val="000000"/>
                <w:lang w:eastAsia="en-GB"/>
              </w:rPr>
              <w:t>573</w:t>
            </w:r>
          </w:p>
        </w:tc>
        <w:tc>
          <w:tcPr>
            <w:tcW w:w="1701" w:type="dxa"/>
            <w:tcBorders>
              <w:top w:val="nil"/>
              <w:left w:val="single" w:sz="4" w:space="0" w:color="auto"/>
              <w:bottom w:val="single" w:sz="4" w:space="0" w:color="auto"/>
              <w:right w:val="nil"/>
            </w:tcBorders>
            <w:shd w:val="clear" w:color="auto" w:fill="auto"/>
            <w:vAlign w:val="center"/>
            <w:hideMark/>
          </w:tcPr>
          <w:p w:rsidR="0046067C" w:rsidRPr="00695F19" w:rsidRDefault="0046067C" w:rsidP="00881CC4">
            <w:pPr>
              <w:spacing w:after="0" w:line="240" w:lineRule="auto"/>
              <w:jc w:val="right"/>
              <w:rPr>
                <w:rFonts w:ascii="Calibri" w:eastAsia="Times New Roman" w:hAnsi="Calibri" w:cs="Times New Roman"/>
                <w:color w:val="000000"/>
                <w:lang w:eastAsia="en-GB"/>
              </w:rPr>
            </w:pPr>
            <w:r w:rsidRPr="00695F19">
              <w:rPr>
                <w:rFonts w:ascii="Calibri" w:eastAsia="Times New Roman" w:hAnsi="Calibri" w:cs="Times New Roman"/>
                <w:color w:val="000000"/>
                <w:lang w:eastAsia="en-GB"/>
              </w:rPr>
              <w:t>573</w:t>
            </w:r>
          </w:p>
        </w:tc>
        <w:tc>
          <w:tcPr>
            <w:tcW w:w="1701" w:type="dxa"/>
            <w:tcBorders>
              <w:top w:val="nil"/>
              <w:left w:val="single" w:sz="4" w:space="0" w:color="auto"/>
              <w:bottom w:val="single" w:sz="4" w:space="0" w:color="auto"/>
              <w:right w:val="single" w:sz="4" w:space="0" w:color="auto"/>
            </w:tcBorders>
            <w:shd w:val="clear" w:color="auto" w:fill="auto"/>
            <w:vAlign w:val="center"/>
            <w:hideMark/>
          </w:tcPr>
          <w:p w:rsidR="0046067C" w:rsidRPr="00695F19" w:rsidRDefault="0046067C" w:rsidP="00881CC4">
            <w:pPr>
              <w:spacing w:after="0" w:line="240" w:lineRule="auto"/>
              <w:jc w:val="right"/>
              <w:rPr>
                <w:rFonts w:ascii="Calibri" w:eastAsia="Times New Roman" w:hAnsi="Calibri" w:cs="Times New Roman"/>
                <w:color w:val="000000"/>
                <w:lang w:eastAsia="en-GB"/>
              </w:rPr>
            </w:pPr>
            <w:r w:rsidRPr="00695F19">
              <w:rPr>
                <w:rFonts w:ascii="Calibri" w:eastAsia="Times New Roman" w:hAnsi="Calibri" w:cs="Times New Roman"/>
                <w:color w:val="000000"/>
                <w:lang w:eastAsia="en-GB"/>
              </w:rPr>
              <w:t>328</w:t>
            </w:r>
          </w:p>
        </w:tc>
      </w:tr>
      <w:tr w:rsidR="0046067C" w:rsidRPr="00695F19" w:rsidTr="00881CC4">
        <w:trPr>
          <w:trHeight w:val="300"/>
        </w:trPr>
        <w:tc>
          <w:tcPr>
            <w:tcW w:w="4126" w:type="dxa"/>
            <w:tcBorders>
              <w:top w:val="nil"/>
              <w:left w:val="single" w:sz="4" w:space="0" w:color="auto"/>
              <w:bottom w:val="single" w:sz="4" w:space="0" w:color="auto"/>
              <w:right w:val="single" w:sz="4" w:space="0" w:color="auto"/>
            </w:tcBorders>
            <w:shd w:val="clear" w:color="auto" w:fill="auto"/>
            <w:vAlign w:val="center"/>
            <w:hideMark/>
          </w:tcPr>
          <w:p w:rsidR="0046067C" w:rsidRPr="00695F19" w:rsidRDefault="0046067C" w:rsidP="00881CC4">
            <w:pPr>
              <w:spacing w:after="0" w:line="240" w:lineRule="auto"/>
              <w:rPr>
                <w:rFonts w:ascii="Calibri" w:eastAsia="Times New Roman" w:hAnsi="Calibri" w:cs="Times New Roman"/>
                <w:color w:val="000000"/>
                <w:lang w:eastAsia="en-GB"/>
              </w:rPr>
            </w:pPr>
            <w:r w:rsidRPr="00695F19">
              <w:rPr>
                <w:rFonts w:ascii="Calibri" w:eastAsia="Times New Roman" w:hAnsi="Calibri" w:cs="Times New Roman"/>
                <w:color w:val="000000"/>
                <w:lang w:eastAsia="en-GB"/>
              </w:rPr>
              <w:t>School Nursing</w:t>
            </w:r>
          </w:p>
        </w:tc>
        <w:tc>
          <w:tcPr>
            <w:tcW w:w="1701" w:type="dxa"/>
            <w:tcBorders>
              <w:top w:val="nil"/>
              <w:left w:val="nil"/>
              <w:bottom w:val="single" w:sz="4" w:space="0" w:color="auto"/>
              <w:right w:val="nil"/>
            </w:tcBorders>
            <w:shd w:val="clear" w:color="auto" w:fill="auto"/>
            <w:vAlign w:val="center"/>
            <w:hideMark/>
          </w:tcPr>
          <w:p w:rsidR="0046067C" w:rsidRPr="00695F19" w:rsidRDefault="0046067C" w:rsidP="00881CC4">
            <w:pPr>
              <w:spacing w:after="0" w:line="240" w:lineRule="auto"/>
              <w:jc w:val="right"/>
              <w:rPr>
                <w:rFonts w:ascii="Calibri" w:eastAsia="Times New Roman" w:hAnsi="Calibri" w:cs="Times New Roman"/>
                <w:color w:val="000000"/>
                <w:lang w:eastAsia="en-GB"/>
              </w:rPr>
            </w:pPr>
            <w:r w:rsidRPr="00695F19">
              <w:rPr>
                <w:rFonts w:ascii="Calibri" w:eastAsia="Times New Roman" w:hAnsi="Calibri" w:cs="Times New Roman"/>
                <w:color w:val="000000"/>
                <w:lang w:eastAsia="en-GB"/>
              </w:rPr>
              <w:t>1,084</w:t>
            </w:r>
          </w:p>
        </w:tc>
        <w:tc>
          <w:tcPr>
            <w:tcW w:w="1701" w:type="dxa"/>
            <w:tcBorders>
              <w:top w:val="nil"/>
              <w:left w:val="single" w:sz="4" w:space="0" w:color="auto"/>
              <w:bottom w:val="single" w:sz="4" w:space="0" w:color="auto"/>
              <w:right w:val="nil"/>
            </w:tcBorders>
            <w:shd w:val="clear" w:color="auto" w:fill="auto"/>
            <w:vAlign w:val="center"/>
            <w:hideMark/>
          </w:tcPr>
          <w:p w:rsidR="0046067C" w:rsidRPr="00695F19" w:rsidRDefault="0046067C" w:rsidP="00881CC4">
            <w:pPr>
              <w:spacing w:after="0" w:line="240" w:lineRule="auto"/>
              <w:jc w:val="right"/>
              <w:rPr>
                <w:rFonts w:ascii="Calibri" w:eastAsia="Times New Roman" w:hAnsi="Calibri" w:cs="Times New Roman"/>
                <w:color w:val="000000"/>
                <w:lang w:eastAsia="en-GB"/>
              </w:rPr>
            </w:pPr>
            <w:r w:rsidRPr="00695F19">
              <w:rPr>
                <w:rFonts w:ascii="Calibri" w:eastAsia="Times New Roman" w:hAnsi="Calibri" w:cs="Times New Roman"/>
                <w:color w:val="000000"/>
                <w:lang w:eastAsia="en-GB"/>
              </w:rPr>
              <w:t>1,084</w:t>
            </w:r>
          </w:p>
        </w:tc>
        <w:tc>
          <w:tcPr>
            <w:tcW w:w="1701" w:type="dxa"/>
            <w:tcBorders>
              <w:top w:val="nil"/>
              <w:left w:val="single" w:sz="4" w:space="0" w:color="auto"/>
              <w:bottom w:val="single" w:sz="4" w:space="0" w:color="auto"/>
              <w:right w:val="single" w:sz="4" w:space="0" w:color="auto"/>
            </w:tcBorders>
            <w:shd w:val="clear" w:color="auto" w:fill="auto"/>
            <w:vAlign w:val="center"/>
            <w:hideMark/>
          </w:tcPr>
          <w:p w:rsidR="0046067C" w:rsidRPr="00695F19" w:rsidRDefault="0046067C" w:rsidP="00881CC4">
            <w:pPr>
              <w:spacing w:after="0" w:line="240" w:lineRule="auto"/>
              <w:jc w:val="right"/>
              <w:rPr>
                <w:rFonts w:ascii="Calibri" w:eastAsia="Times New Roman" w:hAnsi="Calibri" w:cs="Times New Roman"/>
                <w:color w:val="000000"/>
                <w:lang w:eastAsia="en-GB"/>
              </w:rPr>
            </w:pPr>
            <w:r w:rsidRPr="00695F19">
              <w:rPr>
                <w:rFonts w:ascii="Calibri" w:eastAsia="Times New Roman" w:hAnsi="Calibri" w:cs="Times New Roman"/>
                <w:color w:val="000000"/>
                <w:lang w:eastAsia="en-GB"/>
              </w:rPr>
              <w:t>1,109</w:t>
            </w:r>
          </w:p>
        </w:tc>
      </w:tr>
      <w:tr w:rsidR="0046067C" w:rsidRPr="00695F19" w:rsidTr="00881CC4">
        <w:trPr>
          <w:trHeight w:val="300"/>
        </w:trPr>
        <w:tc>
          <w:tcPr>
            <w:tcW w:w="4126" w:type="dxa"/>
            <w:tcBorders>
              <w:top w:val="nil"/>
              <w:left w:val="single" w:sz="4" w:space="0" w:color="auto"/>
              <w:bottom w:val="single" w:sz="4" w:space="0" w:color="auto"/>
              <w:right w:val="single" w:sz="4" w:space="0" w:color="auto"/>
            </w:tcBorders>
            <w:shd w:val="clear" w:color="000000" w:fill="BFBFBF"/>
            <w:vAlign w:val="center"/>
            <w:hideMark/>
          </w:tcPr>
          <w:p w:rsidR="0046067C" w:rsidRPr="00695F19" w:rsidRDefault="0046067C" w:rsidP="00881CC4">
            <w:pPr>
              <w:spacing w:after="0" w:line="240" w:lineRule="auto"/>
              <w:rPr>
                <w:rFonts w:ascii="Calibri" w:eastAsia="Times New Roman" w:hAnsi="Calibri" w:cs="Times New Roman"/>
                <w:b/>
                <w:bCs/>
                <w:color w:val="000000"/>
                <w:lang w:eastAsia="en-GB"/>
              </w:rPr>
            </w:pPr>
            <w:r w:rsidRPr="00695F19">
              <w:rPr>
                <w:rFonts w:ascii="Calibri" w:eastAsia="Times New Roman" w:hAnsi="Calibri" w:cs="Times New Roman"/>
                <w:b/>
                <w:bCs/>
                <w:color w:val="000000"/>
                <w:lang w:eastAsia="en-GB"/>
              </w:rPr>
              <w:t xml:space="preserve">Total </w:t>
            </w:r>
          </w:p>
        </w:tc>
        <w:tc>
          <w:tcPr>
            <w:tcW w:w="1701" w:type="dxa"/>
            <w:tcBorders>
              <w:top w:val="nil"/>
              <w:left w:val="nil"/>
              <w:bottom w:val="single" w:sz="4" w:space="0" w:color="auto"/>
              <w:right w:val="nil"/>
            </w:tcBorders>
            <w:shd w:val="clear" w:color="000000" w:fill="BFBFBF"/>
            <w:vAlign w:val="center"/>
            <w:hideMark/>
          </w:tcPr>
          <w:p w:rsidR="0046067C" w:rsidRPr="00695F19" w:rsidRDefault="0046067C" w:rsidP="00881CC4">
            <w:pPr>
              <w:spacing w:after="0" w:line="240" w:lineRule="auto"/>
              <w:jc w:val="right"/>
              <w:rPr>
                <w:rFonts w:ascii="Calibri" w:eastAsia="Times New Roman" w:hAnsi="Calibri" w:cs="Times New Roman"/>
                <w:b/>
                <w:bCs/>
                <w:color w:val="000000"/>
                <w:lang w:eastAsia="en-GB"/>
              </w:rPr>
            </w:pPr>
            <w:r w:rsidRPr="00695F19">
              <w:rPr>
                <w:rFonts w:ascii="Calibri" w:eastAsia="Times New Roman" w:hAnsi="Calibri" w:cs="Times New Roman"/>
                <w:b/>
                <w:bCs/>
                <w:color w:val="000000"/>
                <w:lang w:eastAsia="en-GB"/>
              </w:rPr>
              <w:t>6,025</w:t>
            </w:r>
          </w:p>
        </w:tc>
        <w:tc>
          <w:tcPr>
            <w:tcW w:w="1701" w:type="dxa"/>
            <w:tcBorders>
              <w:top w:val="nil"/>
              <w:left w:val="single" w:sz="4" w:space="0" w:color="auto"/>
              <w:bottom w:val="single" w:sz="4" w:space="0" w:color="auto"/>
              <w:right w:val="nil"/>
            </w:tcBorders>
            <w:shd w:val="clear" w:color="000000" w:fill="BFBFBF"/>
            <w:vAlign w:val="center"/>
            <w:hideMark/>
          </w:tcPr>
          <w:p w:rsidR="0046067C" w:rsidRPr="00695F19" w:rsidRDefault="0046067C" w:rsidP="00881CC4">
            <w:pPr>
              <w:spacing w:after="0" w:line="240" w:lineRule="auto"/>
              <w:jc w:val="right"/>
              <w:rPr>
                <w:rFonts w:ascii="Calibri" w:eastAsia="Times New Roman" w:hAnsi="Calibri" w:cs="Times New Roman"/>
                <w:b/>
                <w:bCs/>
                <w:color w:val="000000"/>
                <w:lang w:eastAsia="en-GB"/>
              </w:rPr>
            </w:pPr>
            <w:r w:rsidRPr="00695F19">
              <w:rPr>
                <w:rFonts w:ascii="Calibri" w:eastAsia="Times New Roman" w:hAnsi="Calibri" w:cs="Times New Roman"/>
                <w:b/>
                <w:bCs/>
                <w:color w:val="000000"/>
                <w:lang w:eastAsia="en-GB"/>
              </w:rPr>
              <w:t>6,025</w:t>
            </w:r>
          </w:p>
        </w:tc>
        <w:tc>
          <w:tcPr>
            <w:tcW w:w="1701" w:type="dxa"/>
            <w:tcBorders>
              <w:top w:val="nil"/>
              <w:left w:val="single" w:sz="4" w:space="0" w:color="auto"/>
              <w:bottom w:val="single" w:sz="4" w:space="0" w:color="auto"/>
              <w:right w:val="single" w:sz="4" w:space="0" w:color="auto"/>
            </w:tcBorders>
            <w:shd w:val="clear" w:color="000000" w:fill="BFBFBF"/>
            <w:vAlign w:val="center"/>
            <w:hideMark/>
          </w:tcPr>
          <w:p w:rsidR="0046067C" w:rsidRPr="00695F19" w:rsidRDefault="0046067C" w:rsidP="00881CC4">
            <w:pPr>
              <w:spacing w:after="0" w:line="240" w:lineRule="auto"/>
              <w:jc w:val="right"/>
              <w:rPr>
                <w:rFonts w:ascii="Calibri" w:eastAsia="Times New Roman" w:hAnsi="Calibri" w:cs="Times New Roman"/>
                <w:b/>
                <w:bCs/>
                <w:color w:val="000000"/>
                <w:lang w:eastAsia="en-GB"/>
              </w:rPr>
            </w:pPr>
            <w:r w:rsidRPr="00695F19">
              <w:rPr>
                <w:rFonts w:ascii="Calibri" w:eastAsia="Times New Roman" w:hAnsi="Calibri" w:cs="Times New Roman"/>
                <w:b/>
                <w:bCs/>
                <w:color w:val="000000"/>
                <w:lang w:eastAsia="en-GB"/>
              </w:rPr>
              <w:t>5,992</w:t>
            </w:r>
          </w:p>
        </w:tc>
      </w:tr>
      <w:tr w:rsidR="0046067C" w:rsidRPr="00695F19" w:rsidTr="00881CC4">
        <w:trPr>
          <w:trHeight w:val="300"/>
        </w:trPr>
        <w:tc>
          <w:tcPr>
            <w:tcW w:w="4126" w:type="dxa"/>
            <w:tcBorders>
              <w:top w:val="nil"/>
              <w:left w:val="single" w:sz="4" w:space="0" w:color="auto"/>
              <w:bottom w:val="single" w:sz="4" w:space="0" w:color="auto"/>
              <w:right w:val="single" w:sz="4" w:space="0" w:color="auto"/>
            </w:tcBorders>
            <w:shd w:val="clear" w:color="auto" w:fill="auto"/>
            <w:vAlign w:val="center"/>
            <w:hideMark/>
          </w:tcPr>
          <w:p w:rsidR="0046067C" w:rsidRPr="00695F19" w:rsidRDefault="0046067C" w:rsidP="00881CC4">
            <w:pPr>
              <w:spacing w:after="0" w:line="240" w:lineRule="auto"/>
              <w:rPr>
                <w:rFonts w:ascii="Calibri" w:eastAsia="Times New Roman" w:hAnsi="Calibri" w:cs="Times New Roman"/>
                <w:b/>
                <w:bCs/>
                <w:color w:val="FF0000"/>
                <w:lang w:eastAsia="en-GB"/>
              </w:rPr>
            </w:pPr>
            <w:r w:rsidRPr="00695F19">
              <w:rPr>
                <w:rFonts w:ascii="Calibri" w:eastAsia="Times New Roman" w:hAnsi="Calibri" w:cs="Times New Roman"/>
                <w:b/>
                <w:bCs/>
                <w:color w:val="FF0000"/>
                <w:lang w:eastAsia="en-GB"/>
              </w:rPr>
              <w:t>Discretionary Services</w:t>
            </w:r>
          </w:p>
        </w:tc>
        <w:tc>
          <w:tcPr>
            <w:tcW w:w="1701" w:type="dxa"/>
            <w:tcBorders>
              <w:top w:val="nil"/>
              <w:left w:val="nil"/>
              <w:bottom w:val="single" w:sz="4" w:space="0" w:color="auto"/>
              <w:right w:val="nil"/>
            </w:tcBorders>
            <w:shd w:val="clear" w:color="auto" w:fill="auto"/>
            <w:vAlign w:val="center"/>
            <w:hideMark/>
          </w:tcPr>
          <w:p w:rsidR="0046067C" w:rsidRPr="00695F19" w:rsidRDefault="0046067C" w:rsidP="00881CC4">
            <w:pPr>
              <w:spacing w:after="0" w:line="240" w:lineRule="auto"/>
              <w:rPr>
                <w:rFonts w:ascii="Calibri" w:eastAsia="Times New Roman" w:hAnsi="Calibri" w:cs="Times New Roman"/>
                <w:color w:val="000000"/>
                <w:lang w:eastAsia="en-GB"/>
              </w:rPr>
            </w:pPr>
            <w:r w:rsidRPr="00695F19">
              <w:rPr>
                <w:rFonts w:ascii="Calibri" w:eastAsia="Times New Roman" w:hAnsi="Calibri" w:cs="Times New Roman"/>
                <w:color w:val="000000"/>
                <w:lang w:eastAsia="en-GB"/>
              </w:rPr>
              <w:t> </w:t>
            </w:r>
          </w:p>
        </w:tc>
        <w:tc>
          <w:tcPr>
            <w:tcW w:w="1701" w:type="dxa"/>
            <w:tcBorders>
              <w:top w:val="nil"/>
              <w:left w:val="single" w:sz="4" w:space="0" w:color="auto"/>
              <w:bottom w:val="single" w:sz="4" w:space="0" w:color="auto"/>
              <w:right w:val="nil"/>
            </w:tcBorders>
            <w:shd w:val="clear" w:color="auto" w:fill="auto"/>
            <w:vAlign w:val="center"/>
            <w:hideMark/>
          </w:tcPr>
          <w:p w:rsidR="0046067C" w:rsidRPr="00695F19" w:rsidRDefault="0046067C" w:rsidP="00881CC4">
            <w:pPr>
              <w:spacing w:after="0" w:line="240" w:lineRule="auto"/>
              <w:rPr>
                <w:rFonts w:ascii="Calibri" w:eastAsia="Times New Roman" w:hAnsi="Calibri" w:cs="Times New Roman"/>
                <w:color w:val="000000"/>
                <w:lang w:eastAsia="en-GB"/>
              </w:rPr>
            </w:pPr>
            <w:r w:rsidRPr="00695F19">
              <w:rPr>
                <w:rFonts w:ascii="Calibri" w:eastAsia="Times New Roman" w:hAnsi="Calibri" w:cs="Times New Roman"/>
                <w:color w:val="000000"/>
                <w:lang w:eastAsia="en-GB"/>
              </w:rPr>
              <w:t> </w:t>
            </w:r>
          </w:p>
        </w:tc>
        <w:tc>
          <w:tcPr>
            <w:tcW w:w="1701" w:type="dxa"/>
            <w:tcBorders>
              <w:top w:val="nil"/>
              <w:left w:val="single" w:sz="4" w:space="0" w:color="auto"/>
              <w:bottom w:val="single" w:sz="4" w:space="0" w:color="auto"/>
              <w:right w:val="single" w:sz="4" w:space="0" w:color="auto"/>
            </w:tcBorders>
            <w:shd w:val="clear" w:color="auto" w:fill="auto"/>
            <w:vAlign w:val="center"/>
            <w:hideMark/>
          </w:tcPr>
          <w:p w:rsidR="0046067C" w:rsidRPr="00695F19" w:rsidRDefault="0046067C" w:rsidP="00881CC4">
            <w:pPr>
              <w:spacing w:after="0" w:line="240" w:lineRule="auto"/>
              <w:rPr>
                <w:rFonts w:ascii="Calibri" w:eastAsia="Times New Roman" w:hAnsi="Calibri" w:cs="Times New Roman"/>
                <w:color w:val="000000"/>
                <w:lang w:eastAsia="en-GB"/>
              </w:rPr>
            </w:pPr>
            <w:r w:rsidRPr="00695F19">
              <w:rPr>
                <w:rFonts w:ascii="Calibri" w:eastAsia="Times New Roman" w:hAnsi="Calibri" w:cs="Times New Roman"/>
                <w:color w:val="000000"/>
                <w:lang w:eastAsia="en-GB"/>
              </w:rPr>
              <w:t> </w:t>
            </w:r>
          </w:p>
        </w:tc>
      </w:tr>
      <w:tr w:rsidR="0046067C" w:rsidRPr="00695F19" w:rsidTr="00881CC4">
        <w:trPr>
          <w:trHeight w:val="300"/>
        </w:trPr>
        <w:tc>
          <w:tcPr>
            <w:tcW w:w="4126" w:type="dxa"/>
            <w:tcBorders>
              <w:top w:val="nil"/>
              <w:left w:val="single" w:sz="4" w:space="0" w:color="auto"/>
              <w:bottom w:val="single" w:sz="4" w:space="0" w:color="auto"/>
              <w:right w:val="single" w:sz="4" w:space="0" w:color="auto"/>
            </w:tcBorders>
            <w:shd w:val="clear" w:color="auto" w:fill="auto"/>
            <w:vAlign w:val="center"/>
            <w:hideMark/>
          </w:tcPr>
          <w:p w:rsidR="0046067C" w:rsidRPr="00695F19" w:rsidRDefault="0046067C" w:rsidP="00881CC4">
            <w:pPr>
              <w:spacing w:after="0" w:line="240" w:lineRule="auto"/>
              <w:rPr>
                <w:rFonts w:ascii="Calibri" w:eastAsia="Times New Roman" w:hAnsi="Calibri" w:cs="Times New Roman"/>
                <w:color w:val="000000"/>
                <w:lang w:eastAsia="en-GB"/>
              </w:rPr>
            </w:pPr>
            <w:r w:rsidRPr="00695F19">
              <w:rPr>
                <w:rFonts w:ascii="Calibri" w:eastAsia="Times New Roman" w:hAnsi="Calibri" w:cs="Times New Roman"/>
                <w:color w:val="000000"/>
                <w:lang w:eastAsia="en-GB"/>
              </w:rPr>
              <w:t xml:space="preserve">Tobacco control </w:t>
            </w:r>
          </w:p>
        </w:tc>
        <w:tc>
          <w:tcPr>
            <w:tcW w:w="1701" w:type="dxa"/>
            <w:tcBorders>
              <w:top w:val="nil"/>
              <w:left w:val="nil"/>
              <w:bottom w:val="single" w:sz="4" w:space="0" w:color="auto"/>
              <w:right w:val="nil"/>
            </w:tcBorders>
            <w:shd w:val="clear" w:color="auto" w:fill="auto"/>
            <w:vAlign w:val="center"/>
            <w:hideMark/>
          </w:tcPr>
          <w:p w:rsidR="0046067C" w:rsidRPr="00695F19" w:rsidRDefault="0046067C" w:rsidP="00881CC4">
            <w:pPr>
              <w:spacing w:after="0" w:line="240" w:lineRule="auto"/>
              <w:jc w:val="right"/>
              <w:rPr>
                <w:rFonts w:ascii="Calibri" w:eastAsia="Times New Roman" w:hAnsi="Calibri" w:cs="Times New Roman"/>
                <w:color w:val="000000"/>
                <w:lang w:eastAsia="en-GB"/>
              </w:rPr>
            </w:pPr>
            <w:r w:rsidRPr="00695F19">
              <w:rPr>
                <w:rFonts w:ascii="Calibri" w:eastAsia="Times New Roman" w:hAnsi="Calibri" w:cs="Times New Roman"/>
                <w:color w:val="000000"/>
                <w:lang w:eastAsia="en-GB"/>
              </w:rPr>
              <w:t>707</w:t>
            </w:r>
          </w:p>
        </w:tc>
        <w:tc>
          <w:tcPr>
            <w:tcW w:w="1701" w:type="dxa"/>
            <w:tcBorders>
              <w:top w:val="nil"/>
              <w:left w:val="single" w:sz="4" w:space="0" w:color="auto"/>
              <w:bottom w:val="single" w:sz="4" w:space="0" w:color="auto"/>
              <w:right w:val="nil"/>
            </w:tcBorders>
            <w:shd w:val="clear" w:color="auto" w:fill="auto"/>
            <w:vAlign w:val="center"/>
            <w:hideMark/>
          </w:tcPr>
          <w:p w:rsidR="0046067C" w:rsidRPr="00695F19" w:rsidRDefault="0046067C" w:rsidP="00881CC4">
            <w:pPr>
              <w:spacing w:after="0" w:line="240" w:lineRule="auto"/>
              <w:jc w:val="right"/>
              <w:rPr>
                <w:rFonts w:ascii="Calibri" w:eastAsia="Times New Roman" w:hAnsi="Calibri" w:cs="Times New Roman"/>
                <w:color w:val="000000"/>
                <w:lang w:eastAsia="en-GB"/>
              </w:rPr>
            </w:pPr>
            <w:r w:rsidRPr="00695F19">
              <w:rPr>
                <w:rFonts w:ascii="Calibri" w:eastAsia="Times New Roman" w:hAnsi="Calibri" w:cs="Times New Roman"/>
                <w:color w:val="000000"/>
                <w:lang w:eastAsia="en-GB"/>
              </w:rPr>
              <w:t>707</w:t>
            </w:r>
          </w:p>
        </w:tc>
        <w:tc>
          <w:tcPr>
            <w:tcW w:w="1701" w:type="dxa"/>
            <w:tcBorders>
              <w:top w:val="nil"/>
              <w:left w:val="single" w:sz="4" w:space="0" w:color="auto"/>
              <w:bottom w:val="single" w:sz="4" w:space="0" w:color="auto"/>
              <w:right w:val="single" w:sz="4" w:space="0" w:color="auto"/>
            </w:tcBorders>
            <w:shd w:val="clear" w:color="auto" w:fill="auto"/>
            <w:vAlign w:val="center"/>
            <w:hideMark/>
          </w:tcPr>
          <w:p w:rsidR="0046067C" w:rsidRPr="00695F19" w:rsidRDefault="0046067C" w:rsidP="00881CC4">
            <w:pPr>
              <w:spacing w:after="0" w:line="240" w:lineRule="auto"/>
              <w:jc w:val="right"/>
              <w:rPr>
                <w:rFonts w:ascii="Calibri" w:eastAsia="Times New Roman" w:hAnsi="Calibri" w:cs="Times New Roman"/>
                <w:color w:val="000000"/>
                <w:lang w:eastAsia="en-GB"/>
              </w:rPr>
            </w:pPr>
            <w:r w:rsidRPr="00695F19">
              <w:rPr>
                <w:rFonts w:ascii="Calibri" w:eastAsia="Times New Roman" w:hAnsi="Calibri" w:cs="Times New Roman"/>
                <w:color w:val="000000"/>
                <w:lang w:eastAsia="en-GB"/>
              </w:rPr>
              <w:t>345</w:t>
            </w:r>
          </w:p>
        </w:tc>
      </w:tr>
      <w:tr w:rsidR="0046067C" w:rsidRPr="00695F19" w:rsidTr="00881CC4">
        <w:trPr>
          <w:trHeight w:val="300"/>
        </w:trPr>
        <w:tc>
          <w:tcPr>
            <w:tcW w:w="4126" w:type="dxa"/>
            <w:tcBorders>
              <w:top w:val="nil"/>
              <w:left w:val="single" w:sz="4" w:space="0" w:color="auto"/>
              <w:bottom w:val="single" w:sz="4" w:space="0" w:color="auto"/>
              <w:right w:val="single" w:sz="4" w:space="0" w:color="auto"/>
            </w:tcBorders>
            <w:shd w:val="clear" w:color="auto" w:fill="auto"/>
            <w:vAlign w:val="center"/>
            <w:hideMark/>
          </w:tcPr>
          <w:p w:rsidR="0046067C" w:rsidRPr="00695F19" w:rsidRDefault="0046067C" w:rsidP="00881CC4">
            <w:pPr>
              <w:spacing w:after="0" w:line="240" w:lineRule="auto"/>
              <w:rPr>
                <w:rFonts w:ascii="Calibri" w:eastAsia="Times New Roman" w:hAnsi="Calibri" w:cs="Times New Roman"/>
                <w:color w:val="000000"/>
                <w:lang w:eastAsia="en-GB"/>
              </w:rPr>
            </w:pPr>
            <w:r w:rsidRPr="00695F19">
              <w:rPr>
                <w:rFonts w:ascii="Calibri" w:eastAsia="Times New Roman" w:hAnsi="Calibri" w:cs="Times New Roman"/>
                <w:color w:val="000000"/>
                <w:lang w:eastAsia="en-GB"/>
              </w:rPr>
              <w:t>Drugs and Alcohol misuse</w:t>
            </w:r>
          </w:p>
        </w:tc>
        <w:tc>
          <w:tcPr>
            <w:tcW w:w="1701" w:type="dxa"/>
            <w:tcBorders>
              <w:top w:val="nil"/>
              <w:left w:val="nil"/>
              <w:bottom w:val="single" w:sz="4" w:space="0" w:color="auto"/>
              <w:right w:val="nil"/>
            </w:tcBorders>
            <w:shd w:val="clear" w:color="auto" w:fill="auto"/>
            <w:vAlign w:val="center"/>
            <w:hideMark/>
          </w:tcPr>
          <w:p w:rsidR="0046067C" w:rsidRPr="00695F19" w:rsidRDefault="0046067C" w:rsidP="00881CC4">
            <w:pPr>
              <w:spacing w:after="0" w:line="240" w:lineRule="auto"/>
              <w:jc w:val="right"/>
              <w:rPr>
                <w:rFonts w:ascii="Calibri" w:eastAsia="Times New Roman" w:hAnsi="Calibri" w:cs="Times New Roman"/>
                <w:color w:val="000000"/>
                <w:lang w:eastAsia="en-GB"/>
              </w:rPr>
            </w:pPr>
            <w:r w:rsidRPr="00695F19">
              <w:rPr>
                <w:rFonts w:ascii="Calibri" w:eastAsia="Times New Roman" w:hAnsi="Calibri" w:cs="Times New Roman"/>
                <w:color w:val="000000"/>
                <w:lang w:eastAsia="en-GB"/>
              </w:rPr>
              <w:t>2,887</w:t>
            </w:r>
          </w:p>
        </w:tc>
        <w:tc>
          <w:tcPr>
            <w:tcW w:w="1701" w:type="dxa"/>
            <w:tcBorders>
              <w:top w:val="nil"/>
              <w:left w:val="single" w:sz="4" w:space="0" w:color="auto"/>
              <w:bottom w:val="single" w:sz="4" w:space="0" w:color="auto"/>
              <w:right w:val="nil"/>
            </w:tcBorders>
            <w:shd w:val="clear" w:color="auto" w:fill="auto"/>
            <w:vAlign w:val="center"/>
            <w:hideMark/>
          </w:tcPr>
          <w:p w:rsidR="0046067C" w:rsidRPr="00695F19" w:rsidRDefault="0046067C" w:rsidP="00881CC4">
            <w:pPr>
              <w:spacing w:after="0" w:line="240" w:lineRule="auto"/>
              <w:jc w:val="right"/>
              <w:rPr>
                <w:rFonts w:ascii="Calibri" w:eastAsia="Times New Roman" w:hAnsi="Calibri" w:cs="Times New Roman"/>
                <w:color w:val="000000"/>
                <w:lang w:eastAsia="en-GB"/>
              </w:rPr>
            </w:pPr>
            <w:r w:rsidRPr="00695F19">
              <w:rPr>
                <w:rFonts w:ascii="Calibri" w:eastAsia="Times New Roman" w:hAnsi="Calibri" w:cs="Times New Roman"/>
                <w:color w:val="000000"/>
                <w:lang w:eastAsia="en-GB"/>
              </w:rPr>
              <w:t>2,887</w:t>
            </w:r>
          </w:p>
        </w:tc>
        <w:tc>
          <w:tcPr>
            <w:tcW w:w="1701" w:type="dxa"/>
            <w:tcBorders>
              <w:top w:val="nil"/>
              <w:left w:val="single" w:sz="4" w:space="0" w:color="auto"/>
              <w:bottom w:val="single" w:sz="4" w:space="0" w:color="auto"/>
              <w:right w:val="single" w:sz="4" w:space="0" w:color="auto"/>
            </w:tcBorders>
            <w:shd w:val="clear" w:color="auto" w:fill="auto"/>
            <w:vAlign w:val="center"/>
            <w:hideMark/>
          </w:tcPr>
          <w:p w:rsidR="0046067C" w:rsidRPr="00695F19" w:rsidRDefault="0046067C" w:rsidP="00881CC4">
            <w:pPr>
              <w:spacing w:after="0" w:line="240" w:lineRule="auto"/>
              <w:jc w:val="right"/>
              <w:rPr>
                <w:rFonts w:ascii="Calibri" w:eastAsia="Times New Roman" w:hAnsi="Calibri" w:cs="Times New Roman"/>
                <w:color w:val="000000"/>
                <w:lang w:eastAsia="en-GB"/>
              </w:rPr>
            </w:pPr>
            <w:r w:rsidRPr="00695F19">
              <w:rPr>
                <w:rFonts w:ascii="Calibri" w:eastAsia="Times New Roman" w:hAnsi="Calibri" w:cs="Times New Roman"/>
                <w:color w:val="000000"/>
                <w:lang w:eastAsia="en-GB"/>
              </w:rPr>
              <w:t>2,910</w:t>
            </w:r>
          </w:p>
        </w:tc>
      </w:tr>
      <w:tr w:rsidR="0046067C" w:rsidRPr="00695F19" w:rsidTr="00881CC4">
        <w:trPr>
          <w:trHeight w:val="300"/>
        </w:trPr>
        <w:tc>
          <w:tcPr>
            <w:tcW w:w="4126" w:type="dxa"/>
            <w:tcBorders>
              <w:top w:val="nil"/>
              <w:left w:val="single" w:sz="4" w:space="0" w:color="auto"/>
              <w:bottom w:val="single" w:sz="4" w:space="0" w:color="auto"/>
              <w:right w:val="single" w:sz="4" w:space="0" w:color="auto"/>
            </w:tcBorders>
            <w:shd w:val="clear" w:color="auto" w:fill="auto"/>
            <w:vAlign w:val="center"/>
            <w:hideMark/>
          </w:tcPr>
          <w:p w:rsidR="0046067C" w:rsidRPr="00695F19" w:rsidRDefault="0046067C" w:rsidP="00881CC4">
            <w:pPr>
              <w:spacing w:after="0" w:line="240" w:lineRule="auto"/>
              <w:rPr>
                <w:rFonts w:ascii="Calibri" w:eastAsia="Times New Roman" w:hAnsi="Calibri" w:cs="Times New Roman"/>
                <w:color w:val="000000"/>
                <w:lang w:eastAsia="en-GB"/>
              </w:rPr>
            </w:pPr>
            <w:r w:rsidRPr="00695F19">
              <w:rPr>
                <w:rFonts w:ascii="Calibri" w:eastAsia="Times New Roman" w:hAnsi="Calibri" w:cs="Times New Roman"/>
                <w:color w:val="000000"/>
                <w:lang w:eastAsia="en-GB"/>
              </w:rPr>
              <w:t>Physical Activity</w:t>
            </w:r>
          </w:p>
        </w:tc>
        <w:tc>
          <w:tcPr>
            <w:tcW w:w="1701" w:type="dxa"/>
            <w:tcBorders>
              <w:top w:val="nil"/>
              <w:left w:val="nil"/>
              <w:bottom w:val="single" w:sz="4" w:space="0" w:color="auto"/>
              <w:right w:val="nil"/>
            </w:tcBorders>
            <w:shd w:val="clear" w:color="auto" w:fill="auto"/>
            <w:vAlign w:val="center"/>
            <w:hideMark/>
          </w:tcPr>
          <w:p w:rsidR="0046067C" w:rsidRPr="00695F19" w:rsidRDefault="0046067C" w:rsidP="00881CC4">
            <w:pPr>
              <w:spacing w:after="0" w:line="240" w:lineRule="auto"/>
              <w:jc w:val="right"/>
              <w:rPr>
                <w:rFonts w:ascii="Calibri" w:eastAsia="Times New Roman" w:hAnsi="Calibri" w:cs="Times New Roman"/>
                <w:color w:val="000000"/>
                <w:lang w:eastAsia="en-GB"/>
              </w:rPr>
            </w:pPr>
            <w:r w:rsidRPr="00695F19">
              <w:rPr>
                <w:rFonts w:ascii="Calibri" w:eastAsia="Times New Roman" w:hAnsi="Calibri" w:cs="Times New Roman"/>
                <w:color w:val="000000"/>
                <w:lang w:eastAsia="en-GB"/>
              </w:rPr>
              <w:t>680</w:t>
            </w:r>
          </w:p>
        </w:tc>
        <w:tc>
          <w:tcPr>
            <w:tcW w:w="1701" w:type="dxa"/>
            <w:tcBorders>
              <w:top w:val="nil"/>
              <w:left w:val="single" w:sz="4" w:space="0" w:color="auto"/>
              <w:bottom w:val="single" w:sz="4" w:space="0" w:color="auto"/>
              <w:right w:val="nil"/>
            </w:tcBorders>
            <w:shd w:val="clear" w:color="auto" w:fill="auto"/>
            <w:vAlign w:val="center"/>
            <w:hideMark/>
          </w:tcPr>
          <w:p w:rsidR="0046067C" w:rsidRPr="00695F19" w:rsidRDefault="0046067C" w:rsidP="00881CC4">
            <w:pPr>
              <w:spacing w:after="0" w:line="240" w:lineRule="auto"/>
              <w:jc w:val="right"/>
              <w:rPr>
                <w:rFonts w:ascii="Calibri" w:eastAsia="Times New Roman" w:hAnsi="Calibri" w:cs="Times New Roman"/>
                <w:color w:val="000000"/>
                <w:lang w:eastAsia="en-GB"/>
              </w:rPr>
            </w:pPr>
            <w:r w:rsidRPr="00695F19">
              <w:rPr>
                <w:rFonts w:ascii="Calibri" w:eastAsia="Times New Roman" w:hAnsi="Calibri" w:cs="Times New Roman"/>
                <w:color w:val="000000"/>
                <w:lang w:eastAsia="en-GB"/>
              </w:rPr>
              <w:t>680</w:t>
            </w:r>
          </w:p>
        </w:tc>
        <w:tc>
          <w:tcPr>
            <w:tcW w:w="1701" w:type="dxa"/>
            <w:tcBorders>
              <w:top w:val="nil"/>
              <w:left w:val="single" w:sz="4" w:space="0" w:color="auto"/>
              <w:bottom w:val="single" w:sz="4" w:space="0" w:color="auto"/>
              <w:right w:val="single" w:sz="4" w:space="0" w:color="auto"/>
            </w:tcBorders>
            <w:shd w:val="clear" w:color="auto" w:fill="auto"/>
            <w:vAlign w:val="center"/>
            <w:hideMark/>
          </w:tcPr>
          <w:p w:rsidR="0046067C" w:rsidRPr="00695F19" w:rsidRDefault="0046067C" w:rsidP="00881CC4">
            <w:pPr>
              <w:spacing w:after="0" w:line="240" w:lineRule="auto"/>
              <w:jc w:val="right"/>
              <w:rPr>
                <w:rFonts w:ascii="Calibri" w:eastAsia="Times New Roman" w:hAnsi="Calibri" w:cs="Times New Roman"/>
                <w:color w:val="000000"/>
                <w:lang w:eastAsia="en-GB"/>
              </w:rPr>
            </w:pPr>
            <w:r w:rsidRPr="00695F19">
              <w:rPr>
                <w:rFonts w:ascii="Calibri" w:eastAsia="Times New Roman" w:hAnsi="Calibri" w:cs="Times New Roman"/>
                <w:color w:val="000000"/>
                <w:lang w:eastAsia="en-GB"/>
              </w:rPr>
              <w:t>611</w:t>
            </w:r>
          </w:p>
        </w:tc>
      </w:tr>
      <w:tr w:rsidR="0046067C" w:rsidRPr="00695F19" w:rsidTr="00881CC4">
        <w:trPr>
          <w:trHeight w:val="300"/>
        </w:trPr>
        <w:tc>
          <w:tcPr>
            <w:tcW w:w="4126" w:type="dxa"/>
            <w:tcBorders>
              <w:top w:val="nil"/>
              <w:left w:val="single" w:sz="4" w:space="0" w:color="auto"/>
              <w:bottom w:val="single" w:sz="4" w:space="0" w:color="auto"/>
              <w:right w:val="single" w:sz="4" w:space="0" w:color="auto"/>
            </w:tcBorders>
            <w:shd w:val="clear" w:color="000000" w:fill="BFBFBF"/>
            <w:vAlign w:val="center"/>
            <w:hideMark/>
          </w:tcPr>
          <w:p w:rsidR="0046067C" w:rsidRPr="00695F19" w:rsidRDefault="0046067C" w:rsidP="00881CC4">
            <w:pPr>
              <w:spacing w:after="0" w:line="240" w:lineRule="auto"/>
              <w:rPr>
                <w:rFonts w:ascii="Calibri" w:eastAsia="Times New Roman" w:hAnsi="Calibri" w:cs="Times New Roman"/>
                <w:b/>
                <w:bCs/>
                <w:color w:val="000000"/>
                <w:lang w:eastAsia="en-GB"/>
              </w:rPr>
            </w:pPr>
            <w:r w:rsidRPr="00695F19">
              <w:rPr>
                <w:rFonts w:ascii="Calibri" w:eastAsia="Times New Roman" w:hAnsi="Calibri" w:cs="Times New Roman"/>
                <w:b/>
                <w:bCs/>
                <w:color w:val="000000"/>
                <w:lang w:eastAsia="en-GB"/>
              </w:rPr>
              <w:t>Total</w:t>
            </w:r>
          </w:p>
        </w:tc>
        <w:tc>
          <w:tcPr>
            <w:tcW w:w="1701" w:type="dxa"/>
            <w:tcBorders>
              <w:top w:val="nil"/>
              <w:left w:val="nil"/>
              <w:bottom w:val="single" w:sz="4" w:space="0" w:color="auto"/>
              <w:right w:val="nil"/>
            </w:tcBorders>
            <w:shd w:val="clear" w:color="000000" w:fill="BFBFBF"/>
            <w:vAlign w:val="center"/>
            <w:hideMark/>
          </w:tcPr>
          <w:p w:rsidR="0046067C" w:rsidRPr="00695F19" w:rsidRDefault="0046067C" w:rsidP="00881CC4">
            <w:pPr>
              <w:spacing w:after="0" w:line="240" w:lineRule="auto"/>
              <w:jc w:val="right"/>
              <w:rPr>
                <w:rFonts w:ascii="Calibri" w:eastAsia="Times New Roman" w:hAnsi="Calibri" w:cs="Times New Roman"/>
                <w:b/>
                <w:bCs/>
                <w:color w:val="000000"/>
                <w:lang w:eastAsia="en-GB"/>
              </w:rPr>
            </w:pPr>
            <w:r w:rsidRPr="00695F19">
              <w:rPr>
                <w:rFonts w:ascii="Calibri" w:eastAsia="Times New Roman" w:hAnsi="Calibri" w:cs="Times New Roman"/>
                <w:b/>
                <w:bCs/>
                <w:color w:val="000000"/>
                <w:lang w:eastAsia="en-GB"/>
              </w:rPr>
              <w:t>4,274</w:t>
            </w:r>
          </w:p>
        </w:tc>
        <w:tc>
          <w:tcPr>
            <w:tcW w:w="1701" w:type="dxa"/>
            <w:tcBorders>
              <w:top w:val="nil"/>
              <w:left w:val="single" w:sz="4" w:space="0" w:color="auto"/>
              <w:bottom w:val="single" w:sz="4" w:space="0" w:color="auto"/>
              <w:right w:val="nil"/>
            </w:tcBorders>
            <w:shd w:val="clear" w:color="000000" w:fill="BFBFBF"/>
            <w:vAlign w:val="center"/>
            <w:hideMark/>
          </w:tcPr>
          <w:p w:rsidR="0046067C" w:rsidRPr="00695F19" w:rsidRDefault="0046067C" w:rsidP="00881CC4">
            <w:pPr>
              <w:spacing w:after="0" w:line="240" w:lineRule="auto"/>
              <w:jc w:val="right"/>
              <w:rPr>
                <w:rFonts w:ascii="Calibri" w:eastAsia="Times New Roman" w:hAnsi="Calibri" w:cs="Times New Roman"/>
                <w:b/>
                <w:bCs/>
                <w:color w:val="000000"/>
                <w:lang w:eastAsia="en-GB"/>
              </w:rPr>
            </w:pPr>
            <w:r w:rsidRPr="00695F19">
              <w:rPr>
                <w:rFonts w:ascii="Calibri" w:eastAsia="Times New Roman" w:hAnsi="Calibri" w:cs="Times New Roman"/>
                <w:b/>
                <w:bCs/>
                <w:color w:val="000000"/>
                <w:lang w:eastAsia="en-GB"/>
              </w:rPr>
              <w:t>4,274</w:t>
            </w:r>
          </w:p>
        </w:tc>
        <w:tc>
          <w:tcPr>
            <w:tcW w:w="1701" w:type="dxa"/>
            <w:tcBorders>
              <w:top w:val="nil"/>
              <w:left w:val="single" w:sz="4" w:space="0" w:color="auto"/>
              <w:bottom w:val="single" w:sz="4" w:space="0" w:color="auto"/>
              <w:right w:val="single" w:sz="4" w:space="0" w:color="auto"/>
            </w:tcBorders>
            <w:shd w:val="clear" w:color="000000" w:fill="BFBFBF"/>
            <w:vAlign w:val="center"/>
            <w:hideMark/>
          </w:tcPr>
          <w:p w:rsidR="0046067C" w:rsidRPr="00695F19" w:rsidRDefault="0046067C" w:rsidP="00881CC4">
            <w:pPr>
              <w:spacing w:after="0" w:line="240" w:lineRule="auto"/>
              <w:jc w:val="right"/>
              <w:rPr>
                <w:rFonts w:ascii="Calibri" w:eastAsia="Times New Roman" w:hAnsi="Calibri" w:cs="Times New Roman"/>
                <w:b/>
                <w:bCs/>
                <w:color w:val="000000"/>
                <w:lang w:eastAsia="en-GB"/>
              </w:rPr>
            </w:pPr>
            <w:r w:rsidRPr="00695F19">
              <w:rPr>
                <w:rFonts w:ascii="Calibri" w:eastAsia="Times New Roman" w:hAnsi="Calibri" w:cs="Times New Roman"/>
                <w:b/>
                <w:bCs/>
                <w:color w:val="000000"/>
                <w:lang w:eastAsia="en-GB"/>
              </w:rPr>
              <w:t>3,866</w:t>
            </w:r>
          </w:p>
        </w:tc>
      </w:tr>
      <w:tr w:rsidR="0046067C" w:rsidRPr="00695F19" w:rsidTr="00881CC4">
        <w:trPr>
          <w:trHeight w:val="300"/>
        </w:trPr>
        <w:tc>
          <w:tcPr>
            <w:tcW w:w="4126" w:type="dxa"/>
            <w:tcBorders>
              <w:top w:val="nil"/>
              <w:left w:val="single" w:sz="4" w:space="0" w:color="auto"/>
              <w:bottom w:val="single" w:sz="4" w:space="0" w:color="auto"/>
              <w:right w:val="single" w:sz="4" w:space="0" w:color="auto"/>
            </w:tcBorders>
            <w:shd w:val="clear" w:color="auto" w:fill="auto"/>
            <w:vAlign w:val="center"/>
            <w:hideMark/>
          </w:tcPr>
          <w:p w:rsidR="0046067C" w:rsidRPr="00695F19" w:rsidRDefault="0046067C" w:rsidP="00881CC4">
            <w:pPr>
              <w:spacing w:after="0" w:line="240" w:lineRule="auto"/>
              <w:rPr>
                <w:rFonts w:ascii="Calibri" w:eastAsia="Times New Roman" w:hAnsi="Calibri" w:cs="Times New Roman"/>
                <w:b/>
                <w:bCs/>
                <w:color w:val="000000"/>
                <w:lang w:eastAsia="en-GB"/>
              </w:rPr>
            </w:pPr>
            <w:r w:rsidRPr="00695F19">
              <w:rPr>
                <w:rFonts w:ascii="Calibri" w:eastAsia="Times New Roman" w:hAnsi="Calibri" w:cs="Times New Roman"/>
                <w:b/>
                <w:bCs/>
                <w:color w:val="000000"/>
                <w:lang w:eastAsia="en-GB"/>
              </w:rPr>
              <w:t>Barnet Public Health</w:t>
            </w:r>
          </w:p>
        </w:tc>
        <w:tc>
          <w:tcPr>
            <w:tcW w:w="1701" w:type="dxa"/>
            <w:tcBorders>
              <w:top w:val="nil"/>
              <w:left w:val="nil"/>
              <w:bottom w:val="single" w:sz="4" w:space="0" w:color="auto"/>
              <w:right w:val="nil"/>
            </w:tcBorders>
            <w:shd w:val="clear" w:color="auto" w:fill="auto"/>
            <w:vAlign w:val="center"/>
            <w:hideMark/>
          </w:tcPr>
          <w:p w:rsidR="0046067C" w:rsidRPr="00695F19" w:rsidRDefault="0046067C" w:rsidP="00881CC4">
            <w:pPr>
              <w:spacing w:after="0" w:line="240" w:lineRule="auto"/>
              <w:jc w:val="right"/>
              <w:rPr>
                <w:rFonts w:ascii="Calibri" w:eastAsia="Times New Roman" w:hAnsi="Calibri" w:cs="Times New Roman"/>
                <w:b/>
                <w:bCs/>
                <w:color w:val="000000"/>
                <w:lang w:eastAsia="en-GB"/>
              </w:rPr>
            </w:pPr>
            <w:r w:rsidRPr="00695F19">
              <w:rPr>
                <w:rFonts w:ascii="Calibri" w:eastAsia="Times New Roman" w:hAnsi="Calibri" w:cs="Times New Roman"/>
                <w:b/>
                <w:bCs/>
                <w:color w:val="000000"/>
                <w:lang w:eastAsia="en-GB"/>
              </w:rPr>
              <w:t>2,129</w:t>
            </w:r>
          </w:p>
        </w:tc>
        <w:tc>
          <w:tcPr>
            <w:tcW w:w="1701" w:type="dxa"/>
            <w:tcBorders>
              <w:top w:val="nil"/>
              <w:left w:val="single" w:sz="4" w:space="0" w:color="auto"/>
              <w:bottom w:val="single" w:sz="4" w:space="0" w:color="auto"/>
              <w:right w:val="nil"/>
            </w:tcBorders>
            <w:shd w:val="clear" w:color="auto" w:fill="auto"/>
            <w:vAlign w:val="center"/>
            <w:hideMark/>
          </w:tcPr>
          <w:p w:rsidR="0046067C" w:rsidRPr="00695F19" w:rsidRDefault="0046067C" w:rsidP="00881CC4">
            <w:pPr>
              <w:spacing w:after="0" w:line="240" w:lineRule="auto"/>
              <w:jc w:val="right"/>
              <w:rPr>
                <w:rFonts w:ascii="Calibri" w:eastAsia="Times New Roman" w:hAnsi="Calibri" w:cs="Times New Roman"/>
                <w:b/>
                <w:bCs/>
                <w:color w:val="000000"/>
                <w:lang w:eastAsia="en-GB"/>
              </w:rPr>
            </w:pPr>
            <w:r w:rsidRPr="00695F19">
              <w:rPr>
                <w:rFonts w:ascii="Calibri" w:eastAsia="Times New Roman" w:hAnsi="Calibri" w:cs="Times New Roman"/>
                <w:b/>
                <w:bCs/>
                <w:color w:val="000000"/>
                <w:lang w:eastAsia="en-GB"/>
              </w:rPr>
              <w:t>2,129</w:t>
            </w:r>
          </w:p>
        </w:tc>
        <w:tc>
          <w:tcPr>
            <w:tcW w:w="1701" w:type="dxa"/>
            <w:tcBorders>
              <w:top w:val="nil"/>
              <w:left w:val="single" w:sz="4" w:space="0" w:color="auto"/>
              <w:bottom w:val="single" w:sz="4" w:space="0" w:color="auto"/>
              <w:right w:val="single" w:sz="4" w:space="0" w:color="auto"/>
            </w:tcBorders>
            <w:shd w:val="clear" w:color="auto" w:fill="auto"/>
            <w:vAlign w:val="center"/>
            <w:hideMark/>
          </w:tcPr>
          <w:p w:rsidR="0046067C" w:rsidRPr="00695F19" w:rsidRDefault="0046067C" w:rsidP="00881CC4">
            <w:pPr>
              <w:spacing w:after="0" w:line="240" w:lineRule="auto"/>
              <w:jc w:val="right"/>
              <w:rPr>
                <w:rFonts w:ascii="Calibri" w:eastAsia="Times New Roman" w:hAnsi="Calibri" w:cs="Times New Roman"/>
                <w:b/>
                <w:bCs/>
                <w:color w:val="000000"/>
                <w:lang w:eastAsia="en-GB"/>
              </w:rPr>
            </w:pPr>
            <w:r w:rsidRPr="00695F19">
              <w:rPr>
                <w:rFonts w:ascii="Calibri" w:eastAsia="Times New Roman" w:hAnsi="Calibri" w:cs="Times New Roman"/>
                <w:b/>
                <w:bCs/>
                <w:color w:val="000000"/>
                <w:lang w:eastAsia="en-GB"/>
              </w:rPr>
              <w:t>1,049</w:t>
            </w:r>
          </w:p>
        </w:tc>
      </w:tr>
      <w:tr w:rsidR="0046067C" w:rsidRPr="00695F19" w:rsidTr="00881CC4">
        <w:trPr>
          <w:trHeight w:val="300"/>
        </w:trPr>
        <w:tc>
          <w:tcPr>
            <w:tcW w:w="4126" w:type="dxa"/>
            <w:tcBorders>
              <w:top w:val="nil"/>
              <w:left w:val="single" w:sz="4" w:space="0" w:color="auto"/>
              <w:bottom w:val="single" w:sz="4" w:space="0" w:color="auto"/>
              <w:right w:val="single" w:sz="4" w:space="0" w:color="auto"/>
            </w:tcBorders>
            <w:shd w:val="clear" w:color="auto" w:fill="auto"/>
            <w:vAlign w:val="center"/>
            <w:hideMark/>
          </w:tcPr>
          <w:p w:rsidR="0046067C" w:rsidRPr="00695F19" w:rsidRDefault="0046067C" w:rsidP="00881CC4">
            <w:pPr>
              <w:spacing w:after="0" w:line="240" w:lineRule="auto"/>
              <w:rPr>
                <w:rFonts w:ascii="Calibri" w:eastAsia="Times New Roman" w:hAnsi="Calibri" w:cs="Times New Roman"/>
                <w:b/>
                <w:bCs/>
                <w:color w:val="000000"/>
                <w:lang w:eastAsia="en-GB"/>
              </w:rPr>
            </w:pPr>
            <w:r w:rsidRPr="00695F19">
              <w:rPr>
                <w:rFonts w:ascii="Calibri" w:eastAsia="Times New Roman" w:hAnsi="Calibri" w:cs="Times New Roman"/>
                <w:b/>
                <w:bCs/>
                <w:color w:val="000000"/>
                <w:lang w:eastAsia="en-GB"/>
              </w:rPr>
              <w:t>Contribution to Public Health Team</w:t>
            </w:r>
          </w:p>
        </w:tc>
        <w:tc>
          <w:tcPr>
            <w:tcW w:w="1701" w:type="dxa"/>
            <w:tcBorders>
              <w:top w:val="nil"/>
              <w:left w:val="nil"/>
              <w:bottom w:val="single" w:sz="4" w:space="0" w:color="auto"/>
              <w:right w:val="nil"/>
            </w:tcBorders>
            <w:shd w:val="clear" w:color="auto" w:fill="auto"/>
            <w:vAlign w:val="center"/>
            <w:hideMark/>
          </w:tcPr>
          <w:p w:rsidR="0046067C" w:rsidRPr="00695F19" w:rsidRDefault="0046067C" w:rsidP="00881CC4">
            <w:pPr>
              <w:spacing w:after="0" w:line="240" w:lineRule="auto"/>
              <w:jc w:val="right"/>
              <w:rPr>
                <w:rFonts w:ascii="Calibri" w:eastAsia="Times New Roman" w:hAnsi="Calibri" w:cs="Times New Roman"/>
                <w:b/>
                <w:bCs/>
                <w:color w:val="000000"/>
                <w:lang w:eastAsia="en-GB"/>
              </w:rPr>
            </w:pPr>
            <w:r w:rsidRPr="00695F19">
              <w:rPr>
                <w:rFonts w:ascii="Calibri" w:eastAsia="Times New Roman" w:hAnsi="Calibri" w:cs="Times New Roman"/>
                <w:b/>
                <w:bCs/>
                <w:color w:val="000000"/>
                <w:lang w:eastAsia="en-GB"/>
              </w:rPr>
              <w:t>1,962</w:t>
            </w:r>
          </w:p>
        </w:tc>
        <w:tc>
          <w:tcPr>
            <w:tcW w:w="1701" w:type="dxa"/>
            <w:tcBorders>
              <w:top w:val="nil"/>
              <w:left w:val="single" w:sz="4" w:space="0" w:color="auto"/>
              <w:bottom w:val="single" w:sz="4" w:space="0" w:color="auto"/>
              <w:right w:val="nil"/>
            </w:tcBorders>
            <w:shd w:val="clear" w:color="auto" w:fill="auto"/>
            <w:vAlign w:val="center"/>
            <w:hideMark/>
          </w:tcPr>
          <w:p w:rsidR="0046067C" w:rsidRPr="00695F19" w:rsidRDefault="0046067C" w:rsidP="00881CC4">
            <w:pPr>
              <w:spacing w:after="0" w:line="240" w:lineRule="auto"/>
              <w:jc w:val="right"/>
              <w:rPr>
                <w:rFonts w:ascii="Calibri" w:eastAsia="Times New Roman" w:hAnsi="Calibri" w:cs="Times New Roman"/>
                <w:b/>
                <w:bCs/>
                <w:color w:val="000000"/>
                <w:lang w:eastAsia="en-GB"/>
              </w:rPr>
            </w:pPr>
            <w:r w:rsidRPr="00695F19">
              <w:rPr>
                <w:rFonts w:ascii="Calibri" w:eastAsia="Times New Roman" w:hAnsi="Calibri" w:cs="Times New Roman"/>
                <w:b/>
                <w:bCs/>
                <w:color w:val="000000"/>
                <w:lang w:eastAsia="en-GB"/>
              </w:rPr>
              <w:t>1,962</w:t>
            </w:r>
          </w:p>
        </w:tc>
        <w:tc>
          <w:tcPr>
            <w:tcW w:w="1701" w:type="dxa"/>
            <w:tcBorders>
              <w:top w:val="nil"/>
              <w:left w:val="single" w:sz="4" w:space="0" w:color="auto"/>
              <w:bottom w:val="single" w:sz="4" w:space="0" w:color="auto"/>
              <w:right w:val="single" w:sz="4" w:space="0" w:color="auto"/>
            </w:tcBorders>
            <w:shd w:val="clear" w:color="auto" w:fill="auto"/>
            <w:vAlign w:val="center"/>
            <w:hideMark/>
          </w:tcPr>
          <w:p w:rsidR="0046067C" w:rsidRPr="00695F19" w:rsidRDefault="0046067C" w:rsidP="00881CC4">
            <w:pPr>
              <w:spacing w:after="0" w:line="240" w:lineRule="auto"/>
              <w:jc w:val="right"/>
              <w:rPr>
                <w:rFonts w:ascii="Calibri" w:eastAsia="Times New Roman" w:hAnsi="Calibri" w:cs="Times New Roman"/>
                <w:b/>
                <w:bCs/>
                <w:color w:val="000000"/>
                <w:lang w:eastAsia="en-GB"/>
              </w:rPr>
            </w:pPr>
            <w:r w:rsidRPr="00695F19">
              <w:rPr>
                <w:rFonts w:ascii="Calibri" w:eastAsia="Times New Roman" w:hAnsi="Calibri" w:cs="Times New Roman"/>
                <w:b/>
                <w:bCs/>
                <w:color w:val="000000"/>
                <w:lang w:eastAsia="en-GB"/>
              </w:rPr>
              <w:t>2,392</w:t>
            </w:r>
          </w:p>
        </w:tc>
      </w:tr>
      <w:tr w:rsidR="0046067C" w:rsidRPr="00695F19" w:rsidTr="00881CC4">
        <w:trPr>
          <w:trHeight w:val="300"/>
        </w:trPr>
        <w:tc>
          <w:tcPr>
            <w:tcW w:w="4126" w:type="dxa"/>
            <w:tcBorders>
              <w:top w:val="nil"/>
              <w:left w:val="single" w:sz="4" w:space="0" w:color="auto"/>
              <w:bottom w:val="single" w:sz="4" w:space="0" w:color="auto"/>
              <w:right w:val="single" w:sz="4" w:space="0" w:color="auto"/>
            </w:tcBorders>
            <w:shd w:val="clear" w:color="000000" w:fill="BFBFBF"/>
            <w:vAlign w:val="center"/>
            <w:hideMark/>
          </w:tcPr>
          <w:p w:rsidR="0046067C" w:rsidRPr="00695F19" w:rsidRDefault="0046067C" w:rsidP="00881CC4">
            <w:pPr>
              <w:spacing w:after="0" w:line="240" w:lineRule="auto"/>
              <w:rPr>
                <w:rFonts w:ascii="Calibri" w:eastAsia="Times New Roman" w:hAnsi="Calibri" w:cs="Times New Roman"/>
                <w:b/>
                <w:bCs/>
                <w:color w:val="000000"/>
                <w:lang w:eastAsia="en-GB"/>
              </w:rPr>
            </w:pPr>
            <w:r w:rsidRPr="00695F19">
              <w:rPr>
                <w:rFonts w:ascii="Calibri" w:eastAsia="Times New Roman" w:hAnsi="Calibri" w:cs="Times New Roman"/>
                <w:b/>
                <w:bCs/>
                <w:color w:val="000000"/>
                <w:lang w:eastAsia="en-GB"/>
              </w:rPr>
              <w:t>Total Barnet Public Health</w:t>
            </w:r>
          </w:p>
        </w:tc>
        <w:tc>
          <w:tcPr>
            <w:tcW w:w="1701" w:type="dxa"/>
            <w:tcBorders>
              <w:top w:val="nil"/>
              <w:left w:val="nil"/>
              <w:bottom w:val="single" w:sz="4" w:space="0" w:color="auto"/>
              <w:right w:val="nil"/>
            </w:tcBorders>
            <w:shd w:val="clear" w:color="000000" w:fill="BFBFBF"/>
            <w:vAlign w:val="center"/>
            <w:hideMark/>
          </w:tcPr>
          <w:p w:rsidR="0046067C" w:rsidRPr="00695F19" w:rsidRDefault="0046067C" w:rsidP="00881CC4">
            <w:pPr>
              <w:spacing w:after="0" w:line="240" w:lineRule="auto"/>
              <w:jc w:val="right"/>
              <w:rPr>
                <w:rFonts w:ascii="Calibri" w:eastAsia="Times New Roman" w:hAnsi="Calibri" w:cs="Times New Roman"/>
                <w:b/>
                <w:bCs/>
                <w:color w:val="000000"/>
                <w:lang w:eastAsia="en-GB"/>
              </w:rPr>
            </w:pPr>
            <w:r w:rsidRPr="00695F19">
              <w:rPr>
                <w:rFonts w:ascii="Calibri" w:eastAsia="Times New Roman" w:hAnsi="Calibri" w:cs="Times New Roman"/>
                <w:b/>
                <w:bCs/>
                <w:color w:val="000000"/>
                <w:lang w:eastAsia="en-GB"/>
              </w:rPr>
              <w:t>14,390</w:t>
            </w:r>
          </w:p>
        </w:tc>
        <w:tc>
          <w:tcPr>
            <w:tcW w:w="1701" w:type="dxa"/>
            <w:tcBorders>
              <w:top w:val="nil"/>
              <w:left w:val="single" w:sz="4" w:space="0" w:color="auto"/>
              <w:bottom w:val="single" w:sz="4" w:space="0" w:color="auto"/>
              <w:right w:val="nil"/>
            </w:tcBorders>
            <w:shd w:val="clear" w:color="000000" w:fill="BFBFBF"/>
            <w:vAlign w:val="center"/>
            <w:hideMark/>
          </w:tcPr>
          <w:p w:rsidR="0046067C" w:rsidRPr="00695F19" w:rsidRDefault="0046067C" w:rsidP="00881CC4">
            <w:pPr>
              <w:spacing w:after="0" w:line="240" w:lineRule="auto"/>
              <w:jc w:val="right"/>
              <w:rPr>
                <w:rFonts w:ascii="Calibri" w:eastAsia="Times New Roman" w:hAnsi="Calibri" w:cs="Times New Roman"/>
                <w:b/>
                <w:bCs/>
                <w:color w:val="000000"/>
                <w:lang w:eastAsia="en-GB"/>
              </w:rPr>
            </w:pPr>
            <w:r w:rsidRPr="00695F19">
              <w:rPr>
                <w:rFonts w:ascii="Calibri" w:eastAsia="Times New Roman" w:hAnsi="Calibri" w:cs="Times New Roman"/>
                <w:b/>
                <w:bCs/>
                <w:color w:val="000000"/>
                <w:lang w:eastAsia="en-GB"/>
              </w:rPr>
              <w:t>14,390</w:t>
            </w:r>
          </w:p>
        </w:tc>
        <w:tc>
          <w:tcPr>
            <w:tcW w:w="1701" w:type="dxa"/>
            <w:tcBorders>
              <w:top w:val="nil"/>
              <w:left w:val="single" w:sz="4" w:space="0" w:color="auto"/>
              <w:bottom w:val="single" w:sz="4" w:space="0" w:color="auto"/>
              <w:right w:val="single" w:sz="4" w:space="0" w:color="auto"/>
            </w:tcBorders>
            <w:shd w:val="clear" w:color="000000" w:fill="BFBFBF"/>
            <w:vAlign w:val="center"/>
            <w:hideMark/>
          </w:tcPr>
          <w:p w:rsidR="0046067C" w:rsidRPr="00695F19" w:rsidRDefault="0046067C" w:rsidP="00881CC4">
            <w:pPr>
              <w:spacing w:after="0" w:line="240" w:lineRule="auto"/>
              <w:jc w:val="right"/>
              <w:rPr>
                <w:rFonts w:ascii="Calibri" w:eastAsia="Times New Roman" w:hAnsi="Calibri" w:cs="Times New Roman"/>
                <w:b/>
                <w:bCs/>
                <w:color w:val="000000"/>
                <w:lang w:eastAsia="en-GB"/>
              </w:rPr>
            </w:pPr>
            <w:r w:rsidRPr="00695F19">
              <w:rPr>
                <w:rFonts w:ascii="Calibri" w:eastAsia="Times New Roman" w:hAnsi="Calibri" w:cs="Times New Roman"/>
                <w:b/>
                <w:bCs/>
                <w:color w:val="000000"/>
                <w:lang w:eastAsia="en-GB"/>
              </w:rPr>
              <w:t>13,299</w:t>
            </w:r>
          </w:p>
        </w:tc>
      </w:tr>
      <w:tr w:rsidR="0046067C" w:rsidRPr="00695F19" w:rsidTr="00881CC4">
        <w:trPr>
          <w:trHeight w:val="300"/>
        </w:trPr>
        <w:tc>
          <w:tcPr>
            <w:tcW w:w="4126" w:type="dxa"/>
            <w:tcBorders>
              <w:top w:val="nil"/>
              <w:left w:val="single" w:sz="4" w:space="0" w:color="auto"/>
              <w:bottom w:val="single" w:sz="4" w:space="0" w:color="auto"/>
              <w:right w:val="single" w:sz="4" w:space="0" w:color="auto"/>
            </w:tcBorders>
            <w:shd w:val="clear" w:color="auto" w:fill="auto"/>
            <w:vAlign w:val="center"/>
            <w:hideMark/>
          </w:tcPr>
          <w:p w:rsidR="0046067C" w:rsidRPr="00695F19" w:rsidRDefault="0046067C" w:rsidP="00881CC4">
            <w:pPr>
              <w:spacing w:after="0" w:line="240" w:lineRule="auto"/>
              <w:rPr>
                <w:rFonts w:ascii="Calibri" w:eastAsia="Times New Roman" w:hAnsi="Calibri" w:cs="Times New Roman"/>
                <w:color w:val="000000"/>
                <w:lang w:eastAsia="en-GB"/>
              </w:rPr>
            </w:pPr>
            <w:r w:rsidRPr="00695F19">
              <w:rPr>
                <w:rFonts w:ascii="Calibri" w:eastAsia="Times New Roman" w:hAnsi="Calibri" w:cs="Times New Roman"/>
                <w:color w:val="000000"/>
                <w:lang w:eastAsia="en-GB"/>
              </w:rPr>
              <w:t>Direct Barnet expenditure</w:t>
            </w:r>
          </w:p>
        </w:tc>
        <w:tc>
          <w:tcPr>
            <w:tcW w:w="1701" w:type="dxa"/>
            <w:tcBorders>
              <w:top w:val="nil"/>
              <w:left w:val="nil"/>
              <w:bottom w:val="single" w:sz="4" w:space="0" w:color="auto"/>
              <w:right w:val="nil"/>
            </w:tcBorders>
            <w:shd w:val="clear" w:color="auto" w:fill="auto"/>
            <w:vAlign w:val="center"/>
            <w:hideMark/>
          </w:tcPr>
          <w:p w:rsidR="0046067C" w:rsidRPr="00695F19" w:rsidRDefault="0046067C" w:rsidP="00881CC4">
            <w:pPr>
              <w:spacing w:after="0" w:line="240" w:lineRule="auto"/>
              <w:jc w:val="right"/>
              <w:rPr>
                <w:rFonts w:ascii="Calibri" w:eastAsia="Times New Roman" w:hAnsi="Calibri" w:cs="Times New Roman"/>
                <w:b/>
                <w:bCs/>
                <w:color w:val="000000"/>
                <w:lang w:eastAsia="en-GB"/>
              </w:rPr>
            </w:pPr>
            <w:r w:rsidRPr="00695F19">
              <w:rPr>
                <w:rFonts w:ascii="Calibri" w:eastAsia="Times New Roman" w:hAnsi="Calibri" w:cs="Times New Roman"/>
                <w:b/>
                <w:bCs/>
                <w:color w:val="000000"/>
                <w:lang w:eastAsia="en-GB"/>
              </w:rPr>
              <w:t> </w:t>
            </w:r>
          </w:p>
        </w:tc>
        <w:tc>
          <w:tcPr>
            <w:tcW w:w="1701" w:type="dxa"/>
            <w:tcBorders>
              <w:top w:val="nil"/>
              <w:left w:val="single" w:sz="4" w:space="0" w:color="auto"/>
              <w:bottom w:val="single" w:sz="4" w:space="0" w:color="auto"/>
              <w:right w:val="nil"/>
            </w:tcBorders>
            <w:shd w:val="clear" w:color="auto" w:fill="auto"/>
            <w:vAlign w:val="center"/>
            <w:hideMark/>
          </w:tcPr>
          <w:p w:rsidR="0046067C" w:rsidRPr="00695F19" w:rsidRDefault="0046067C" w:rsidP="00881CC4">
            <w:pPr>
              <w:spacing w:after="0" w:line="240" w:lineRule="auto"/>
              <w:jc w:val="right"/>
              <w:rPr>
                <w:rFonts w:ascii="Calibri" w:eastAsia="Times New Roman" w:hAnsi="Calibri" w:cs="Times New Roman"/>
                <w:b/>
                <w:bCs/>
                <w:color w:val="000000"/>
                <w:lang w:eastAsia="en-GB"/>
              </w:rPr>
            </w:pPr>
            <w:r w:rsidRPr="00695F19">
              <w:rPr>
                <w:rFonts w:ascii="Calibri" w:eastAsia="Times New Roman" w:hAnsi="Calibri" w:cs="Times New Roman"/>
                <w:b/>
                <w:bCs/>
                <w:color w:val="000000"/>
                <w:lang w:eastAsia="en-GB"/>
              </w:rPr>
              <w:t>33</w:t>
            </w:r>
          </w:p>
        </w:tc>
        <w:tc>
          <w:tcPr>
            <w:tcW w:w="1701" w:type="dxa"/>
            <w:tcBorders>
              <w:top w:val="nil"/>
              <w:left w:val="single" w:sz="4" w:space="0" w:color="auto"/>
              <w:bottom w:val="single" w:sz="4" w:space="0" w:color="auto"/>
              <w:right w:val="single" w:sz="4" w:space="0" w:color="auto"/>
            </w:tcBorders>
            <w:shd w:val="clear" w:color="auto" w:fill="auto"/>
            <w:vAlign w:val="center"/>
            <w:hideMark/>
          </w:tcPr>
          <w:p w:rsidR="0046067C" w:rsidRPr="00695F19" w:rsidRDefault="0046067C" w:rsidP="00881CC4">
            <w:pPr>
              <w:spacing w:after="0" w:line="240" w:lineRule="auto"/>
              <w:jc w:val="right"/>
              <w:rPr>
                <w:rFonts w:ascii="Calibri" w:eastAsia="Times New Roman" w:hAnsi="Calibri" w:cs="Times New Roman"/>
                <w:b/>
                <w:bCs/>
                <w:color w:val="000000"/>
                <w:lang w:eastAsia="en-GB"/>
              </w:rPr>
            </w:pPr>
            <w:r w:rsidRPr="00695F19">
              <w:rPr>
                <w:rFonts w:ascii="Calibri" w:eastAsia="Times New Roman" w:hAnsi="Calibri" w:cs="Times New Roman"/>
                <w:b/>
                <w:bCs/>
                <w:color w:val="000000"/>
                <w:lang w:eastAsia="en-GB"/>
              </w:rPr>
              <w:t>33</w:t>
            </w:r>
          </w:p>
        </w:tc>
      </w:tr>
      <w:tr w:rsidR="0046067C" w:rsidRPr="00695F19" w:rsidTr="00881CC4">
        <w:trPr>
          <w:trHeight w:val="300"/>
        </w:trPr>
        <w:tc>
          <w:tcPr>
            <w:tcW w:w="4126" w:type="dxa"/>
            <w:tcBorders>
              <w:top w:val="nil"/>
              <w:left w:val="single" w:sz="4" w:space="0" w:color="auto"/>
              <w:bottom w:val="single" w:sz="4" w:space="0" w:color="auto"/>
              <w:right w:val="single" w:sz="4" w:space="0" w:color="auto"/>
            </w:tcBorders>
            <w:shd w:val="clear" w:color="auto" w:fill="auto"/>
            <w:vAlign w:val="center"/>
            <w:hideMark/>
          </w:tcPr>
          <w:p w:rsidR="0046067C" w:rsidRPr="00695F19" w:rsidRDefault="0046067C" w:rsidP="00881CC4">
            <w:pPr>
              <w:spacing w:after="0" w:line="240" w:lineRule="auto"/>
              <w:rPr>
                <w:rFonts w:ascii="Calibri" w:eastAsia="Times New Roman" w:hAnsi="Calibri" w:cs="Times New Roman"/>
                <w:color w:val="000000"/>
                <w:lang w:eastAsia="en-GB"/>
              </w:rPr>
            </w:pPr>
            <w:r w:rsidRPr="00695F19">
              <w:rPr>
                <w:rFonts w:ascii="Calibri" w:eastAsia="Times New Roman" w:hAnsi="Calibri" w:cs="Times New Roman"/>
                <w:color w:val="000000"/>
                <w:lang w:eastAsia="en-GB"/>
              </w:rPr>
              <w:t>MOPAC</w:t>
            </w:r>
          </w:p>
        </w:tc>
        <w:tc>
          <w:tcPr>
            <w:tcW w:w="1701" w:type="dxa"/>
            <w:tcBorders>
              <w:top w:val="nil"/>
              <w:left w:val="nil"/>
              <w:bottom w:val="single" w:sz="4" w:space="0" w:color="auto"/>
              <w:right w:val="nil"/>
            </w:tcBorders>
            <w:shd w:val="clear" w:color="auto" w:fill="auto"/>
            <w:vAlign w:val="center"/>
            <w:hideMark/>
          </w:tcPr>
          <w:p w:rsidR="0046067C" w:rsidRPr="00BB5229" w:rsidRDefault="0046067C" w:rsidP="00881CC4">
            <w:pPr>
              <w:spacing w:after="0" w:line="240" w:lineRule="auto"/>
              <w:jc w:val="right"/>
              <w:rPr>
                <w:rFonts w:ascii="Calibri" w:eastAsia="Times New Roman" w:hAnsi="Calibri" w:cs="Times New Roman"/>
                <w:b/>
                <w:bCs/>
                <w:color w:val="FF0000"/>
                <w:lang w:eastAsia="en-GB"/>
              </w:rPr>
            </w:pPr>
            <w:r w:rsidRPr="00BB5229">
              <w:rPr>
                <w:rFonts w:ascii="Calibri" w:eastAsia="Times New Roman" w:hAnsi="Calibri" w:cs="Times New Roman"/>
                <w:b/>
                <w:bCs/>
                <w:color w:val="FF0000"/>
                <w:lang w:eastAsia="en-GB"/>
              </w:rPr>
              <w:t>-88</w:t>
            </w:r>
          </w:p>
        </w:tc>
        <w:tc>
          <w:tcPr>
            <w:tcW w:w="1701" w:type="dxa"/>
            <w:tcBorders>
              <w:top w:val="nil"/>
              <w:left w:val="single" w:sz="4" w:space="0" w:color="auto"/>
              <w:bottom w:val="single" w:sz="4" w:space="0" w:color="auto"/>
              <w:right w:val="nil"/>
            </w:tcBorders>
            <w:shd w:val="clear" w:color="auto" w:fill="auto"/>
            <w:vAlign w:val="center"/>
            <w:hideMark/>
          </w:tcPr>
          <w:p w:rsidR="0046067C" w:rsidRPr="00BB5229" w:rsidRDefault="0046067C" w:rsidP="00881CC4">
            <w:pPr>
              <w:spacing w:after="0" w:line="240" w:lineRule="auto"/>
              <w:jc w:val="right"/>
              <w:rPr>
                <w:rFonts w:ascii="Calibri" w:eastAsia="Times New Roman" w:hAnsi="Calibri" w:cs="Times New Roman"/>
                <w:b/>
                <w:bCs/>
                <w:color w:val="FF0000"/>
                <w:lang w:eastAsia="en-GB"/>
              </w:rPr>
            </w:pPr>
            <w:r w:rsidRPr="00BB5229">
              <w:rPr>
                <w:rFonts w:ascii="Calibri" w:eastAsia="Times New Roman" w:hAnsi="Calibri" w:cs="Times New Roman"/>
                <w:b/>
                <w:bCs/>
                <w:color w:val="FF0000"/>
                <w:lang w:eastAsia="en-GB"/>
              </w:rPr>
              <w:t>-88</w:t>
            </w:r>
          </w:p>
        </w:tc>
        <w:tc>
          <w:tcPr>
            <w:tcW w:w="1701" w:type="dxa"/>
            <w:tcBorders>
              <w:top w:val="nil"/>
              <w:left w:val="single" w:sz="4" w:space="0" w:color="auto"/>
              <w:bottom w:val="single" w:sz="4" w:space="0" w:color="auto"/>
              <w:right w:val="single" w:sz="4" w:space="0" w:color="auto"/>
            </w:tcBorders>
            <w:shd w:val="clear" w:color="auto" w:fill="auto"/>
            <w:vAlign w:val="center"/>
            <w:hideMark/>
          </w:tcPr>
          <w:p w:rsidR="0046067C" w:rsidRPr="00BB5229" w:rsidRDefault="0046067C" w:rsidP="00881CC4">
            <w:pPr>
              <w:spacing w:after="0" w:line="240" w:lineRule="auto"/>
              <w:jc w:val="right"/>
              <w:rPr>
                <w:rFonts w:ascii="Calibri" w:eastAsia="Times New Roman" w:hAnsi="Calibri" w:cs="Times New Roman"/>
                <w:b/>
                <w:bCs/>
                <w:color w:val="FF0000"/>
                <w:lang w:eastAsia="en-GB"/>
              </w:rPr>
            </w:pPr>
            <w:r w:rsidRPr="00BB5229">
              <w:rPr>
                <w:rFonts w:ascii="Calibri" w:eastAsia="Times New Roman" w:hAnsi="Calibri" w:cs="Times New Roman"/>
                <w:b/>
                <w:bCs/>
                <w:color w:val="FF0000"/>
                <w:lang w:eastAsia="en-GB"/>
              </w:rPr>
              <w:t>-88</w:t>
            </w:r>
          </w:p>
        </w:tc>
      </w:tr>
      <w:tr w:rsidR="0046067C" w:rsidRPr="00695F19" w:rsidTr="00881CC4">
        <w:trPr>
          <w:trHeight w:val="300"/>
        </w:trPr>
        <w:tc>
          <w:tcPr>
            <w:tcW w:w="4126" w:type="dxa"/>
            <w:tcBorders>
              <w:top w:val="nil"/>
              <w:left w:val="single" w:sz="4" w:space="0" w:color="auto"/>
              <w:bottom w:val="single" w:sz="4" w:space="0" w:color="auto"/>
              <w:right w:val="single" w:sz="4" w:space="0" w:color="auto"/>
            </w:tcBorders>
            <w:shd w:val="clear" w:color="auto" w:fill="auto"/>
            <w:vAlign w:val="center"/>
            <w:hideMark/>
          </w:tcPr>
          <w:p w:rsidR="0046067C" w:rsidRPr="00695F19" w:rsidRDefault="0046067C" w:rsidP="00881CC4">
            <w:pPr>
              <w:spacing w:after="0" w:line="240" w:lineRule="auto"/>
              <w:rPr>
                <w:rFonts w:ascii="Calibri" w:eastAsia="Times New Roman" w:hAnsi="Calibri" w:cs="Times New Roman"/>
                <w:color w:val="000000"/>
                <w:lang w:eastAsia="en-GB"/>
              </w:rPr>
            </w:pPr>
            <w:r w:rsidRPr="00695F19">
              <w:rPr>
                <w:rFonts w:ascii="Calibri" w:eastAsia="Times New Roman" w:hAnsi="Calibri" w:cs="Times New Roman"/>
                <w:color w:val="000000"/>
                <w:lang w:eastAsia="en-GB"/>
              </w:rPr>
              <w:t xml:space="preserve">Wider Determinants </w:t>
            </w:r>
          </w:p>
        </w:tc>
        <w:tc>
          <w:tcPr>
            <w:tcW w:w="1701" w:type="dxa"/>
            <w:tcBorders>
              <w:top w:val="nil"/>
              <w:left w:val="nil"/>
              <w:bottom w:val="single" w:sz="4" w:space="0" w:color="auto"/>
              <w:right w:val="nil"/>
            </w:tcBorders>
            <w:shd w:val="clear" w:color="auto" w:fill="auto"/>
            <w:vAlign w:val="center"/>
            <w:hideMark/>
          </w:tcPr>
          <w:p w:rsidR="0046067C" w:rsidRPr="00695F19" w:rsidRDefault="0046067C" w:rsidP="00881CC4">
            <w:pPr>
              <w:spacing w:after="0" w:line="240" w:lineRule="auto"/>
              <w:rPr>
                <w:rFonts w:ascii="Calibri" w:eastAsia="Times New Roman" w:hAnsi="Calibri" w:cs="Times New Roman"/>
                <w:b/>
                <w:bCs/>
                <w:color w:val="000000"/>
                <w:lang w:eastAsia="en-GB"/>
              </w:rPr>
            </w:pPr>
            <w:r w:rsidRPr="00695F19">
              <w:rPr>
                <w:rFonts w:ascii="Calibri" w:eastAsia="Times New Roman" w:hAnsi="Calibri" w:cs="Times New Roman"/>
                <w:b/>
                <w:bCs/>
                <w:color w:val="000000"/>
                <w:lang w:eastAsia="en-GB"/>
              </w:rPr>
              <w:t> </w:t>
            </w:r>
          </w:p>
        </w:tc>
        <w:tc>
          <w:tcPr>
            <w:tcW w:w="1701" w:type="dxa"/>
            <w:tcBorders>
              <w:top w:val="nil"/>
              <w:left w:val="single" w:sz="4" w:space="0" w:color="auto"/>
              <w:bottom w:val="single" w:sz="4" w:space="0" w:color="auto"/>
              <w:right w:val="nil"/>
            </w:tcBorders>
            <w:shd w:val="clear" w:color="auto" w:fill="auto"/>
            <w:vAlign w:val="center"/>
            <w:hideMark/>
          </w:tcPr>
          <w:p w:rsidR="0046067C" w:rsidRPr="00695F19" w:rsidRDefault="0046067C" w:rsidP="00881CC4">
            <w:pPr>
              <w:spacing w:after="0" w:line="240" w:lineRule="auto"/>
              <w:rPr>
                <w:rFonts w:ascii="Calibri" w:eastAsia="Times New Roman" w:hAnsi="Calibri" w:cs="Times New Roman"/>
                <w:b/>
                <w:bCs/>
                <w:color w:val="000000"/>
                <w:lang w:eastAsia="en-GB"/>
              </w:rPr>
            </w:pPr>
            <w:r w:rsidRPr="00695F19">
              <w:rPr>
                <w:rFonts w:ascii="Calibri" w:eastAsia="Times New Roman" w:hAnsi="Calibri" w:cs="Times New Roman"/>
                <w:b/>
                <w:bCs/>
                <w:color w:val="000000"/>
                <w:lang w:eastAsia="en-GB"/>
              </w:rPr>
              <w:t> </w:t>
            </w:r>
          </w:p>
        </w:tc>
        <w:tc>
          <w:tcPr>
            <w:tcW w:w="1701" w:type="dxa"/>
            <w:tcBorders>
              <w:top w:val="nil"/>
              <w:left w:val="single" w:sz="4" w:space="0" w:color="auto"/>
              <w:bottom w:val="single" w:sz="4" w:space="0" w:color="auto"/>
              <w:right w:val="single" w:sz="4" w:space="0" w:color="auto"/>
            </w:tcBorders>
            <w:shd w:val="clear" w:color="auto" w:fill="auto"/>
            <w:vAlign w:val="center"/>
            <w:hideMark/>
          </w:tcPr>
          <w:p w:rsidR="0046067C" w:rsidRPr="00695F19" w:rsidRDefault="0046067C" w:rsidP="00881CC4">
            <w:pPr>
              <w:spacing w:after="0" w:line="240" w:lineRule="auto"/>
              <w:jc w:val="right"/>
              <w:rPr>
                <w:rFonts w:ascii="Calibri" w:eastAsia="Times New Roman" w:hAnsi="Calibri" w:cs="Times New Roman"/>
                <w:b/>
                <w:bCs/>
                <w:color w:val="000000"/>
                <w:lang w:eastAsia="en-GB"/>
              </w:rPr>
            </w:pPr>
            <w:r w:rsidRPr="00695F19">
              <w:rPr>
                <w:rFonts w:ascii="Calibri" w:eastAsia="Times New Roman" w:hAnsi="Calibri" w:cs="Times New Roman"/>
                <w:b/>
                <w:bCs/>
                <w:color w:val="000000"/>
                <w:lang w:eastAsia="en-GB"/>
              </w:rPr>
              <w:t>800</w:t>
            </w:r>
          </w:p>
        </w:tc>
      </w:tr>
      <w:tr w:rsidR="0046067C" w:rsidRPr="00695F19" w:rsidTr="00881CC4">
        <w:trPr>
          <w:trHeight w:val="300"/>
        </w:trPr>
        <w:tc>
          <w:tcPr>
            <w:tcW w:w="4126" w:type="dxa"/>
            <w:tcBorders>
              <w:top w:val="nil"/>
              <w:left w:val="single" w:sz="4" w:space="0" w:color="auto"/>
              <w:bottom w:val="single" w:sz="4" w:space="0" w:color="auto"/>
              <w:right w:val="single" w:sz="4" w:space="0" w:color="auto"/>
            </w:tcBorders>
            <w:shd w:val="clear" w:color="000000" w:fill="BFBFBF"/>
            <w:vAlign w:val="center"/>
            <w:hideMark/>
          </w:tcPr>
          <w:p w:rsidR="0046067C" w:rsidRPr="00695F19" w:rsidRDefault="0046067C" w:rsidP="00881CC4">
            <w:pPr>
              <w:spacing w:after="0" w:line="240" w:lineRule="auto"/>
              <w:rPr>
                <w:rFonts w:ascii="Calibri" w:eastAsia="Times New Roman" w:hAnsi="Calibri" w:cs="Times New Roman"/>
                <w:b/>
                <w:bCs/>
                <w:color w:val="000000"/>
                <w:lang w:eastAsia="en-GB"/>
              </w:rPr>
            </w:pPr>
            <w:r w:rsidRPr="00695F19">
              <w:rPr>
                <w:rFonts w:ascii="Calibri" w:eastAsia="Times New Roman" w:hAnsi="Calibri" w:cs="Times New Roman"/>
                <w:b/>
                <w:bCs/>
                <w:color w:val="000000"/>
                <w:lang w:eastAsia="en-GB"/>
              </w:rPr>
              <w:t xml:space="preserve">Total Grant </w:t>
            </w:r>
          </w:p>
        </w:tc>
        <w:tc>
          <w:tcPr>
            <w:tcW w:w="1701" w:type="dxa"/>
            <w:tcBorders>
              <w:top w:val="nil"/>
              <w:left w:val="nil"/>
              <w:bottom w:val="single" w:sz="4" w:space="0" w:color="auto"/>
              <w:right w:val="nil"/>
            </w:tcBorders>
            <w:shd w:val="clear" w:color="000000" w:fill="BFBFBF"/>
            <w:vAlign w:val="center"/>
            <w:hideMark/>
          </w:tcPr>
          <w:p w:rsidR="0046067C" w:rsidRPr="00695F19" w:rsidRDefault="0046067C" w:rsidP="00881CC4">
            <w:pPr>
              <w:spacing w:after="0" w:line="240" w:lineRule="auto"/>
              <w:jc w:val="right"/>
              <w:rPr>
                <w:rFonts w:ascii="Calibri" w:eastAsia="Times New Roman" w:hAnsi="Calibri" w:cs="Times New Roman"/>
                <w:b/>
                <w:bCs/>
                <w:color w:val="000000"/>
                <w:lang w:eastAsia="en-GB"/>
              </w:rPr>
            </w:pPr>
            <w:r w:rsidRPr="00695F19">
              <w:rPr>
                <w:rFonts w:ascii="Calibri" w:eastAsia="Times New Roman" w:hAnsi="Calibri" w:cs="Times New Roman"/>
                <w:b/>
                <w:bCs/>
                <w:color w:val="000000"/>
                <w:lang w:eastAsia="en-GB"/>
              </w:rPr>
              <w:t>14,302</w:t>
            </w:r>
          </w:p>
        </w:tc>
        <w:tc>
          <w:tcPr>
            <w:tcW w:w="1701" w:type="dxa"/>
            <w:tcBorders>
              <w:top w:val="nil"/>
              <w:left w:val="single" w:sz="4" w:space="0" w:color="auto"/>
              <w:bottom w:val="single" w:sz="4" w:space="0" w:color="auto"/>
              <w:right w:val="nil"/>
            </w:tcBorders>
            <w:shd w:val="clear" w:color="000000" w:fill="BFBFBF"/>
            <w:vAlign w:val="center"/>
            <w:hideMark/>
          </w:tcPr>
          <w:p w:rsidR="0046067C" w:rsidRPr="00695F19" w:rsidRDefault="0046067C" w:rsidP="00881CC4">
            <w:pPr>
              <w:spacing w:after="0" w:line="240" w:lineRule="auto"/>
              <w:jc w:val="right"/>
              <w:rPr>
                <w:rFonts w:ascii="Calibri" w:eastAsia="Times New Roman" w:hAnsi="Calibri" w:cs="Times New Roman"/>
                <w:b/>
                <w:bCs/>
                <w:color w:val="000000"/>
                <w:lang w:eastAsia="en-GB"/>
              </w:rPr>
            </w:pPr>
            <w:r w:rsidRPr="00695F19">
              <w:rPr>
                <w:rFonts w:ascii="Calibri" w:eastAsia="Times New Roman" w:hAnsi="Calibri" w:cs="Times New Roman"/>
                <w:b/>
                <w:bCs/>
                <w:color w:val="000000"/>
                <w:lang w:eastAsia="en-GB"/>
              </w:rPr>
              <w:t>14,335</w:t>
            </w:r>
          </w:p>
        </w:tc>
        <w:tc>
          <w:tcPr>
            <w:tcW w:w="1701" w:type="dxa"/>
            <w:tcBorders>
              <w:top w:val="nil"/>
              <w:left w:val="single" w:sz="4" w:space="0" w:color="auto"/>
              <w:bottom w:val="single" w:sz="4" w:space="0" w:color="auto"/>
              <w:right w:val="single" w:sz="4" w:space="0" w:color="auto"/>
            </w:tcBorders>
            <w:shd w:val="clear" w:color="000000" w:fill="BFBFBF"/>
            <w:vAlign w:val="center"/>
            <w:hideMark/>
          </w:tcPr>
          <w:p w:rsidR="0046067C" w:rsidRPr="00695F19" w:rsidRDefault="0046067C" w:rsidP="00881CC4">
            <w:pPr>
              <w:spacing w:after="0" w:line="240" w:lineRule="auto"/>
              <w:jc w:val="right"/>
              <w:rPr>
                <w:rFonts w:ascii="Calibri" w:eastAsia="Times New Roman" w:hAnsi="Calibri" w:cs="Times New Roman"/>
                <w:b/>
                <w:bCs/>
                <w:color w:val="000000"/>
                <w:lang w:eastAsia="en-GB"/>
              </w:rPr>
            </w:pPr>
            <w:r w:rsidRPr="00695F19">
              <w:rPr>
                <w:rFonts w:ascii="Calibri" w:eastAsia="Times New Roman" w:hAnsi="Calibri" w:cs="Times New Roman"/>
                <w:b/>
                <w:bCs/>
                <w:color w:val="000000"/>
                <w:lang w:eastAsia="en-GB"/>
              </w:rPr>
              <w:t>14,044</w:t>
            </w:r>
          </w:p>
        </w:tc>
      </w:tr>
      <w:tr w:rsidR="0046067C" w:rsidRPr="00695F19" w:rsidTr="00881CC4">
        <w:trPr>
          <w:trHeight w:val="300"/>
        </w:trPr>
        <w:tc>
          <w:tcPr>
            <w:tcW w:w="4126" w:type="dxa"/>
            <w:tcBorders>
              <w:top w:val="nil"/>
              <w:left w:val="single" w:sz="4" w:space="0" w:color="auto"/>
              <w:bottom w:val="single" w:sz="4" w:space="0" w:color="auto"/>
              <w:right w:val="single" w:sz="4" w:space="0" w:color="auto"/>
            </w:tcBorders>
            <w:shd w:val="clear" w:color="000000" w:fill="BFBFBF"/>
            <w:vAlign w:val="center"/>
            <w:hideMark/>
          </w:tcPr>
          <w:p w:rsidR="0046067C" w:rsidRPr="00695F19" w:rsidRDefault="0046067C" w:rsidP="00881CC4">
            <w:pPr>
              <w:spacing w:after="0" w:line="240" w:lineRule="auto"/>
              <w:rPr>
                <w:rFonts w:ascii="Calibri" w:eastAsia="Times New Roman" w:hAnsi="Calibri" w:cs="Times New Roman"/>
                <w:b/>
                <w:bCs/>
                <w:color w:val="000000"/>
                <w:lang w:eastAsia="en-GB"/>
              </w:rPr>
            </w:pPr>
            <w:r w:rsidRPr="00695F19">
              <w:rPr>
                <w:rFonts w:ascii="Calibri" w:eastAsia="Times New Roman" w:hAnsi="Calibri" w:cs="Times New Roman"/>
                <w:b/>
                <w:bCs/>
                <w:color w:val="000000"/>
                <w:lang w:eastAsia="en-GB"/>
              </w:rPr>
              <w:t>Contribution to Reserves</w:t>
            </w:r>
          </w:p>
        </w:tc>
        <w:tc>
          <w:tcPr>
            <w:tcW w:w="1701" w:type="dxa"/>
            <w:tcBorders>
              <w:top w:val="nil"/>
              <w:left w:val="nil"/>
              <w:bottom w:val="single" w:sz="4" w:space="0" w:color="auto"/>
              <w:right w:val="nil"/>
            </w:tcBorders>
            <w:shd w:val="clear" w:color="000000" w:fill="BFBFBF"/>
            <w:vAlign w:val="center"/>
            <w:hideMark/>
          </w:tcPr>
          <w:p w:rsidR="0046067C" w:rsidRPr="00695F19" w:rsidRDefault="0046067C" w:rsidP="00881CC4">
            <w:pPr>
              <w:spacing w:after="0" w:line="240" w:lineRule="auto"/>
              <w:jc w:val="right"/>
              <w:rPr>
                <w:rFonts w:ascii="Calibri" w:eastAsia="Times New Roman" w:hAnsi="Calibri" w:cs="Times New Roman"/>
                <w:b/>
                <w:bCs/>
                <w:color w:val="000000"/>
                <w:lang w:eastAsia="en-GB"/>
              </w:rPr>
            </w:pPr>
            <w:r w:rsidRPr="00695F19">
              <w:rPr>
                <w:rFonts w:ascii="Calibri" w:eastAsia="Times New Roman" w:hAnsi="Calibri" w:cs="Times New Roman"/>
                <w:b/>
                <w:bCs/>
                <w:color w:val="000000"/>
                <w:lang w:eastAsia="en-GB"/>
              </w:rPr>
              <w:t> </w:t>
            </w:r>
          </w:p>
        </w:tc>
        <w:tc>
          <w:tcPr>
            <w:tcW w:w="1701" w:type="dxa"/>
            <w:tcBorders>
              <w:top w:val="nil"/>
              <w:left w:val="single" w:sz="4" w:space="0" w:color="auto"/>
              <w:bottom w:val="single" w:sz="4" w:space="0" w:color="auto"/>
              <w:right w:val="nil"/>
            </w:tcBorders>
            <w:shd w:val="clear" w:color="000000" w:fill="BFBFBF"/>
            <w:vAlign w:val="center"/>
            <w:hideMark/>
          </w:tcPr>
          <w:p w:rsidR="0046067C" w:rsidRPr="00695F19" w:rsidRDefault="0046067C" w:rsidP="00881CC4">
            <w:pPr>
              <w:spacing w:after="0" w:line="240" w:lineRule="auto"/>
              <w:jc w:val="right"/>
              <w:rPr>
                <w:rFonts w:ascii="Calibri" w:eastAsia="Times New Roman" w:hAnsi="Calibri" w:cs="Times New Roman"/>
                <w:b/>
                <w:bCs/>
                <w:color w:val="000000"/>
                <w:lang w:eastAsia="en-GB"/>
              </w:rPr>
            </w:pPr>
            <w:r w:rsidRPr="00695F19">
              <w:rPr>
                <w:rFonts w:ascii="Calibri" w:eastAsia="Times New Roman" w:hAnsi="Calibri" w:cs="Times New Roman"/>
                <w:b/>
                <w:bCs/>
                <w:color w:val="000000"/>
                <w:lang w:eastAsia="en-GB"/>
              </w:rPr>
              <w:t> </w:t>
            </w:r>
          </w:p>
        </w:tc>
        <w:tc>
          <w:tcPr>
            <w:tcW w:w="1701" w:type="dxa"/>
            <w:tcBorders>
              <w:top w:val="nil"/>
              <w:left w:val="single" w:sz="4" w:space="0" w:color="auto"/>
              <w:bottom w:val="single" w:sz="4" w:space="0" w:color="auto"/>
              <w:right w:val="single" w:sz="4" w:space="0" w:color="auto"/>
            </w:tcBorders>
            <w:shd w:val="clear" w:color="000000" w:fill="BFBFBF"/>
            <w:vAlign w:val="center"/>
            <w:hideMark/>
          </w:tcPr>
          <w:p w:rsidR="0046067C" w:rsidRPr="00695F19" w:rsidRDefault="0046067C" w:rsidP="00881CC4">
            <w:pPr>
              <w:spacing w:after="0" w:line="240" w:lineRule="auto"/>
              <w:jc w:val="right"/>
              <w:rPr>
                <w:rFonts w:ascii="Calibri" w:eastAsia="Times New Roman" w:hAnsi="Calibri" w:cs="Times New Roman"/>
                <w:b/>
                <w:bCs/>
                <w:color w:val="000000"/>
                <w:lang w:eastAsia="en-GB"/>
              </w:rPr>
            </w:pPr>
            <w:r w:rsidRPr="00695F19">
              <w:rPr>
                <w:rFonts w:ascii="Calibri" w:eastAsia="Times New Roman" w:hAnsi="Calibri" w:cs="Times New Roman"/>
                <w:b/>
                <w:bCs/>
                <w:color w:val="000000"/>
                <w:lang w:eastAsia="en-GB"/>
              </w:rPr>
              <w:t>291</w:t>
            </w:r>
          </w:p>
        </w:tc>
      </w:tr>
      <w:tr w:rsidR="0046067C" w:rsidRPr="00695F19" w:rsidTr="00881CC4">
        <w:trPr>
          <w:trHeight w:val="300"/>
        </w:trPr>
        <w:tc>
          <w:tcPr>
            <w:tcW w:w="4126" w:type="dxa"/>
            <w:tcBorders>
              <w:top w:val="nil"/>
              <w:left w:val="single" w:sz="4" w:space="0" w:color="auto"/>
              <w:bottom w:val="single" w:sz="4" w:space="0" w:color="auto"/>
              <w:right w:val="single" w:sz="4" w:space="0" w:color="auto"/>
            </w:tcBorders>
            <w:shd w:val="clear" w:color="000000" w:fill="BFBFBF"/>
            <w:vAlign w:val="center"/>
            <w:hideMark/>
          </w:tcPr>
          <w:p w:rsidR="0046067C" w:rsidRPr="00695F19" w:rsidRDefault="0046067C" w:rsidP="00881CC4">
            <w:pPr>
              <w:spacing w:after="0" w:line="240" w:lineRule="auto"/>
              <w:rPr>
                <w:rFonts w:ascii="Calibri" w:eastAsia="Times New Roman" w:hAnsi="Calibri" w:cs="Times New Roman"/>
                <w:b/>
                <w:bCs/>
                <w:color w:val="000000"/>
                <w:lang w:eastAsia="en-GB"/>
              </w:rPr>
            </w:pPr>
            <w:r w:rsidRPr="00695F19">
              <w:rPr>
                <w:rFonts w:ascii="Calibri" w:eastAsia="Times New Roman" w:hAnsi="Calibri" w:cs="Times New Roman"/>
                <w:b/>
                <w:bCs/>
                <w:color w:val="000000"/>
                <w:lang w:eastAsia="en-GB"/>
              </w:rPr>
              <w:t>Total Grant</w:t>
            </w:r>
          </w:p>
        </w:tc>
        <w:tc>
          <w:tcPr>
            <w:tcW w:w="1701" w:type="dxa"/>
            <w:tcBorders>
              <w:top w:val="nil"/>
              <w:left w:val="nil"/>
              <w:bottom w:val="single" w:sz="4" w:space="0" w:color="auto"/>
              <w:right w:val="nil"/>
            </w:tcBorders>
            <w:shd w:val="clear" w:color="000000" w:fill="BFBFBF"/>
            <w:vAlign w:val="center"/>
            <w:hideMark/>
          </w:tcPr>
          <w:p w:rsidR="0046067C" w:rsidRPr="00695F19" w:rsidRDefault="0046067C" w:rsidP="00881CC4">
            <w:pPr>
              <w:spacing w:after="0" w:line="240" w:lineRule="auto"/>
              <w:jc w:val="right"/>
              <w:rPr>
                <w:rFonts w:ascii="Calibri" w:eastAsia="Times New Roman" w:hAnsi="Calibri" w:cs="Times New Roman"/>
                <w:b/>
                <w:bCs/>
                <w:color w:val="000000"/>
                <w:lang w:eastAsia="en-GB"/>
              </w:rPr>
            </w:pPr>
            <w:r w:rsidRPr="00695F19">
              <w:rPr>
                <w:rFonts w:ascii="Calibri" w:eastAsia="Times New Roman" w:hAnsi="Calibri" w:cs="Times New Roman"/>
                <w:b/>
                <w:bCs/>
                <w:color w:val="000000"/>
                <w:lang w:eastAsia="en-GB"/>
              </w:rPr>
              <w:t> </w:t>
            </w:r>
          </w:p>
        </w:tc>
        <w:tc>
          <w:tcPr>
            <w:tcW w:w="1701" w:type="dxa"/>
            <w:tcBorders>
              <w:top w:val="nil"/>
              <w:left w:val="single" w:sz="4" w:space="0" w:color="auto"/>
              <w:bottom w:val="single" w:sz="4" w:space="0" w:color="auto"/>
              <w:right w:val="nil"/>
            </w:tcBorders>
            <w:shd w:val="clear" w:color="000000" w:fill="BFBFBF"/>
            <w:vAlign w:val="center"/>
            <w:hideMark/>
          </w:tcPr>
          <w:p w:rsidR="0046067C" w:rsidRPr="00695F19" w:rsidRDefault="0046067C" w:rsidP="00881CC4">
            <w:pPr>
              <w:spacing w:after="0" w:line="240" w:lineRule="auto"/>
              <w:jc w:val="right"/>
              <w:rPr>
                <w:rFonts w:ascii="Calibri" w:eastAsia="Times New Roman" w:hAnsi="Calibri" w:cs="Times New Roman"/>
                <w:b/>
                <w:bCs/>
                <w:color w:val="000000"/>
                <w:lang w:eastAsia="en-GB"/>
              </w:rPr>
            </w:pPr>
            <w:r w:rsidRPr="00695F19">
              <w:rPr>
                <w:rFonts w:ascii="Calibri" w:eastAsia="Times New Roman" w:hAnsi="Calibri" w:cs="Times New Roman"/>
                <w:b/>
                <w:bCs/>
                <w:color w:val="000000"/>
                <w:lang w:eastAsia="en-GB"/>
              </w:rPr>
              <w:t> </w:t>
            </w:r>
          </w:p>
        </w:tc>
        <w:tc>
          <w:tcPr>
            <w:tcW w:w="1701" w:type="dxa"/>
            <w:tcBorders>
              <w:top w:val="nil"/>
              <w:left w:val="single" w:sz="4" w:space="0" w:color="auto"/>
              <w:bottom w:val="single" w:sz="4" w:space="0" w:color="auto"/>
              <w:right w:val="single" w:sz="4" w:space="0" w:color="auto"/>
            </w:tcBorders>
            <w:shd w:val="clear" w:color="000000" w:fill="BFBFBF"/>
            <w:vAlign w:val="center"/>
            <w:hideMark/>
          </w:tcPr>
          <w:p w:rsidR="0046067C" w:rsidRPr="00695F19" w:rsidRDefault="0046067C" w:rsidP="00881CC4">
            <w:pPr>
              <w:spacing w:after="0" w:line="240" w:lineRule="auto"/>
              <w:jc w:val="right"/>
              <w:rPr>
                <w:rFonts w:ascii="Calibri" w:eastAsia="Times New Roman" w:hAnsi="Calibri" w:cs="Times New Roman"/>
                <w:b/>
                <w:bCs/>
                <w:color w:val="000000"/>
                <w:lang w:eastAsia="en-GB"/>
              </w:rPr>
            </w:pPr>
            <w:r w:rsidRPr="00695F19">
              <w:rPr>
                <w:rFonts w:ascii="Calibri" w:eastAsia="Times New Roman" w:hAnsi="Calibri" w:cs="Times New Roman"/>
                <w:b/>
                <w:bCs/>
                <w:color w:val="000000"/>
                <w:lang w:eastAsia="en-GB"/>
              </w:rPr>
              <w:t>14,335</w:t>
            </w:r>
          </w:p>
        </w:tc>
      </w:tr>
    </w:tbl>
    <w:p w:rsidR="0046067C" w:rsidRDefault="0046067C" w:rsidP="0046067C">
      <w:pPr>
        <w:autoSpaceDE w:val="0"/>
        <w:autoSpaceDN w:val="0"/>
        <w:adjustRightInd w:val="0"/>
        <w:spacing w:after="0" w:line="240" w:lineRule="auto"/>
        <w:rPr>
          <w:rFonts w:cs="Arial"/>
          <w:b/>
          <w:sz w:val="18"/>
          <w:szCs w:val="18"/>
        </w:rPr>
      </w:pPr>
    </w:p>
    <w:p w:rsidR="0046067C" w:rsidRPr="001C3E35" w:rsidRDefault="0046067C" w:rsidP="0046067C">
      <w:pPr>
        <w:autoSpaceDE w:val="0"/>
        <w:autoSpaceDN w:val="0"/>
        <w:adjustRightInd w:val="0"/>
        <w:spacing w:after="0" w:line="240" w:lineRule="auto"/>
        <w:rPr>
          <w:rFonts w:cs="Arial"/>
          <w:sz w:val="18"/>
          <w:szCs w:val="18"/>
        </w:rPr>
      </w:pPr>
      <w:r>
        <w:rPr>
          <w:rFonts w:cs="Arial"/>
          <w:b/>
          <w:sz w:val="18"/>
          <w:szCs w:val="18"/>
        </w:rPr>
        <w:t xml:space="preserve">Note: </w:t>
      </w:r>
      <w:r>
        <w:rPr>
          <w:rFonts w:cs="Arial"/>
          <w:sz w:val="18"/>
          <w:szCs w:val="18"/>
        </w:rPr>
        <w:t>the increase in the Original Net Budget figures and Current Net Budget figures is due to the Policy Officer post contribution.</w:t>
      </w:r>
    </w:p>
    <w:p w:rsidR="0046067C" w:rsidRDefault="0046067C" w:rsidP="0046067C">
      <w:pPr>
        <w:autoSpaceDE w:val="0"/>
        <w:autoSpaceDN w:val="0"/>
        <w:adjustRightInd w:val="0"/>
        <w:spacing w:after="0" w:line="240" w:lineRule="auto"/>
        <w:rPr>
          <w:rFonts w:cs="Arial"/>
          <w:b/>
          <w:u w:val="single"/>
        </w:rPr>
      </w:pPr>
    </w:p>
    <w:p w:rsidR="0046067C" w:rsidRPr="001C3E35" w:rsidRDefault="0046067C" w:rsidP="0046067C">
      <w:pPr>
        <w:autoSpaceDE w:val="0"/>
        <w:autoSpaceDN w:val="0"/>
        <w:adjustRightInd w:val="0"/>
        <w:rPr>
          <w:rFonts w:ascii="Calibri" w:hAnsi="Calibri" w:cs="Arial"/>
        </w:rPr>
      </w:pPr>
      <w:r w:rsidRPr="00303989">
        <w:rPr>
          <w:rFonts w:ascii="Calibri" w:hAnsi="Calibri" w:cs="Arial"/>
          <w:b/>
        </w:rPr>
        <w:t>Biggest areas of</w:t>
      </w:r>
      <w:r>
        <w:rPr>
          <w:rFonts w:ascii="Calibri" w:hAnsi="Calibri" w:cs="Arial"/>
          <w:b/>
        </w:rPr>
        <w:t xml:space="preserve"> net</w:t>
      </w:r>
      <w:r w:rsidRPr="00303989">
        <w:rPr>
          <w:rFonts w:ascii="Calibri" w:hAnsi="Calibri" w:cs="Arial"/>
          <w:b/>
        </w:rPr>
        <w:t xml:space="preserve"> spend:</w:t>
      </w:r>
      <w:r w:rsidRPr="00303989">
        <w:rPr>
          <w:rFonts w:ascii="Calibri" w:hAnsi="Calibri" w:cs="Arial"/>
        </w:rPr>
        <w:t xml:space="preserve"> The biggest areas of</w:t>
      </w:r>
      <w:r>
        <w:rPr>
          <w:rFonts w:ascii="Calibri" w:hAnsi="Calibri" w:cs="Arial"/>
        </w:rPr>
        <w:t xml:space="preserve"> net</w:t>
      </w:r>
      <w:r w:rsidRPr="00303989">
        <w:rPr>
          <w:rFonts w:ascii="Calibri" w:hAnsi="Calibri" w:cs="Arial"/>
        </w:rPr>
        <w:t xml:space="preserve"> spend are towards </w:t>
      </w:r>
      <w:r w:rsidRPr="00303989">
        <w:rPr>
          <w:rFonts w:ascii="Calibri" w:hAnsi="Calibri" w:cs="Arial"/>
          <w:b/>
        </w:rPr>
        <w:t xml:space="preserve">Sexual Health </w:t>
      </w:r>
      <w:r w:rsidRPr="00303989">
        <w:rPr>
          <w:rFonts w:ascii="Calibri" w:hAnsi="Calibri" w:cs="Arial"/>
        </w:rPr>
        <w:t xml:space="preserve">and </w:t>
      </w:r>
      <w:r w:rsidRPr="00303989">
        <w:rPr>
          <w:rFonts w:ascii="Calibri" w:hAnsi="Calibri" w:cs="Arial"/>
          <w:b/>
        </w:rPr>
        <w:t>Drugs and Alcohol Misuse</w:t>
      </w:r>
      <w:r>
        <w:rPr>
          <w:rFonts w:ascii="Calibri" w:hAnsi="Calibri" w:cs="Arial"/>
        </w:rPr>
        <w:t>.</w:t>
      </w:r>
    </w:p>
    <w:p w:rsidR="0046067C" w:rsidRPr="00303989" w:rsidRDefault="0046067C" w:rsidP="0046067C">
      <w:pPr>
        <w:autoSpaceDE w:val="0"/>
        <w:autoSpaceDN w:val="0"/>
        <w:adjustRightInd w:val="0"/>
        <w:rPr>
          <w:rFonts w:ascii="Calibri" w:hAnsi="Calibri" w:cs="Arial"/>
          <w:b/>
        </w:rPr>
      </w:pPr>
    </w:p>
    <w:p w:rsidR="0046067C" w:rsidRPr="00303989" w:rsidRDefault="0046067C" w:rsidP="0046067C">
      <w:pPr>
        <w:rPr>
          <w:rFonts w:ascii="Calibri" w:hAnsi="Calibri" w:cs="Arial"/>
        </w:rPr>
      </w:pPr>
    </w:p>
    <w:p w:rsidR="0046067C" w:rsidRDefault="0046067C" w:rsidP="0046067C">
      <w:pPr>
        <w:autoSpaceDE w:val="0"/>
        <w:autoSpaceDN w:val="0"/>
        <w:adjustRightInd w:val="0"/>
        <w:spacing w:after="0" w:line="240" w:lineRule="auto"/>
        <w:rPr>
          <w:rFonts w:cs="Arial"/>
          <w:b/>
          <w:u w:val="single"/>
        </w:rPr>
      </w:pPr>
    </w:p>
    <w:p w:rsidR="0046067C" w:rsidRDefault="0046067C" w:rsidP="0046067C">
      <w:pPr>
        <w:autoSpaceDE w:val="0"/>
        <w:autoSpaceDN w:val="0"/>
        <w:adjustRightInd w:val="0"/>
        <w:spacing w:after="0" w:line="240" w:lineRule="auto"/>
        <w:rPr>
          <w:rFonts w:cs="Arial"/>
          <w:b/>
          <w:u w:val="single"/>
        </w:rPr>
      </w:pPr>
    </w:p>
    <w:p w:rsidR="0046067C" w:rsidRDefault="0046067C" w:rsidP="0046067C">
      <w:pPr>
        <w:autoSpaceDE w:val="0"/>
        <w:autoSpaceDN w:val="0"/>
        <w:adjustRightInd w:val="0"/>
        <w:spacing w:after="0" w:line="240" w:lineRule="auto"/>
        <w:rPr>
          <w:rFonts w:cs="Arial"/>
          <w:b/>
          <w:u w:val="single"/>
        </w:rPr>
      </w:pPr>
    </w:p>
    <w:p w:rsidR="0046067C" w:rsidRDefault="0046067C" w:rsidP="0046067C">
      <w:pPr>
        <w:autoSpaceDE w:val="0"/>
        <w:autoSpaceDN w:val="0"/>
        <w:adjustRightInd w:val="0"/>
        <w:spacing w:after="0" w:line="240" w:lineRule="auto"/>
        <w:rPr>
          <w:rFonts w:cs="Arial"/>
          <w:b/>
          <w:u w:val="single"/>
        </w:rPr>
      </w:pPr>
    </w:p>
    <w:p w:rsidR="0046067C" w:rsidRDefault="0046067C" w:rsidP="0046067C">
      <w:pPr>
        <w:autoSpaceDE w:val="0"/>
        <w:autoSpaceDN w:val="0"/>
        <w:adjustRightInd w:val="0"/>
        <w:spacing w:after="0" w:line="240" w:lineRule="auto"/>
        <w:rPr>
          <w:rFonts w:cs="Arial"/>
          <w:b/>
          <w:u w:val="single"/>
        </w:rPr>
      </w:pPr>
    </w:p>
    <w:p w:rsidR="0046067C" w:rsidRDefault="0046067C" w:rsidP="0046067C">
      <w:pPr>
        <w:autoSpaceDE w:val="0"/>
        <w:autoSpaceDN w:val="0"/>
        <w:adjustRightInd w:val="0"/>
        <w:spacing w:after="0" w:line="240" w:lineRule="auto"/>
        <w:rPr>
          <w:rFonts w:cs="Arial"/>
          <w:b/>
          <w:u w:val="single"/>
        </w:rPr>
      </w:pPr>
    </w:p>
    <w:p w:rsidR="0046067C" w:rsidRDefault="0046067C" w:rsidP="0046067C">
      <w:pPr>
        <w:autoSpaceDE w:val="0"/>
        <w:autoSpaceDN w:val="0"/>
        <w:adjustRightInd w:val="0"/>
        <w:spacing w:after="0" w:line="240" w:lineRule="auto"/>
        <w:rPr>
          <w:rFonts w:cs="Arial"/>
          <w:b/>
          <w:u w:val="single"/>
        </w:rPr>
      </w:pPr>
    </w:p>
    <w:p w:rsidR="0046067C" w:rsidRDefault="0046067C" w:rsidP="0046067C">
      <w:pPr>
        <w:autoSpaceDE w:val="0"/>
        <w:autoSpaceDN w:val="0"/>
        <w:adjustRightInd w:val="0"/>
        <w:spacing w:after="0" w:line="240" w:lineRule="auto"/>
        <w:rPr>
          <w:rFonts w:cs="Arial"/>
          <w:b/>
          <w:u w:val="single"/>
        </w:rPr>
      </w:pPr>
    </w:p>
    <w:p w:rsidR="0046067C" w:rsidRDefault="0046067C" w:rsidP="0046067C">
      <w:pPr>
        <w:autoSpaceDE w:val="0"/>
        <w:autoSpaceDN w:val="0"/>
        <w:adjustRightInd w:val="0"/>
        <w:spacing w:after="0" w:line="240" w:lineRule="auto"/>
        <w:rPr>
          <w:rFonts w:cs="Arial"/>
          <w:b/>
          <w:u w:val="single"/>
        </w:rPr>
      </w:pPr>
    </w:p>
    <w:p w:rsidR="0046067C" w:rsidRDefault="0046067C" w:rsidP="0046067C">
      <w:pPr>
        <w:autoSpaceDE w:val="0"/>
        <w:autoSpaceDN w:val="0"/>
        <w:adjustRightInd w:val="0"/>
        <w:spacing w:after="0" w:line="240" w:lineRule="auto"/>
        <w:rPr>
          <w:rFonts w:cs="Arial"/>
        </w:rPr>
      </w:pPr>
    </w:p>
    <w:p w:rsidR="0046067C" w:rsidRPr="00E2007A" w:rsidRDefault="0046067C" w:rsidP="0046067C">
      <w:pPr>
        <w:autoSpaceDE w:val="0"/>
        <w:autoSpaceDN w:val="0"/>
        <w:adjustRightInd w:val="0"/>
        <w:spacing w:after="0" w:line="240" w:lineRule="auto"/>
        <w:rPr>
          <w:rFonts w:cs="Arial"/>
        </w:rPr>
      </w:pPr>
    </w:p>
    <w:p w:rsidR="0046067C" w:rsidRDefault="0046067C" w:rsidP="0046067C">
      <w:pPr>
        <w:pStyle w:val="Heading2"/>
        <w:spacing w:before="0"/>
      </w:pPr>
      <w:bookmarkStart w:id="1041" w:name="_Toc431225273"/>
      <w:r>
        <w:lastRenderedPageBreak/>
        <w:t>Barnet Clinical Commissioning Group 2014-15</w:t>
      </w:r>
      <w:bookmarkEnd w:id="1041"/>
    </w:p>
    <w:p w:rsidR="0046067C" w:rsidRPr="00695F19" w:rsidRDefault="0046067C" w:rsidP="0046067C">
      <w:pPr>
        <w:spacing w:after="0"/>
      </w:pPr>
    </w:p>
    <w:p w:rsidR="0046067C" w:rsidRPr="00C026E1" w:rsidRDefault="0046067C" w:rsidP="0046067C">
      <w:pPr>
        <w:pStyle w:val="Caption"/>
        <w:spacing w:after="0"/>
        <w:rPr>
          <w:color w:val="FF0000"/>
        </w:rPr>
      </w:pPr>
      <w:r>
        <w:t xml:space="preserve">Table </w:t>
      </w:r>
      <w:fldSimple w:instr=" STYLEREF 1 \s ">
        <w:r w:rsidR="001663C2">
          <w:rPr>
            <w:noProof/>
          </w:rPr>
          <w:t>13</w:t>
        </w:r>
      </w:fldSimple>
      <w:r>
        <w:noBreakHyphen/>
      </w:r>
      <w:fldSimple w:instr=" SEQ Table \* ARABIC \s 1 ">
        <w:r w:rsidR="001663C2">
          <w:rPr>
            <w:noProof/>
          </w:rPr>
          <w:t>6</w:t>
        </w:r>
      </w:fldSimple>
      <w:r>
        <w:rPr>
          <w:noProof/>
        </w:rPr>
        <w:t xml:space="preserve">: Barnet CCG </w:t>
      </w:r>
      <w:r>
        <w:t>Budget and Outturn 2014/</w:t>
      </w:r>
      <w:r w:rsidRPr="00CD0B65">
        <w:t>15</w:t>
      </w:r>
      <w:r>
        <w:t xml:space="preserve"> </w:t>
      </w:r>
      <w:r>
        <w:rPr>
          <w:color w:val="FF0000"/>
        </w:rPr>
        <w:t xml:space="preserve"> </w:t>
      </w:r>
    </w:p>
    <w:tbl>
      <w:tblPr>
        <w:tblW w:w="9229" w:type="dxa"/>
        <w:tblInd w:w="93" w:type="dxa"/>
        <w:tblLook w:val="04A0" w:firstRow="1" w:lastRow="0" w:firstColumn="1" w:lastColumn="0" w:noHBand="0" w:noVBand="1"/>
      </w:tblPr>
      <w:tblGrid>
        <w:gridCol w:w="4126"/>
        <w:gridCol w:w="1701"/>
        <w:gridCol w:w="1793"/>
        <w:gridCol w:w="1609"/>
      </w:tblGrid>
      <w:tr w:rsidR="0046067C" w:rsidRPr="00800B4C" w:rsidTr="00881CC4">
        <w:trPr>
          <w:trHeight w:val="300"/>
        </w:trPr>
        <w:tc>
          <w:tcPr>
            <w:tcW w:w="4126" w:type="dxa"/>
            <w:vMerge w:val="restart"/>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46067C" w:rsidRPr="00800B4C" w:rsidRDefault="0046067C" w:rsidP="00881CC4">
            <w:pPr>
              <w:spacing w:after="0" w:line="240" w:lineRule="auto"/>
              <w:jc w:val="center"/>
              <w:rPr>
                <w:rFonts w:ascii="Calibri" w:eastAsia="Times New Roman" w:hAnsi="Calibri" w:cs="Times New Roman"/>
                <w:b/>
                <w:bCs/>
                <w:color w:val="000000"/>
                <w:lang w:eastAsia="en-GB"/>
              </w:rPr>
            </w:pPr>
            <w:r w:rsidRPr="00800B4C">
              <w:rPr>
                <w:rFonts w:ascii="Calibri" w:eastAsia="Times New Roman" w:hAnsi="Calibri" w:cs="Times New Roman"/>
                <w:b/>
                <w:bCs/>
                <w:color w:val="000000"/>
                <w:lang w:eastAsia="en-GB"/>
              </w:rPr>
              <w:t>CCG</w:t>
            </w:r>
          </w:p>
        </w:tc>
        <w:tc>
          <w:tcPr>
            <w:tcW w:w="1701" w:type="dxa"/>
            <w:tcBorders>
              <w:top w:val="single" w:sz="4" w:space="0" w:color="auto"/>
              <w:left w:val="nil"/>
              <w:bottom w:val="single" w:sz="4" w:space="0" w:color="auto"/>
              <w:right w:val="single" w:sz="4" w:space="0" w:color="auto"/>
            </w:tcBorders>
            <w:shd w:val="clear" w:color="000000" w:fill="BFBFBF"/>
            <w:noWrap/>
            <w:vAlign w:val="center"/>
            <w:hideMark/>
          </w:tcPr>
          <w:p w:rsidR="0046067C" w:rsidRPr="00800B4C" w:rsidRDefault="0046067C" w:rsidP="00881CC4">
            <w:pPr>
              <w:spacing w:after="0" w:line="240" w:lineRule="auto"/>
              <w:jc w:val="center"/>
              <w:rPr>
                <w:rFonts w:ascii="Calibri" w:eastAsia="Times New Roman" w:hAnsi="Calibri" w:cs="Times New Roman"/>
                <w:b/>
                <w:bCs/>
                <w:color w:val="000000"/>
                <w:lang w:eastAsia="en-GB"/>
              </w:rPr>
            </w:pPr>
            <w:r w:rsidRPr="00800B4C">
              <w:rPr>
                <w:rFonts w:ascii="Calibri" w:eastAsia="Times New Roman" w:hAnsi="Calibri" w:cs="Times New Roman"/>
                <w:b/>
                <w:bCs/>
                <w:color w:val="000000"/>
                <w:lang w:eastAsia="en-GB"/>
              </w:rPr>
              <w:t>Original Budget</w:t>
            </w:r>
          </w:p>
        </w:tc>
        <w:tc>
          <w:tcPr>
            <w:tcW w:w="1793" w:type="dxa"/>
            <w:tcBorders>
              <w:top w:val="single" w:sz="4" w:space="0" w:color="auto"/>
              <w:left w:val="nil"/>
              <w:bottom w:val="single" w:sz="4" w:space="0" w:color="auto"/>
              <w:right w:val="single" w:sz="4" w:space="0" w:color="auto"/>
            </w:tcBorders>
            <w:shd w:val="clear" w:color="000000" w:fill="BFBFBF"/>
            <w:noWrap/>
            <w:vAlign w:val="center"/>
            <w:hideMark/>
          </w:tcPr>
          <w:p w:rsidR="0046067C" w:rsidRPr="00800B4C" w:rsidRDefault="0046067C" w:rsidP="00881CC4">
            <w:pPr>
              <w:spacing w:after="0" w:line="240" w:lineRule="auto"/>
              <w:jc w:val="center"/>
              <w:rPr>
                <w:rFonts w:ascii="Calibri" w:eastAsia="Times New Roman" w:hAnsi="Calibri" w:cs="Times New Roman"/>
                <w:b/>
                <w:bCs/>
                <w:color w:val="000000"/>
                <w:lang w:eastAsia="en-GB"/>
              </w:rPr>
            </w:pPr>
            <w:r w:rsidRPr="00800B4C">
              <w:rPr>
                <w:rFonts w:ascii="Calibri" w:eastAsia="Times New Roman" w:hAnsi="Calibri" w:cs="Times New Roman"/>
                <w:b/>
                <w:bCs/>
                <w:color w:val="000000"/>
                <w:lang w:eastAsia="en-GB"/>
              </w:rPr>
              <w:t>Current Budget</w:t>
            </w:r>
          </w:p>
        </w:tc>
        <w:tc>
          <w:tcPr>
            <w:tcW w:w="1609" w:type="dxa"/>
            <w:tcBorders>
              <w:top w:val="single" w:sz="4" w:space="0" w:color="auto"/>
              <w:left w:val="nil"/>
              <w:bottom w:val="single" w:sz="4" w:space="0" w:color="auto"/>
              <w:right w:val="single" w:sz="4" w:space="0" w:color="auto"/>
            </w:tcBorders>
            <w:shd w:val="clear" w:color="000000" w:fill="BFBFBF"/>
            <w:noWrap/>
            <w:vAlign w:val="center"/>
            <w:hideMark/>
          </w:tcPr>
          <w:p w:rsidR="0046067C" w:rsidRPr="00800B4C" w:rsidRDefault="0046067C" w:rsidP="00881CC4">
            <w:pPr>
              <w:spacing w:after="0" w:line="240" w:lineRule="auto"/>
              <w:jc w:val="center"/>
              <w:rPr>
                <w:rFonts w:ascii="Calibri" w:eastAsia="Times New Roman" w:hAnsi="Calibri" w:cs="Times New Roman"/>
                <w:b/>
                <w:bCs/>
                <w:color w:val="000000"/>
                <w:lang w:eastAsia="en-GB"/>
              </w:rPr>
            </w:pPr>
            <w:r w:rsidRPr="00800B4C">
              <w:rPr>
                <w:rFonts w:ascii="Calibri" w:eastAsia="Times New Roman" w:hAnsi="Calibri" w:cs="Times New Roman"/>
                <w:b/>
                <w:bCs/>
                <w:color w:val="000000"/>
                <w:lang w:eastAsia="en-GB"/>
              </w:rPr>
              <w:t>Outturn</w:t>
            </w:r>
          </w:p>
        </w:tc>
      </w:tr>
      <w:tr w:rsidR="0046067C" w:rsidRPr="00800B4C" w:rsidTr="00881CC4">
        <w:trPr>
          <w:trHeight w:val="300"/>
        </w:trPr>
        <w:tc>
          <w:tcPr>
            <w:tcW w:w="4126" w:type="dxa"/>
            <w:vMerge/>
            <w:tcBorders>
              <w:top w:val="single" w:sz="4" w:space="0" w:color="auto"/>
              <w:left w:val="single" w:sz="4" w:space="0" w:color="auto"/>
              <w:bottom w:val="single" w:sz="4" w:space="0" w:color="auto"/>
              <w:right w:val="single" w:sz="4" w:space="0" w:color="auto"/>
            </w:tcBorders>
            <w:vAlign w:val="center"/>
            <w:hideMark/>
          </w:tcPr>
          <w:p w:rsidR="0046067C" w:rsidRPr="00800B4C" w:rsidRDefault="0046067C" w:rsidP="00881CC4">
            <w:pPr>
              <w:spacing w:after="0" w:line="240" w:lineRule="auto"/>
              <w:rPr>
                <w:rFonts w:ascii="Calibri" w:eastAsia="Times New Roman" w:hAnsi="Calibri" w:cs="Times New Roman"/>
                <w:b/>
                <w:bCs/>
                <w:color w:val="000000"/>
                <w:lang w:eastAsia="en-GB"/>
              </w:rPr>
            </w:pPr>
          </w:p>
        </w:tc>
        <w:tc>
          <w:tcPr>
            <w:tcW w:w="1701" w:type="dxa"/>
            <w:tcBorders>
              <w:top w:val="nil"/>
              <w:left w:val="nil"/>
              <w:bottom w:val="single" w:sz="4" w:space="0" w:color="auto"/>
              <w:right w:val="single" w:sz="4" w:space="0" w:color="auto"/>
            </w:tcBorders>
            <w:shd w:val="clear" w:color="000000" w:fill="BFBFBF"/>
            <w:noWrap/>
            <w:vAlign w:val="center"/>
            <w:hideMark/>
          </w:tcPr>
          <w:p w:rsidR="0046067C" w:rsidRPr="00800B4C" w:rsidRDefault="0046067C" w:rsidP="00881CC4">
            <w:pPr>
              <w:spacing w:after="0" w:line="240" w:lineRule="auto"/>
              <w:jc w:val="center"/>
              <w:rPr>
                <w:rFonts w:ascii="Calibri" w:eastAsia="Times New Roman" w:hAnsi="Calibri" w:cs="Times New Roman"/>
                <w:b/>
                <w:bCs/>
                <w:color w:val="000000"/>
                <w:lang w:eastAsia="en-GB"/>
              </w:rPr>
            </w:pPr>
            <w:r w:rsidRPr="00800B4C">
              <w:rPr>
                <w:rFonts w:ascii="Calibri" w:eastAsia="Times New Roman" w:hAnsi="Calibri" w:cs="Times New Roman"/>
                <w:b/>
                <w:bCs/>
                <w:color w:val="000000"/>
                <w:lang w:eastAsia="en-GB"/>
              </w:rPr>
              <w:t>£'000</w:t>
            </w:r>
          </w:p>
        </w:tc>
        <w:tc>
          <w:tcPr>
            <w:tcW w:w="1793" w:type="dxa"/>
            <w:tcBorders>
              <w:top w:val="nil"/>
              <w:left w:val="nil"/>
              <w:bottom w:val="single" w:sz="4" w:space="0" w:color="auto"/>
              <w:right w:val="single" w:sz="4" w:space="0" w:color="auto"/>
            </w:tcBorders>
            <w:shd w:val="clear" w:color="000000" w:fill="BFBFBF"/>
            <w:noWrap/>
            <w:vAlign w:val="center"/>
            <w:hideMark/>
          </w:tcPr>
          <w:p w:rsidR="0046067C" w:rsidRPr="00800B4C" w:rsidRDefault="0046067C" w:rsidP="00881CC4">
            <w:pPr>
              <w:spacing w:after="0" w:line="240" w:lineRule="auto"/>
              <w:jc w:val="center"/>
              <w:rPr>
                <w:rFonts w:ascii="Calibri" w:eastAsia="Times New Roman" w:hAnsi="Calibri" w:cs="Times New Roman"/>
                <w:b/>
                <w:bCs/>
                <w:color w:val="000000"/>
                <w:lang w:eastAsia="en-GB"/>
              </w:rPr>
            </w:pPr>
            <w:r w:rsidRPr="00800B4C">
              <w:rPr>
                <w:rFonts w:ascii="Calibri" w:eastAsia="Times New Roman" w:hAnsi="Calibri" w:cs="Times New Roman"/>
                <w:b/>
                <w:bCs/>
                <w:color w:val="000000"/>
                <w:lang w:eastAsia="en-GB"/>
              </w:rPr>
              <w:t>£'000</w:t>
            </w:r>
          </w:p>
        </w:tc>
        <w:tc>
          <w:tcPr>
            <w:tcW w:w="1609" w:type="dxa"/>
            <w:tcBorders>
              <w:top w:val="nil"/>
              <w:left w:val="nil"/>
              <w:bottom w:val="single" w:sz="4" w:space="0" w:color="auto"/>
              <w:right w:val="single" w:sz="4" w:space="0" w:color="auto"/>
            </w:tcBorders>
            <w:shd w:val="clear" w:color="000000" w:fill="BFBFBF"/>
            <w:noWrap/>
            <w:vAlign w:val="center"/>
            <w:hideMark/>
          </w:tcPr>
          <w:p w:rsidR="0046067C" w:rsidRPr="00800B4C" w:rsidRDefault="0046067C" w:rsidP="00881CC4">
            <w:pPr>
              <w:spacing w:after="0" w:line="240" w:lineRule="auto"/>
              <w:jc w:val="center"/>
              <w:rPr>
                <w:rFonts w:ascii="Calibri" w:eastAsia="Times New Roman" w:hAnsi="Calibri" w:cs="Times New Roman"/>
                <w:b/>
                <w:bCs/>
                <w:color w:val="000000"/>
                <w:lang w:eastAsia="en-GB"/>
              </w:rPr>
            </w:pPr>
            <w:r w:rsidRPr="00800B4C">
              <w:rPr>
                <w:rFonts w:ascii="Calibri" w:eastAsia="Times New Roman" w:hAnsi="Calibri" w:cs="Times New Roman"/>
                <w:b/>
                <w:bCs/>
                <w:color w:val="000000"/>
                <w:lang w:eastAsia="en-GB"/>
              </w:rPr>
              <w:t>£'000</w:t>
            </w:r>
          </w:p>
        </w:tc>
      </w:tr>
      <w:tr w:rsidR="0046067C" w:rsidRPr="00800B4C" w:rsidTr="00881CC4">
        <w:trPr>
          <w:trHeight w:val="300"/>
        </w:trPr>
        <w:tc>
          <w:tcPr>
            <w:tcW w:w="4126" w:type="dxa"/>
            <w:tcBorders>
              <w:top w:val="nil"/>
              <w:left w:val="single" w:sz="4" w:space="0" w:color="auto"/>
              <w:bottom w:val="single" w:sz="4" w:space="0" w:color="auto"/>
              <w:right w:val="single" w:sz="4" w:space="0" w:color="auto"/>
            </w:tcBorders>
            <w:shd w:val="clear" w:color="auto" w:fill="auto"/>
            <w:noWrap/>
            <w:vAlign w:val="center"/>
            <w:hideMark/>
          </w:tcPr>
          <w:p w:rsidR="0046067C" w:rsidRPr="00800B4C" w:rsidRDefault="0046067C" w:rsidP="00881CC4">
            <w:pPr>
              <w:spacing w:after="0" w:line="240" w:lineRule="auto"/>
              <w:rPr>
                <w:rFonts w:ascii="Calibri" w:eastAsia="Times New Roman" w:hAnsi="Calibri" w:cs="Times New Roman"/>
                <w:b/>
                <w:bCs/>
                <w:color w:val="000000"/>
                <w:lang w:eastAsia="en-GB"/>
              </w:rPr>
            </w:pPr>
            <w:r w:rsidRPr="00800B4C">
              <w:rPr>
                <w:rFonts w:ascii="Calibri" w:eastAsia="Times New Roman" w:hAnsi="Calibri" w:cs="Times New Roman"/>
                <w:b/>
                <w:bCs/>
                <w:color w:val="000000"/>
                <w:lang w:eastAsia="en-GB"/>
              </w:rPr>
              <w:t>Income</w:t>
            </w:r>
          </w:p>
        </w:tc>
        <w:tc>
          <w:tcPr>
            <w:tcW w:w="1701" w:type="dxa"/>
            <w:tcBorders>
              <w:top w:val="nil"/>
              <w:left w:val="nil"/>
              <w:bottom w:val="single" w:sz="4" w:space="0" w:color="auto"/>
              <w:right w:val="single" w:sz="4" w:space="0" w:color="auto"/>
            </w:tcBorders>
            <w:shd w:val="clear" w:color="auto" w:fill="auto"/>
            <w:noWrap/>
            <w:vAlign w:val="center"/>
            <w:hideMark/>
          </w:tcPr>
          <w:p w:rsidR="0046067C" w:rsidRPr="00800B4C" w:rsidRDefault="0046067C" w:rsidP="00881CC4">
            <w:pPr>
              <w:spacing w:after="0" w:line="240" w:lineRule="auto"/>
              <w:jc w:val="right"/>
              <w:rPr>
                <w:rFonts w:ascii="Calibri" w:eastAsia="Times New Roman" w:hAnsi="Calibri" w:cs="Times New Roman"/>
                <w:b/>
                <w:bCs/>
                <w:color w:val="000000"/>
                <w:lang w:eastAsia="en-GB"/>
              </w:rPr>
            </w:pPr>
            <w:r w:rsidRPr="00800B4C">
              <w:rPr>
                <w:rFonts w:ascii="Calibri" w:eastAsia="Times New Roman" w:hAnsi="Calibri" w:cs="Times New Roman"/>
                <w:b/>
                <w:bCs/>
                <w:color w:val="000000"/>
                <w:lang w:eastAsia="en-GB"/>
              </w:rPr>
              <w:t>408,734</w:t>
            </w:r>
          </w:p>
        </w:tc>
        <w:tc>
          <w:tcPr>
            <w:tcW w:w="1793" w:type="dxa"/>
            <w:tcBorders>
              <w:top w:val="nil"/>
              <w:left w:val="nil"/>
              <w:bottom w:val="single" w:sz="4" w:space="0" w:color="auto"/>
              <w:right w:val="single" w:sz="4" w:space="0" w:color="auto"/>
            </w:tcBorders>
            <w:shd w:val="clear" w:color="auto" w:fill="auto"/>
            <w:noWrap/>
            <w:vAlign w:val="center"/>
            <w:hideMark/>
          </w:tcPr>
          <w:p w:rsidR="0046067C" w:rsidRPr="00800B4C" w:rsidRDefault="0046067C" w:rsidP="00881CC4">
            <w:pPr>
              <w:spacing w:after="0" w:line="240" w:lineRule="auto"/>
              <w:jc w:val="right"/>
              <w:rPr>
                <w:rFonts w:ascii="Calibri" w:eastAsia="Times New Roman" w:hAnsi="Calibri" w:cs="Times New Roman"/>
                <w:b/>
                <w:bCs/>
                <w:color w:val="000000"/>
                <w:lang w:eastAsia="en-GB"/>
              </w:rPr>
            </w:pPr>
            <w:r w:rsidRPr="00800B4C">
              <w:rPr>
                <w:rFonts w:ascii="Calibri" w:eastAsia="Times New Roman" w:hAnsi="Calibri" w:cs="Times New Roman"/>
                <w:b/>
                <w:bCs/>
                <w:color w:val="000000"/>
                <w:lang w:eastAsia="en-GB"/>
              </w:rPr>
              <w:t>428,473</w:t>
            </w:r>
          </w:p>
        </w:tc>
        <w:tc>
          <w:tcPr>
            <w:tcW w:w="1609" w:type="dxa"/>
            <w:tcBorders>
              <w:top w:val="nil"/>
              <w:left w:val="nil"/>
              <w:bottom w:val="single" w:sz="4" w:space="0" w:color="auto"/>
              <w:right w:val="single" w:sz="4" w:space="0" w:color="auto"/>
            </w:tcBorders>
            <w:shd w:val="clear" w:color="auto" w:fill="auto"/>
            <w:noWrap/>
            <w:vAlign w:val="center"/>
            <w:hideMark/>
          </w:tcPr>
          <w:p w:rsidR="0046067C" w:rsidRPr="00800B4C" w:rsidRDefault="0046067C" w:rsidP="00881CC4">
            <w:pPr>
              <w:spacing w:after="0" w:line="240" w:lineRule="auto"/>
              <w:jc w:val="right"/>
              <w:rPr>
                <w:rFonts w:ascii="Calibri" w:eastAsia="Times New Roman" w:hAnsi="Calibri" w:cs="Times New Roman"/>
                <w:b/>
                <w:bCs/>
                <w:color w:val="000000"/>
                <w:lang w:eastAsia="en-GB"/>
              </w:rPr>
            </w:pPr>
            <w:r w:rsidRPr="00800B4C">
              <w:rPr>
                <w:rFonts w:ascii="Calibri" w:eastAsia="Times New Roman" w:hAnsi="Calibri" w:cs="Times New Roman"/>
                <w:b/>
                <w:bCs/>
                <w:color w:val="000000"/>
                <w:lang w:eastAsia="en-GB"/>
              </w:rPr>
              <w:t>428,473</w:t>
            </w:r>
          </w:p>
        </w:tc>
      </w:tr>
      <w:tr w:rsidR="0046067C" w:rsidRPr="00800B4C" w:rsidTr="00881CC4">
        <w:trPr>
          <w:trHeight w:val="300"/>
        </w:trPr>
        <w:tc>
          <w:tcPr>
            <w:tcW w:w="4126" w:type="dxa"/>
            <w:tcBorders>
              <w:top w:val="nil"/>
              <w:left w:val="single" w:sz="4" w:space="0" w:color="auto"/>
              <w:bottom w:val="single" w:sz="4" w:space="0" w:color="auto"/>
              <w:right w:val="single" w:sz="4" w:space="0" w:color="auto"/>
            </w:tcBorders>
            <w:shd w:val="clear" w:color="auto" w:fill="auto"/>
            <w:noWrap/>
            <w:vAlign w:val="center"/>
            <w:hideMark/>
          </w:tcPr>
          <w:p w:rsidR="0046067C" w:rsidRPr="00800B4C" w:rsidRDefault="0046067C" w:rsidP="00881CC4">
            <w:pPr>
              <w:spacing w:after="0" w:line="240" w:lineRule="auto"/>
              <w:rPr>
                <w:rFonts w:ascii="Calibri" w:eastAsia="Times New Roman" w:hAnsi="Calibri" w:cs="Times New Roman"/>
                <w:b/>
                <w:bCs/>
                <w:color w:val="000000"/>
                <w:lang w:eastAsia="en-GB"/>
              </w:rPr>
            </w:pPr>
            <w:r w:rsidRPr="00800B4C">
              <w:rPr>
                <w:rFonts w:ascii="Calibri" w:eastAsia="Times New Roman" w:hAnsi="Calibri" w:cs="Times New Roman"/>
                <w:b/>
                <w:bCs/>
                <w:color w:val="000000"/>
                <w:lang w:eastAsia="en-GB"/>
              </w:rPr>
              <w:t>Expenditure</w:t>
            </w:r>
          </w:p>
        </w:tc>
        <w:tc>
          <w:tcPr>
            <w:tcW w:w="1701" w:type="dxa"/>
            <w:tcBorders>
              <w:top w:val="nil"/>
              <w:left w:val="nil"/>
              <w:bottom w:val="single" w:sz="4" w:space="0" w:color="auto"/>
              <w:right w:val="single" w:sz="4" w:space="0" w:color="auto"/>
            </w:tcBorders>
            <w:shd w:val="clear" w:color="auto" w:fill="auto"/>
            <w:noWrap/>
            <w:vAlign w:val="center"/>
            <w:hideMark/>
          </w:tcPr>
          <w:p w:rsidR="0046067C" w:rsidRPr="00800B4C" w:rsidRDefault="0046067C" w:rsidP="00881CC4">
            <w:pPr>
              <w:spacing w:after="0" w:line="240" w:lineRule="auto"/>
              <w:jc w:val="right"/>
              <w:rPr>
                <w:rFonts w:ascii="Calibri" w:eastAsia="Times New Roman" w:hAnsi="Calibri" w:cs="Times New Roman"/>
                <w:b/>
                <w:bCs/>
                <w:color w:val="000000"/>
                <w:lang w:eastAsia="en-GB"/>
              </w:rPr>
            </w:pPr>
            <w:r w:rsidRPr="00800B4C">
              <w:rPr>
                <w:rFonts w:ascii="Calibri" w:eastAsia="Times New Roman" w:hAnsi="Calibri" w:cs="Times New Roman"/>
                <w:b/>
                <w:bCs/>
                <w:color w:val="000000"/>
                <w:lang w:eastAsia="en-GB"/>
              </w:rPr>
              <w:t> </w:t>
            </w:r>
          </w:p>
        </w:tc>
        <w:tc>
          <w:tcPr>
            <w:tcW w:w="1793" w:type="dxa"/>
            <w:tcBorders>
              <w:top w:val="nil"/>
              <w:left w:val="nil"/>
              <w:bottom w:val="single" w:sz="4" w:space="0" w:color="auto"/>
              <w:right w:val="single" w:sz="4" w:space="0" w:color="auto"/>
            </w:tcBorders>
            <w:shd w:val="clear" w:color="auto" w:fill="auto"/>
            <w:noWrap/>
            <w:vAlign w:val="center"/>
            <w:hideMark/>
          </w:tcPr>
          <w:p w:rsidR="0046067C" w:rsidRPr="00800B4C" w:rsidRDefault="0046067C" w:rsidP="00881CC4">
            <w:pPr>
              <w:spacing w:after="0" w:line="240" w:lineRule="auto"/>
              <w:jc w:val="right"/>
              <w:rPr>
                <w:rFonts w:ascii="Calibri" w:eastAsia="Times New Roman" w:hAnsi="Calibri" w:cs="Times New Roman"/>
                <w:b/>
                <w:bCs/>
                <w:color w:val="000000"/>
                <w:lang w:eastAsia="en-GB"/>
              </w:rPr>
            </w:pPr>
            <w:r w:rsidRPr="00800B4C">
              <w:rPr>
                <w:rFonts w:ascii="Calibri" w:eastAsia="Times New Roman" w:hAnsi="Calibri" w:cs="Times New Roman"/>
                <w:b/>
                <w:bCs/>
                <w:color w:val="000000"/>
                <w:lang w:eastAsia="en-GB"/>
              </w:rPr>
              <w:t> </w:t>
            </w:r>
          </w:p>
        </w:tc>
        <w:tc>
          <w:tcPr>
            <w:tcW w:w="1609" w:type="dxa"/>
            <w:tcBorders>
              <w:top w:val="nil"/>
              <w:left w:val="nil"/>
              <w:bottom w:val="single" w:sz="4" w:space="0" w:color="auto"/>
              <w:right w:val="single" w:sz="4" w:space="0" w:color="auto"/>
            </w:tcBorders>
            <w:shd w:val="clear" w:color="auto" w:fill="auto"/>
            <w:noWrap/>
            <w:vAlign w:val="center"/>
            <w:hideMark/>
          </w:tcPr>
          <w:p w:rsidR="0046067C" w:rsidRPr="00800B4C" w:rsidRDefault="0046067C" w:rsidP="00881CC4">
            <w:pPr>
              <w:spacing w:after="0" w:line="240" w:lineRule="auto"/>
              <w:jc w:val="right"/>
              <w:rPr>
                <w:rFonts w:ascii="Calibri" w:eastAsia="Times New Roman" w:hAnsi="Calibri" w:cs="Times New Roman"/>
                <w:b/>
                <w:bCs/>
                <w:color w:val="000000"/>
                <w:lang w:eastAsia="en-GB"/>
              </w:rPr>
            </w:pPr>
            <w:r w:rsidRPr="00800B4C">
              <w:rPr>
                <w:rFonts w:ascii="Calibri" w:eastAsia="Times New Roman" w:hAnsi="Calibri" w:cs="Times New Roman"/>
                <w:b/>
                <w:bCs/>
                <w:color w:val="000000"/>
                <w:lang w:eastAsia="en-GB"/>
              </w:rPr>
              <w:t> </w:t>
            </w:r>
          </w:p>
        </w:tc>
      </w:tr>
      <w:tr w:rsidR="0046067C" w:rsidRPr="00800B4C" w:rsidTr="00881CC4">
        <w:trPr>
          <w:trHeight w:val="300"/>
        </w:trPr>
        <w:tc>
          <w:tcPr>
            <w:tcW w:w="4126" w:type="dxa"/>
            <w:tcBorders>
              <w:top w:val="nil"/>
              <w:left w:val="single" w:sz="4" w:space="0" w:color="auto"/>
              <w:bottom w:val="single" w:sz="4" w:space="0" w:color="auto"/>
              <w:right w:val="single" w:sz="4" w:space="0" w:color="auto"/>
            </w:tcBorders>
            <w:shd w:val="clear" w:color="auto" w:fill="auto"/>
            <w:noWrap/>
            <w:vAlign w:val="center"/>
            <w:hideMark/>
          </w:tcPr>
          <w:p w:rsidR="0046067C" w:rsidRPr="00800B4C" w:rsidRDefault="0046067C" w:rsidP="00881CC4">
            <w:pPr>
              <w:spacing w:after="0" w:line="240" w:lineRule="auto"/>
              <w:rPr>
                <w:rFonts w:ascii="Calibri" w:eastAsia="Times New Roman" w:hAnsi="Calibri" w:cs="Times New Roman"/>
                <w:color w:val="000000"/>
                <w:lang w:eastAsia="en-GB"/>
              </w:rPr>
            </w:pPr>
            <w:r w:rsidRPr="00800B4C">
              <w:rPr>
                <w:rFonts w:ascii="Calibri" w:eastAsia="Times New Roman" w:hAnsi="Calibri" w:cs="Times New Roman"/>
                <w:color w:val="000000"/>
                <w:lang w:eastAsia="en-GB"/>
              </w:rPr>
              <w:t>Acute</w:t>
            </w:r>
          </w:p>
        </w:tc>
        <w:tc>
          <w:tcPr>
            <w:tcW w:w="1701" w:type="dxa"/>
            <w:tcBorders>
              <w:top w:val="nil"/>
              <w:left w:val="nil"/>
              <w:bottom w:val="single" w:sz="4" w:space="0" w:color="auto"/>
              <w:right w:val="single" w:sz="4" w:space="0" w:color="auto"/>
            </w:tcBorders>
            <w:shd w:val="clear" w:color="auto" w:fill="auto"/>
            <w:noWrap/>
            <w:vAlign w:val="center"/>
            <w:hideMark/>
          </w:tcPr>
          <w:p w:rsidR="0046067C" w:rsidRPr="00800B4C" w:rsidRDefault="0046067C" w:rsidP="00881CC4">
            <w:pPr>
              <w:spacing w:after="0" w:line="240" w:lineRule="auto"/>
              <w:jc w:val="right"/>
              <w:rPr>
                <w:rFonts w:ascii="Calibri" w:eastAsia="Times New Roman" w:hAnsi="Calibri" w:cs="Times New Roman"/>
                <w:color w:val="000000"/>
                <w:lang w:eastAsia="en-GB"/>
              </w:rPr>
            </w:pPr>
            <w:r w:rsidRPr="00800B4C">
              <w:rPr>
                <w:rFonts w:ascii="Calibri" w:eastAsia="Times New Roman" w:hAnsi="Calibri" w:cs="Times New Roman"/>
                <w:color w:val="000000"/>
                <w:lang w:eastAsia="en-GB"/>
              </w:rPr>
              <w:t>254,577</w:t>
            </w:r>
          </w:p>
        </w:tc>
        <w:tc>
          <w:tcPr>
            <w:tcW w:w="1793" w:type="dxa"/>
            <w:tcBorders>
              <w:top w:val="nil"/>
              <w:left w:val="nil"/>
              <w:bottom w:val="single" w:sz="4" w:space="0" w:color="auto"/>
              <w:right w:val="single" w:sz="4" w:space="0" w:color="auto"/>
            </w:tcBorders>
            <w:shd w:val="clear" w:color="auto" w:fill="auto"/>
            <w:noWrap/>
            <w:vAlign w:val="center"/>
            <w:hideMark/>
          </w:tcPr>
          <w:p w:rsidR="0046067C" w:rsidRPr="00800B4C" w:rsidRDefault="0046067C" w:rsidP="00881CC4">
            <w:pPr>
              <w:spacing w:after="0" w:line="240" w:lineRule="auto"/>
              <w:jc w:val="right"/>
              <w:rPr>
                <w:rFonts w:ascii="Calibri" w:eastAsia="Times New Roman" w:hAnsi="Calibri" w:cs="Times New Roman"/>
                <w:color w:val="000000"/>
                <w:lang w:eastAsia="en-GB"/>
              </w:rPr>
            </w:pPr>
            <w:r w:rsidRPr="00800B4C">
              <w:rPr>
                <w:rFonts w:ascii="Calibri" w:eastAsia="Times New Roman" w:hAnsi="Calibri" w:cs="Times New Roman"/>
                <w:color w:val="000000"/>
                <w:lang w:eastAsia="en-GB"/>
              </w:rPr>
              <w:t>271,586</w:t>
            </w:r>
          </w:p>
        </w:tc>
        <w:tc>
          <w:tcPr>
            <w:tcW w:w="1609" w:type="dxa"/>
            <w:tcBorders>
              <w:top w:val="nil"/>
              <w:left w:val="nil"/>
              <w:bottom w:val="single" w:sz="4" w:space="0" w:color="auto"/>
              <w:right w:val="single" w:sz="4" w:space="0" w:color="auto"/>
            </w:tcBorders>
            <w:shd w:val="clear" w:color="auto" w:fill="auto"/>
            <w:noWrap/>
            <w:vAlign w:val="center"/>
            <w:hideMark/>
          </w:tcPr>
          <w:p w:rsidR="0046067C" w:rsidRPr="00800B4C" w:rsidRDefault="0046067C" w:rsidP="00881CC4">
            <w:pPr>
              <w:spacing w:after="0" w:line="240" w:lineRule="auto"/>
              <w:jc w:val="right"/>
              <w:rPr>
                <w:rFonts w:ascii="Calibri" w:eastAsia="Times New Roman" w:hAnsi="Calibri" w:cs="Times New Roman"/>
                <w:color w:val="000000"/>
                <w:lang w:eastAsia="en-GB"/>
              </w:rPr>
            </w:pPr>
            <w:r w:rsidRPr="00800B4C">
              <w:rPr>
                <w:rFonts w:ascii="Calibri" w:eastAsia="Times New Roman" w:hAnsi="Calibri" w:cs="Times New Roman"/>
                <w:color w:val="000000"/>
                <w:lang w:eastAsia="en-GB"/>
              </w:rPr>
              <w:t>263,476</w:t>
            </w:r>
          </w:p>
        </w:tc>
      </w:tr>
      <w:tr w:rsidR="0046067C" w:rsidRPr="00800B4C" w:rsidTr="00881CC4">
        <w:trPr>
          <w:trHeight w:val="300"/>
        </w:trPr>
        <w:tc>
          <w:tcPr>
            <w:tcW w:w="4126" w:type="dxa"/>
            <w:tcBorders>
              <w:top w:val="nil"/>
              <w:left w:val="single" w:sz="4" w:space="0" w:color="auto"/>
              <w:bottom w:val="single" w:sz="4" w:space="0" w:color="auto"/>
              <w:right w:val="single" w:sz="4" w:space="0" w:color="auto"/>
            </w:tcBorders>
            <w:shd w:val="clear" w:color="auto" w:fill="auto"/>
            <w:noWrap/>
            <w:vAlign w:val="center"/>
            <w:hideMark/>
          </w:tcPr>
          <w:p w:rsidR="0046067C" w:rsidRPr="00800B4C" w:rsidRDefault="0046067C" w:rsidP="00881CC4">
            <w:pPr>
              <w:spacing w:after="0" w:line="240" w:lineRule="auto"/>
              <w:rPr>
                <w:rFonts w:ascii="Calibri" w:eastAsia="Times New Roman" w:hAnsi="Calibri" w:cs="Times New Roman"/>
                <w:color w:val="000000"/>
                <w:lang w:eastAsia="en-GB"/>
              </w:rPr>
            </w:pPr>
            <w:r w:rsidRPr="00800B4C">
              <w:rPr>
                <w:rFonts w:ascii="Calibri" w:eastAsia="Times New Roman" w:hAnsi="Calibri" w:cs="Times New Roman"/>
                <w:color w:val="000000"/>
                <w:lang w:eastAsia="en-GB"/>
              </w:rPr>
              <w:t>Mental Health</w:t>
            </w:r>
          </w:p>
        </w:tc>
        <w:tc>
          <w:tcPr>
            <w:tcW w:w="1701" w:type="dxa"/>
            <w:tcBorders>
              <w:top w:val="nil"/>
              <w:left w:val="nil"/>
              <w:bottom w:val="single" w:sz="4" w:space="0" w:color="auto"/>
              <w:right w:val="single" w:sz="4" w:space="0" w:color="auto"/>
            </w:tcBorders>
            <w:shd w:val="clear" w:color="auto" w:fill="auto"/>
            <w:noWrap/>
            <w:vAlign w:val="center"/>
            <w:hideMark/>
          </w:tcPr>
          <w:p w:rsidR="0046067C" w:rsidRPr="00800B4C" w:rsidRDefault="0046067C" w:rsidP="00881CC4">
            <w:pPr>
              <w:spacing w:after="0" w:line="240" w:lineRule="auto"/>
              <w:jc w:val="right"/>
              <w:rPr>
                <w:rFonts w:ascii="Calibri" w:eastAsia="Times New Roman" w:hAnsi="Calibri" w:cs="Times New Roman"/>
                <w:color w:val="000000"/>
                <w:lang w:eastAsia="en-GB"/>
              </w:rPr>
            </w:pPr>
            <w:r w:rsidRPr="00800B4C">
              <w:rPr>
                <w:rFonts w:ascii="Calibri" w:eastAsia="Times New Roman" w:hAnsi="Calibri" w:cs="Times New Roman"/>
                <w:color w:val="000000"/>
                <w:lang w:eastAsia="en-GB"/>
              </w:rPr>
              <w:t>37,573</w:t>
            </w:r>
          </w:p>
        </w:tc>
        <w:tc>
          <w:tcPr>
            <w:tcW w:w="1793" w:type="dxa"/>
            <w:tcBorders>
              <w:top w:val="nil"/>
              <w:left w:val="nil"/>
              <w:bottom w:val="single" w:sz="4" w:space="0" w:color="auto"/>
              <w:right w:val="single" w:sz="4" w:space="0" w:color="auto"/>
            </w:tcBorders>
            <w:shd w:val="clear" w:color="auto" w:fill="auto"/>
            <w:noWrap/>
            <w:vAlign w:val="center"/>
            <w:hideMark/>
          </w:tcPr>
          <w:p w:rsidR="0046067C" w:rsidRPr="00800B4C" w:rsidRDefault="0046067C" w:rsidP="00881CC4">
            <w:pPr>
              <w:spacing w:after="0" w:line="240" w:lineRule="auto"/>
              <w:jc w:val="right"/>
              <w:rPr>
                <w:rFonts w:ascii="Calibri" w:eastAsia="Times New Roman" w:hAnsi="Calibri" w:cs="Times New Roman"/>
                <w:color w:val="000000"/>
                <w:lang w:eastAsia="en-GB"/>
              </w:rPr>
            </w:pPr>
            <w:r w:rsidRPr="00800B4C">
              <w:rPr>
                <w:rFonts w:ascii="Calibri" w:eastAsia="Times New Roman" w:hAnsi="Calibri" w:cs="Times New Roman"/>
                <w:color w:val="000000"/>
                <w:lang w:eastAsia="en-GB"/>
              </w:rPr>
              <w:t>37,754</w:t>
            </w:r>
          </w:p>
        </w:tc>
        <w:tc>
          <w:tcPr>
            <w:tcW w:w="1609" w:type="dxa"/>
            <w:tcBorders>
              <w:top w:val="nil"/>
              <w:left w:val="nil"/>
              <w:bottom w:val="single" w:sz="4" w:space="0" w:color="auto"/>
              <w:right w:val="single" w:sz="4" w:space="0" w:color="auto"/>
            </w:tcBorders>
            <w:shd w:val="clear" w:color="auto" w:fill="auto"/>
            <w:noWrap/>
            <w:vAlign w:val="center"/>
            <w:hideMark/>
          </w:tcPr>
          <w:p w:rsidR="0046067C" w:rsidRPr="00800B4C" w:rsidRDefault="0046067C" w:rsidP="00881CC4">
            <w:pPr>
              <w:spacing w:after="0" w:line="240" w:lineRule="auto"/>
              <w:jc w:val="right"/>
              <w:rPr>
                <w:rFonts w:ascii="Calibri" w:eastAsia="Times New Roman" w:hAnsi="Calibri" w:cs="Times New Roman"/>
                <w:color w:val="000000"/>
                <w:lang w:eastAsia="en-GB"/>
              </w:rPr>
            </w:pPr>
            <w:r w:rsidRPr="00800B4C">
              <w:rPr>
                <w:rFonts w:ascii="Calibri" w:eastAsia="Times New Roman" w:hAnsi="Calibri" w:cs="Times New Roman"/>
                <w:color w:val="000000"/>
                <w:lang w:eastAsia="en-GB"/>
              </w:rPr>
              <w:t>37,691</w:t>
            </w:r>
          </w:p>
        </w:tc>
      </w:tr>
      <w:tr w:rsidR="0046067C" w:rsidRPr="00800B4C" w:rsidTr="00881CC4">
        <w:trPr>
          <w:trHeight w:val="300"/>
        </w:trPr>
        <w:tc>
          <w:tcPr>
            <w:tcW w:w="4126" w:type="dxa"/>
            <w:tcBorders>
              <w:top w:val="nil"/>
              <w:left w:val="single" w:sz="4" w:space="0" w:color="auto"/>
              <w:bottom w:val="single" w:sz="4" w:space="0" w:color="auto"/>
              <w:right w:val="single" w:sz="4" w:space="0" w:color="auto"/>
            </w:tcBorders>
            <w:shd w:val="clear" w:color="auto" w:fill="auto"/>
            <w:noWrap/>
            <w:vAlign w:val="center"/>
            <w:hideMark/>
          </w:tcPr>
          <w:p w:rsidR="0046067C" w:rsidRPr="00800B4C" w:rsidRDefault="0046067C" w:rsidP="00881CC4">
            <w:pPr>
              <w:spacing w:after="0" w:line="240" w:lineRule="auto"/>
              <w:rPr>
                <w:rFonts w:ascii="Calibri" w:eastAsia="Times New Roman" w:hAnsi="Calibri" w:cs="Times New Roman"/>
                <w:color w:val="000000"/>
                <w:lang w:eastAsia="en-GB"/>
              </w:rPr>
            </w:pPr>
            <w:r w:rsidRPr="00800B4C">
              <w:rPr>
                <w:rFonts w:ascii="Calibri" w:eastAsia="Times New Roman" w:hAnsi="Calibri" w:cs="Times New Roman"/>
                <w:color w:val="000000"/>
                <w:lang w:eastAsia="en-GB"/>
              </w:rPr>
              <w:t>Community</w:t>
            </w:r>
          </w:p>
        </w:tc>
        <w:tc>
          <w:tcPr>
            <w:tcW w:w="1701" w:type="dxa"/>
            <w:tcBorders>
              <w:top w:val="nil"/>
              <w:left w:val="nil"/>
              <w:bottom w:val="single" w:sz="4" w:space="0" w:color="auto"/>
              <w:right w:val="single" w:sz="4" w:space="0" w:color="auto"/>
            </w:tcBorders>
            <w:shd w:val="clear" w:color="auto" w:fill="auto"/>
            <w:noWrap/>
            <w:vAlign w:val="center"/>
            <w:hideMark/>
          </w:tcPr>
          <w:p w:rsidR="0046067C" w:rsidRPr="00800B4C" w:rsidRDefault="0046067C" w:rsidP="00881CC4">
            <w:pPr>
              <w:spacing w:after="0" w:line="240" w:lineRule="auto"/>
              <w:jc w:val="right"/>
              <w:rPr>
                <w:rFonts w:ascii="Calibri" w:eastAsia="Times New Roman" w:hAnsi="Calibri" w:cs="Times New Roman"/>
                <w:color w:val="000000"/>
                <w:lang w:eastAsia="en-GB"/>
              </w:rPr>
            </w:pPr>
            <w:r w:rsidRPr="00800B4C">
              <w:rPr>
                <w:rFonts w:ascii="Calibri" w:eastAsia="Times New Roman" w:hAnsi="Calibri" w:cs="Times New Roman"/>
                <w:color w:val="000000"/>
                <w:lang w:eastAsia="en-GB"/>
              </w:rPr>
              <w:t>70,506</w:t>
            </w:r>
          </w:p>
        </w:tc>
        <w:tc>
          <w:tcPr>
            <w:tcW w:w="1793" w:type="dxa"/>
            <w:tcBorders>
              <w:top w:val="nil"/>
              <w:left w:val="nil"/>
              <w:bottom w:val="single" w:sz="4" w:space="0" w:color="auto"/>
              <w:right w:val="single" w:sz="4" w:space="0" w:color="auto"/>
            </w:tcBorders>
            <w:shd w:val="clear" w:color="auto" w:fill="auto"/>
            <w:noWrap/>
            <w:vAlign w:val="center"/>
            <w:hideMark/>
          </w:tcPr>
          <w:p w:rsidR="0046067C" w:rsidRPr="00800B4C" w:rsidRDefault="0046067C" w:rsidP="00881CC4">
            <w:pPr>
              <w:spacing w:after="0" w:line="240" w:lineRule="auto"/>
              <w:jc w:val="right"/>
              <w:rPr>
                <w:rFonts w:ascii="Calibri" w:eastAsia="Times New Roman" w:hAnsi="Calibri" w:cs="Times New Roman"/>
                <w:color w:val="000000"/>
                <w:lang w:eastAsia="en-GB"/>
              </w:rPr>
            </w:pPr>
            <w:r w:rsidRPr="00800B4C">
              <w:rPr>
                <w:rFonts w:ascii="Calibri" w:eastAsia="Times New Roman" w:hAnsi="Calibri" w:cs="Times New Roman"/>
                <w:color w:val="000000"/>
                <w:lang w:eastAsia="en-GB"/>
              </w:rPr>
              <w:t>71,717</w:t>
            </w:r>
          </w:p>
        </w:tc>
        <w:tc>
          <w:tcPr>
            <w:tcW w:w="1609" w:type="dxa"/>
            <w:tcBorders>
              <w:top w:val="nil"/>
              <w:left w:val="nil"/>
              <w:bottom w:val="single" w:sz="4" w:space="0" w:color="auto"/>
              <w:right w:val="single" w:sz="4" w:space="0" w:color="auto"/>
            </w:tcBorders>
            <w:shd w:val="clear" w:color="auto" w:fill="auto"/>
            <w:noWrap/>
            <w:vAlign w:val="center"/>
            <w:hideMark/>
          </w:tcPr>
          <w:p w:rsidR="0046067C" w:rsidRPr="00800B4C" w:rsidRDefault="0046067C" w:rsidP="00881CC4">
            <w:pPr>
              <w:spacing w:after="0" w:line="240" w:lineRule="auto"/>
              <w:jc w:val="right"/>
              <w:rPr>
                <w:rFonts w:ascii="Calibri" w:eastAsia="Times New Roman" w:hAnsi="Calibri" w:cs="Times New Roman"/>
                <w:color w:val="000000"/>
                <w:lang w:eastAsia="en-GB"/>
              </w:rPr>
            </w:pPr>
            <w:r w:rsidRPr="00800B4C">
              <w:rPr>
                <w:rFonts w:ascii="Calibri" w:eastAsia="Times New Roman" w:hAnsi="Calibri" w:cs="Times New Roman"/>
                <w:color w:val="000000"/>
                <w:lang w:eastAsia="en-GB"/>
              </w:rPr>
              <w:t>69,113</w:t>
            </w:r>
          </w:p>
        </w:tc>
      </w:tr>
      <w:tr w:rsidR="0046067C" w:rsidRPr="00800B4C" w:rsidTr="00881CC4">
        <w:trPr>
          <w:trHeight w:val="300"/>
        </w:trPr>
        <w:tc>
          <w:tcPr>
            <w:tcW w:w="4126" w:type="dxa"/>
            <w:tcBorders>
              <w:top w:val="nil"/>
              <w:left w:val="single" w:sz="4" w:space="0" w:color="auto"/>
              <w:bottom w:val="single" w:sz="4" w:space="0" w:color="auto"/>
              <w:right w:val="single" w:sz="4" w:space="0" w:color="auto"/>
            </w:tcBorders>
            <w:shd w:val="clear" w:color="auto" w:fill="auto"/>
            <w:noWrap/>
            <w:vAlign w:val="center"/>
            <w:hideMark/>
          </w:tcPr>
          <w:p w:rsidR="0046067C" w:rsidRPr="00800B4C" w:rsidRDefault="0046067C" w:rsidP="00881CC4">
            <w:pPr>
              <w:spacing w:after="0" w:line="240" w:lineRule="auto"/>
              <w:rPr>
                <w:rFonts w:ascii="Calibri" w:eastAsia="Times New Roman" w:hAnsi="Calibri" w:cs="Times New Roman"/>
                <w:color w:val="000000"/>
                <w:lang w:eastAsia="en-GB"/>
              </w:rPr>
            </w:pPr>
            <w:r w:rsidRPr="00800B4C">
              <w:rPr>
                <w:rFonts w:ascii="Calibri" w:eastAsia="Times New Roman" w:hAnsi="Calibri" w:cs="Times New Roman"/>
                <w:color w:val="000000"/>
                <w:lang w:eastAsia="en-GB"/>
              </w:rPr>
              <w:t>Primary Care</w:t>
            </w:r>
          </w:p>
        </w:tc>
        <w:tc>
          <w:tcPr>
            <w:tcW w:w="1701" w:type="dxa"/>
            <w:tcBorders>
              <w:top w:val="nil"/>
              <w:left w:val="nil"/>
              <w:bottom w:val="single" w:sz="4" w:space="0" w:color="auto"/>
              <w:right w:val="single" w:sz="4" w:space="0" w:color="auto"/>
            </w:tcBorders>
            <w:shd w:val="clear" w:color="auto" w:fill="auto"/>
            <w:noWrap/>
            <w:vAlign w:val="center"/>
            <w:hideMark/>
          </w:tcPr>
          <w:p w:rsidR="0046067C" w:rsidRPr="00800B4C" w:rsidRDefault="0046067C" w:rsidP="00881CC4">
            <w:pPr>
              <w:spacing w:after="0" w:line="240" w:lineRule="auto"/>
              <w:jc w:val="right"/>
              <w:rPr>
                <w:rFonts w:ascii="Calibri" w:eastAsia="Times New Roman" w:hAnsi="Calibri" w:cs="Times New Roman"/>
                <w:color w:val="000000"/>
                <w:lang w:eastAsia="en-GB"/>
              </w:rPr>
            </w:pPr>
            <w:r w:rsidRPr="00800B4C">
              <w:rPr>
                <w:rFonts w:ascii="Calibri" w:eastAsia="Times New Roman" w:hAnsi="Calibri" w:cs="Times New Roman"/>
                <w:color w:val="000000"/>
                <w:lang w:eastAsia="en-GB"/>
              </w:rPr>
              <w:t>51,207</w:t>
            </w:r>
          </w:p>
        </w:tc>
        <w:tc>
          <w:tcPr>
            <w:tcW w:w="1793" w:type="dxa"/>
            <w:tcBorders>
              <w:top w:val="nil"/>
              <w:left w:val="nil"/>
              <w:bottom w:val="single" w:sz="4" w:space="0" w:color="auto"/>
              <w:right w:val="single" w:sz="4" w:space="0" w:color="auto"/>
            </w:tcBorders>
            <w:shd w:val="clear" w:color="auto" w:fill="auto"/>
            <w:noWrap/>
            <w:vAlign w:val="center"/>
            <w:hideMark/>
          </w:tcPr>
          <w:p w:rsidR="0046067C" w:rsidRPr="00800B4C" w:rsidRDefault="0046067C" w:rsidP="00881CC4">
            <w:pPr>
              <w:spacing w:after="0" w:line="240" w:lineRule="auto"/>
              <w:jc w:val="right"/>
              <w:rPr>
                <w:rFonts w:ascii="Calibri" w:eastAsia="Times New Roman" w:hAnsi="Calibri" w:cs="Times New Roman"/>
                <w:color w:val="000000"/>
                <w:lang w:eastAsia="en-GB"/>
              </w:rPr>
            </w:pPr>
            <w:r w:rsidRPr="00800B4C">
              <w:rPr>
                <w:rFonts w:ascii="Calibri" w:eastAsia="Times New Roman" w:hAnsi="Calibri" w:cs="Times New Roman"/>
                <w:color w:val="000000"/>
                <w:lang w:eastAsia="en-GB"/>
              </w:rPr>
              <w:t>52,270</w:t>
            </w:r>
          </w:p>
        </w:tc>
        <w:tc>
          <w:tcPr>
            <w:tcW w:w="1609" w:type="dxa"/>
            <w:tcBorders>
              <w:top w:val="nil"/>
              <w:left w:val="nil"/>
              <w:bottom w:val="single" w:sz="4" w:space="0" w:color="auto"/>
              <w:right w:val="single" w:sz="4" w:space="0" w:color="auto"/>
            </w:tcBorders>
            <w:shd w:val="clear" w:color="auto" w:fill="auto"/>
            <w:noWrap/>
            <w:vAlign w:val="center"/>
            <w:hideMark/>
          </w:tcPr>
          <w:p w:rsidR="0046067C" w:rsidRPr="00800B4C" w:rsidRDefault="0046067C" w:rsidP="00881CC4">
            <w:pPr>
              <w:spacing w:after="0" w:line="240" w:lineRule="auto"/>
              <w:jc w:val="right"/>
              <w:rPr>
                <w:rFonts w:ascii="Calibri" w:eastAsia="Times New Roman" w:hAnsi="Calibri" w:cs="Times New Roman"/>
                <w:color w:val="000000"/>
                <w:lang w:eastAsia="en-GB"/>
              </w:rPr>
            </w:pPr>
            <w:r w:rsidRPr="00800B4C">
              <w:rPr>
                <w:rFonts w:ascii="Calibri" w:eastAsia="Times New Roman" w:hAnsi="Calibri" w:cs="Times New Roman"/>
                <w:color w:val="000000"/>
                <w:lang w:eastAsia="en-GB"/>
              </w:rPr>
              <w:t>52,946</w:t>
            </w:r>
          </w:p>
        </w:tc>
      </w:tr>
      <w:tr w:rsidR="0046067C" w:rsidRPr="00800B4C" w:rsidTr="00881CC4">
        <w:trPr>
          <w:trHeight w:val="300"/>
        </w:trPr>
        <w:tc>
          <w:tcPr>
            <w:tcW w:w="4126" w:type="dxa"/>
            <w:tcBorders>
              <w:top w:val="nil"/>
              <w:left w:val="single" w:sz="4" w:space="0" w:color="auto"/>
              <w:bottom w:val="single" w:sz="4" w:space="0" w:color="auto"/>
              <w:right w:val="single" w:sz="4" w:space="0" w:color="auto"/>
            </w:tcBorders>
            <w:shd w:val="clear" w:color="auto" w:fill="auto"/>
            <w:noWrap/>
            <w:vAlign w:val="center"/>
            <w:hideMark/>
          </w:tcPr>
          <w:p w:rsidR="0046067C" w:rsidRPr="00800B4C" w:rsidRDefault="0046067C" w:rsidP="00881CC4">
            <w:pPr>
              <w:spacing w:after="0" w:line="240" w:lineRule="auto"/>
              <w:rPr>
                <w:rFonts w:ascii="Calibri" w:eastAsia="Times New Roman" w:hAnsi="Calibri" w:cs="Times New Roman"/>
                <w:color w:val="000000"/>
                <w:lang w:eastAsia="en-GB"/>
              </w:rPr>
            </w:pPr>
            <w:r w:rsidRPr="00800B4C">
              <w:rPr>
                <w:rFonts w:ascii="Calibri" w:eastAsia="Times New Roman" w:hAnsi="Calibri" w:cs="Times New Roman"/>
                <w:color w:val="000000"/>
                <w:lang w:eastAsia="en-GB"/>
              </w:rPr>
              <w:t>Other</w:t>
            </w:r>
          </w:p>
        </w:tc>
        <w:tc>
          <w:tcPr>
            <w:tcW w:w="1701" w:type="dxa"/>
            <w:tcBorders>
              <w:top w:val="nil"/>
              <w:left w:val="nil"/>
              <w:bottom w:val="single" w:sz="4" w:space="0" w:color="auto"/>
              <w:right w:val="single" w:sz="4" w:space="0" w:color="auto"/>
            </w:tcBorders>
            <w:shd w:val="clear" w:color="auto" w:fill="auto"/>
            <w:noWrap/>
            <w:vAlign w:val="center"/>
            <w:hideMark/>
          </w:tcPr>
          <w:p w:rsidR="0046067C" w:rsidRPr="00800B4C" w:rsidRDefault="0046067C" w:rsidP="00881CC4">
            <w:pPr>
              <w:spacing w:after="0" w:line="240" w:lineRule="auto"/>
              <w:jc w:val="right"/>
              <w:rPr>
                <w:rFonts w:ascii="Calibri" w:eastAsia="Times New Roman" w:hAnsi="Calibri" w:cs="Times New Roman"/>
                <w:color w:val="000000"/>
                <w:lang w:eastAsia="en-GB"/>
              </w:rPr>
            </w:pPr>
            <w:r w:rsidRPr="00800B4C">
              <w:rPr>
                <w:rFonts w:ascii="Calibri" w:eastAsia="Times New Roman" w:hAnsi="Calibri" w:cs="Times New Roman"/>
                <w:color w:val="000000"/>
                <w:lang w:eastAsia="en-GB"/>
              </w:rPr>
              <w:t>18,821</w:t>
            </w:r>
          </w:p>
        </w:tc>
        <w:tc>
          <w:tcPr>
            <w:tcW w:w="1793" w:type="dxa"/>
            <w:tcBorders>
              <w:top w:val="nil"/>
              <w:left w:val="nil"/>
              <w:bottom w:val="single" w:sz="4" w:space="0" w:color="auto"/>
              <w:right w:val="single" w:sz="4" w:space="0" w:color="auto"/>
            </w:tcBorders>
            <w:shd w:val="clear" w:color="auto" w:fill="auto"/>
            <w:noWrap/>
            <w:vAlign w:val="center"/>
            <w:hideMark/>
          </w:tcPr>
          <w:p w:rsidR="0046067C" w:rsidRPr="00800B4C" w:rsidRDefault="0046067C" w:rsidP="00881CC4">
            <w:pPr>
              <w:spacing w:after="0" w:line="240" w:lineRule="auto"/>
              <w:jc w:val="right"/>
              <w:rPr>
                <w:rFonts w:ascii="Calibri" w:eastAsia="Times New Roman" w:hAnsi="Calibri" w:cs="Times New Roman"/>
                <w:color w:val="000000"/>
                <w:lang w:eastAsia="en-GB"/>
              </w:rPr>
            </w:pPr>
            <w:r w:rsidRPr="00800B4C">
              <w:rPr>
                <w:rFonts w:ascii="Calibri" w:eastAsia="Times New Roman" w:hAnsi="Calibri" w:cs="Times New Roman"/>
                <w:color w:val="000000"/>
                <w:lang w:eastAsia="en-GB"/>
              </w:rPr>
              <w:t>19,091</w:t>
            </w:r>
          </w:p>
        </w:tc>
        <w:tc>
          <w:tcPr>
            <w:tcW w:w="1609" w:type="dxa"/>
            <w:tcBorders>
              <w:top w:val="nil"/>
              <w:left w:val="nil"/>
              <w:bottom w:val="single" w:sz="4" w:space="0" w:color="auto"/>
              <w:right w:val="single" w:sz="4" w:space="0" w:color="auto"/>
            </w:tcBorders>
            <w:shd w:val="clear" w:color="auto" w:fill="auto"/>
            <w:noWrap/>
            <w:vAlign w:val="center"/>
            <w:hideMark/>
          </w:tcPr>
          <w:p w:rsidR="0046067C" w:rsidRPr="00800B4C" w:rsidRDefault="0046067C" w:rsidP="00881CC4">
            <w:pPr>
              <w:spacing w:after="0" w:line="240" w:lineRule="auto"/>
              <w:jc w:val="right"/>
              <w:rPr>
                <w:rFonts w:ascii="Calibri" w:eastAsia="Times New Roman" w:hAnsi="Calibri" w:cs="Times New Roman"/>
                <w:color w:val="000000"/>
                <w:lang w:eastAsia="en-GB"/>
              </w:rPr>
            </w:pPr>
            <w:r w:rsidRPr="00800B4C">
              <w:rPr>
                <w:rFonts w:ascii="Calibri" w:eastAsia="Times New Roman" w:hAnsi="Calibri" w:cs="Times New Roman"/>
                <w:color w:val="000000"/>
                <w:lang w:eastAsia="en-GB"/>
              </w:rPr>
              <w:t>16,267</w:t>
            </w:r>
          </w:p>
        </w:tc>
      </w:tr>
      <w:tr w:rsidR="0046067C" w:rsidRPr="00800B4C" w:rsidTr="00881CC4">
        <w:trPr>
          <w:trHeight w:val="300"/>
        </w:trPr>
        <w:tc>
          <w:tcPr>
            <w:tcW w:w="4126" w:type="dxa"/>
            <w:tcBorders>
              <w:top w:val="nil"/>
              <w:left w:val="single" w:sz="4" w:space="0" w:color="auto"/>
              <w:bottom w:val="single" w:sz="4" w:space="0" w:color="auto"/>
              <w:right w:val="single" w:sz="4" w:space="0" w:color="auto"/>
            </w:tcBorders>
            <w:shd w:val="clear" w:color="auto" w:fill="auto"/>
            <w:noWrap/>
            <w:vAlign w:val="center"/>
            <w:hideMark/>
          </w:tcPr>
          <w:p w:rsidR="0046067C" w:rsidRPr="00800B4C" w:rsidRDefault="0046067C" w:rsidP="00881CC4">
            <w:pPr>
              <w:spacing w:after="0" w:line="240" w:lineRule="auto"/>
              <w:rPr>
                <w:rFonts w:ascii="Calibri" w:eastAsia="Times New Roman" w:hAnsi="Calibri" w:cs="Times New Roman"/>
                <w:b/>
                <w:bCs/>
                <w:color w:val="000000"/>
                <w:lang w:eastAsia="en-GB"/>
              </w:rPr>
            </w:pPr>
            <w:r w:rsidRPr="00800B4C">
              <w:rPr>
                <w:rFonts w:ascii="Calibri" w:eastAsia="Times New Roman" w:hAnsi="Calibri" w:cs="Times New Roman"/>
                <w:b/>
                <w:bCs/>
                <w:color w:val="000000"/>
                <w:lang w:eastAsia="en-GB"/>
              </w:rPr>
              <w:t>Total</w:t>
            </w:r>
          </w:p>
        </w:tc>
        <w:tc>
          <w:tcPr>
            <w:tcW w:w="1701" w:type="dxa"/>
            <w:tcBorders>
              <w:top w:val="nil"/>
              <w:left w:val="nil"/>
              <w:bottom w:val="single" w:sz="4" w:space="0" w:color="auto"/>
              <w:right w:val="single" w:sz="4" w:space="0" w:color="auto"/>
            </w:tcBorders>
            <w:shd w:val="clear" w:color="auto" w:fill="auto"/>
            <w:noWrap/>
            <w:vAlign w:val="center"/>
            <w:hideMark/>
          </w:tcPr>
          <w:p w:rsidR="0046067C" w:rsidRPr="00800B4C" w:rsidRDefault="0046067C" w:rsidP="00881CC4">
            <w:pPr>
              <w:spacing w:after="0" w:line="240" w:lineRule="auto"/>
              <w:jc w:val="right"/>
              <w:rPr>
                <w:rFonts w:ascii="Calibri" w:eastAsia="Times New Roman" w:hAnsi="Calibri" w:cs="Times New Roman"/>
                <w:b/>
                <w:bCs/>
                <w:color w:val="000000"/>
                <w:lang w:eastAsia="en-GB"/>
              </w:rPr>
            </w:pPr>
            <w:r w:rsidRPr="00800B4C">
              <w:rPr>
                <w:rFonts w:ascii="Calibri" w:eastAsia="Times New Roman" w:hAnsi="Calibri" w:cs="Times New Roman"/>
                <w:b/>
                <w:bCs/>
                <w:color w:val="000000"/>
                <w:lang w:eastAsia="en-GB"/>
              </w:rPr>
              <w:t>432,684</w:t>
            </w:r>
          </w:p>
        </w:tc>
        <w:tc>
          <w:tcPr>
            <w:tcW w:w="1793" w:type="dxa"/>
            <w:tcBorders>
              <w:top w:val="nil"/>
              <w:left w:val="nil"/>
              <w:bottom w:val="single" w:sz="4" w:space="0" w:color="auto"/>
              <w:right w:val="single" w:sz="4" w:space="0" w:color="auto"/>
            </w:tcBorders>
            <w:shd w:val="clear" w:color="auto" w:fill="auto"/>
            <w:noWrap/>
            <w:vAlign w:val="center"/>
            <w:hideMark/>
          </w:tcPr>
          <w:p w:rsidR="0046067C" w:rsidRPr="00800B4C" w:rsidRDefault="0046067C" w:rsidP="00881CC4">
            <w:pPr>
              <w:spacing w:after="0" w:line="240" w:lineRule="auto"/>
              <w:jc w:val="right"/>
              <w:rPr>
                <w:rFonts w:ascii="Calibri" w:eastAsia="Times New Roman" w:hAnsi="Calibri" w:cs="Times New Roman"/>
                <w:b/>
                <w:bCs/>
                <w:color w:val="000000"/>
                <w:lang w:eastAsia="en-GB"/>
              </w:rPr>
            </w:pPr>
            <w:r w:rsidRPr="00800B4C">
              <w:rPr>
                <w:rFonts w:ascii="Calibri" w:eastAsia="Times New Roman" w:hAnsi="Calibri" w:cs="Times New Roman"/>
                <w:b/>
                <w:bCs/>
                <w:color w:val="000000"/>
                <w:lang w:eastAsia="en-GB"/>
              </w:rPr>
              <w:t>452,418</w:t>
            </w:r>
          </w:p>
        </w:tc>
        <w:tc>
          <w:tcPr>
            <w:tcW w:w="1609" w:type="dxa"/>
            <w:tcBorders>
              <w:top w:val="nil"/>
              <w:left w:val="nil"/>
              <w:bottom w:val="single" w:sz="4" w:space="0" w:color="auto"/>
              <w:right w:val="single" w:sz="4" w:space="0" w:color="auto"/>
            </w:tcBorders>
            <w:shd w:val="clear" w:color="auto" w:fill="auto"/>
            <w:noWrap/>
            <w:vAlign w:val="center"/>
            <w:hideMark/>
          </w:tcPr>
          <w:p w:rsidR="0046067C" w:rsidRPr="00800B4C" w:rsidRDefault="0046067C" w:rsidP="00881CC4">
            <w:pPr>
              <w:spacing w:after="0" w:line="240" w:lineRule="auto"/>
              <w:jc w:val="right"/>
              <w:rPr>
                <w:rFonts w:ascii="Calibri" w:eastAsia="Times New Roman" w:hAnsi="Calibri" w:cs="Times New Roman"/>
                <w:b/>
                <w:bCs/>
                <w:color w:val="000000"/>
                <w:lang w:eastAsia="en-GB"/>
              </w:rPr>
            </w:pPr>
            <w:r w:rsidRPr="00800B4C">
              <w:rPr>
                <w:rFonts w:ascii="Calibri" w:eastAsia="Times New Roman" w:hAnsi="Calibri" w:cs="Times New Roman"/>
                <w:b/>
                <w:bCs/>
                <w:color w:val="000000"/>
                <w:lang w:eastAsia="en-GB"/>
              </w:rPr>
              <w:t>439,493</w:t>
            </w:r>
          </w:p>
        </w:tc>
      </w:tr>
      <w:tr w:rsidR="0046067C" w:rsidRPr="00800B4C" w:rsidTr="00881CC4">
        <w:trPr>
          <w:trHeight w:val="300"/>
        </w:trPr>
        <w:tc>
          <w:tcPr>
            <w:tcW w:w="4126" w:type="dxa"/>
            <w:tcBorders>
              <w:top w:val="nil"/>
              <w:left w:val="single" w:sz="4" w:space="0" w:color="auto"/>
              <w:bottom w:val="single" w:sz="4" w:space="0" w:color="auto"/>
              <w:right w:val="single" w:sz="4" w:space="0" w:color="auto"/>
            </w:tcBorders>
            <w:shd w:val="clear" w:color="auto" w:fill="auto"/>
            <w:noWrap/>
            <w:vAlign w:val="center"/>
            <w:hideMark/>
          </w:tcPr>
          <w:p w:rsidR="0046067C" w:rsidRPr="00800B4C" w:rsidRDefault="0046067C" w:rsidP="00881CC4">
            <w:pPr>
              <w:spacing w:after="0" w:line="240" w:lineRule="auto"/>
              <w:rPr>
                <w:rFonts w:ascii="Calibri" w:eastAsia="Times New Roman" w:hAnsi="Calibri" w:cs="Times New Roman"/>
                <w:b/>
                <w:bCs/>
                <w:color w:val="000000"/>
                <w:lang w:eastAsia="en-GB"/>
              </w:rPr>
            </w:pPr>
            <w:r w:rsidRPr="00800B4C">
              <w:rPr>
                <w:rFonts w:ascii="Calibri" w:eastAsia="Times New Roman" w:hAnsi="Calibri" w:cs="Times New Roman"/>
                <w:b/>
                <w:bCs/>
                <w:color w:val="000000"/>
                <w:lang w:eastAsia="en-GB"/>
              </w:rPr>
              <w:t>Net deficit</w:t>
            </w:r>
          </w:p>
        </w:tc>
        <w:tc>
          <w:tcPr>
            <w:tcW w:w="1701" w:type="dxa"/>
            <w:tcBorders>
              <w:top w:val="nil"/>
              <w:left w:val="nil"/>
              <w:bottom w:val="single" w:sz="4" w:space="0" w:color="auto"/>
              <w:right w:val="single" w:sz="4" w:space="0" w:color="auto"/>
            </w:tcBorders>
            <w:shd w:val="clear" w:color="auto" w:fill="auto"/>
            <w:noWrap/>
            <w:vAlign w:val="center"/>
            <w:hideMark/>
          </w:tcPr>
          <w:p w:rsidR="0046067C" w:rsidRPr="00800B4C" w:rsidRDefault="0046067C" w:rsidP="00881CC4">
            <w:pPr>
              <w:spacing w:after="0" w:line="240" w:lineRule="auto"/>
              <w:jc w:val="right"/>
              <w:rPr>
                <w:rFonts w:ascii="Calibri" w:eastAsia="Times New Roman" w:hAnsi="Calibri" w:cs="Times New Roman"/>
                <w:b/>
                <w:bCs/>
                <w:color w:val="000000"/>
                <w:lang w:eastAsia="en-GB"/>
              </w:rPr>
            </w:pPr>
            <w:r w:rsidRPr="00800B4C">
              <w:rPr>
                <w:rFonts w:ascii="Calibri" w:eastAsia="Times New Roman" w:hAnsi="Calibri" w:cs="Times New Roman"/>
                <w:b/>
                <w:bCs/>
                <w:color w:val="000000"/>
                <w:lang w:eastAsia="en-GB"/>
              </w:rPr>
              <w:t>23,950</w:t>
            </w:r>
          </w:p>
        </w:tc>
        <w:tc>
          <w:tcPr>
            <w:tcW w:w="1793" w:type="dxa"/>
            <w:tcBorders>
              <w:top w:val="nil"/>
              <w:left w:val="nil"/>
              <w:bottom w:val="single" w:sz="4" w:space="0" w:color="auto"/>
              <w:right w:val="single" w:sz="4" w:space="0" w:color="auto"/>
            </w:tcBorders>
            <w:shd w:val="clear" w:color="auto" w:fill="auto"/>
            <w:noWrap/>
            <w:vAlign w:val="center"/>
            <w:hideMark/>
          </w:tcPr>
          <w:p w:rsidR="0046067C" w:rsidRPr="00800B4C" w:rsidRDefault="0046067C" w:rsidP="00881CC4">
            <w:pPr>
              <w:spacing w:after="0" w:line="240" w:lineRule="auto"/>
              <w:jc w:val="right"/>
              <w:rPr>
                <w:rFonts w:ascii="Calibri" w:eastAsia="Times New Roman" w:hAnsi="Calibri" w:cs="Times New Roman"/>
                <w:b/>
                <w:bCs/>
                <w:color w:val="000000"/>
                <w:lang w:eastAsia="en-GB"/>
              </w:rPr>
            </w:pPr>
            <w:r w:rsidRPr="00800B4C">
              <w:rPr>
                <w:rFonts w:ascii="Calibri" w:eastAsia="Times New Roman" w:hAnsi="Calibri" w:cs="Times New Roman"/>
                <w:b/>
                <w:bCs/>
                <w:color w:val="000000"/>
                <w:lang w:eastAsia="en-GB"/>
              </w:rPr>
              <w:t>23,945</w:t>
            </w:r>
          </w:p>
        </w:tc>
        <w:tc>
          <w:tcPr>
            <w:tcW w:w="1609" w:type="dxa"/>
            <w:tcBorders>
              <w:top w:val="nil"/>
              <w:left w:val="nil"/>
              <w:bottom w:val="single" w:sz="4" w:space="0" w:color="auto"/>
              <w:right w:val="single" w:sz="4" w:space="0" w:color="auto"/>
            </w:tcBorders>
            <w:shd w:val="clear" w:color="auto" w:fill="auto"/>
            <w:noWrap/>
            <w:vAlign w:val="center"/>
            <w:hideMark/>
          </w:tcPr>
          <w:p w:rsidR="0046067C" w:rsidRPr="00800B4C" w:rsidRDefault="0046067C" w:rsidP="00881CC4">
            <w:pPr>
              <w:spacing w:after="0" w:line="240" w:lineRule="auto"/>
              <w:jc w:val="right"/>
              <w:rPr>
                <w:rFonts w:ascii="Calibri" w:eastAsia="Times New Roman" w:hAnsi="Calibri" w:cs="Times New Roman"/>
                <w:b/>
                <w:bCs/>
                <w:color w:val="000000"/>
                <w:lang w:eastAsia="en-GB"/>
              </w:rPr>
            </w:pPr>
            <w:r w:rsidRPr="00800B4C">
              <w:rPr>
                <w:rFonts w:ascii="Calibri" w:eastAsia="Times New Roman" w:hAnsi="Calibri" w:cs="Times New Roman"/>
                <w:b/>
                <w:bCs/>
                <w:color w:val="000000"/>
                <w:lang w:eastAsia="en-GB"/>
              </w:rPr>
              <w:t>11,020</w:t>
            </w:r>
          </w:p>
        </w:tc>
      </w:tr>
    </w:tbl>
    <w:p w:rsidR="0046067C" w:rsidRDefault="0046067C" w:rsidP="0046067C">
      <w:pPr>
        <w:spacing w:after="0"/>
        <w:jc w:val="both"/>
        <w:rPr>
          <w:b/>
          <w:bCs/>
          <w:sz w:val="18"/>
          <w:szCs w:val="18"/>
        </w:rPr>
      </w:pPr>
    </w:p>
    <w:p w:rsidR="0046067C" w:rsidRDefault="0046067C" w:rsidP="0046067C">
      <w:pPr>
        <w:spacing w:after="0"/>
        <w:jc w:val="both"/>
        <w:rPr>
          <w:color w:val="1F497D"/>
          <w:sz w:val="18"/>
          <w:szCs w:val="18"/>
        </w:rPr>
      </w:pPr>
      <w:r w:rsidRPr="00033D3F">
        <w:rPr>
          <w:b/>
          <w:bCs/>
          <w:sz w:val="18"/>
          <w:szCs w:val="18"/>
        </w:rPr>
        <w:t xml:space="preserve">Note: </w:t>
      </w:r>
      <w:r w:rsidRPr="00033D3F">
        <w:rPr>
          <w:sz w:val="18"/>
          <w:szCs w:val="18"/>
        </w:rPr>
        <w:t>the increase from the Original Net Budget to Current Net Budget figures i</w:t>
      </w:r>
      <w:r w:rsidRPr="00033D3F">
        <w:rPr>
          <w:color w:val="000000"/>
          <w:sz w:val="18"/>
          <w:szCs w:val="18"/>
          <w:lang w:eastAsia="en-GB"/>
        </w:rPr>
        <w:t xml:space="preserve">s due to additional non-recurrent funding received in year from NHS England for specific initiatives (e.g. additional patient services over the winter period) or from local North Central London CCGs for specific across CCG projects (e.g. impact of Barnet, Enfield and Haringey Clinical Strategy) </w:t>
      </w:r>
    </w:p>
    <w:p w:rsidR="0046067C" w:rsidRDefault="0046067C" w:rsidP="0046067C">
      <w:pPr>
        <w:spacing w:after="0"/>
        <w:jc w:val="both"/>
        <w:rPr>
          <w:color w:val="1F497D"/>
          <w:sz w:val="18"/>
          <w:szCs w:val="18"/>
        </w:rPr>
      </w:pPr>
    </w:p>
    <w:p w:rsidR="0046067C" w:rsidRPr="00033D3F" w:rsidRDefault="0046067C" w:rsidP="0046067C">
      <w:pPr>
        <w:spacing w:after="0"/>
        <w:jc w:val="both"/>
        <w:rPr>
          <w:color w:val="1F497D"/>
          <w:sz w:val="18"/>
          <w:szCs w:val="18"/>
        </w:rPr>
      </w:pPr>
      <w:r>
        <w:rPr>
          <w:rFonts w:cs="Arial"/>
          <w:b/>
        </w:rPr>
        <w:t xml:space="preserve">Biggest areas of net spend: </w:t>
      </w:r>
      <w:r>
        <w:rPr>
          <w:rFonts w:cs="Arial"/>
        </w:rPr>
        <w:t xml:space="preserve">the biggest areas of net spend are around </w:t>
      </w:r>
      <w:r w:rsidRPr="00C42730">
        <w:rPr>
          <w:rFonts w:cs="Arial"/>
          <w:b/>
        </w:rPr>
        <w:t>Acute</w:t>
      </w:r>
      <w:r>
        <w:rPr>
          <w:rFonts w:cs="Arial"/>
        </w:rPr>
        <w:t xml:space="preserve"> spending and </w:t>
      </w:r>
      <w:r w:rsidRPr="00C42730">
        <w:rPr>
          <w:rFonts w:cs="Arial"/>
          <w:b/>
        </w:rPr>
        <w:t>Community</w:t>
      </w:r>
      <w:r>
        <w:rPr>
          <w:rFonts w:cs="Arial"/>
          <w:b/>
        </w:rPr>
        <w:t>.</w:t>
      </w:r>
    </w:p>
    <w:p w:rsidR="0046067C" w:rsidRDefault="0046067C" w:rsidP="0046067C"/>
    <w:p w:rsidR="0046067C" w:rsidRDefault="0046067C" w:rsidP="0046067C"/>
    <w:p w:rsidR="00711078" w:rsidRDefault="00711078" w:rsidP="0046067C">
      <w:pPr>
        <w:pStyle w:val="Heading1"/>
        <w:numPr>
          <w:ilvl w:val="0"/>
          <w:numId w:val="0"/>
        </w:numPr>
        <w:ind w:left="432"/>
      </w:pPr>
    </w:p>
    <w:p w:rsidR="00711078" w:rsidRDefault="00711078">
      <w:pPr>
        <w:rPr>
          <w:rFonts w:asciiTheme="majorHAnsi" w:eastAsiaTheme="majorEastAsia" w:hAnsiTheme="majorHAnsi" w:cstheme="majorBidi"/>
          <w:b/>
          <w:bCs/>
          <w:color w:val="365F91" w:themeColor="accent1" w:themeShade="BF"/>
          <w:sz w:val="28"/>
          <w:szCs w:val="28"/>
        </w:rPr>
      </w:pPr>
      <w:r>
        <w:br w:type="page"/>
      </w:r>
    </w:p>
    <w:p w:rsidR="00040678" w:rsidRDefault="00040678" w:rsidP="005E71B5">
      <w:pPr>
        <w:pStyle w:val="Heading1"/>
      </w:pPr>
      <w:bookmarkStart w:id="1042" w:name="_Toc431225274"/>
      <w:r w:rsidRPr="007D2B74">
        <w:lastRenderedPageBreak/>
        <w:t>Appendix</w:t>
      </w:r>
      <w:r w:rsidRPr="007156F7">
        <w:t xml:space="preserve">-1 </w:t>
      </w:r>
      <w:r w:rsidRPr="00E36350">
        <w:t xml:space="preserve">Barnet </w:t>
      </w:r>
      <w:r>
        <w:t xml:space="preserve">(PHOF) </w:t>
      </w:r>
      <w:r w:rsidRPr="00E36350">
        <w:t>Indicators</w:t>
      </w:r>
      <w:r>
        <w:t xml:space="preserve"> that are worse or lower than England</w:t>
      </w:r>
      <w:bookmarkEnd w:id="1025"/>
      <w:bookmarkEnd w:id="1042"/>
    </w:p>
    <w:p w:rsidR="00040678" w:rsidRDefault="00040678" w:rsidP="00040678">
      <w:pPr>
        <w:spacing w:after="0" w:line="240" w:lineRule="auto"/>
        <w:jc w:val="center"/>
        <w:rPr>
          <w:rFonts w:ascii="Calibri" w:hAnsi="Calibri" w:cs="Arial"/>
        </w:rPr>
      </w:pPr>
      <w:r w:rsidRPr="000D6E85">
        <w:rPr>
          <w:rFonts w:ascii="Calibri" w:hAnsi="Calibri" w:cs="Arial"/>
        </w:rPr>
        <w:t>(Benchmark: England)</w:t>
      </w:r>
    </w:p>
    <w:p w:rsidR="00E670CA" w:rsidRPr="009E2D33" w:rsidRDefault="00E670CA" w:rsidP="00E670CA">
      <w:pPr>
        <w:spacing w:after="0" w:line="240" w:lineRule="auto"/>
        <w:jc w:val="center"/>
        <w:rPr>
          <w:rFonts w:ascii="Arial" w:hAnsi="Arial" w:cs="Arial"/>
          <w:sz w:val="2"/>
        </w:rPr>
      </w:pPr>
      <w:r>
        <w:object w:dxaOrig="16950" w:dyaOrig="525">
          <v:shape id="_x0000_i1026" type="#_x0000_t75" style="width:459.95pt;height:13.95pt" o:ole="" o:bordertopcolor="this" o:borderleftcolor="this" o:borderbottomcolor="this" o:borderrightcolor="this">
            <v:imagedata r:id="rId260" o:title=""/>
            <w10:bordertop type="dot" width="4"/>
            <w10:borderleft type="dot" width="4"/>
            <w10:borderbottom type="dot" width="4"/>
            <w10:borderright type="dot" width="4"/>
          </v:shape>
          <o:OLEObject Type="Embed" ProgID="PBrush" ShapeID="_x0000_i1026" DrawAspect="Content" ObjectID="_1504969009" r:id="rId261"/>
        </w:object>
      </w:r>
    </w:p>
    <w:tbl>
      <w:tblPr>
        <w:tblW w:w="10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18"/>
        <w:gridCol w:w="926"/>
        <w:gridCol w:w="834"/>
        <w:gridCol w:w="708"/>
        <w:gridCol w:w="851"/>
      </w:tblGrid>
      <w:tr w:rsidR="00E670CA" w:rsidRPr="001B40D5" w:rsidTr="00412908">
        <w:trPr>
          <w:trHeight w:val="300"/>
        </w:trPr>
        <w:tc>
          <w:tcPr>
            <w:tcW w:w="6789" w:type="dxa"/>
            <w:gridSpan w:val="2"/>
            <w:shd w:val="clear" w:color="auto" w:fill="auto"/>
            <w:noWrap/>
            <w:vAlign w:val="center"/>
            <w:hideMark/>
          </w:tcPr>
          <w:p w:rsidR="00E670CA" w:rsidRPr="001B40D5" w:rsidRDefault="00E670CA" w:rsidP="00412908">
            <w:pPr>
              <w:spacing w:after="0" w:line="240" w:lineRule="auto"/>
              <w:rPr>
                <w:rFonts w:eastAsia="Times New Roman"/>
                <w:b/>
                <w:bCs/>
                <w:color w:val="000000"/>
                <w:sz w:val="20"/>
                <w:szCs w:val="20"/>
                <w:lang w:eastAsia="en-GB"/>
              </w:rPr>
            </w:pPr>
            <w:r w:rsidRPr="001B40D5">
              <w:rPr>
                <w:rFonts w:eastAsia="Times New Roman"/>
                <w:b/>
                <w:bCs/>
                <w:color w:val="000000"/>
                <w:sz w:val="20"/>
                <w:szCs w:val="20"/>
                <w:lang w:eastAsia="en-GB"/>
              </w:rPr>
              <w:t>Indicator Name</w:t>
            </w:r>
          </w:p>
        </w:tc>
        <w:tc>
          <w:tcPr>
            <w:tcW w:w="926" w:type="dxa"/>
            <w:vMerge w:val="restart"/>
            <w:shd w:val="clear" w:color="auto" w:fill="auto"/>
            <w:noWrap/>
            <w:vAlign w:val="center"/>
            <w:hideMark/>
          </w:tcPr>
          <w:p w:rsidR="00E670CA" w:rsidRPr="001B40D5" w:rsidRDefault="00E670CA" w:rsidP="00412908">
            <w:pPr>
              <w:spacing w:after="0" w:line="240" w:lineRule="auto"/>
              <w:jc w:val="center"/>
              <w:rPr>
                <w:rFonts w:eastAsia="Times New Roman"/>
                <w:b/>
                <w:bCs/>
                <w:color w:val="000000"/>
                <w:sz w:val="20"/>
                <w:szCs w:val="20"/>
                <w:lang w:eastAsia="en-GB"/>
              </w:rPr>
            </w:pPr>
            <w:r w:rsidRPr="001B40D5">
              <w:rPr>
                <w:rFonts w:eastAsia="Times New Roman"/>
                <w:b/>
                <w:bCs/>
                <w:color w:val="000000"/>
                <w:sz w:val="20"/>
                <w:szCs w:val="20"/>
                <w:lang w:eastAsia="en-GB"/>
              </w:rPr>
              <w:t>Year</w:t>
            </w:r>
          </w:p>
        </w:tc>
        <w:tc>
          <w:tcPr>
            <w:tcW w:w="1542" w:type="dxa"/>
            <w:gridSpan w:val="2"/>
            <w:vAlign w:val="center"/>
          </w:tcPr>
          <w:p w:rsidR="00E670CA" w:rsidRPr="001B40D5" w:rsidRDefault="00E670CA" w:rsidP="00412908">
            <w:pPr>
              <w:spacing w:after="0" w:line="240" w:lineRule="auto"/>
              <w:ind w:left="-126"/>
              <w:jc w:val="center"/>
              <w:rPr>
                <w:rFonts w:eastAsia="Times New Roman"/>
                <w:b/>
                <w:bCs/>
                <w:color w:val="000000"/>
                <w:sz w:val="20"/>
                <w:szCs w:val="20"/>
                <w:lang w:eastAsia="en-GB"/>
              </w:rPr>
            </w:pPr>
            <w:r>
              <w:rPr>
                <w:rFonts w:eastAsia="Times New Roman"/>
                <w:b/>
                <w:bCs/>
                <w:color w:val="000000"/>
                <w:sz w:val="20"/>
                <w:szCs w:val="20"/>
                <w:lang w:eastAsia="en-GB"/>
              </w:rPr>
              <w:t>Barnet</w:t>
            </w:r>
          </w:p>
        </w:tc>
        <w:tc>
          <w:tcPr>
            <w:tcW w:w="851" w:type="dxa"/>
            <w:shd w:val="clear" w:color="auto" w:fill="auto"/>
            <w:vAlign w:val="center"/>
          </w:tcPr>
          <w:p w:rsidR="00E670CA" w:rsidRPr="001B40D5" w:rsidRDefault="00E670CA" w:rsidP="00412908">
            <w:pPr>
              <w:spacing w:after="0" w:line="240" w:lineRule="auto"/>
              <w:ind w:left="-126"/>
              <w:jc w:val="center"/>
              <w:rPr>
                <w:rFonts w:eastAsia="Times New Roman"/>
                <w:b/>
                <w:bCs/>
                <w:color w:val="000000"/>
                <w:sz w:val="20"/>
                <w:szCs w:val="20"/>
                <w:lang w:eastAsia="en-GB"/>
              </w:rPr>
            </w:pPr>
            <w:r w:rsidRPr="001B40D5">
              <w:rPr>
                <w:rFonts w:eastAsia="Times New Roman"/>
                <w:b/>
                <w:bCs/>
                <w:color w:val="000000"/>
                <w:sz w:val="20"/>
                <w:szCs w:val="20"/>
                <w:lang w:eastAsia="en-GB"/>
              </w:rPr>
              <w:t>England</w:t>
            </w:r>
          </w:p>
        </w:tc>
      </w:tr>
      <w:tr w:rsidR="00E670CA" w:rsidRPr="001B40D5" w:rsidTr="00412908">
        <w:trPr>
          <w:trHeight w:val="300"/>
        </w:trPr>
        <w:tc>
          <w:tcPr>
            <w:tcW w:w="6789" w:type="dxa"/>
            <w:gridSpan w:val="2"/>
            <w:shd w:val="clear" w:color="auto" w:fill="auto"/>
            <w:noWrap/>
            <w:vAlign w:val="center"/>
          </w:tcPr>
          <w:p w:rsidR="00E670CA" w:rsidRPr="001B40D5" w:rsidRDefault="00E670CA" w:rsidP="00412908">
            <w:pPr>
              <w:spacing w:after="0" w:line="240" w:lineRule="auto"/>
              <w:rPr>
                <w:rFonts w:eastAsia="Times New Roman"/>
                <w:sz w:val="20"/>
                <w:szCs w:val="20"/>
                <w:lang w:eastAsia="en-GB"/>
              </w:rPr>
            </w:pPr>
            <w:r w:rsidRPr="001B40D5">
              <w:rPr>
                <w:rFonts w:eastAsia="Times New Roman"/>
                <w:b/>
                <w:sz w:val="20"/>
                <w:szCs w:val="20"/>
                <w:lang w:eastAsia="en-GB"/>
              </w:rPr>
              <w:t xml:space="preserve">Wider Determinants </w:t>
            </w:r>
            <w:r>
              <w:rPr>
                <w:rFonts w:eastAsia="Times New Roman"/>
                <w:b/>
                <w:sz w:val="20"/>
                <w:szCs w:val="20"/>
                <w:lang w:eastAsia="en-GB"/>
              </w:rPr>
              <w:t>o</w:t>
            </w:r>
            <w:r w:rsidRPr="001B40D5">
              <w:rPr>
                <w:rFonts w:eastAsia="Times New Roman"/>
                <w:b/>
                <w:sz w:val="20"/>
                <w:szCs w:val="20"/>
                <w:lang w:eastAsia="en-GB"/>
              </w:rPr>
              <w:t>f Health</w:t>
            </w:r>
          </w:p>
        </w:tc>
        <w:tc>
          <w:tcPr>
            <w:tcW w:w="926" w:type="dxa"/>
            <w:vMerge/>
            <w:shd w:val="clear" w:color="auto" w:fill="auto"/>
            <w:vAlign w:val="bottom"/>
          </w:tcPr>
          <w:p w:rsidR="00E670CA" w:rsidRPr="001B40D5" w:rsidRDefault="00E670CA" w:rsidP="00412908">
            <w:pPr>
              <w:spacing w:after="0" w:line="240" w:lineRule="auto"/>
              <w:jc w:val="center"/>
              <w:rPr>
                <w:rFonts w:eastAsia="Times New Roman"/>
                <w:sz w:val="20"/>
                <w:szCs w:val="20"/>
                <w:lang w:eastAsia="en-GB"/>
              </w:rPr>
            </w:pPr>
          </w:p>
        </w:tc>
        <w:tc>
          <w:tcPr>
            <w:tcW w:w="834" w:type="dxa"/>
            <w:vAlign w:val="center"/>
          </w:tcPr>
          <w:p w:rsidR="00E670CA" w:rsidRPr="001B40D5" w:rsidRDefault="00E670CA" w:rsidP="00412908">
            <w:pPr>
              <w:spacing w:after="0" w:line="240" w:lineRule="auto"/>
              <w:ind w:left="-126"/>
              <w:jc w:val="center"/>
              <w:rPr>
                <w:rFonts w:eastAsia="Times New Roman"/>
                <w:b/>
                <w:bCs/>
                <w:color w:val="000000"/>
                <w:sz w:val="20"/>
                <w:szCs w:val="20"/>
                <w:lang w:eastAsia="en-GB"/>
              </w:rPr>
            </w:pPr>
            <w:r w:rsidRPr="001B40D5">
              <w:rPr>
                <w:rFonts w:eastAsia="Times New Roman"/>
                <w:b/>
                <w:bCs/>
                <w:color w:val="000000"/>
                <w:sz w:val="20"/>
                <w:szCs w:val="20"/>
                <w:lang w:eastAsia="en-GB"/>
              </w:rPr>
              <w:t>Count</w:t>
            </w:r>
          </w:p>
        </w:tc>
        <w:tc>
          <w:tcPr>
            <w:tcW w:w="708" w:type="dxa"/>
            <w:shd w:val="clear" w:color="auto" w:fill="auto"/>
            <w:vAlign w:val="center"/>
          </w:tcPr>
          <w:p w:rsidR="00E670CA" w:rsidRPr="001B40D5" w:rsidRDefault="00E670CA" w:rsidP="00412908">
            <w:pPr>
              <w:spacing w:after="0" w:line="240" w:lineRule="auto"/>
              <w:ind w:left="-126"/>
              <w:jc w:val="center"/>
              <w:rPr>
                <w:rFonts w:eastAsia="Times New Roman"/>
                <w:b/>
                <w:bCs/>
                <w:color w:val="000000"/>
                <w:sz w:val="20"/>
                <w:szCs w:val="20"/>
                <w:lang w:eastAsia="en-GB"/>
              </w:rPr>
            </w:pPr>
            <w:r w:rsidRPr="001B40D5">
              <w:rPr>
                <w:rFonts w:eastAsia="Times New Roman"/>
                <w:b/>
                <w:bCs/>
                <w:color w:val="000000"/>
                <w:sz w:val="20"/>
                <w:szCs w:val="20"/>
                <w:lang w:eastAsia="en-GB"/>
              </w:rPr>
              <w:t>Value</w:t>
            </w:r>
          </w:p>
        </w:tc>
        <w:tc>
          <w:tcPr>
            <w:tcW w:w="851" w:type="dxa"/>
            <w:shd w:val="clear" w:color="auto" w:fill="auto"/>
          </w:tcPr>
          <w:p w:rsidR="00E670CA" w:rsidRPr="001B40D5" w:rsidRDefault="00E670CA" w:rsidP="00412908">
            <w:pPr>
              <w:spacing w:after="0" w:line="240" w:lineRule="auto"/>
              <w:jc w:val="center"/>
              <w:rPr>
                <w:rFonts w:eastAsia="Times New Roman"/>
                <w:sz w:val="20"/>
                <w:szCs w:val="20"/>
                <w:lang w:eastAsia="en-GB"/>
              </w:rPr>
            </w:pPr>
            <w:r w:rsidRPr="001B40D5">
              <w:rPr>
                <w:rFonts w:eastAsia="Times New Roman"/>
                <w:b/>
                <w:bCs/>
                <w:color w:val="000000"/>
                <w:sz w:val="20"/>
                <w:szCs w:val="20"/>
                <w:lang w:eastAsia="en-GB"/>
              </w:rPr>
              <w:t>Value</w:t>
            </w:r>
          </w:p>
        </w:tc>
      </w:tr>
      <w:tr w:rsidR="00E670CA" w:rsidRPr="001B40D5" w:rsidTr="00412908">
        <w:trPr>
          <w:trHeight w:val="300"/>
        </w:trPr>
        <w:tc>
          <w:tcPr>
            <w:tcW w:w="6789" w:type="dxa"/>
            <w:gridSpan w:val="2"/>
            <w:shd w:val="clear" w:color="auto" w:fill="auto"/>
            <w:noWrap/>
            <w:vAlign w:val="center"/>
            <w:hideMark/>
          </w:tcPr>
          <w:p w:rsidR="00E670CA" w:rsidRPr="001B40D5" w:rsidRDefault="00E670CA" w:rsidP="00412908">
            <w:pPr>
              <w:spacing w:after="0" w:line="240" w:lineRule="auto"/>
              <w:rPr>
                <w:rFonts w:eastAsia="Times New Roman"/>
                <w:color w:val="000000"/>
                <w:sz w:val="20"/>
                <w:szCs w:val="20"/>
                <w:lang w:eastAsia="en-GB"/>
              </w:rPr>
            </w:pPr>
            <w:r w:rsidRPr="001B40D5">
              <w:rPr>
                <w:rFonts w:eastAsia="Times New Roman"/>
                <w:color w:val="000000"/>
                <w:sz w:val="20"/>
                <w:szCs w:val="20"/>
                <w:lang w:eastAsia="en-GB"/>
              </w:rPr>
              <w:t>1.15ii - Statutory homelessness - households in temporary accommodation (persons, all ages)</w:t>
            </w:r>
          </w:p>
        </w:tc>
        <w:tc>
          <w:tcPr>
            <w:tcW w:w="926" w:type="dxa"/>
            <w:shd w:val="clear" w:color="auto" w:fill="auto"/>
            <w:noWrap/>
            <w:vAlign w:val="center"/>
            <w:hideMark/>
          </w:tcPr>
          <w:p w:rsidR="00E670CA" w:rsidRPr="001B40D5" w:rsidRDefault="00E670CA" w:rsidP="00412908">
            <w:pPr>
              <w:spacing w:after="0" w:line="240" w:lineRule="auto"/>
              <w:ind w:left="-126"/>
              <w:jc w:val="center"/>
              <w:rPr>
                <w:rFonts w:eastAsia="Times New Roman"/>
                <w:color w:val="000000"/>
                <w:sz w:val="20"/>
                <w:szCs w:val="20"/>
                <w:lang w:eastAsia="en-GB"/>
              </w:rPr>
            </w:pPr>
            <w:r w:rsidRPr="001B40D5">
              <w:rPr>
                <w:rFonts w:eastAsia="Times New Roman"/>
                <w:color w:val="000000"/>
                <w:sz w:val="20"/>
                <w:szCs w:val="20"/>
                <w:lang w:eastAsia="en-GB"/>
              </w:rPr>
              <w:t>2013/14</w:t>
            </w:r>
          </w:p>
        </w:tc>
        <w:tc>
          <w:tcPr>
            <w:tcW w:w="834" w:type="dxa"/>
            <w:vAlign w:val="center"/>
          </w:tcPr>
          <w:p w:rsidR="00E670CA" w:rsidRPr="001B40D5" w:rsidRDefault="00E670CA" w:rsidP="00412908">
            <w:pPr>
              <w:spacing w:after="0" w:line="240" w:lineRule="auto"/>
              <w:ind w:left="-126"/>
              <w:jc w:val="center"/>
              <w:rPr>
                <w:rFonts w:eastAsia="Times New Roman"/>
                <w:color w:val="000000"/>
                <w:sz w:val="20"/>
                <w:szCs w:val="20"/>
                <w:lang w:eastAsia="en-GB"/>
              </w:rPr>
            </w:pPr>
            <w:r w:rsidRPr="001B40D5">
              <w:rPr>
                <w:rFonts w:eastAsia="Times New Roman"/>
                <w:color w:val="000000"/>
                <w:sz w:val="20"/>
                <w:szCs w:val="20"/>
                <w:lang w:eastAsia="en-GB"/>
              </w:rPr>
              <w:t>2,401</w:t>
            </w:r>
          </w:p>
        </w:tc>
        <w:tc>
          <w:tcPr>
            <w:tcW w:w="708" w:type="dxa"/>
            <w:shd w:val="clear" w:color="auto" w:fill="FF0000"/>
            <w:noWrap/>
            <w:vAlign w:val="center"/>
            <w:hideMark/>
          </w:tcPr>
          <w:p w:rsidR="00E670CA" w:rsidRPr="001B40D5" w:rsidRDefault="00E670CA" w:rsidP="00412908">
            <w:pPr>
              <w:spacing w:after="0" w:line="240" w:lineRule="auto"/>
              <w:ind w:left="-126"/>
              <w:jc w:val="center"/>
              <w:rPr>
                <w:rFonts w:eastAsia="Times New Roman"/>
                <w:color w:val="000000"/>
                <w:sz w:val="20"/>
                <w:szCs w:val="20"/>
                <w:lang w:eastAsia="en-GB"/>
              </w:rPr>
            </w:pPr>
            <w:r w:rsidRPr="001B40D5">
              <w:rPr>
                <w:rFonts w:eastAsia="Times New Roman"/>
                <w:color w:val="000000"/>
                <w:sz w:val="20"/>
                <w:szCs w:val="20"/>
                <w:lang w:eastAsia="en-GB"/>
              </w:rPr>
              <w:t>16.9</w:t>
            </w:r>
            <w:r>
              <w:rPr>
                <w:rFonts w:eastAsia="Times New Roman"/>
                <w:color w:val="000000"/>
                <w:sz w:val="20"/>
                <w:szCs w:val="20"/>
                <w:lang w:eastAsia="en-GB"/>
              </w:rPr>
              <w:t xml:space="preserve"> / 1,000</w:t>
            </w:r>
          </w:p>
        </w:tc>
        <w:tc>
          <w:tcPr>
            <w:tcW w:w="851" w:type="dxa"/>
            <w:shd w:val="clear" w:color="auto" w:fill="auto"/>
            <w:vAlign w:val="center"/>
          </w:tcPr>
          <w:p w:rsidR="00E670CA" w:rsidRPr="001B40D5" w:rsidRDefault="00E670CA" w:rsidP="00412908">
            <w:pPr>
              <w:spacing w:after="0" w:line="240" w:lineRule="auto"/>
              <w:ind w:left="-126"/>
              <w:jc w:val="center"/>
              <w:rPr>
                <w:rFonts w:eastAsia="Times New Roman"/>
                <w:color w:val="000000"/>
                <w:sz w:val="20"/>
                <w:szCs w:val="20"/>
                <w:lang w:eastAsia="en-GB"/>
              </w:rPr>
            </w:pPr>
            <w:r>
              <w:rPr>
                <w:rFonts w:eastAsia="Times New Roman"/>
                <w:color w:val="000000"/>
                <w:sz w:val="20"/>
                <w:szCs w:val="20"/>
                <w:lang w:eastAsia="en-GB"/>
              </w:rPr>
              <w:t>2.6 / 1,000</w:t>
            </w:r>
          </w:p>
        </w:tc>
      </w:tr>
      <w:tr w:rsidR="00E670CA" w:rsidRPr="001B40D5" w:rsidTr="00412908">
        <w:trPr>
          <w:trHeight w:val="300"/>
        </w:trPr>
        <w:tc>
          <w:tcPr>
            <w:tcW w:w="6789" w:type="dxa"/>
            <w:gridSpan w:val="2"/>
            <w:shd w:val="clear" w:color="auto" w:fill="auto"/>
            <w:noWrap/>
            <w:vAlign w:val="center"/>
            <w:hideMark/>
          </w:tcPr>
          <w:p w:rsidR="00E670CA" w:rsidRPr="001B40D5" w:rsidRDefault="00E670CA" w:rsidP="00412908">
            <w:pPr>
              <w:spacing w:after="0" w:line="240" w:lineRule="auto"/>
              <w:rPr>
                <w:rFonts w:eastAsia="Times New Roman"/>
                <w:color w:val="000000"/>
                <w:sz w:val="20"/>
                <w:szCs w:val="20"/>
                <w:lang w:eastAsia="en-GB"/>
              </w:rPr>
            </w:pPr>
            <w:r w:rsidRPr="001B40D5">
              <w:rPr>
                <w:rFonts w:eastAsia="Times New Roman"/>
                <w:color w:val="000000"/>
                <w:sz w:val="20"/>
                <w:szCs w:val="20"/>
                <w:lang w:eastAsia="en-GB"/>
              </w:rPr>
              <w:t>1.18ii - Social Isolation: % of adult carers who have as much social contact as they would like (persons, all ages)</w:t>
            </w:r>
          </w:p>
        </w:tc>
        <w:tc>
          <w:tcPr>
            <w:tcW w:w="926" w:type="dxa"/>
            <w:shd w:val="clear" w:color="auto" w:fill="auto"/>
            <w:noWrap/>
            <w:vAlign w:val="center"/>
            <w:hideMark/>
          </w:tcPr>
          <w:p w:rsidR="00E670CA" w:rsidRPr="001B40D5" w:rsidRDefault="00E670CA" w:rsidP="00412908">
            <w:pPr>
              <w:spacing w:after="0" w:line="240" w:lineRule="auto"/>
              <w:ind w:left="-126"/>
              <w:jc w:val="center"/>
              <w:rPr>
                <w:rFonts w:eastAsia="Times New Roman"/>
                <w:color w:val="000000"/>
                <w:sz w:val="20"/>
                <w:szCs w:val="20"/>
                <w:lang w:eastAsia="en-GB"/>
              </w:rPr>
            </w:pPr>
            <w:r w:rsidRPr="001B40D5">
              <w:rPr>
                <w:rFonts w:eastAsia="Times New Roman"/>
                <w:color w:val="000000"/>
                <w:sz w:val="20"/>
                <w:szCs w:val="20"/>
                <w:lang w:eastAsia="en-GB"/>
              </w:rPr>
              <w:t>2012/13</w:t>
            </w:r>
          </w:p>
        </w:tc>
        <w:tc>
          <w:tcPr>
            <w:tcW w:w="834" w:type="dxa"/>
            <w:vAlign w:val="center"/>
          </w:tcPr>
          <w:p w:rsidR="00E670CA" w:rsidRPr="001B40D5" w:rsidRDefault="00E670CA" w:rsidP="00412908">
            <w:pPr>
              <w:spacing w:after="0" w:line="240" w:lineRule="auto"/>
              <w:ind w:left="-126"/>
              <w:jc w:val="center"/>
              <w:rPr>
                <w:rFonts w:eastAsia="Times New Roman"/>
                <w:color w:val="000000"/>
                <w:sz w:val="20"/>
                <w:szCs w:val="20"/>
                <w:lang w:eastAsia="en-GB"/>
              </w:rPr>
            </w:pPr>
            <w:r w:rsidRPr="001B40D5">
              <w:rPr>
                <w:rFonts w:eastAsia="Times New Roman"/>
                <w:color w:val="000000"/>
                <w:sz w:val="20"/>
                <w:szCs w:val="20"/>
                <w:lang w:eastAsia="en-GB"/>
              </w:rPr>
              <w:t>No data</w:t>
            </w:r>
          </w:p>
        </w:tc>
        <w:tc>
          <w:tcPr>
            <w:tcW w:w="708" w:type="dxa"/>
            <w:shd w:val="clear" w:color="auto" w:fill="FF0000"/>
            <w:noWrap/>
            <w:vAlign w:val="center"/>
            <w:hideMark/>
          </w:tcPr>
          <w:p w:rsidR="00E670CA" w:rsidRPr="001B40D5" w:rsidRDefault="00E670CA" w:rsidP="00412908">
            <w:pPr>
              <w:spacing w:after="0" w:line="240" w:lineRule="auto"/>
              <w:ind w:left="-126"/>
              <w:jc w:val="center"/>
              <w:rPr>
                <w:rFonts w:eastAsia="Times New Roman"/>
                <w:color w:val="000000"/>
                <w:sz w:val="20"/>
                <w:szCs w:val="20"/>
                <w:lang w:eastAsia="en-GB"/>
              </w:rPr>
            </w:pPr>
            <w:r>
              <w:rPr>
                <w:rFonts w:eastAsia="Times New Roman"/>
                <w:color w:val="000000"/>
                <w:sz w:val="20"/>
                <w:szCs w:val="20"/>
                <w:lang w:eastAsia="en-GB"/>
              </w:rPr>
              <w:t>35.8%</w:t>
            </w:r>
          </w:p>
        </w:tc>
        <w:tc>
          <w:tcPr>
            <w:tcW w:w="851" w:type="dxa"/>
            <w:shd w:val="clear" w:color="auto" w:fill="auto"/>
            <w:vAlign w:val="center"/>
          </w:tcPr>
          <w:p w:rsidR="00E670CA" w:rsidRPr="001B40D5" w:rsidRDefault="00E670CA" w:rsidP="00412908">
            <w:pPr>
              <w:spacing w:after="0" w:line="240" w:lineRule="auto"/>
              <w:ind w:left="-126"/>
              <w:jc w:val="center"/>
              <w:rPr>
                <w:rFonts w:eastAsia="Times New Roman"/>
                <w:color w:val="000000"/>
                <w:sz w:val="20"/>
                <w:szCs w:val="20"/>
                <w:lang w:eastAsia="en-GB"/>
              </w:rPr>
            </w:pPr>
            <w:r>
              <w:rPr>
                <w:rFonts w:eastAsia="Times New Roman"/>
                <w:color w:val="000000"/>
                <w:sz w:val="20"/>
                <w:szCs w:val="20"/>
                <w:lang w:eastAsia="en-GB"/>
              </w:rPr>
              <w:t>41.3%</w:t>
            </w:r>
          </w:p>
        </w:tc>
      </w:tr>
      <w:tr w:rsidR="00E670CA" w:rsidRPr="001B40D5" w:rsidTr="00412908">
        <w:trPr>
          <w:trHeight w:val="300"/>
        </w:trPr>
        <w:tc>
          <w:tcPr>
            <w:tcW w:w="10108" w:type="dxa"/>
            <w:gridSpan w:val="6"/>
            <w:shd w:val="clear" w:color="auto" w:fill="auto"/>
            <w:noWrap/>
            <w:vAlign w:val="center"/>
          </w:tcPr>
          <w:p w:rsidR="00E670CA" w:rsidRPr="001B40D5" w:rsidRDefault="00E670CA" w:rsidP="00412908">
            <w:pPr>
              <w:spacing w:after="0" w:line="240" w:lineRule="auto"/>
              <w:rPr>
                <w:rFonts w:eastAsia="Times New Roman"/>
                <w:sz w:val="20"/>
                <w:szCs w:val="20"/>
                <w:lang w:eastAsia="en-GB"/>
              </w:rPr>
            </w:pPr>
            <w:r w:rsidRPr="001B40D5">
              <w:rPr>
                <w:rFonts w:eastAsia="Times New Roman"/>
                <w:b/>
                <w:sz w:val="20"/>
                <w:szCs w:val="20"/>
                <w:lang w:eastAsia="en-GB"/>
              </w:rPr>
              <w:t>Health Improvement</w:t>
            </w:r>
          </w:p>
        </w:tc>
      </w:tr>
      <w:tr w:rsidR="00E670CA" w:rsidRPr="001B40D5" w:rsidTr="00412908">
        <w:trPr>
          <w:trHeight w:val="300"/>
        </w:trPr>
        <w:tc>
          <w:tcPr>
            <w:tcW w:w="6771" w:type="dxa"/>
            <w:shd w:val="clear" w:color="auto" w:fill="auto"/>
            <w:noWrap/>
            <w:vAlign w:val="center"/>
            <w:hideMark/>
          </w:tcPr>
          <w:p w:rsidR="00E670CA" w:rsidRPr="001B40D5" w:rsidRDefault="00E670CA" w:rsidP="00412908">
            <w:pPr>
              <w:spacing w:after="0" w:line="240" w:lineRule="auto"/>
              <w:rPr>
                <w:rFonts w:eastAsia="Times New Roman"/>
                <w:color w:val="000000"/>
                <w:sz w:val="20"/>
                <w:szCs w:val="20"/>
                <w:lang w:eastAsia="en-GB"/>
              </w:rPr>
            </w:pPr>
            <w:r w:rsidRPr="001B40D5">
              <w:rPr>
                <w:rFonts w:eastAsia="Times New Roman"/>
                <w:color w:val="000000"/>
                <w:sz w:val="20"/>
                <w:szCs w:val="20"/>
                <w:lang w:eastAsia="en-GB"/>
              </w:rPr>
              <w:t xml:space="preserve">2.15ii - Successful completion of drug treatment - non-opiate users (persons, 18-75 </w:t>
            </w:r>
            <w:proofErr w:type="spellStart"/>
            <w:r w:rsidRPr="001B40D5">
              <w:rPr>
                <w:rFonts w:eastAsia="Times New Roman"/>
                <w:color w:val="000000"/>
                <w:sz w:val="20"/>
                <w:szCs w:val="20"/>
                <w:lang w:eastAsia="en-GB"/>
              </w:rPr>
              <w:t>yrs</w:t>
            </w:r>
            <w:proofErr w:type="spellEnd"/>
            <w:r w:rsidRPr="001B40D5">
              <w:rPr>
                <w:rFonts w:eastAsia="Times New Roman"/>
                <w:color w:val="000000"/>
                <w:sz w:val="20"/>
                <w:szCs w:val="20"/>
                <w:lang w:eastAsia="en-GB"/>
              </w:rPr>
              <w:t>)</w:t>
            </w:r>
          </w:p>
        </w:tc>
        <w:tc>
          <w:tcPr>
            <w:tcW w:w="944" w:type="dxa"/>
            <w:gridSpan w:val="2"/>
            <w:shd w:val="clear" w:color="auto" w:fill="auto"/>
            <w:noWrap/>
            <w:vAlign w:val="center"/>
            <w:hideMark/>
          </w:tcPr>
          <w:p w:rsidR="00E670CA" w:rsidRPr="001B40D5" w:rsidRDefault="00E670CA" w:rsidP="00412908">
            <w:pPr>
              <w:spacing w:after="0" w:line="240" w:lineRule="auto"/>
              <w:ind w:left="-126"/>
              <w:jc w:val="center"/>
              <w:rPr>
                <w:rFonts w:eastAsia="Times New Roman"/>
                <w:color w:val="000000"/>
                <w:sz w:val="20"/>
                <w:szCs w:val="20"/>
                <w:lang w:eastAsia="en-GB"/>
              </w:rPr>
            </w:pPr>
            <w:r w:rsidRPr="001B40D5">
              <w:rPr>
                <w:rFonts w:eastAsia="Times New Roman"/>
                <w:color w:val="000000"/>
                <w:sz w:val="20"/>
                <w:szCs w:val="20"/>
                <w:lang w:eastAsia="en-GB"/>
              </w:rPr>
              <w:t>2013</w:t>
            </w:r>
          </w:p>
        </w:tc>
        <w:tc>
          <w:tcPr>
            <w:tcW w:w="834" w:type="dxa"/>
            <w:vAlign w:val="center"/>
          </w:tcPr>
          <w:p w:rsidR="00E670CA" w:rsidRPr="001B40D5" w:rsidRDefault="00E670CA" w:rsidP="00412908">
            <w:pPr>
              <w:spacing w:after="0" w:line="240" w:lineRule="auto"/>
              <w:ind w:left="-126"/>
              <w:jc w:val="center"/>
              <w:rPr>
                <w:rFonts w:eastAsia="Times New Roman"/>
                <w:color w:val="000000"/>
                <w:sz w:val="20"/>
                <w:szCs w:val="20"/>
                <w:lang w:eastAsia="en-GB"/>
              </w:rPr>
            </w:pPr>
            <w:r w:rsidRPr="001B40D5">
              <w:rPr>
                <w:rFonts w:eastAsia="Times New Roman"/>
                <w:color w:val="000000"/>
                <w:sz w:val="20"/>
                <w:szCs w:val="20"/>
                <w:lang w:eastAsia="en-GB"/>
              </w:rPr>
              <w:t>74</w:t>
            </w:r>
          </w:p>
        </w:tc>
        <w:tc>
          <w:tcPr>
            <w:tcW w:w="708" w:type="dxa"/>
            <w:shd w:val="clear" w:color="auto" w:fill="FF0000"/>
            <w:noWrap/>
            <w:vAlign w:val="center"/>
            <w:hideMark/>
          </w:tcPr>
          <w:p w:rsidR="00E670CA" w:rsidRPr="001B40D5" w:rsidRDefault="00E670CA" w:rsidP="00412908">
            <w:pPr>
              <w:spacing w:after="0" w:line="240" w:lineRule="auto"/>
              <w:ind w:left="-126"/>
              <w:jc w:val="center"/>
              <w:rPr>
                <w:rFonts w:eastAsia="Times New Roman"/>
                <w:color w:val="000000"/>
                <w:sz w:val="20"/>
                <w:szCs w:val="20"/>
                <w:lang w:eastAsia="en-GB"/>
              </w:rPr>
            </w:pPr>
            <w:r w:rsidRPr="001B40D5">
              <w:rPr>
                <w:rFonts w:eastAsia="Times New Roman"/>
                <w:color w:val="000000"/>
                <w:sz w:val="20"/>
                <w:szCs w:val="20"/>
                <w:lang w:eastAsia="en-GB"/>
              </w:rPr>
              <w:t>20.</w:t>
            </w:r>
            <w:r>
              <w:rPr>
                <w:rFonts w:eastAsia="Times New Roman"/>
                <w:color w:val="000000"/>
                <w:sz w:val="20"/>
                <w:szCs w:val="20"/>
                <w:lang w:eastAsia="en-GB"/>
              </w:rPr>
              <w:t>4%</w:t>
            </w:r>
          </w:p>
        </w:tc>
        <w:tc>
          <w:tcPr>
            <w:tcW w:w="851" w:type="dxa"/>
            <w:shd w:val="clear" w:color="auto" w:fill="auto"/>
            <w:vAlign w:val="center"/>
          </w:tcPr>
          <w:p w:rsidR="00E670CA" w:rsidRPr="001B40D5" w:rsidRDefault="00E670CA" w:rsidP="00412908">
            <w:pPr>
              <w:spacing w:after="0" w:line="240" w:lineRule="auto"/>
              <w:ind w:left="-126"/>
              <w:jc w:val="center"/>
              <w:rPr>
                <w:rFonts w:eastAsia="Times New Roman"/>
                <w:color w:val="000000"/>
                <w:sz w:val="20"/>
                <w:szCs w:val="20"/>
                <w:lang w:eastAsia="en-GB"/>
              </w:rPr>
            </w:pPr>
            <w:r>
              <w:rPr>
                <w:rFonts w:eastAsia="Times New Roman"/>
                <w:color w:val="000000"/>
                <w:sz w:val="20"/>
                <w:szCs w:val="20"/>
                <w:lang w:eastAsia="en-GB"/>
              </w:rPr>
              <w:t>37.7%</w:t>
            </w:r>
          </w:p>
        </w:tc>
      </w:tr>
      <w:tr w:rsidR="00E670CA" w:rsidRPr="001B40D5" w:rsidTr="00412908">
        <w:trPr>
          <w:trHeight w:val="300"/>
        </w:trPr>
        <w:tc>
          <w:tcPr>
            <w:tcW w:w="6771" w:type="dxa"/>
            <w:shd w:val="clear" w:color="auto" w:fill="auto"/>
            <w:noWrap/>
            <w:vAlign w:val="center"/>
            <w:hideMark/>
          </w:tcPr>
          <w:p w:rsidR="00E670CA" w:rsidRPr="001B40D5" w:rsidRDefault="00E670CA" w:rsidP="00412908">
            <w:pPr>
              <w:spacing w:after="0" w:line="240" w:lineRule="auto"/>
              <w:rPr>
                <w:rFonts w:eastAsia="Times New Roman"/>
                <w:color w:val="000000"/>
                <w:sz w:val="20"/>
                <w:szCs w:val="20"/>
                <w:lang w:eastAsia="en-GB"/>
              </w:rPr>
            </w:pPr>
            <w:r w:rsidRPr="001B40D5">
              <w:rPr>
                <w:rFonts w:eastAsia="Times New Roman"/>
                <w:color w:val="000000"/>
                <w:sz w:val="20"/>
                <w:szCs w:val="20"/>
                <w:lang w:eastAsia="en-GB"/>
              </w:rPr>
              <w:t xml:space="preserve">2.16 - People entering prison with substance dependence issues who are previously not known to community treatment (persons, 18+ </w:t>
            </w:r>
            <w:proofErr w:type="spellStart"/>
            <w:r w:rsidRPr="001B40D5">
              <w:rPr>
                <w:rFonts w:eastAsia="Times New Roman"/>
                <w:color w:val="000000"/>
                <w:sz w:val="20"/>
                <w:szCs w:val="20"/>
                <w:lang w:eastAsia="en-GB"/>
              </w:rPr>
              <w:t>yrs</w:t>
            </w:r>
            <w:proofErr w:type="spellEnd"/>
            <w:r w:rsidRPr="001B40D5">
              <w:rPr>
                <w:rFonts w:eastAsia="Times New Roman"/>
                <w:color w:val="000000"/>
                <w:sz w:val="20"/>
                <w:szCs w:val="20"/>
                <w:lang w:eastAsia="en-GB"/>
              </w:rPr>
              <w:t>)</w:t>
            </w:r>
          </w:p>
        </w:tc>
        <w:tc>
          <w:tcPr>
            <w:tcW w:w="944" w:type="dxa"/>
            <w:gridSpan w:val="2"/>
            <w:shd w:val="clear" w:color="auto" w:fill="auto"/>
            <w:noWrap/>
            <w:vAlign w:val="center"/>
            <w:hideMark/>
          </w:tcPr>
          <w:p w:rsidR="00E670CA" w:rsidRPr="001B40D5" w:rsidRDefault="00E670CA" w:rsidP="00412908">
            <w:pPr>
              <w:spacing w:after="0" w:line="240" w:lineRule="auto"/>
              <w:ind w:left="-126"/>
              <w:jc w:val="center"/>
              <w:rPr>
                <w:rFonts w:eastAsia="Times New Roman"/>
                <w:color w:val="000000"/>
                <w:sz w:val="20"/>
                <w:szCs w:val="20"/>
                <w:lang w:eastAsia="en-GB"/>
              </w:rPr>
            </w:pPr>
            <w:r w:rsidRPr="001B40D5">
              <w:rPr>
                <w:rFonts w:eastAsia="Times New Roman"/>
                <w:color w:val="000000"/>
                <w:sz w:val="20"/>
                <w:szCs w:val="20"/>
                <w:lang w:eastAsia="en-GB"/>
              </w:rPr>
              <w:t>2012/13</w:t>
            </w:r>
          </w:p>
        </w:tc>
        <w:tc>
          <w:tcPr>
            <w:tcW w:w="834" w:type="dxa"/>
            <w:vAlign w:val="center"/>
          </w:tcPr>
          <w:p w:rsidR="00E670CA" w:rsidRPr="001B40D5" w:rsidRDefault="00E670CA" w:rsidP="00412908">
            <w:pPr>
              <w:spacing w:after="0" w:line="240" w:lineRule="auto"/>
              <w:ind w:left="-126"/>
              <w:jc w:val="center"/>
              <w:rPr>
                <w:rFonts w:eastAsia="Times New Roman"/>
                <w:color w:val="000000"/>
                <w:sz w:val="20"/>
                <w:szCs w:val="20"/>
                <w:lang w:eastAsia="en-GB"/>
              </w:rPr>
            </w:pPr>
            <w:r w:rsidRPr="001B40D5">
              <w:rPr>
                <w:rFonts w:eastAsia="Times New Roman"/>
                <w:color w:val="000000"/>
                <w:sz w:val="20"/>
                <w:szCs w:val="20"/>
                <w:lang w:eastAsia="en-GB"/>
              </w:rPr>
              <w:t>112</w:t>
            </w:r>
          </w:p>
        </w:tc>
        <w:tc>
          <w:tcPr>
            <w:tcW w:w="708" w:type="dxa"/>
            <w:shd w:val="clear" w:color="auto" w:fill="FF0000"/>
            <w:noWrap/>
            <w:vAlign w:val="center"/>
            <w:hideMark/>
          </w:tcPr>
          <w:p w:rsidR="00E670CA" w:rsidRPr="001B40D5" w:rsidRDefault="00E670CA" w:rsidP="00412908">
            <w:pPr>
              <w:spacing w:after="0" w:line="240" w:lineRule="auto"/>
              <w:ind w:left="-126"/>
              <w:jc w:val="center"/>
              <w:rPr>
                <w:rFonts w:eastAsia="Times New Roman"/>
                <w:color w:val="000000"/>
                <w:sz w:val="20"/>
                <w:szCs w:val="20"/>
                <w:lang w:eastAsia="en-GB"/>
              </w:rPr>
            </w:pPr>
            <w:r w:rsidRPr="001B40D5">
              <w:rPr>
                <w:rFonts w:eastAsia="Times New Roman"/>
                <w:color w:val="000000"/>
                <w:sz w:val="20"/>
                <w:szCs w:val="20"/>
                <w:lang w:eastAsia="en-GB"/>
              </w:rPr>
              <w:t>55.4</w:t>
            </w:r>
            <w:r>
              <w:rPr>
                <w:rFonts w:eastAsia="Times New Roman"/>
                <w:color w:val="000000"/>
                <w:sz w:val="20"/>
                <w:szCs w:val="20"/>
                <w:lang w:eastAsia="en-GB"/>
              </w:rPr>
              <w:t>%</w:t>
            </w:r>
          </w:p>
        </w:tc>
        <w:tc>
          <w:tcPr>
            <w:tcW w:w="851" w:type="dxa"/>
            <w:shd w:val="clear" w:color="auto" w:fill="auto"/>
            <w:vAlign w:val="center"/>
          </w:tcPr>
          <w:p w:rsidR="00E670CA" w:rsidRPr="001B40D5" w:rsidRDefault="00E670CA" w:rsidP="00412908">
            <w:pPr>
              <w:spacing w:after="0" w:line="240" w:lineRule="auto"/>
              <w:ind w:left="-126"/>
              <w:jc w:val="center"/>
              <w:rPr>
                <w:rFonts w:eastAsia="Times New Roman"/>
                <w:color w:val="000000"/>
                <w:sz w:val="20"/>
                <w:szCs w:val="20"/>
                <w:lang w:eastAsia="en-GB"/>
              </w:rPr>
            </w:pPr>
            <w:r>
              <w:rPr>
                <w:rFonts w:eastAsia="Times New Roman"/>
                <w:color w:val="000000"/>
                <w:sz w:val="20"/>
                <w:szCs w:val="20"/>
                <w:lang w:eastAsia="en-GB"/>
              </w:rPr>
              <w:t>46.9%</w:t>
            </w:r>
          </w:p>
        </w:tc>
      </w:tr>
      <w:tr w:rsidR="00E670CA" w:rsidRPr="001B40D5" w:rsidTr="00412908">
        <w:trPr>
          <w:trHeight w:val="300"/>
        </w:trPr>
        <w:tc>
          <w:tcPr>
            <w:tcW w:w="6771" w:type="dxa"/>
            <w:shd w:val="clear" w:color="auto" w:fill="auto"/>
            <w:noWrap/>
            <w:vAlign w:val="center"/>
            <w:hideMark/>
          </w:tcPr>
          <w:p w:rsidR="00E670CA" w:rsidRPr="001B40D5" w:rsidRDefault="00E670CA" w:rsidP="00412908">
            <w:pPr>
              <w:spacing w:after="0" w:line="240" w:lineRule="auto"/>
              <w:rPr>
                <w:rFonts w:eastAsia="Times New Roman"/>
                <w:color w:val="000000"/>
                <w:sz w:val="20"/>
                <w:szCs w:val="20"/>
                <w:lang w:eastAsia="en-GB"/>
              </w:rPr>
            </w:pPr>
            <w:r w:rsidRPr="001B40D5">
              <w:rPr>
                <w:rFonts w:eastAsia="Times New Roman"/>
                <w:color w:val="000000"/>
                <w:sz w:val="20"/>
                <w:szCs w:val="20"/>
                <w:lang w:eastAsia="en-GB"/>
              </w:rPr>
              <w:t xml:space="preserve">2.17 - Recorded diabetes (persons, 17+ </w:t>
            </w:r>
            <w:proofErr w:type="spellStart"/>
            <w:r w:rsidRPr="001B40D5">
              <w:rPr>
                <w:rFonts w:eastAsia="Times New Roman"/>
                <w:color w:val="000000"/>
                <w:sz w:val="20"/>
                <w:szCs w:val="20"/>
                <w:lang w:eastAsia="en-GB"/>
              </w:rPr>
              <w:t>yrs</w:t>
            </w:r>
            <w:proofErr w:type="spellEnd"/>
            <w:r w:rsidRPr="001B40D5">
              <w:rPr>
                <w:rFonts w:eastAsia="Times New Roman"/>
                <w:color w:val="000000"/>
                <w:sz w:val="20"/>
                <w:szCs w:val="20"/>
                <w:lang w:eastAsia="en-GB"/>
              </w:rPr>
              <w:t>)</w:t>
            </w:r>
          </w:p>
        </w:tc>
        <w:tc>
          <w:tcPr>
            <w:tcW w:w="944" w:type="dxa"/>
            <w:gridSpan w:val="2"/>
            <w:shd w:val="clear" w:color="auto" w:fill="auto"/>
            <w:noWrap/>
            <w:vAlign w:val="center"/>
            <w:hideMark/>
          </w:tcPr>
          <w:p w:rsidR="00E670CA" w:rsidRPr="001B40D5" w:rsidRDefault="00E670CA" w:rsidP="00412908">
            <w:pPr>
              <w:spacing w:after="0" w:line="240" w:lineRule="auto"/>
              <w:ind w:left="-126"/>
              <w:jc w:val="center"/>
              <w:rPr>
                <w:rFonts w:eastAsia="Times New Roman"/>
                <w:color w:val="000000"/>
                <w:sz w:val="20"/>
                <w:szCs w:val="20"/>
                <w:lang w:eastAsia="en-GB"/>
              </w:rPr>
            </w:pPr>
            <w:r w:rsidRPr="001B40D5">
              <w:rPr>
                <w:rFonts w:eastAsia="Times New Roman"/>
                <w:color w:val="000000"/>
                <w:sz w:val="20"/>
                <w:szCs w:val="20"/>
                <w:lang w:eastAsia="en-GB"/>
              </w:rPr>
              <w:t>2013/14</w:t>
            </w:r>
          </w:p>
        </w:tc>
        <w:tc>
          <w:tcPr>
            <w:tcW w:w="834" w:type="dxa"/>
            <w:vAlign w:val="center"/>
          </w:tcPr>
          <w:p w:rsidR="00E670CA" w:rsidRPr="001B40D5" w:rsidRDefault="00E670CA" w:rsidP="00412908">
            <w:pPr>
              <w:spacing w:after="0" w:line="240" w:lineRule="auto"/>
              <w:ind w:left="-126"/>
              <w:jc w:val="center"/>
              <w:rPr>
                <w:rFonts w:eastAsia="Times New Roman"/>
                <w:color w:val="000000"/>
                <w:sz w:val="20"/>
                <w:szCs w:val="20"/>
                <w:lang w:eastAsia="en-GB"/>
              </w:rPr>
            </w:pPr>
            <w:r w:rsidRPr="001B40D5">
              <w:rPr>
                <w:rFonts w:eastAsia="Times New Roman"/>
                <w:color w:val="000000"/>
                <w:sz w:val="20"/>
                <w:szCs w:val="20"/>
                <w:lang w:eastAsia="en-GB"/>
              </w:rPr>
              <w:t>17,970</w:t>
            </w:r>
          </w:p>
        </w:tc>
        <w:tc>
          <w:tcPr>
            <w:tcW w:w="708" w:type="dxa"/>
            <w:shd w:val="clear" w:color="auto" w:fill="0066FF"/>
            <w:noWrap/>
            <w:vAlign w:val="center"/>
            <w:hideMark/>
          </w:tcPr>
          <w:p w:rsidR="00E670CA" w:rsidRPr="001B40D5" w:rsidRDefault="00E670CA" w:rsidP="00412908">
            <w:pPr>
              <w:spacing w:after="0" w:line="240" w:lineRule="auto"/>
              <w:ind w:left="-126"/>
              <w:jc w:val="center"/>
              <w:rPr>
                <w:rFonts w:eastAsia="Times New Roman"/>
                <w:color w:val="000000"/>
                <w:sz w:val="20"/>
                <w:szCs w:val="20"/>
                <w:lang w:eastAsia="en-GB"/>
              </w:rPr>
            </w:pPr>
            <w:r w:rsidRPr="001B40D5">
              <w:rPr>
                <w:rFonts w:eastAsia="Times New Roman"/>
                <w:color w:val="000000"/>
                <w:sz w:val="20"/>
                <w:szCs w:val="20"/>
                <w:lang w:eastAsia="en-GB"/>
              </w:rPr>
              <w:t>6.0</w:t>
            </w:r>
            <w:r>
              <w:rPr>
                <w:rFonts w:eastAsia="Times New Roman"/>
                <w:color w:val="000000"/>
                <w:sz w:val="20"/>
                <w:szCs w:val="20"/>
                <w:lang w:eastAsia="en-GB"/>
              </w:rPr>
              <w:t>%</w:t>
            </w:r>
          </w:p>
        </w:tc>
        <w:tc>
          <w:tcPr>
            <w:tcW w:w="851" w:type="dxa"/>
            <w:shd w:val="clear" w:color="auto" w:fill="auto"/>
            <w:vAlign w:val="center"/>
          </w:tcPr>
          <w:p w:rsidR="00E670CA" w:rsidRPr="001B40D5" w:rsidRDefault="00E670CA" w:rsidP="00412908">
            <w:pPr>
              <w:spacing w:after="0" w:line="240" w:lineRule="auto"/>
              <w:ind w:left="-126"/>
              <w:jc w:val="center"/>
              <w:rPr>
                <w:rFonts w:eastAsia="Times New Roman"/>
                <w:color w:val="000000"/>
                <w:sz w:val="20"/>
                <w:szCs w:val="20"/>
                <w:lang w:eastAsia="en-GB"/>
              </w:rPr>
            </w:pPr>
            <w:r>
              <w:rPr>
                <w:rFonts w:eastAsia="Times New Roman"/>
                <w:color w:val="000000"/>
                <w:sz w:val="20"/>
                <w:szCs w:val="20"/>
                <w:lang w:eastAsia="en-GB"/>
              </w:rPr>
              <w:t>6.2%</w:t>
            </w:r>
          </w:p>
        </w:tc>
      </w:tr>
      <w:tr w:rsidR="00E670CA" w:rsidRPr="001B40D5" w:rsidTr="00412908">
        <w:trPr>
          <w:trHeight w:val="300"/>
        </w:trPr>
        <w:tc>
          <w:tcPr>
            <w:tcW w:w="6771" w:type="dxa"/>
            <w:shd w:val="clear" w:color="auto" w:fill="auto"/>
            <w:noWrap/>
            <w:vAlign w:val="center"/>
            <w:hideMark/>
          </w:tcPr>
          <w:p w:rsidR="00E670CA" w:rsidRPr="001B40D5" w:rsidRDefault="00E670CA" w:rsidP="00412908">
            <w:pPr>
              <w:spacing w:after="0" w:line="240" w:lineRule="auto"/>
              <w:rPr>
                <w:rFonts w:eastAsia="Times New Roman"/>
                <w:color w:val="000000"/>
                <w:sz w:val="20"/>
                <w:szCs w:val="20"/>
                <w:lang w:eastAsia="en-GB"/>
              </w:rPr>
            </w:pPr>
            <w:r w:rsidRPr="001B40D5">
              <w:rPr>
                <w:rFonts w:eastAsia="Times New Roman"/>
                <w:color w:val="000000"/>
                <w:sz w:val="20"/>
                <w:szCs w:val="20"/>
                <w:lang w:eastAsia="en-GB"/>
              </w:rPr>
              <w:t xml:space="preserve">2.20i - Cancer screening coverage - breast cancer (Female, 53-70 </w:t>
            </w:r>
            <w:proofErr w:type="spellStart"/>
            <w:r w:rsidRPr="001B40D5">
              <w:rPr>
                <w:rFonts w:eastAsia="Times New Roman"/>
                <w:color w:val="000000"/>
                <w:sz w:val="20"/>
                <w:szCs w:val="20"/>
                <w:lang w:eastAsia="en-GB"/>
              </w:rPr>
              <w:t>yr</w:t>
            </w:r>
            <w:r>
              <w:rPr>
                <w:rFonts w:eastAsia="Times New Roman"/>
                <w:color w:val="000000"/>
                <w:sz w:val="20"/>
                <w:szCs w:val="20"/>
                <w:lang w:eastAsia="en-GB"/>
              </w:rPr>
              <w:t>s</w:t>
            </w:r>
            <w:proofErr w:type="spellEnd"/>
            <w:r w:rsidRPr="001B40D5">
              <w:rPr>
                <w:rFonts w:eastAsia="Times New Roman"/>
                <w:color w:val="000000"/>
                <w:sz w:val="20"/>
                <w:szCs w:val="20"/>
                <w:lang w:eastAsia="en-GB"/>
              </w:rPr>
              <w:t>)</w:t>
            </w:r>
          </w:p>
        </w:tc>
        <w:tc>
          <w:tcPr>
            <w:tcW w:w="944" w:type="dxa"/>
            <w:gridSpan w:val="2"/>
            <w:shd w:val="clear" w:color="auto" w:fill="auto"/>
            <w:noWrap/>
            <w:vAlign w:val="center"/>
            <w:hideMark/>
          </w:tcPr>
          <w:p w:rsidR="00E670CA" w:rsidRPr="001B40D5" w:rsidRDefault="00E670CA" w:rsidP="00412908">
            <w:pPr>
              <w:spacing w:after="0" w:line="240" w:lineRule="auto"/>
              <w:ind w:left="-126"/>
              <w:jc w:val="center"/>
              <w:rPr>
                <w:rFonts w:eastAsia="Times New Roman"/>
                <w:color w:val="000000"/>
                <w:sz w:val="20"/>
                <w:szCs w:val="20"/>
                <w:lang w:eastAsia="en-GB"/>
              </w:rPr>
            </w:pPr>
            <w:r w:rsidRPr="001B40D5">
              <w:rPr>
                <w:rFonts w:eastAsia="Times New Roman"/>
                <w:color w:val="000000"/>
                <w:sz w:val="20"/>
                <w:szCs w:val="20"/>
                <w:lang w:eastAsia="en-GB"/>
              </w:rPr>
              <w:t>2014</w:t>
            </w:r>
          </w:p>
        </w:tc>
        <w:tc>
          <w:tcPr>
            <w:tcW w:w="834" w:type="dxa"/>
            <w:vAlign w:val="center"/>
          </w:tcPr>
          <w:p w:rsidR="00E670CA" w:rsidRPr="001B40D5" w:rsidRDefault="00E670CA" w:rsidP="00412908">
            <w:pPr>
              <w:spacing w:after="0" w:line="240" w:lineRule="auto"/>
              <w:ind w:left="-126"/>
              <w:jc w:val="center"/>
              <w:rPr>
                <w:rFonts w:eastAsia="Times New Roman"/>
                <w:color w:val="000000"/>
                <w:sz w:val="20"/>
                <w:szCs w:val="20"/>
                <w:lang w:eastAsia="en-GB"/>
              </w:rPr>
            </w:pPr>
            <w:r w:rsidRPr="001B40D5">
              <w:rPr>
                <w:rFonts w:eastAsia="Times New Roman"/>
                <w:color w:val="000000"/>
                <w:sz w:val="20"/>
                <w:szCs w:val="20"/>
                <w:lang w:eastAsia="en-GB"/>
              </w:rPr>
              <w:t>23,337</w:t>
            </w:r>
          </w:p>
        </w:tc>
        <w:tc>
          <w:tcPr>
            <w:tcW w:w="708" w:type="dxa"/>
            <w:shd w:val="clear" w:color="auto" w:fill="FF0000"/>
            <w:noWrap/>
            <w:vAlign w:val="center"/>
            <w:hideMark/>
          </w:tcPr>
          <w:p w:rsidR="00E670CA" w:rsidRPr="001B40D5" w:rsidRDefault="00E670CA" w:rsidP="00412908">
            <w:pPr>
              <w:spacing w:after="0" w:line="240" w:lineRule="auto"/>
              <w:ind w:left="-126"/>
              <w:jc w:val="center"/>
              <w:rPr>
                <w:rFonts w:eastAsia="Times New Roman"/>
                <w:color w:val="000000"/>
                <w:sz w:val="20"/>
                <w:szCs w:val="20"/>
                <w:lang w:eastAsia="en-GB"/>
              </w:rPr>
            </w:pPr>
            <w:r w:rsidRPr="001B40D5">
              <w:rPr>
                <w:rFonts w:eastAsia="Times New Roman"/>
                <w:color w:val="000000"/>
                <w:sz w:val="20"/>
                <w:szCs w:val="20"/>
                <w:lang w:eastAsia="en-GB"/>
              </w:rPr>
              <w:t>71.2</w:t>
            </w:r>
            <w:r>
              <w:rPr>
                <w:rFonts w:eastAsia="Times New Roman"/>
                <w:color w:val="000000"/>
                <w:sz w:val="20"/>
                <w:szCs w:val="20"/>
                <w:lang w:eastAsia="en-GB"/>
              </w:rPr>
              <w:t>%</w:t>
            </w:r>
          </w:p>
        </w:tc>
        <w:tc>
          <w:tcPr>
            <w:tcW w:w="851" w:type="dxa"/>
            <w:shd w:val="clear" w:color="auto" w:fill="auto"/>
            <w:vAlign w:val="center"/>
          </w:tcPr>
          <w:p w:rsidR="00E670CA" w:rsidRPr="001B40D5" w:rsidRDefault="00E670CA" w:rsidP="00412908">
            <w:pPr>
              <w:spacing w:after="0" w:line="240" w:lineRule="auto"/>
              <w:ind w:left="-126"/>
              <w:jc w:val="center"/>
              <w:rPr>
                <w:rFonts w:eastAsia="Times New Roman"/>
                <w:color w:val="000000"/>
                <w:sz w:val="20"/>
                <w:szCs w:val="20"/>
                <w:lang w:eastAsia="en-GB"/>
              </w:rPr>
            </w:pPr>
            <w:r>
              <w:rPr>
                <w:rFonts w:eastAsia="Times New Roman"/>
                <w:color w:val="000000"/>
                <w:sz w:val="20"/>
                <w:szCs w:val="20"/>
                <w:lang w:eastAsia="en-GB"/>
              </w:rPr>
              <w:t>75.9%</w:t>
            </w:r>
          </w:p>
        </w:tc>
      </w:tr>
      <w:tr w:rsidR="00E670CA" w:rsidRPr="001B40D5" w:rsidTr="00412908">
        <w:trPr>
          <w:trHeight w:val="300"/>
        </w:trPr>
        <w:tc>
          <w:tcPr>
            <w:tcW w:w="6771" w:type="dxa"/>
            <w:shd w:val="clear" w:color="auto" w:fill="auto"/>
            <w:noWrap/>
            <w:vAlign w:val="center"/>
            <w:hideMark/>
          </w:tcPr>
          <w:p w:rsidR="00E670CA" w:rsidRPr="001B40D5" w:rsidRDefault="00E670CA" w:rsidP="00412908">
            <w:pPr>
              <w:spacing w:after="0" w:line="240" w:lineRule="auto"/>
              <w:rPr>
                <w:rFonts w:eastAsia="Times New Roman"/>
                <w:color w:val="000000"/>
                <w:sz w:val="20"/>
                <w:szCs w:val="20"/>
                <w:lang w:eastAsia="en-GB"/>
              </w:rPr>
            </w:pPr>
            <w:r w:rsidRPr="001B40D5">
              <w:rPr>
                <w:rFonts w:eastAsia="Times New Roman"/>
                <w:color w:val="000000"/>
                <w:sz w:val="20"/>
                <w:szCs w:val="20"/>
                <w:lang w:eastAsia="en-GB"/>
              </w:rPr>
              <w:t xml:space="preserve">2.20ii - Cancer screening coverage - cervical cancer (Female, 25-64 </w:t>
            </w:r>
            <w:proofErr w:type="spellStart"/>
            <w:r w:rsidRPr="001B40D5">
              <w:rPr>
                <w:rFonts w:eastAsia="Times New Roman"/>
                <w:color w:val="000000"/>
                <w:sz w:val="20"/>
                <w:szCs w:val="20"/>
                <w:lang w:eastAsia="en-GB"/>
              </w:rPr>
              <w:t>yr</w:t>
            </w:r>
            <w:r>
              <w:rPr>
                <w:rFonts w:eastAsia="Times New Roman"/>
                <w:color w:val="000000"/>
                <w:sz w:val="20"/>
                <w:szCs w:val="20"/>
                <w:lang w:eastAsia="en-GB"/>
              </w:rPr>
              <w:t>s</w:t>
            </w:r>
            <w:proofErr w:type="spellEnd"/>
            <w:r w:rsidRPr="001B40D5">
              <w:rPr>
                <w:rFonts w:eastAsia="Times New Roman"/>
                <w:color w:val="000000"/>
                <w:sz w:val="20"/>
                <w:szCs w:val="20"/>
                <w:lang w:eastAsia="en-GB"/>
              </w:rPr>
              <w:t>)</w:t>
            </w:r>
          </w:p>
        </w:tc>
        <w:tc>
          <w:tcPr>
            <w:tcW w:w="944" w:type="dxa"/>
            <w:gridSpan w:val="2"/>
            <w:shd w:val="clear" w:color="auto" w:fill="auto"/>
            <w:noWrap/>
            <w:vAlign w:val="center"/>
            <w:hideMark/>
          </w:tcPr>
          <w:p w:rsidR="00E670CA" w:rsidRPr="001B40D5" w:rsidRDefault="00E670CA" w:rsidP="00412908">
            <w:pPr>
              <w:spacing w:after="0" w:line="240" w:lineRule="auto"/>
              <w:ind w:left="-126"/>
              <w:jc w:val="center"/>
              <w:rPr>
                <w:rFonts w:eastAsia="Times New Roman"/>
                <w:color w:val="000000"/>
                <w:sz w:val="20"/>
                <w:szCs w:val="20"/>
                <w:lang w:eastAsia="en-GB"/>
              </w:rPr>
            </w:pPr>
            <w:r w:rsidRPr="001B40D5">
              <w:rPr>
                <w:rFonts w:eastAsia="Times New Roman"/>
                <w:color w:val="000000"/>
                <w:sz w:val="20"/>
                <w:szCs w:val="20"/>
                <w:lang w:eastAsia="en-GB"/>
              </w:rPr>
              <w:t>2014</w:t>
            </w:r>
          </w:p>
        </w:tc>
        <w:tc>
          <w:tcPr>
            <w:tcW w:w="834" w:type="dxa"/>
            <w:vAlign w:val="center"/>
          </w:tcPr>
          <w:p w:rsidR="00E670CA" w:rsidRPr="001B40D5" w:rsidRDefault="00E670CA" w:rsidP="00412908">
            <w:pPr>
              <w:spacing w:after="0" w:line="240" w:lineRule="auto"/>
              <w:ind w:left="-126"/>
              <w:jc w:val="center"/>
              <w:rPr>
                <w:rFonts w:eastAsia="Times New Roman"/>
                <w:color w:val="000000"/>
                <w:sz w:val="20"/>
                <w:szCs w:val="20"/>
                <w:lang w:eastAsia="en-GB"/>
              </w:rPr>
            </w:pPr>
            <w:r w:rsidRPr="001B40D5">
              <w:rPr>
                <w:rFonts w:eastAsia="Times New Roman"/>
                <w:color w:val="000000"/>
                <w:sz w:val="20"/>
                <w:szCs w:val="20"/>
                <w:lang w:eastAsia="en-GB"/>
              </w:rPr>
              <w:t>72,574</w:t>
            </w:r>
          </w:p>
        </w:tc>
        <w:tc>
          <w:tcPr>
            <w:tcW w:w="708" w:type="dxa"/>
            <w:shd w:val="clear" w:color="auto" w:fill="FF0000"/>
            <w:noWrap/>
            <w:vAlign w:val="center"/>
            <w:hideMark/>
          </w:tcPr>
          <w:p w:rsidR="00E670CA" w:rsidRPr="001B40D5" w:rsidRDefault="00E670CA" w:rsidP="00412908">
            <w:pPr>
              <w:spacing w:after="0" w:line="240" w:lineRule="auto"/>
              <w:ind w:left="-126"/>
              <w:jc w:val="center"/>
              <w:rPr>
                <w:rFonts w:eastAsia="Times New Roman"/>
                <w:color w:val="000000"/>
                <w:sz w:val="20"/>
                <w:szCs w:val="20"/>
                <w:lang w:eastAsia="en-GB"/>
              </w:rPr>
            </w:pPr>
            <w:r w:rsidRPr="001B40D5">
              <w:rPr>
                <w:rFonts w:eastAsia="Times New Roman"/>
                <w:color w:val="000000"/>
                <w:sz w:val="20"/>
                <w:szCs w:val="20"/>
                <w:lang w:eastAsia="en-GB"/>
              </w:rPr>
              <w:t>68.8</w:t>
            </w:r>
            <w:r>
              <w:rPr>
                <w:rFonts w:eastAsia="Times New Roman"/>
                <w:color w:val="000000"/>
                <w:sz w:val="20"/>
                <w:szCs w:val="20"/>
                <w:lang w:eastAsia="en-GB"/>
              </w:rPr>
              <w:t>%</w:t>
            </w:r>
          </w:p>
        </w:tc>
        <w:tc>
          <w:tcPr>
            <w:tcW w:w="851" w:type="dxa"/>
            <w:shd w:val="clear" w:color="auto" w:fill="auto"/>
            <w:vAlign w:val="center"/>
          </w:tcPr>
          <w:p w:rsidR="00E670CA" w:rsidRPr="001B40D5" w:rsidRDefault="00E670CA" w:rsidP="00412908">
            <w:pPr>
              <w:spacing w:after="0" w:line="240" w:lineRule="auto"/>
              <w:ind w:left="-126"/>
              <w:jc w:val="center"/>
              <w:rPr>
                <w:rFonts w:eastAsia="Times New Roman"/>
                <w:color w:val="000000"/>
                <w:sz w:val="20"/>
                <w:szCs w:val="20"/>
                <w:lang w:eastAsia="en-GB"/>
              </w:rPr>
            </w:pPr>
            <w:r>
              <w:rPr>
                <w:rFonts w:eastAsia="Times New Roman"/>
                <w:color w:val="000000"/>
                <w:sz w:val="20"/>
                <w:szCs w:val="20"/>
                <w:lang w:eastAsia="en-GB"/>
              </w:rPr>
              <w:t>74.2%</w:t>
            </w:r>
          </w:p>
        </w:tc>
      </w:tr>
      <w:tr w:rsidR="00E670CA" w:rsidRPr="001B40D5" w:rsidTr="00412908">
        <w:trPr>
          <w:trHeight w:val="300"/>
        </w:trPr>
        <w:tc>
          <w:tcPr>
            <w:tcW w:w="6771" w:type="dxa"/>
            <w:shd w:val="clear" w:color="auto" w:fill="auto"/>
            <w:noWrap/>
            <w:vAlign w:val="center"/>
            <w:hideMark/>
          </w:tcPr>
          <w:p w:rsidR="00E670CA" w:rsidRPr="001B40D5" w:rsidRDefault="00E670CA" w:rsidP="00412908">
            <w:pPr>
              <w:spacing w:after="0" w:line="240" w:lineRule="auto"/>
              <w:rPr>
                <w:rFonts w:eastAsia="Times New Roman"/>
                <w:color w:val="000000"/>
                <w:sz w:val="20"/>
                <w:szCs w:val="20"/>
                <w:lang w:eastAsia="en-GB"/>
              </w:rPr>
            </w:pPr>
            <w:r w:rsidRPr="001B40D5">
              <w:rPr>
                <w:rFonts w:eastAsia="Times New Roman"/>
                <w:color w:val="000000"/>
                <w:sz w:val="20"/>
                <w:szCs w:val="20"/>
                <w:lang w:eastAsia="en-GB"/>
              </w:rPr>
              <w:t>2.22iii - Cumulative % of the eligible population aged 40-74 offered an NHS Health Check</w:t>
            </w:r>
            <w:r>
              <w:rPr>
                <w:rFonts w:eastAsia="Times New Roman"/>
                <w:color w:val="000000"/>
                <w:sz w:val="20"/>
                <w:szCs w:val="20"/>
                <w:lang w:eastAsia="en-GB"/>
              </w:rPr>
              <w:t xml:space="preserve"> </w:t>
            </w:r>
            <w:r w:rsidRPr="001B40D5">
              <w:rPr>
                <w:rFonts w:eastAsia="Times New Roman"/>
                <w:color w:val="000000"/>
                <w:sz w:val="20"/>
                <w:szCs w:val="20"/>
                <w:lang w:eastAsia="en-GB"/>
              </w:rPr>
              <w:t>(persons)</w:t>
            </w:r>
          </w:p>
        </w:tc>
        <w:tc>
          <w:tcPr>
            <w:tcW w:w="944" w:type="dxa"/>
            <w:gridSpan w:val="2"/>
            <w:shd w:val="clear" w:color="auto" w:fill="auto"/>
            <w:noWrap/>
            <w:vAlign w:val="center"/>
            <w:hideMark/>
          </w:tcPr>
          <w:p w:rsidR="00E670CA" w:rsidRPr="001B40D5" w:rsidRDefault="00E670CA" w:rsidP="00412908">
            <w:pPr>
              <w:spacing w:after="0" w:line="240" w:lineRule="auto"/>
              <w:ind w:left="-126"/>
              <w:jc w:val="center"/>
              <w:rPr>
                <w:rFonts w:eastAsia="Times New Roman"/>
                <w:color w:val="000000"/>
                <w:sz w:val="20"/>
                <w:szCs w:val="20"/>
                <w:lang w:eastAsia="en-GB"/>
              </w:rPr>
            </w:pPr>
            <w:r w:rsidRPr="001B40D5">
              <w:rPr>
                <w:rFonts w:eastAsia="Times New Roman"/>
                <w:color w:val="000000"/>
                <w:sz w:val="20"/>
                <w:szCs w:val="20"/>
                <w:lang w:eastAsia="en-GB"/>
              </w:rPr>
              <w:t>2013/14</w:t>
            </w:r>
            <w:r>
              <w:rPr>
                <w:rFonts w:eastAsia="Times New Roman"/>
                <w:color w:val="000000"/>
                <w:sz w:val="20"/>
                <w:szCs w:val="20"/>
                <w:lang w:eastAsia="en-GB"/>
              </w:rPr>
              <w:t xml:space="preserve"> – 14/15</w:t>
            </w:r>
          </w:p>
        </w:tc>
        <w:tc>
          <w:tcPr>
            <w:tcW w:w="834" w:type="dxa"/>
            <w:vAlign w:val="center"/>
          </w:tcPr>
          <w:p w:rsidR="00E670CA" w:rsidRPr="001B40D5" w:rsidRDefault="00E670CA" w:rsidP="00412908">
            <w:pPr>
              <w:spacing w:after="0" w:line="240" w:lineRule="auto"/>
              <w:ind w:left="-126"/>
              <w:jc w:val="center"/>
              <w:rPr>
                <w:rFonts w:eastAsia="Times New Roman"/>
                <w:color w:val="000000"/>
                <w:sz w:val="20"/>
                <w:szCs w:val="20"/>
                <w:lang w:eastAsia="en-GB"/>
              </w:rPr>
            </w:pPr>
            <w:r>
              <w:rPr>
                <w:rFonts w:eastAsia="Times New Roman"/>
                <w:color w:val="000000"/>
                <w:sz w:val="20"/>
                <w:szCs w:val="20"/>
                <w:lang w:eastAsia="en-GB"/>
              </w:rPr>
              <w:t>31,104</w:t>
            </w:r>
          </w:p>
        </w:tc>
        <w:tc>
          <w:tcPr>
            <w:tcW w:w="708" w:type="dxa"/>
            <w:shd w:val="clear" w:color="auto" w:fill="FF0000"/>
            <w:noWrap/>
            <w:vAlign w:val="center"/>
            <w:hideMark/>
          </w:tcPr>
          <w:p w:rsidR="00E670CA" w:rsidRPr="001B40D5" w:rsidRDefault="00E670CA" w:rsidP="00412908">
            <w:pPr>
              <w:spacing w:after="0" w:line="240" w:lineRule="auto"/>
              <w:ind w:left="-126"/>
              <w:jc w:val="center"/>
              <w:rPr>
                <w:rFonts w:eastAsia="Times New Roman"/>
                <w:color w:val="000000"/>
                <w:sz w:val="20"/>
                <w:szCs w:val="20"/>
                <w:lang w:eastAsia="en-GB"/>
              </w:rPr>
            </w:pPr>
            <w:r>
              <w:rPr>
                <w:rFonts w:eastAsia="Times New Roman"/>
                <w:color w:val="000000"/>
                <w:sz w:val="20"/>
                <w:szCs w:val="20"/>
                <w:lang w:eastAsia="en-GB"/>
              </w:rPr>
              <w:t>33.4%</w:t>
            </w:r>
          </w:p>
        </w:tc>
        <w:tc>
          <w:tcPr>
            <w:tcW w:w="851" w:type="dxa"/>
            <w:shd w:val="clear" w:color="auto" w:fill="auto"/>
            <w:vAlign w:val="center"/>
          </w:tcPr>
          <w:p w:rsidR="00E670CA" w:rsidRPr="001B40D5" w:rsidRDefault="00E670CA" w:rsidP="00412908">
            <w:pPr>
              <w:spacing w:after="0" w:line="240" w:lineRule="auto"/>
              <w:ind w:left="-126"/>
              <w:jc w:val="center"/>
              <w:rPr>
                <w:rFonts w:eastAsia="Times New Roman"/>
                <w:color w:val="000000"/>
                <w:sz w:val="20"/>
                <w:szCs w:val="20"/>
                <w:lang w:eastAsia="en-GB"/>
              </w:rPr>
            </w:pPr>
            <w:r>
              <w:rPr>
                <w:rFonts w:eastAsia="Times New Roman"/>
                <w:color w:val="000000"/>
                <w:sz w:val="20"/>
                <w:szCs w:val="20"/>
                <w:lang w:eastAsia="en-GB"/>
              </w:rPr>
              <w:t>37.9%</w:t>
            </w:r>
          </w:p>
        </w:tc>
      </w:tr>
      <w:tr w:rsidR="00E670CA" w:rsidRPr="001B40D5" w:rsidTr="00412908">
        <w:trPr>
          <w:trHeight w:val="300"/>
        </w:trPr>
        <w:tc>
          <w:tcPr>
            <w:tcW w:w="6771" w:type="dxa"/>
            <w:shd w:val="clear" w:color="auto" w:fill="auto"/>
            <w:noWrap/>
            <w:vAlign w:val="center"/>
            <w:hideMark/>
          </w:tcPr>
          <w:p w:rsidR="00E670CA" w:rsidRPr="001B40D5" w:rsidRDefault="00E670CA" w:rsidP="00412908">
            <w:pPr>
              <w:spacing w:after="0" w:line="240" w:lineRule="auto"/>
              <w:rPr>
                <w:rFonts w:eastAsia="Times New Roman"/>
                <w:color w:val="000000"/>
                <w:sz w:val="20"/>
                <w:szCs w:val="20"/>
                <w:lang w:eastAsia="en-GB"/>
              </w:rPr>
            </w:pPr>
            <w:r w:rsidRPr="001B40D5">
              <w:rPr>
                <w:rFonts w:eastAsia="Times New Roman"/>
                <w:color w:val="000000"/>
                <w:sz w:val="20"/>
                <w:szCs w:val="20"/>
                <w:lang w:eastAsia="en-GB"/>
              </w:rPr>
              <w:t>2.22iv - Cumulative % of the eligible population aged 40-74 offered an NHS Health Check who received an NHS Health Check</w:t>
            </w:r>
            <w:r>
              <w:rPr>
                <w:rFonts w:eastAsia="Times New Roman"/>
                <w:color w:val="000000"/>
                <w:sz w:val="20"/>
                <w:szCs w:val="20"/>
                <w:lang w:eastAsia="en-GB"/>
              </w:rPr>
              <w:t xml:space="preserve"> </w:t>
            </w:r>
            <w:r w:rsidRPr="001B40D5">
              <w:rPr>
                <w:rFonts w:eastAsia="Times New Roman"/>
                <w:color w:val="000000"/>
                <w:sz w:val="20"/>
                <w:szCs w:val="20"/>
                <w:lang w:eastAsia="en-GB"/>
              </w:rPr>
              <w:t>(persons)</w:t>
            </w:r>
          </w:p>
        </w:tc>
        <w:tc>
          <w:tcPr>
            <w:tcW w:w="944" w:type="dxa"/>
            <w:gridSpan w:val="2"/>
            <w:shd w:val="clear" w:color="auto" w:fill="auto"/>
            <w:noWrap/>
            <w:vAlign w:val="center"/>
            <w:hideMark/>
          </w:tcPr>
          <w:p w:rsidR="00E670CA" w:rsidRPr="001B40D5" w:rsidRDefault="00E670CA" w:rsidP="00412908">
            <w:pPr>
              <w:spacing w:after="0" w:line="240" w:lineRule="auto"/>
              <w:ind w:left="-126"/>
              <w:jc w:val="center"/>
              <w:rPr>
                <w:rFonts w:eastAsia="Times New Roman"/>
                <w:color w:val="000000"/>
                <w:sz w:val="20"/>
                <w:szCs w:val="20"/>
                <w:lang w:eastAsia="en-GB"/>
              </w:rPr>
            </w:pPr>
            <w:r w:rsidRPr="001B40D5">
              <w:rPr>
                <w:rFonts w:eastAsia="Times New Roman"/>
                <w:color w:val="000000"/>
                <w:sz w:val="20"/>
                <w:szCs w:val="20"/>
                <w:lang w:eastAsia="en-GB"/>
              </w:rPr>
              <w:t>2013/14</w:t>
            </w:r>
            <w:r>
              <w:rPr>
                <w:rFonts w:eastAsia="Times New Roman"/>
                <w:color w:val="000000"/>
                <w:sz w:val="20"/>
                <w:szCs w:val="20"/>
                <w:lang w:eastAsia="en-GB"/>
              </w:rPr>
              <w:t xml:space="preserve"> – 14/15</w:t>
            </w:r>
          </w:p>
        </w:tc>
        <w:tc>
          <w:tcPr>
            <w:tcW w:w="834" w:type="dxa"/>
            <w:vAlign w:val="center"/>
          </w:tcPr>
          <w:p w:rsidR="00E670CA" w:rsidRPr="001B40D5" w:rsidRDefault="00E670CA" w:rsidP="00412908">
            <w:pPr>
              <w:spacing w:after="0" w:line="240" w:lineRule="auto"/>
              <w:ind w:left="-126"/>
              <w:jc w:val="center"/>
              <w:rPr>
                <w:rFonts w:eastAsia="Times New Roman"/>
                <w:color w:val="000000"/>
                <w:sz w:val="20"/>
                <w:szCs w:val="20"/>
                <w:lang w:eastAsia="en-GB"/>
              </w:rPr>
            </w:pPr>
            <w:r>
              <w:rPr>
                <w:rFonts w:eastAsia="Times New Roman"/>
                <w:color w:val="000000"/>
                <w:sz w:val="20"/>
                <w:szCs w:val="20"/>
                <w:lang w:eastAsia="en-GB"/>
              </w:rPr>
              <w:t>13,687</w:t>
            </w:r>
          </w:p>
        </w:tc>
        <w:tc>
          <w:tcPr>
            <w:tcW w:w="708" w:type="dxa"/>
            <w:shd w:val="clear" w:color="auto" w:fill="FF0000"/>
            <w:noWrap/>
            <w:vAlign w:val="center"/>
            <w:hideMark/>
          </w:tcPr>
          <w:p w:rsidR="00E670CA" w:rsidRPr="001B40D5" w:rsidRDefault="00E670CA" w:rsidP="00412908">
            <w:pPr>
              <w:spacing w:after="0" w:line="240" w:lineRule="auto"/>
              <w:ind w:left="-126"/>
              <w:jc w:val="center"/>
              <w:rPr>
                <w:rFonts w:eastAsia="Times New Roman"/>
                <w:color w:val="000000"/>
                <w:sz w:val="20"/>
                <w:szCs w:val="20"/>
                <w:lang w:eastAsia="en-GB"/>
              </w:rPr>
            </w:pPr>
            <w:r>
              <w:rPr>
                <w:rFonts w:eastAsia="Times New Roman"/>
                <w:color w:val="000000"/>
                <w:sz w:val="20"/>
                <w:szCs w:val="20"/>
                <w:lang w:eastAsia="en-GB"/>
              </w:rPr>
              <w:t>44.0%</w:t>
            </w:r>
          </w:p>
        </w:tc>
        <w:tc>
          <w:tcPr>
            <w:tcW w:w="851" w:type="dxa"/>
            <w:shd w:val="clear" w:color="auto" w:fill="auto"/>
            <w:vAlign w:val="center"/>
          </w:tcPr>
          <w:p w:rsidR="00E670CA" w:rsidRPr="001B40D5" w:rsidRDefault="00E670CA" w:rsidP="00412908">
            <w:pPr>
              <w:spacing w:after="0" w:line="240" w:lineRule="auto"/>
              <w:ind w:left="-126"/>
              <w:jc w:val="center"/>
              <w:rPr>
                <w:rFonts w:eastAsia="Times New Roman"/>
                <w:color w:val="000000"/>
                <w:sz w:val="20"/>
                <w:szCs w:val="20"/>
                <w:lang w:eastAsia="en-GB"/>
              </w:rPr>
            </w:pPr>
            <w:r>
              <w:rPr>
                <w:rFonts w:eastAsia="Times New Roman"/>
                <w:color w:val="000000"/>
                <w:sz w:val="20"/>
                <w:szCs w:val="20"/>
                <w:lang w:eastAsia="en-GB"/>
              </w:rPr>
              <w:t>48.9%</w:t>
            </w:r>
          </w:p>
        </w:tc>
      </w:tr>
      <w:tr w:rsidR="00E670CA" w:rsidRPr="001B40D5" w:rsidTr="00412908">
        <w:trPr>
          <w:trHeight w:val="300"/>
        </w:trPr>
        <w:tc>
          <w:tcPr>
            <w:tcW w:w="6771" w:type="dxa"/>
            <w:shd w:val="clear" w:color="auto" w:fill="auto"/>
            <w:noWrap/>
            <w:vAlign w:val="center"/>
            <w:hideMark/>
          </w:tcPr>
          <w:p w:rsidR="00E670CA" w:rsidRPr="001B40D5" w:rsidRDefault="00E670CA" w:rsidP="00412908">
            <w:pPr>
              <w:spacing w:after="0" w:line="240" w:lineRule="auto"/>
              <w:rPr>
                <w:rFonts w:eastAsia="Times New Roman"/>
                <w:color w:val="000000"/>
                <w:sz w:val="20"/>
                <w:szCs w:val="20"/>
                <w:lang w:eastAsia="en-GB"/>
              </w:rPr>
            </w:pPr>
            <w:r w:rsidRPr="001B40D5">
              <w:rPr>
                <w:rFonts w:eastAsia="Times New Roman"/>
                <w:color w:val="000000"/>
                <w:sz w:val="20"/>
                <w:szCs w:val="20"/>
                <w:lang w:eastAsia="en-GB"/>
              </w:rPr>
              <w:t>2.22v - Cumulative % of the eligible population aged 40-74 who received an NHS Health check</w:t>
            </w:r>
            <w:r>
              <w:rPr>
                <w:rFonts w:eastAsia="Times New Roman"/>
                <w:color w:val="000000"/>
                <w:sz w:val="20"/>
                <w:szCs w:val="20"/>
                <w:lang w:eastAsia="en-GB"/>
              </w:rPr>
              <w:t xml:space="preserve"> </w:t>
            </w:r>
            <w:r w:rsidRPr="001B40D5">
              <w:rPr>
                <w:rFonts w:eastAsia="Times New Roman"/>
                <w:color w:val="000000"/>
                <w:sz w:val="20"/>
                <w:szCs w:val="20"/>
                <w:lang w:eastAsia="en-GB"/>
              </w:rPr>
              <w:t>(persons)</w:t>
            </w:r>
          </w:p>
        </w:tc>
        <w:tc>
          <w:tcPr>
            <w:tcW w:w="944" w:type="dxa"/>
            <w:gridSpan w:val="2"/>
            <w:shd w:val="clear" w:color="auto" w:fill="auto"/>
            <w:noWrap/>
            <w:vAlign w:val="center"/>
            <w:hideMark/>
          </w:tcPr>
          <w:p w:rsidR="00E670CA" w:rsidRPr="001B40D5" w:rsidRDefault="00E670CA" w:rsidP="00412908">
            <w:pPr>
              <w:spacing w:after="0" w:line="240" w:lineRule="auto"/>
              <w:ind w:left="-126"/>
              <w:jc w:val="center"/>
              <w:rPr>
                <w:rFonts w:eastAsia="Times New Roman"/>
                <w:color w:val="000000"/>
                <w:sz w:val="20"/>
                <w:szCs w:val="20"/>
                <w:lang w:eastAsia="en-GB"/>
              </w:rPr>
            </w:pPr>
            <w:r w:rsidRPr="00703575">
              <w:rPr>
                <w:rFonts w:eastAsia="Times New Roman"/>
                <w:color w:val="000000"/>
                <w:sz w:val="20"/>
                <w:szCs w:val="20"/>
                <w:lang w:eastAsia="en-GB"/>
              </w:rPr>
              <w:t>2013/14 – 14/15</w:t>
            </w:r>
          </w:p>
        </w:tc>
        <w:tc>
          <w:tcPr>
            <w:tcW w:w="834" w:type="dxa"/>
            <w:vAlign w:val="center"/>
          </w:tcPr>
          <w:p w:rsidR="00E670CA" w:rsidRPr="001B40D5" w:rsidRDefault="00E670CA" w:rsidP="00412908">
            <w:pPr>
              <w:spacing w:after="0" w:line="240" w:lineRule="auto"/>
              <w:ind w:left="-126"/>
              <w:jc w:val="center"/>
              <w:rPr>
                <w:rFonts w:eastAsia="Times New Roman"/>
                <w:color w:val="000000"/>
                <w:sz w:val="20"/>
                <w:szCs w:val="20"/>
                <w:lang w:eastAsia="en-GB"/>
              </w:rPr>
            </w:pPr>
            <w:r w:rsidRPr="00703575">
              <w:rPr>
                <w:rFonts w:eastAsia="Times New Roman"/>
                <w:color w:val="000000"/>
                <w:sz w:val="20"/>
                <w:szCs w:val="20"/>
                <w:lang w:eastAsia="en-GB"/>
              </w:rPr>
              <w:t>13,687</w:t>
            </w:r>
          </w:p>
        </w:tc>
        <w:tc>
          <w:tcPr>
            <w:tcW w:w="708" w:type="dxa"/>
            <w:shd w:val="clear" w:color="auto" w:fill="FF0000"/>
            <w:noWrap/>
            <w:vAlign w:val="center"/>
            <w:hideMark/>
          </w:tcPr>
          <w:p w:rsidR="00E670CA" w:rsidRPr="001B40D5" w:rsidRDefault="00E670CA" w:rsidP="00412908">
            <w:pPr>
              <w:spacing w:after="0" w:line="240" w:lineRule="auto"/>
              <w:ind w:left="-126"/>
              <w:jc w:val="center"/>
              <w:rPr>
                <w:rFonts w:eastAsia="Times New Roman"/>
                <w:color w:val="000000"/>
                <w:sz w:val="20"/>
                <w:szCs w:val="20"/>
                <w:lang w:eastAsia="en-GB"/>
              </w:rPr>
            </w:pPr>
            <w:r>
              <w:rPr>
                <w:rFonts w:eastAsia="Times New Roman"/>
                <w:color w:val="000000"/>
                <w:sz w:val="20"/>
                <w:szCs w:val="20"/>
                <w:lang w:eastAsia="en-GB"/>
              </w:rPr>
              <w:t>14.7%</w:t>
            </w:r>
          </w:p>
        </w:tc>
        <w:tc>
          <w:tcPr>
            <w:tcW w:w="851" w:type="dxa"/>
            <w:shd w:val="clear" w:color="auto" w:fill="auto"/>
            <w:vAlign w:val="center"/>
          </w:tcPr>
          <w:p w:rsidR="00E670CA" w:rsidRPr="001B40D5" w:rsidRDefault="00E670CA" w:rsidP="00412908">
            <w:pPr>
              <w:spacing w:after="0" w:line="240" w:lineRule="auto"/>
              <w:ind w:left="-126"/>
              <w:jc w:val="center"/>
              <w:rPr>
                <w:rFonts w:eastAsia="Times New Roman"/>
                <w:color w:val="000000"/>
                <w:sz w:val="20"/>
                <w:szCs w:val="20"/>
                <w:lang w:eastAsia="en-GB"/>
              </w:rPr>
            </w:pPr>
            <w:r>
              <w:rPr>
                <w:rFonts w:eastAsia="Times New Roman"/>
                <w:color w:val="000000"/>
                <w:sz w:val="20"/>
                <w:szCs w:val="20"/>
                <w:lang w:eastAsia="en-GB"/>
              </w:rPr>
              <w:t>18.6%</w:t>
            </w:r>
          </w:p>
        </w:tc>
      </w:tr>
      <w:tr w:rsidR="00E670CA" w:rsidRPr="001B40D5" w:rsidTr="00412908">
        <w:trPr>
          <w:trHeight w:val="300"/>
        </w:trPr>
        <w:tc>
          <w:tcPr>
            <w:tcW w:w="10108" w:type="dxa"/>
            <w:gridSpan w:val="6"/>
            <w:shd w:val="clear" w:color="auto" w:fill="auto"/>
            <w:noWrap/>
            <w:vAlign w:val="center"/>
          </w:tcPr>
          <w:p w:rsidR="00E670CA" w:rsidRPr="001B40D5" w:rsidRDefault="00E670CA" w:rsidP="00412908">
            <w:pPr>
              <w:spacing w:after="0" w:line="240" w:lineRule="auto"/>
              <w:rPr>
                <w:rFonts w:eastAsia="Times New Roman"/>
                <w:sz w:val="20"/>
                <w:szCs w:val="20"/>
                <w:lang w:eastAsia="en-GB"/>
              </w:rPr>
            </w:pPr>
            <w:r w:rsidRPr="001B40D5">
              <w:rPr>
                <w:rFonts w:eastAsia="Times New Roman"/>
                <w:b/>
                <w:sz w:val="20"/>
                <w:szCs w:val="20"/>
                <w:lang w:eastAsia="en-GB"/>
              </w:rPr>
              <w:t>Health Protection</w:t>
            </w:r>
          </w:p>
        </w:tc>
      </w:tr>
      <w:tr w:rsidR="00E670CA" w:rsidRPr="001B40D5" w:rsidTr="00412908">
        <w:trPr>
          <w:trHeight w:val="300"/>
        </w:trPr>
        <w:tc>
          <w:tcPr>
            <w:tcW w:w="6789" w:type="dxa"/>
            <w:gridSpan w:val="2"/>
            <w:shd w:val="clear" w:color="auto" w:fill="auto"/>
            <w:noWrap/>
            <w:vAlign w:val="center"/>
            <w:hideMark/>
          </w:tcPr>
          <w:p w:rsidR="00E670CA" w:rsidRPr="001B40D5" w:rsidRDefault="00E670CA" w:rsidP="00412908">
            <w:pPr>
              <w:spacing w:after="0" w:line="240" w:lineRule="auto"/>
              <w:rPr>
                <w:rFonts w:eastAsia="Times New Roman"/>
                <w:color w:val="000000"/>
                <w:sz w:val="20"/>
                <w:szCs w:val="20"/>
                <w:lang w:eastAsia="en-GB"/>
              </w:rPr>
            </w:pPr>
            <w:r w:rsidRPr="001B40D5">
              <w:rPr>
                <w:rFonts w:eastAsia="Times New Roman"/>
                <w:color w:val="000000"/>
                <w:sz w:val="20"/>
                <w:szCs w:val="20"/>
                <w:lang w:eastAsia="en-GB"/>
              </w:rPr>
              <w:t xml:space="preserve">3.02 - Chlamydia detection rate (15-24 year olds) – CTAD (persons, 15-24 </w:t>
            </w:r>
            <w:proofErr w:type="spellStart"/>
            <w:r w:rsidRPr="001B40D5">
              <w:rPr>
                <w:rFonts w:eastAsia="Times New Roman"/>
                <w:color w:val="000000"/>
                <w:sz w:val="20"/>
                <w:szCs w:val="20"/>
                <w:lang w:eastAsia="en-GB"/>
              </w:rPr>
              <w:t>yrs</w:t>
            </w:r>
            <w:proofErr w:type="spellEnd"/>
            <w:r w:rsidRPr="001B40D5">
              <w:rPr>
                <w:rFonts w:eastAsia="Times New Roman"/>
                <w:color w:val="000000"/>
                <w:sz w:val="20"/>
                <w:szCs w:val="20"/>
                <w:lang w:eastAsia="en-GB"/>
              </w:rPr>
              <w:t>)</w:t>
            </w:r>
          </w:p>
        </w:tc>
        <w:tc>
          <w:tcPr>
            <w:tcW w:w="926" w:type="dxa"/>
            <w:shd w:val="clear" w:color="auto" w:fill="auto"/>
            <w:noWrap/>
            <w:vAlign w:val="center"/>
            <w:hideMark/>
          </w:tcPr>
          <w:p w:rsidR="00E670CA" w:rsidRPr="001B40D5" w:rsidRDefault="00E670CA" w:rsidP="00412908">
            <w:pPr>
              <w:spacing w:after="0" w:line="240" w:lineRule="auto"/>
              <w:ind w:left="-126"/>
              <w:jc w:val="center"/>
              <w:rPr>
                <w:rFonts w:eastAsia="Times New Roman"/>
                <w:color w:val="000000"/>
                <w:sz w:val="20"/>
                <w:szCs w:val="20"/>
                <w:lang w:eastAsia="en-GB"/>
              </w:rPr>
            </w:pPr>
            <w:r>
              <w:rPr>
                <w:rFonts w:eastAsia="Times New Roman"/>
                <w:color w:val="000000"/>
                <w:sz w:val="20"/>
                <w:szCs w:val="20"/>
                <w:lang w:eastAsia="en-GB"/>
              </w:rPr>
              <w:t>2014</w:t>
            </w:r>
          </w:p>
        </w:tc>
        <w:tc>
          <w:tcPr>
            <w:tcW w:w="834" w:type="dxa"/>
            <w:vAlign w:val="center"/>
          </w:tcPr>
          <w:p w:rsidR="00E670CA" w:rsidRPr="001B40D5" w:rsidRDefault="00E670CA" w:rsidP="00412908">
            <w:pPr>
              <w:spacing w:after="0" w:line="240" w:lineRule="auto"/>
              <w:ind w:left="-126"/>
              <w:jc w:val="center"/>
              <w:rPr>
                <w:rFonts w:eastAsia="Times New Roman"/>
                <w:color w:val="000000"/>
                <w:sz w:val="20"/>
                <w:szCs w:val="20"/>
                <w:lang w:eastAsia="en-GB"/>
              </w:rPr>
            </w:pPr>
            <w:r>
              <w:rPr>
                <w:rFonts w:eastAsia="Times New Roman"/>
                <w:color w:val="000000"/>
                <w:sz w:val="20"/>
                <w:szCs w:val="20"/>
                <w:lang w:eastAsia="en-GB"/>
              </w:rPr>
              <w:t>600</w:t>
            </w:r>
          </w:p>
        </w:tc>
        <w:tc>
          <w:tcPr>
            <w:tcW w:w="708" w:type="dxa"/>
            <w:shd w:val="clear" w:color="auto" w:fill="FF0000"/>
            <w:noWrap/>
            <w:vAlign w:val="center"/>
            <w:hideMark/>
          </w:tcPr>
          <w:p w:rsidR="00E670CA" w:rsidRPr="001B40D5" w:rsidRDefault="00E670CA" w:rsidP="00412908">
            <w:pPr>
              <w:spacing w:after="0" w:line="240" w:lineRule="auto"/>
              <w:ind w:left="-126"/>
              <w:jc w:val="center"/>
              <w:rPr>
                <w:rFonts w:eastAsia="Times New Roman"/>
                <w:color w:val="000000"/>
                <w:sz w:val="20"/>
                <w:szCs w:val="20"/>
                <w:lang w:eastAsia="en-GB"/>
              </w:rPr>
            </w:pPr>
            <w:r>
              <w:rPr>
                <w:rFonts w:eastAsia="Times New Roman"/>
                <w:color w:val="000000"/>
                <w:sz w:val="20"/>
                <w:szCs w:val="20"/>
                <w:lang w:eastAsia="en-GB"/>
              </w:rPr>
              <w:t>1376†</w:t>
            </w:r>
          </w:p>
        </w:tc>
        <w:tc>
          <w:tcPr>
            <w:tcW w:w="851" w:type="dxa"/>
            <w:shd w:val="clear" w:color="auto" w:fill="auto"/>
            <w:vAlign w:val="center"/>
          </w:tcPr>
          <w:p w:rsidR="00E670CA" w:rsidRPr="001B40D5" w:rsidRDefault="00E670CA" w:rsidP="00412908">
            <w:pPr>
              <w:spacing w:after="0" w:line="240" w:lineRule="auto"/>
              <w:ind w:left="-126"/>
              <w:jc w:val="center"/>
              <w:rPr>
                <w:rFonts w:eastAsia="Times New Roman"/>
                <w:color w:val="000000"/>
                <w:sz w:val="20"/>
                <w:szCs w:val="20"/>
                <w:lang w:eastAsia="en-GB"/>
              </w:rPr>
            </w:pPr>
            <w:r>
              <w:rPr>
                <w:rFonts w:eastAsia="Times New Roman"/>
                <w:color w:val="000000"/>
                <w:sz w:val="20"/>
                <w:szCs w:val="20"/>
                <w:lang w:eastAsia="en-GB"/>
              </w:rPr>
              <w:t>2,012†</w:t>
            </w:r>
          </w:p>
        </w:tc>
      </w:tr>
      <w:tr w:rsidR="00E670CA" w:rsidRPr="001B40D5" w:rsidTr="00412908">
        <w:trPr>
          <w:trHeight w:val="300"/>
        </w:trPr>
        <w:tc>
          <w:tcPr>
            <w:tcW w:w="6789" w:type="dxa"/>
            <w:gridSpan w:val="2"/>
            <w:shd w:val="clear" w:color="auto" w:fill="auto"/>
            <w:noWrap/>
            <w:vAlign w:val="center"/>
            <w:hideMark/>
          </w:tcPr>
          <w:p w:rsidR="00E670CA" w:rsidRPr="001B40D5" w:rsidRDefault="00E670CA" w:rsidP="00412908">
            <w:pPr>
              <w:spacing w:after="0" w:line="240" w:lineRule="auto"/>
              <w:rPr>
                <w:rFonts w:eastAsia="Times New Roman"/>
                <w:color w:val="000000"/>
                <w:sz w:val="20"/>
                <w:szCs w:val="20"/>
                <w:lang w:eastAsia="en-GB"/>
              </w:rPr>
            </w:pPr>
            <w:r w:rsidRPr="001B40D5">
              <w:rPr>
                <w:rFonts w:eastAsia="Times New Roman"/>
                <w:color w:val="000000"/>
                <w:sz w:val="20"/>
                <w:szCs w:val="20"/>
                <w:lang w:eastAsia="en-GB"/>
              </w:rPr>
              <w:t xml:space="preserve">3.03iii - Population vaccination coverage - </w:t>
            </w:r>
            <w:proofErr w:type="spellStart"/>
            <w:r w:rsidRPr="001B40D5">
              <w:rPr>
                <w:rFonts w:eastAsia="Times New Roman"/>
                <w:color w:val="000000"/>
                <w:sz w:val="20"/>
                <w:szCs w:val="20"/>
                <w:lang w:eastAsia="en-GB"/>
              </w:rPr>
              <w:t>Dtap</w:t>
            </w:r>
            <w:proofErr w:type="spellEnd"/>
            <w:r w:rsidRPr="001B40D5">
              <w:rPr>
                <w:rFonts w:eastAsia="Times New Roman"/>
                <w:color w:val="000000"/>
                <w:sz w:val="20"/>
                <w:szCs w:val="20"/>
                <w:lang w:eastAsia="en-GB"/>
              </w:rPr>
              <w:t xml:space="preserve"> / IPV / </w:t>
            </w:r>
            <w:proofErr w:type="spellStart"/>
            <w:r w:rsidRPr="001B40D5">
              <w:rPr>
                <w:rFonts w:eastAsia="Times New Roman"/>
                <w:color w:val="000000"/>
                <w:sz w:val="20"/>
                <w:szCs w:val="20"/>
                <w:lang w:eastAsia="en-GB"/>
              </w:rPr>
              <w:t>Hib</w:t>
            </w:r>
            <w:proofErr w:type="spellEnd"/>
            <w:r w:rsidRPr="001B40D5">
              <w:rPr>
                <w:rFonts w:eastAsia="Times New Roman"/>
                <w:color w:val="000000"/>
                <w:sz w:val="20"/>
                <w:szCs w:val="20"/>
                <w:lang w:eastAsia="en-GB"/>
              </w:rPr>
              <w:t xml:space="preserve"> (1 </w:t>
            </w:r>
            <w:proofErr w:type="spellStart"/>
            <w:r w:rsidRPr="001B40D5">
              <w:rPr>
                <w:rFonts w:eastAsia="Times New Roman"/>
                <w:color w:val="000000"/>
                <w:sz w:val="20"/>
                <w:szCs w:val="20"/>
                <w:lang w:eastAsia="en-GB"/>
              </w:rPr>
              <w:t>y</w:t>
            </w:r>
            <w:r>
              <w:rPr>
                <w:rFonts w:eastAsia="Times New Roman"/>
                <w:color w:val="000000"/>
                <w:sz w:val="20"/>
                <w:szCs w:val="20"/>
                <w:lang w:eastAsia="en-GB"/>
              </w:rPr>
              <w:t>r</w:t>
            </w:r>
            <w:proofErr w:type="spellEnd"/>
            <w:r>
              <w:rPr>
                <w:rFonts w:eastAsia="Times New Roman"/>
                <w:color w:val="000000"/>
                <w:sz w:val="20"/>
                <w:szCs w:val="20"/>
                <w:lang w:eastAsia="en-GB"/>
              </w:rPr>
              <w:t xml:space="preserve"> old,</w:t>
            </w:r>
            <w:r w:rsidRPr="001B40D5">
              <w:rPr>
                <w:rFonts w:eastAsia="Times New Roman"/>
                <w:color w:val="000000"/>
                <w:sz w:val="20"/>
                <w:szCs w:val="20"/>
                <w:lang w:eastAsia="en-GB"/>
              </w:rPr>
              <w:t xml:space="preserve"> persons)</w:t>
            </w:r>
          </w:p>
        </w:tc>
        <w:tc>
          <w:tcPr>
            <w:tcW w:w="926" w:type="dxa"/>
            <w:shd w:val="clear" w:color="auto" w:fill="auto"/>
            <w:noWrap/>
            <w:vAlign w:val="center"/>
            <w:hideMark/>
          </w:tcPr>
          <w:p w:rsidR="00E670CA" w:rsidRPr="001B40D5" w:rsidRDefault="00E670CA" w:rsidP="00412908">
            <w:pPr>
              <w:spacing w:after="0" w:line="240" w:lineRule="auto"/>
              <w:ind w:left="-126"/>
              <w:jc w:val="center"/>
              <w:rPr>
                <w:rFonts w:eastAsia="Times New Roman"/>
                <w:color w:val="000000"/>
                <w:sz w:val="20"/>
                <w:szCs w:val="20"/>
                <w:lang w:eastAsia="en-GB"/>
              </w:rPr>
            </w:pPr>
            <w:r w:rsidRPr="001B40D5">
              <w:rPr>
                <w:rFonts w:eastAsia="Times New Roman"/>
                <w:color w:val="000000"/>
                <w:sz w:val="20"/>
                <w:szCs w:val="20"/>
                <w:lang w:eastAsia="en-GB"/>
              </w:rPr>
              <w:t>2013/14</w:t>
            </w:r>
          </w:p>
        </w:tc>
        <w:tc>
          <w:tcPr>
            <w:tcW w:w="834" w:type="dxa"/>
            <w:vAlign w:val="center"/>
          </w:tcPr>
          <w:p w:rsidR="00E670CA" w:rsidRPr="001B40D5" w:rsidRDefault="00E670CA" w:rsidP="00412908">
            <w:pPr>
              <w:spacing w:after="0" w:line="240" w:lineRule="auto"/>
              <w:ind w:left="-126"/>
              <w:jc w:val="center"/>
              <w:rPr>
                <w:rFonts w:eastAsia="Times New Roman"/>
                <w:color w:val="000000"/>
                <w:sz w:val="20"/>
                <w:szCs w:val="20"/>
                <w:lang w:eastAsia="en-GB"/>
              </w:rPr>
            </w:pPr>
            <w:r w:rsidRPr="001B40D5">
              <w:rPr>
                <w:rFonts w:eastAsia="Times New Roman"/>
                <w:color w:val="000000"/>
                <w:sz w:val="20"/>
                <w:szCs w:val="20"/>
                <w:lang w:eastAsia="en-GB"/>
              </w:rPr>
              <w:t>4,612</w:t>
            </w:r>
          </w:p>
        </w:tc>
        <w:tc>
          <w:tcPr>
            <w:tcW w:w="708" w:type="dxa"/>
            <w:shd w:val="clear" w:color="auto" w:fill="FF0000"/>
            <w:noWrap/>
            <w:vAlign w:val="center"/>
            <w:hideMark/>
          </w:tcPr>
          <w:p w:rsidR="00E670CA" w:rsidRPr="001B40D5" w:rsidRDefault="00E670CA" w:rsidP="00412908">
            <w:pPr>
              <w:spacing w:after="0" w:line="240" w:lineRule="auto"/>
              <w:ind w:left="-126"/>
              <w:jc w:val="center"/>
              <w:rPr>
                <w:rFonts w:eastAsia="Times New Roman"/>
                <w:color w:val="000000"/>
                <w:sz w:val="20"/>
                <w:szCs w:val="20"/>
                <w:lang w:eastAsia="en-GB"/>
              </w:rPr>
            </w:pPr>
            <w:r w:rsidRPr="001B40D5">
              <w:rPr>
                <w:rFonts w:eastAsia="Times New Roman"/>
                <w:color w:val="000000"/>
                <w:sz w:val="20"/>
                <w:szCs w:val="20"/>
                <w:lang w:eastAsia="en-GB"/>
              </w:rPr>
              <w:t>79.7</w:t>
            </w:r>
            <w:r>
              <w:rPr>
                <w:rFonts w:eastAsia="Times New Roman"/>
                <w:color w:val="000000"/>
                <w:sz w:val="20"/>
                <w:szCs w:val="20"/>
                <w:lang w:eastAsia="en-GB"/>
              </w:rPr>
              <w:t>%</w:t>
            </w:r>
          </w:p>
        </w:tc>
        <w:tc>
          <w:tcPr>
            <w:tcW w:w="851" w:type="dxa"/>
            <w:shd w:val="clear" w:color="auto" w:fill="auto"/>
            <w:vAlign w:val="center"/>
          </w:tcPr>
          <w:p w:rsidR="00E670CA" w:rsidRPr="001B40D5" w:rsidRDefault="00E670CA" w:rsidP="00412908">
            <w:pPr>
              <w:spacing w:after="0" w:line="240" w:lineRule="auto"/>
              <w:ind w:left="-126"/>
              <w:jc w:val="center"/>
              <w:rPr>
                <w:rFonts w:eastAsia="Times New Roman"/>
                <w:color w:val="000000"/>
                <w:sz w:val="20"/>
                <w:szCs w:val="20"/>
                <w:lang w:eastAsia="en-GB"/>
              </w:rPr>
            </w:pPr>
            <w:r>
              <w:rPr>
                <w:rFonts w:eastAsia="Times New Roman"/>
                <w:color w:val="000000"/>
                <w:sz w:val="20"/>
                <w:szCs w:val="20"/>
                <w:lang w:eastAsia="en-GB"/>
              </w:rPr>
              <w:t>94.3%</w:t>
            </w:r>
          </w:p>
        </w:tc>
      </w:tr>
      <w:tr w:rsidR="00E670CA" w:rsidRPr="001B40D5" w:rsidTr="00412908">
        <w:trPr>
          <w:trHeight w:val="300"/>
        </w:trPr>
        <w:tc>
          <w:tcPr>
            <w:tcW w:w="6789" w:type="dxa"/>
            <w:gridSpan w:val="2"/>
            <w:shd w:val="clear" w:color="auto" w:fill="auto"/>
            <w:noWrap/>
            <w:vAlign w:val="center"/>
            <w:hideMark/>
          </w:tcPr>
          <w:p w:rsidR="00E670CA" w:rsidRPr="001B40D5" w:rsidRDefault="00E670CA" w:rsidP="00412908">
            <w:pPr>
              <w:spacing w:after="0" w:line="240" w:lineRule="auto"/>
              <w:rPr>
                <w:rFonts w:eastAsia="Times New Roman"/>
                <w:color w:val="000000"/>
                <w:sz w:val="20"/>
                <w:szCs w:val="20"/>
                <w:lang w:eastAsia="en-GB"/>
              </w:rPr>
            </w:pPr>
            <w:r w:rsidRPr="001B40D5">
              <w:rPr>
                <w:rFonts w:eastAsia="Times New Roman"/>
                <w:color w:val="000000"/>
                <w:sz w:val="20"/>
                <w:szCs w:val="20"/>
                <w:lang w:eastAsia="en-GB"/>
              </w:rPr>
              <w:t>3.03v - Population vaccination coverage - PCV</w:t>
            </w:r>
          </w:p>
        </w:tc>
        <w:tc>
          <w:tcPr>
            <w:tcW w:w="926" w:type="dxa"/>
            <w:shd w:val="clear" w:color="auto" w:fill="auto"/>
            <w:noWrap/>
            <w:vAlign w:val="center"/>
            <w:hideMark/>
          </w:tcPr>
          <w:p w:rsidR="00E670CA" w:rsidRPr="001B40D5" w:rsidRDefault="00E670CA" w:rsidP="00412908">
            <w:pPr>
              <w:spacing w:after="0" w:line="240" w:lineRule="auto"/>
              <w:ind w:left="-126"/>
              <w:jc w:val="center"/>
              <w:rPr>
                <w:rFonts w:eastAsia="Times New Roman"/>
                <w:color w:val="000000"/>
                <w:sz w:val="20"/>
                <w:szCs w:val="20"/>
                <w:lang w:eastAsia="en-GB"/>
              </w:rPr>
            </w:pPr>
            <w:r w:rsidRPr="001B40D5">
              <w:rPr>
                <w:rFonts w:eastAsia="Times New Roman"/>
                <w:color w:val="000000"/>
                <w:sz w:val="20"/>
                <w:szCs w:val="20"/>
                <w:lang w:eastAsia="en-GB"/>
              </w:rPr>
              <w:t>2013/14</w:t>
            </w:r>
          </w:p>
        </w:tc>
        <w:tc>
          <w:tcPr>
            <w:tcW w:w="834" w:type="dxa"/>
            <w:vAlign w:val="center"/>
          </w:tcPr>
          <w:p w:rsidR="00E670CA" w:rsidRPr="001B40D5" w:rsidRDefault="00E670CA" w:rsidP="00412908">
            <w:pPr>
              <w:spacing w:after="0" w:line="240" w:lineRule="auto"/>
              <w:ind w:left="-126"/>
              <w:jc w:val="center"/>
              <w:rPr>
                <w:rFonts w:eastAsia="Times New Roman"/>
                <w:color w:val="000000"/>
                <w:sz w:val="20"/>
                <w:szCs w:val="20"/>
                <w:lang w:eastAsia="en-GB"/>
              </w:rPr>
            </w:pPr>
            <w:r w:rsidRPr="001B40D5">
              <w:rPr>
                <w:rFonts w:eastAsia="Times New Roman"/>
                <w:color w:val="000000"/>
                <w:sz w:val="20"/>
                <w:szCs w:val="20"/>
                <w:lang w:eastAsia="en-GB"/>
              </w:rPr>
              <w:t>4,767</w:t>
            </w:r>
          </w:p>
        </w:tc>
        <w:tc>
          <w:tcPr>
            <w:tcW w:w="708" w:type="dxa"/>
            <w:shd w:val="clear" w:color="auto" w:fill="FF0000"/>
            <w:noWrap/>
            <w:vAlign w:val="center"/>
            <w:hideMark/>
          </w:tcPr>
          <w:p w:rsidR="00E670CA" w:rsidRPr="001B40D5" w:rsidRDefault="00E670CA" w:rsidP="00412908">
            <w:pPr>
              <w:spacing w:after="0" w:line="240" w:lineRule="auto"/>
              <w:ind w:left="-126"/>
              <w:jc w:val="center"/>
              <w:rPr>
                <w:rFonts w:eastAsia="Times New Roman"/>
                <w:color w:val="000000"/>
                <w:sz w:val="20"/>
                <w:szCs w:val="20"/>
                <w:lang w:eastAsia="en-GB"/>
              </w:rPr>
            </w:pPr>
            <w:r w:rsidRPr="001B40D5">
              <w:rPr>
                <w:rFonts w:eastAsia="Times New Roman"/>
                <w:color w:val="000000"/>
                <w:sz w:val="20"/>
                <w:szCs w:val="20"/>
                <w:lang w:eastAsia="en-GB"/>
              </w:rPr>
              <w:t>82.3</w:t>
            </w:r>
            <w:r>
              <w:rPr>
                <w:rFonts w:eastAsia="Times New Roman"/>
                <w:color w:val="000000"/>
                <w:sz w:val="20"/>
                <w:szCs w:val="20"/>
                <w:lang w:eastAsia="en-GB"/>
              </w:rPr>
              <w:t>%</w:t>
            </w:r>
          </w:p>
        </w:tc>
        <w:tc>
          <w:tcPr>
            <w:tcW w:w="851" w:type="dxa"/>
            <w:shd w:val="clear" w:color="auto" w:fill="auto"/>
            <w:vAlign w:val="center"/>
          </w:tcPr>
          <w:p w:rsidR="00E670CA" w:rsidRPr="001B40D5" w:rsidRDefault="00E670CA" w:rsidP="00412908">
            <w:pPr>
              <w:spacing w:after="0" w:line="240" w:lineRule="auto"/>
              <w:ind w:left="-126"/>
              <w:jc w:val="center"/>
              <w:rPr>
                <w:rFonts w:eastAsia="Times New Roman"/>
                <w:color w:val="000000"/>
                <w:sz w:val="20"/>
                <w:szCs w:val="20"/>
                <w:lang w:eastAsia="en-GB"/>
              </w:rPr>
            </w:pPr>
            <w:r>
              <w:rPr>
                <w:rFonts w:eastAsia="Times New Roman"/>
                <w:color w:val="000000"/>
                <w:sz w:val="20"/>
                <w:szCs w:val="20"/>
                <w:lang w:eastAsia="en-GB"/>
              </w:rPr>
              <w:t>94.1%</w:t>
            </w:r>
          </w:p>
        </w:tc>
      </w:tr>
      <w:tr w:rsidR="00E670CA" w:rsidRPr="001B40D5" w:rsidTr="00412908">
        <w:trPr>
          <w:trHeight w:val="300"/>
        </w:trPr>
        <w:tc>
          <w:tcPr>
            <w:tcW w:w="6789" w:type="dxa"/>
            <w:gridSpan w:val="2"/>
            <w:shd w:val="clear" w:color="auto" w:fill="auto"/>
            <w:noWrap/>
            <w:vAlign w:val="center"/>
            <w:hideMark/>
          </w:tcPr>
          <w:p w:rsidR="00E670CA" w:rsidRPr="001B40D5" w:rsidRDefault="00E670CA" w:rsidP="00412908">
            <w:pPr>
              <w:spacing w:after="0" w:line="240" w:lineRule="auto"/>
              <w:rPr>
                <w:rFonts w:eastAsia="Times New Roman"/>
                <w:color w:val="000000"/>
                <w:sz w:val="20"/>
                <w:szCs w:val="20"/>
                <w:lang w:eastAsia="en-GB"/>
              </w:rPr>
            </w:pPr>
            <w:r w:rsidRPr="001B40D5">
              <w:rPr>
                <w:rFonts w:eastAsia="Times New Roman"/>
                <w:color w:val="000000"/>
                <w:sz w:val="20"/>
                <w:szCs w:val="20"/>
                <w:lang w:eastAsia="en-GB"/>
              </w:rPr>
              <w:t xml:space="preserve">3.03vi - Population vaccination coverage - </w:t>
            </w:r>
            <w:proofErr w:type="spellStart"/>
            <w:r w:rsidRPr="001B40D5">
              <w:rPr>
                <w:rFonts w:eastAsia="Times New Roman"/>
                <w:color w:val="000000"/>
                <w:sz w:val="20"/>
                <w:szCs w:val="20"/>
                <w:lang w:eastAsia="en-GB"/>
              </w:rPr>
              <w:t>Hib</w:t>
            </w:r>
            <w:proofErr w:type="spellEnd"/>
            <w:r w:rsidRPr="001B40D5">
              <w:rPr>
                <w:rFonts w:eastAsia="Times New Roman"/>
                <w:color w:val="000000"/>
                <w:sz w:val="20"/>
                <w:szCs w:val="20"/>
                <w:lang w:eastAsia="en-GB"/>
              </w:rPr>
              <w:t xml:space="preserve"> / </w:t>
            </w:r>
            <w:proofErr w:type="spellStart"/>
            <w:r w:rsidRPr="001B40D5">
              <w:rPr>
                <w:rFonts w:eastAsia="Times New Roman"/>
                <w:color w:val="000000"/>
                <w:sz w:val="20"/>
                <w:szCs w:val="20"/>
                <w:lang w:eastAsia="en-GB"/>
              </w:rPr>
              <w:t>MenC</w:t>
            </w:r>
            <w:proofErr w:type="spellEnd"/>
            <w:r w:rsidRPr="001B40D5">
              <w:rPr>
                <w:rFonts w:eastAsia="Times New Roman"/>
                <w:color w:val="000000"/>
                <w:sz w:val="20"/>
                <w:szCs w:val="20"/>
                <w:lang w:eastAsia="en-GB"/>
              </w:rPr>
              <w:t xml:space="preserve"> booster (2 </w:t>
            </w:r>
            <w:proofErr w:type="spellStart"/>
            <w:r w:rsidRPr="001B40D5">
              <w:rPr>
                <w:rFonts w:eastAsia="Times New Roman"/>
                <w:color w:val="000000"/>
                <w:sz w:val="20"/>
                <w:szCs w:val="20"/>
                <w:lang w:eastAsia="en-GB"/>
              </w:rPr>
              <w:t>y</w:t>
            </w:r>
            <w:r>
              <w:rPr>
                <w:rFonts w:eastAsia="Times New Roman"/>
                <w:color w:val="000000"/>
                <w:sz w:val="20"/>
                <w:szCs w:val="20"/>
                <w:lang w:eastAsia="en-GB"/>
              </w:rPr>
              <w:t>rs</w:t>
            </w:r>
            <w:proofErr w:type="spellEnd"/>
            <w:r>
              <w:rPr>
                <w:rFonts w:eastAsia="Times New Roman"/>
                <w:color w:val="000000"/>
                <w:sz w:val="20"/>
                <w:szCs w:val="20"/>
                <w:lang w:eastAsia="en-GB"/>
              </w:rPr>
              <w:t xml:space="preserve"> old, </w:t>
            </w:r>
            <w:r w:rsidRPr="001B40D5">
              <w:rPr>
                <w:rFonts w:eastAsia="Times New Roman"/>
                <w:color w:val="000000"/>
                <w:sz w:val="20"/>
                <w:szCs w:val="20"/>
                <w:lang w:eastAsia="en-GB"/>
              </w:rPr>
              <w:t>persons)</w:t>
            </w:r>
          </w:p>
        </w:tc>
        <w:tc>
          <w:tcPr>
            <w:tcW w:w="926" w:type="dxa"/>
            <w:shd w:val="clear" w:color="auto" w:fill="auto"/>
            <w:noWrap/>
            <w:vAlign w:val="center"/>
            <w:hideMark/>
          </w:tcPr>
          <w:p w:rsidR="00E670CA" w:rsidRPr="001B40D5" w:rsidRDefault="00E670CA" w:rsidP="00412908">
            <w:pPr>
              <w:spacing w:after="0" w:line="240" w:lineRule="auto"/>
              <w:ind w:left="-126"/>
              <w:jc w:val="center"/>
              <w:rPr>
                <w:rFonts w:eastAsia="Times New Roman"/>
                <w:color w:val="000000"/>
                <w:sz w:val="20"/>
                <w:szCs w:val="20"/>
                <w:lang w:eastAsia="en-GB"/>
              </w:rPr>
            </w:pPr>
            <w:r w:rsidRPr="001B40D5">
              <w:rPr>
                <w:rFonts w:eastAsia="Times New Roman"/>
                <w:color w:val="000000"/>
                <w:sz w:val="20"/>
                <w:szCs w:val="20"/>
                <w:lang w:eastAsia="en-GB"/>
              </w:rPr>
              <w:t>2013/14</w:t>
            </w:r>
          </w:p>
        </w:tc>
        <w:tc>
          <w:tcPr>
            <w:tcW w:w="834" w:type="dxa"/>
            <w:vAlign w:val="center"/>
          </w:tcPr>
          <w:p w:rsidR="00E670CA" w:rsidRPr="001B40D5" w:rsidRDefault="00E670CA" w:rsidP="00412908">
            <w:pPr>
              <w:spacing w:after="0" w:line="240" w:lineRule="auto"/>
              <w:ind w:left="-126"/>
              <w:jc w:val="center"/>
              <w:rPr>
                <w:rFonts w:eastAsia="Times New Roman"/>
                <w:color w:val="000000"/>
                <w:sz w:val="20"/>
                <w:szCs w:val="20"/>
                <w:lang w:eastAsia="en-GB"/>
              </w:rPr>
            </w:pPr>
            <w:r w:rsidRPr="001B40D5">
              <w:rPr>
                <w:rFonts w:eastAsia="Times New Roman"/>
                <w:color w:val="000000"/>
                <w:sz w:val="20"/>
                <w:szCs w:val="20"/>
                <w:lang w:eastAsia="en-GB"/>
              </w:rPr>
              <w:t>4,833</w:t>
            </w:r>
          </w:p>
        </w:tc>
        <w:tc>
          <w:tcPr>
            <w:tcW w:w="708" w:type="dxa"/>
            <w:shd w:val="clear" w:color="auto" w:fill="FF0000"/>
            <w:noWrap/>
            <w:vAlign w:val="center"/>
            <w:hideMark/>
          </w:tcPr>
          <w:p w:rsidR="00E670CA" w:rsidRPr="001B40D5" w:rsidRDefault="00E670CA" w:rsidP="00412908">
            <w:pPr>
              <w:spacing w:after="0" w:line="240" w:lineRule="auto"/>
              <w:ind w:left="-126"/>
              <w:jc w:val="center"/>
              <w:rPr>
                <w:rFonts w:eastAsia="Times New Roman"/>
                <w:color w:val="000000"/>
                <w:sz w:val="20"/>
                <w:szCs w:val="20"/>
                <w:lang w:eastAsia="en-GB"/>
              </w:rPr>
            </w:pPr>
            <w:r>
              <w:rPr>
                <w:rFonts w:eastAsia="Times New Roman"/>
                <w:color w:val="000000"/>
                <w:sz w:val="20"/>
                <w:szCs w:val="20"/>
                <w:lang w:eastAsia="en-GB"/>
              </w:rPr>
              <w:t>80.2%</w:t>
            </w:r>
          </w:p>
        </w:tc>
        <w:tc>
          <w:tcPr>
            <w:tcW w:w="851" w:type="dxa"/>
            <w:shd w:val="clear" w:color="auto" w:fill="auto"/>
            <w:vAlign w:val="center"/>
          </w:tcPr>
          <w:p w:rsidR="00E670CA" w:rsidRPr="001B40D5" w:rsidRDefault="00E670CA" w:rsidP="00412908">
            <w:pPr>
              <w:spacing w:after="0" w:line="240" w:lineRule="auto"/>
              <w:ind w:left="-126"/>
              <w:jc w:val="center"/>
              <w:rPr>
                <w:rFonts w:eastAsia="Times New Roman"/>
                <w:color w:val="000000"/>
                <w:sz w:val="20"/>
                <w:szCs w:val="20"/>
                <w:lang w:eastAsia="en-GB"/>
              </w:rPr>
            </w:pPr>
            <w:r>
              <w:rPr>
                <w:rFonts w:eastAsia="Times New Roman"/>
                <w:color w:val="000000"/>
                <w:sz w:val="20"/>
                <w:szCs w:val="20"/>
                <w:lang w:eastAsia="en-GB"/>
              </w:rPr>
              <w:t>92.5%</w:t>
            </w:r>
          </w:p>
        </w:tc>
      </w:tr>
      <w:tr w:rsidR="00E670CA" w:rsidRPr="001B40D5" w:rsidTr="00412908">
        <w:trPr>
          <w:trHeight w:val="300"/>
        </w:trPr>
        <w:tc>
          <w:tcPr>
            <w:tcW w:w="6789" w:type="dxa"/>
            <w:gridSpan w:val="2"/>
            <w:shd w:val="clear" w:color="auto" w:fill="auto"/>
            <w:noWrap/>
            <w:vAlign w:val="center"/>
            <w:hideMark/>
          </w:tcPr>
          <w:p w:rsidR="00E670CA" w:rsidRPr="001B40D5" w:rsidRDefault="00E670CA" w:rsidP="00412908">
            <w:pPr>
              <w:spacing w:after="0" w:line="240" w:lineRule="auto"/>
              <w:rPr>
                <w:rFonts w:eastAsia="Times New Roman"/>
                <w:color w:val="000000"/>
                <w:sz w:val="20"/>
                <w:szCs w:val="20"/>
                <w:lang w:eastAsia="en-GB"/>
              </w:rPr>
            </w:pPr>
            <w:r w:rsidRPr="001B40D5">
              <w:rPr>
                <w:rFonts w:eastAsia="Times New Roman"/>
                <w:color w:val="000000"/>
                <w:sz w:val="20"/>
                <w:szCs w:val="20"/>
                <w:lang w:eastAsia="en-GB"/>
              </w:rPr>
              <w:t xml:space="preserve">3.03vi - Population vaccination coverage - </w:t>
            </w:r>
            <w:proofErr w:type="spellStart"/>
            <w:r w:rsidRPr="001B40D5">
              <w:rPr>
                <w:rFonts w:eastAsia="Times New Roman"/>
                <w:color w:val="000000"/>
                <w:sz w:val="20"/>
                <w:szCs w:val="20"/>
                <w:lang w:eastAsia="en-GB"/>
              </w:rPr>
              <w:t>Hib</w:t>
            </w:r>
            <w:proofErr w:type="spellEnd"/>
            <w:r w:rsidRPr="001B40D5">
              <w:rPr>
                <w:rFonts w:eastAsia="Times New Roman"/>
                <w:color w:val="000000"/>
                <w:sz w:val="20"/>
                <w:szCs w:val="20"/>
                <w:lang w:eastAsia="en-GB"/>
              </w:rPr>
              <w:t xml:space="preserve"> / Men C booster (5 </w:t>
            </w:r>
            <w:proofErr w:type="spellStart"/>
            <w:r w:rsidRPr="001B40D5">
              <w:rPr>
                <w:rFonts w:eastAsia="Times New Roman"/>
                <w:color w:val="000000"/>
                <w:sz w:val="20"/>
                <w:szCs w:val="20"/>
                <w:lang w:eastAsia="en-GB"/>
              </w:rPr>
              <w:t>y</w:t>
            </w:r>
            <w:r>
              <w:rPr>
                <w:rFonts w:eastAsia="Times New Roman"/>
                <w:color w:val="000000"/>
                <w:sz w:val="20"/>
                <w:szCs w:val="20"/>
                <w:lang w:eastAsia="en-GB"/>
              </w:rPr>
              <w:t>rs</w:t>
            </w:r>
            <w:proofErr w:type="spellEnd"/>
            <w:r>
              <w:rPr>
                <w:rFonts w:eastAsia="Times New Roman"/>
                <w:color w:val="000000"/>
                <w:sz w:val="20"/>
                <w:szCs w:val="20"/>
                <w:lang w:eastAsia="en-GB"/>
              </w:rPr>
              <w:t xml:space="preserve"> old,</w:t>
            </w:r>
            <w:r w:rsidRPr="001B40D5">
              <w:rPr>
                <w:rFonts w:eastAsia="Times New Roman"/>
                <w:color w:val="000000"/>
                <w:sz w:val="20"/>
                <w:szCs w:val="20"/>
                <w:lang w:eastAsia="en-GB"/>
              </w:rPr>
              <w:t xml:space="preserve"> persons)</w:t>
            </w:r>
          </w:p>
        </w:tc>
        <w:tc>
          <w:tcPr>
            <w:tcW w:w="926" w:type="dxa"/>
            <w:shd w:val="clear" w:color="auto" w:fill="auto"/>
            <w:noWrap/>
            <w:vAlign w:val="center"/>
            <w:hideMark/>
          </w:tcPr>
          <w:p w:rsidR="00E670CA" w:rsidRPr="001B40D5" w:rsidRDefault="00E670CA" w:rsidP="00412908">
            <w:pPr>
              <w:spacing w:after="0" w:line="240" w:lineRule="auto"/>
              <w:ind w:left="-126"/>
              <w:jc w:val="center"/>
              <w:rPr>
                <w:rFonts w:eastAsia="Times New Roman"/>
                <w:color w:val="000000"/>
                <w:sz w:val="20"/>
                <w:szCs w:val="20"/>
                <w:lang w:eastAsia="en-GB"/>
              </w:rPr>
            </w:pPr>
            <w:r w:rsidRPr="001B40D5">
              <w:rPr>
                <w:rFonts w:eastAsia="Times New Roman"/>
                <w:color w:val="000000"/>
                <w:sz w:val="20"/>
                <w:szCs w:val="20"/>
                <w:lang w:eastAsia="en-GB"/>
              </w:rPr>
              <w:t>2013/14</w:t>
            </w:r>
          </w:p>
        </w:tc>
        <w:tc>
          <w:tcPr>
            <w:tcW w:w="834" w:type="dxa"/>
            <w:vAlign w:val="center"/>
          </w:tcPr>
          <w:p w:rsidR="00E670CA" w:rsidRPr="001B40D5" w:rsidRDefault="00E670CA" w:rsidP="00412908">
            <w:pPr>
              <w:spacing w:after="0" w:line="240" w:lineRule="auto"/>
              <w:ind w:left="-126"/>
              <w:jc w:val="center"/>
              <w:rPr>
                <w:rFonts w:eastAsia="Times New Roman"/>
                <w:color w:val="000000"/>
                <w:sz w:val="20"/>
                <w:szCs w:val="20"/>
                <w:lang w:eastAsia="en-GB"/>
              </w:rPr>
            </w:pPr>
            <w:r w:rsidRPr="001B40D5">
              <w:rPr>
                <w:rFonts w:eastAsia="Times New Roman"/>
                <w:color w:val="000000"/>
                <w:sz w:val="20"/>
                <w:szCs w:val="20"/>
                <w:lang w:eastAsia="en-GB"/>
              </w:rPr>
              <w:t>5,122</w:t>
            </w:r>
          </w:p>
        </w:tc>
        <w:tc>
          <w:tcPr>
            <w:tcW w:w="708" w:type="dxa"/>
            <w:shd w:val="clear" w:color="auto" w:fill="FF0000"/>
            <w:noWrap/>
            <w:vAlign w:val="center"/>
            <w:hideMark/>
          </w:tcPr>
          <w:p w:rsidR="00E670CA" w:rsidRPr="001B40D5" w:rsidRDefault="00E670CA" w:rsidP="00412908">
            <w:pPr>
              <w:spacing w:after="0" w:line="240" w:lineRule="auto"/>
              <w:ind w:left="-126"/>
              <w:jc w:val="center"/>
              <w:rPr>
                <w:rFonts w:eastAsia="Times New Roman"/>
                <w:color w:val="000000"/>
                <w:sz w:val="20"/>
                <w:szCs w:val="20"/>
                <w:lang w:eastAsia="en-GB"/>
              </w:rPr>
            </w:pPr>
            <w:r>
              <w:rPr>
                <w:rFonts w:eastAsia="Times New Roman"/>
                <w:color w:val="000000"/>
                <w:sz w:val="20"/>
                <w:szCs w:val="20"/>
                <w:lang w:eastAsia="en-GB"/>
              </w:rPr>
              <w:t>86.0%</w:t>
            </w:r>
          </w:p>
        </w:tc>
        <w:tc>
          <w:tcPr>
            <w:tcW w:w="851" w:type="dxa"/>
            <w:shd w:val="clear" w:color="auto" w:fill="auto"/>
            <w:vAlign w:val="center"/>
          </w:tcPr>
          <w:p w:rsidR="00E670CA" w:rsidRPr="001B40D5" w:rsidRDefault="00E670CA" w:rsidP="00412908">
            <w:pPr>
              <w:spacing w:after="0" w:line="240" w:lineRule="auto"/>
              <w:ind w:left="-126"/>
              <w:jc w:val="center"/>
              <w:rPr>
                <w:rFonts w:eastAsia="Times New Roman"/>
                <w:color w:val="000000"/>
                <w:sz w:val="20"/>
                <w:szCs w:val="20"/>
                <w:lang w:eastAsia="en-GB"/>
              </w:rPr>
            </w:pPr>
            <w:r>
              <w:rPr>
                <w:rFonts w:eastAsia="Times New Roman"/>
                <w:color w:val="000000"/>
                <w:sz w:val="20"/>
                <w:szCs w:val="20"/>
                <w:lang w:eastAsia="en-GB"/>
              </w:rPr>
              <w:t>91.9%</w:t>
            </w:r>
          </w:p>
        </w:tc>
      </w:tr>
      <w:tr w:rsidR="00E670CA" w:rsidRPr="001B40D5" w:rsidTr="00412908">
        <w:trPr>
          <w:trHeight w:val="300"/>
        </w:trPr>
        <w:tc>
          <w:tcPr>
            <w:tcW w:w="6789" w:type="dxa"/>
            <w:gridSpan w:val="2"/>
            <w:shd w:val="clear" w:color="auto" w:fill="auto"/>
            <w:noWrap/>
            <w:vAlign w:val="center"/>
            <w:hideMark/>
          </w:tcPr>
          <w:p w:rsidR="00E670CA" w:rsidRPr="001B40D5" w:rsidRDefault="00E670CA" w:rsidP="00412908">
            <w:pPr>
              <w:spacing w:after="0" w:line="240" w:lineRule="auto"/>
              <w:rPr>
                <w:rFonts w:eastAsia="Times New Roman"/>
                <w:color w:val="000000"/>
                <w:sz w:val="20"/>
                <w:szCs w:val="20"/>
                <w:lang w:eastAsia="en-GB"/>
              </w:rPr>
            </w:pPr>
            <w:r w:rsidRPr="001B40D5">
              <w:rPr>
                <w:rFonts w:eastAsia="Times New Roman"/>
                <w:color w:val="000000"/>
                <w:sz w:val="20"/>
                <w:szCs w:val="20"/>
                <w:lang w:eastAsia="en-GB"/>
              </w:rPr>
              <w:t xml:space="preserve">3.03vii - Population vaccination coverage - PCV booster (2 </w:t>
            </w:r>
            <w:proofErr w:type="spellStart"/>
            <w:r w:rsidRPr="001B40D5">
              <w:rPr>
                <w:rFonts w:eastAsia="Times New Roman"/>
                <w:color w:val="000000"/>
                <w:sz w:val="20"/>
                <w:szCs w:val="20"/>
                <w:lang w:eastAsia="en-GB"/>
              </w:rPr>
              <w:t>y</w:t>
            </w:r>
            <w:r>
              <w:rPr>
                <w:rFonts w:eastAsia="Times New Roman"/>
                <w:color w:val="000000"/>
                <w:sz w:val="20"/>
                <w:szCs w:val="20"/>
                <w:lang w:eastAsia="en-GB"/>
              </w:rPr>
              <w:t>rs</w:t>
            </w:r>
            <w:proofErr w:type="spellEnd"/>
            <w:r w:rsidRPr="001B40D5">
              <w:rPr>
                <w:rFonts w:eastAsia="Times New Roman"/>
                <w:color w:val="000000"/>
                <w:sz w:val="20"/>
                <w:szCs w:val="20"/>
                <w:lang w:eastAsia="en-GB"/>
              </w:rPr>
              <w:t xml:space="preserve"> old</w:t>
            </w:r>
            <w:r>
              <w:rPr>
                <w:rFonts w:eastAsia="Times New Roman"/>
                <w:color w:val="000000"/>
                <w:sz w:val="20"/>
                <w:szCs w:val="20"/>
                <w:lang w:eastAsia="en-GB"/>
              </w:rPr>
              <w:t>,</w:t>
            </w:r>
            <w:r w:rsidRPr="001B40D5">
              <w:rPr>
                <w:rFonts w:eastAsia="Times New Roman"/>
                <w:color w:val="000000"/>
                <w:sz w:val="20"/>
                <w:szCs w:val="20"/>
                <w:lang w:eastAsia="en-GB"/>
              </w:rPr>
              <w:t xml:space="preserve"> persons)</w:t>
            </w:r>
          </w:p>
        </w:tc>
        <w:tc>
          <w:tcPr>
            <w:tcW w:w="926" w:type="dxa"/>
            <w:shd w:val="clear" w:color="auto" w:fill="auto"/>
            <w:noWrap/>
            <w:vAlign w:val="center"/>
            <w:hideMark/>
          </w:tcPr>
          <w:p w:rsidR="00E670CA" w:rsidRPr="001B40D5" w:rsidRDefault="00E670CA" w:rsidP="00412908">
            <w:pPr>
              <w:spacing w:after="0" w:line="240" w:lineRule="auto"/>
              <w:ind w:left="-126"/>
              <w:jc w:val="center"/>
              <w:rPr>
                <w:rFonts w:eastAsia="Times New Roman"/>
                <w:color w:val="000000"/>
                <w:sz w:val="20"/>
                <w:szCs w:val="20"/>
                <w:lang w:eastAsia="en-GB"/>
              </w:rPr>
            </w:pPr>
            <w:r w:rsidRPr="001B40D5">
              <w:rPr>
                <w:rFonts w:eastAsia="Times New Roman"/>
                <w:color w:val="000000"/>
                <w:sz w:val="20"/>
                <w:szCs w:val="20"/>
                <w:lang w:eastAsia="en-GB"/>
              </w:rPr>
              <w:t>2013/14</w:t>
            </w:r>
          </w:p>
        </w:tc>
        <w:tc>
          <w:tcPr>
            <w:tcW w:w="834" w:type="dxa"/>
            <w:vAlign w:val="center"/>
          </w:tcPr>
          <w:p w:rsidR="00E670CA" w:rsidRPr="001B40D5" w:rsidRDefault="00E670CA" w:rsidP="00412908">
            <w:pPr>
              <w:spacing w:after="0" w:line="240" w:lineRule="auto"/>
              <w:ind w:left="-126"/>
              <w:jc w:val="center"/>
              <w:rPr>
                <w:rFonts w:eastAsia="Times New Roman"/>
                <w:color w:val="000000"/>
                <w:sz w:val="20"/>
                <w:szCs w:val="20"/>
                <w:lang w:eastAsia="en-GB"/>
              </w:rPr>
            </w:pPr>
            <w:r w:rsidRPr="001B40D5">
              <w:rPr>
                <w:rFonts w:eastAsia="Times New Roman"/>
                <w:color w:val="000000"/>
                <w:sz w:val="20"/>
                <w:szCs w:val="20"/>
                <w:lang w:eastAsia="en-GB"/>
              </w:rPr>
              <w:t>4,839</w:t>
            </w:r>
          </w:p>
        </w:tc>
        <w:tc>
          <w:tcPr>
            <w:tcW w:w="708" w:type="dxa"/>
            <w:shd w:val="clear" w:color="auto" w:fill="FF0000"/>
            <w:noWrap/>
            <w:vAlign w:val="center"/>
            <w:hideMark/>
          </w:tcPr>
          <w:p w:rsidR="00E670CA" w:rsidRPr="001B40D5" w:rsidRDefault="00E670CA" w:rsidP="00412908">
            <w:pPr>
              <w:spacing w:after="0" w:line="240" w:lineRule="auto"/>
              <w:ind w:left="-126"/>
              <w:jc w:val="center"/>
              <w:rPr>
                <w:rFonts w:eastAsia="Times New Roman"/>
                <w:color w:val="000000"/>
                <w:sz w:val="20"/>
                <w:szCs w:val="20"/>
                <w:lang w:eastAsia="en-GB"/>
              </w:rPr>
            </w:pPr>
            <w:r>
              <w:rPr>
                <w:rFonts w:eastAsia="Times New Roman"/>
                <w:color w:val="000000"/>
                <w:sz w:val="20"/>
                <w:szCs w:val="20"/>
                <w:lang w:eastAsia="en-GB"/>
              </w:rPr>
              <w:t>80.3%</w:t>
            </w:r>
          </w:p>
        </w:tc>
        <w:tc>
          <w:tcPr>
            <w:tcW w:w="851" w:type="dxa"/>
            <w:shd w:val="clear" w:color="auto" w:fill="auto"/>
            <w:vAlign w:val="center"/>
          </w:tcPr>
          <w:p w:rsidR="00E670CA" w:rsidRPr="001B40D5" w:rsidRDefault="00E670CA" w:rsidP="00412908">
            <w:pPr>
              <w:spacing w:after="0" w:line="240" w:lineRule="auto"/>
              <w:ind w:left="-126"/>
              <w:jc w:val="center"/>
              <w:rPr>
                <w:rFonts w:eastAsia="Times New Roman"/>
                <w:color w:val="000000"/>
                <w:sz w:val="20"/>
                <w:szCs w:val="20"/>
                <w:lang w:eastAsia="en-GB"/>
              </w:rPr>
            </w:pPr>
            <w:r>
              <w:rPr>
                <w:rFonts w:eastAsia="Times New Roman"/>
                <w:color w:val="000000"/>
                <w:sz w:val="20"/>
                <w:szCs w:val="20"/>
                <w:lang w:eastAsia="en-GB"/>
              </w:rPr>
              <w:t>92.4%</w:t>
            </w:r>
          </w:p>
        </w:tc>
      </w:tr>
      <w:tr w:rsidR="00E670CA" w:rsidRPr="001B40D5" w:rsidTr="00412908">
        <w:trPr>
          <w:trHeight w:val="300"/>
        </w:trPr>
        <w:tc>
          <w:tcPr>
            <w:tcW w:w="6789" w:type="dxa"/>
            <w:gridSpan w:val="2"/>
            <w:shd w:val="clear" w:color="auto" w:fill="auto"/>
            <w:noWrap/>
            <w:vAlign w:val="center"/>
            <w:hideMark/>
          </w:tcPr>
          <w:p w:rsidR="00E670CA" w:rsidRPr="001B40D5" w:rsidRDefault="00E670CA" w:rsidP="00412908">
            <w:pPr>
              <w:spacing w:after="0" w:line="240" w:lineRule="auto"/>
              <w:rPr>
                <w:rFonts w:eastAsia="Times New Roman"/>
                <w:color w:val="000000"/>
                <w:sz w:val="20"/>
                <w:szCs w:val="20"/>
                <w:lang w:eastAsia="en-GB"/>
              </w:rPr>
            </w:pPr>
            <w:r w:rsidRPr="001B40D5">
              <w:rPr>
                <w:rFonts w:eastAsia="Times New Roman"/>
                <w:color w:val="000000"/>
                <w:sz w:val="20"/>
                <w:szCs w:val="20"/>
                <w:lang w:eastAsia="en-GB"/>
              </w:rPr>
              <w:t xml:space="preserve">3.03viii - Population vaccination coverage - MMR for one dose (2 </w:t>
            </w:r>
            <w:proofErr w:type="spellStart"/>
            <w:r w:rsidRPr="001B40D5">
              <w:rPr>
                <w:rFonts w:eastAsia="Times New Roman"/>
                <w:color w:val="000000"/>
                <w:sz w:val="20"/>
                <w:szCs w:val="20"/>
                <w:lang w:eastAsia="en-GB"/>
              </w:rPr>
              <w:t>y</w:t>
            </w:r>
            <w:r>
              <w:rPr>
                <w:rFonts w:eastAsia="Times New Roman"/>
                <w:color w:val="000000"/>
                <w:sz w:val="20"/>
                <w:szCs w:val="20"/>
                <w:lang w:eastAsia="en-GB"/>
              </w:rPr>
              <w:t>rs</w:t>
            </w:r>
            <w:proofErr w:type="spellEnd"/>
            <w:r>
              <w:rPr>
                <w:rFonts w:eastAsia="Times New Roman"/>
                <w:color w:val="000000"/>
                <w:sz w:val="20"/>
                <w:szCs w:val="20"/>
                <w:lang w:eastAsia="en-GB"/>
              </w:rPr>
              <w:t xml:space="preserve"> old,</w:t>
            </w:r>
            <w:r w:rsidRPr="001B40D5">
              <w:rPr>
                <w:rFonts w:eastAsia="Times New Roman"/>
                <w:color w:val="000000"/>
                <w:sz w:val="20"/>
                <w:szCs w:val="20"/>
                <w:lang w:eastAsia="en-GB"/>
              </w:rPr>
              <w:t xml:space="preserve"> persons)</w:t>
            </w:r>
          </w:p>
        </w:tc>
        <w:tc>
          <w:tcPr>
            <w:tcW w:w="926" w:type="dxa"/>
            <w:shd w:val="clear" w:color="auto" w:fill="auto"/>
            <w:noWrap/>
            <w:vAlign w:val="center"/>
            <w:hideMark/>
          </w:tcPr>
          <w:p w:rsidR="00E670CA" w:rsidRPr="001B40D5" w:rsidRDefault="00E670CA" w:rsidP="00412908">
            <w:pPr>
              <w:spacing w:after="0" w:line="240" w:lineRule="auto"/>
              <w:ind w:left="-126"/>
              <w:jc w:val="center"/>
              <w:rPr>
                <w:rFonts w:eastAsia="Times New Roman"/>
                <w:color w:val="000000"/>
                <w:sz w:val="20"/>
                <w:szCs w:val="20"/>
                <w:lang w:eastAsia="en-GB"/>
              </w:rPr>
            </w:pPr>
            <w:r w:rsidRPr="001B40D5">
              <w:rPr>
                <w:rFonts w:eastAsia="Times New Roman"/>
                <w:color w:val="000000"/>
                <w:sz w:val="20"/>
                <w:szCs w:val="20"/>
                <w:lang w:eastAsia="en-GB"/>
              </w:rPr>
              <w:t>2013/14</w:t>
            </w:r>
          </w:p>
        </w:tc>
        <w:tc>
          <w:tcPr>
            <w:tcW w:w="834" w:type="dxa"/>
            <w:vAlign w:val="center"/>
          </w:tcPr>
          <w:p w:rsidR="00E670CA" w:rsidRPr="001B40D5" w:rsidRDefault="00E670CA" w:rsidP="00412908">
            <w:pPr>
              <w:spacing w:after="0" w:line="240" w:lineRule="auto"/>
              <w:ind w:left="-126"/>
              <w:jc w:val="center"/>
              <w:rPr>
                <w:rFonts w:eastAsia="Times New Roman"/>
                <w:color w:val="000000"/>
                <w:sz w:val="20"/>
                <w:szCs w:val="20"/>
                <w:lang w:eastAsia="en-GB"/>
              </w:rPr>
            </w:pPr>
            <w:r w:rsidRPr="001B40D5">
              <w:rPr>
                <w:rFonts w:eastAsia="Times New Roman"/>
                <w:color w:val="000000"/>
                <w:sz w:val="20"/>
                <w:szCs w:val="20"/>
                <w:lang w:eastAsia="en-GB"/>
              </w:rPr>
              <w:t>4,863</w:t>
            </w:r>
          </w:p>
        </w:tc>
        <w:tc>
          <w:tcPr>
            <w:tcW w:w="708" w:type="dxa"/>
            <w:shd w:val="clear" w:color="auto" w:fill="FF0000"/>
            <w:noWrap/>
            <w:vAlign w:val="center"/>
            <w:hideMark/>
          </w:tcPr>
          <w:p w:rsidR="00E670CA" w:rsidRPr="001B40D5" w:rsidRDefault="00E670CA" w:rsidP="00412908">
            <w:pPr>
              <w:spacing w:after="0" w:line="240" w:lineRule="auto"/>
              <w:ind w:left="-126"/>
              <w:jc w:val="center"/>
              <w:rPr>
                <w:rFonts w:eastAsia="Times New Roman"/>
                <w:color w:val="000000"/>
                <w:sz w:val="20"/>
                <w:szCs w:val="20"/>
                <w:lang w:eastAsia="en-GB"/>
              </w:rPr>
            </w:pPr>
            <w:r>
              <w:rPr>
                <w:rFonts w:eastAsia="Times New Roman"/>
                <w:color w:val="000000"/>
                <w:sz w:val="20"/>
                <w:szCs w:val="20"/>
                <w:lang w:eastAsia="en-GB"/>
              </w:rPr>
              <w:t>80.7%</w:t>
            </w:r>
          </w:p>
        </w:tc>
        <w:tc>
          <w:tcPr>
            <w:tcW w:w="851" w:type="dxa"/>
            <w:shd w:val="clear" w:color="auto" w:fill="auto"/>
            <w:vAlign w:val="center"/>
          </w:tcPr>
          <w:p w:rsidR="00E670CA" w:rsidRPr="001B40D5" w:rsidRDefault="00E670CA" w:rsidP="00412908">
            <w:pPr>
              <w:spacing w:after="0" w:line="240" w:lineRule="auto"/>
              <w:ind w:left="-126"/>
              <w:jc w:val="center"/>
              <w:rPr>
                <w:rFonts w:eastAsia="Times New Roman"/>
                <w:color w:val="000000"/>
                <w:sz w:val="20"/>
                <w:szCs w:val="20"/>
                <w:lang w:eastAsia="en-GB"/>
              </w:rPr>
            </w:pPr>
            <w:r>
              <w:rPr>
                <w:rFonts w:eastAsia="Times New Roman"/>
                <w:color w:val="000000"/>
                <w:sz w:val="20"/>
                <w:szCs w:val="20"/>
                <w:lang w:eastAsia="en-GB"/>
              </w:rPr>
              <w:t>92.7%</w:t>
            </w:r>
          </w:p>
        </w:tc>
      </w:tr>
      <w:tr w:rsidR="00E670CA" w:rsidRPr="001B40D5" w:rsidTr="00412908">
        <w:trPr>
          <w:trHeight w:val="300"/>
        </w:trPr>
        <w:tc>
          <w:tcPr>
            <w:tcW w:w="6789" w:type="dxa"/>
            <w:gridSpan w:val="2"/>
            <w:shd w:val="clear" w:color="auto" w:fill="auto"/>
            <w:noWrap/>
            <w:vAlign w:val="center"/>
            <w:hideMark/>
          </w:tcPr>
          <w:p w:rsidR="00E670CA" w:rsidRPr="001B40D5" w:rsidRDefault="00E670CA" w:rsidP="00412908">
            <w:pPr>
              <w:spacing w:after="0" w:line="240" w:lineRule="auto"/>
              <w:rPr>
                <w:rFonts w:eastAsia="Times New Roman"/>
                <w:color w:val="000000"/>
                <w:sz w:val="20"/>
                <w:szCs w:val="20"/>
                <w:lang w:eastAsia="en-GB"/>
              </w:rPr>
            </w:pPr>
            <w:r w:rsidRPr="001B40D5">
              <w:rPr>
                <w:rFonts w:eastAsia="Times New Roman"/>
                <w:color w:val="000000"/>
                <w:sz w:val="20"/>
                <w:szCs w:val="20"/>
                <w:lang w:eastAsia="en-GB"/>
              </w:rPr>
              <w:t xml:space="preserve">3.03x - Population vaccination coverage - MMR for two doses (5 </w:t>
            </w:r>
            <w:proofErr w:type="spellStart"/>
            <w:r w:rsidRPr="001B40D5">
              <w:rPr>
                <w:rFonts w:eastAsia="Times New Roman"/>
                <w:color w:val="000000"/>
                <w:sz w:val="20"/>
                <w:szCs w:val="20"/>
                <w:lang w:eastAsia="en-GB"/>
              </w:rPr>
              <w:t>y</w:t>
            </w:r>
            <w:r>
              <w:rPr>
                <w:rFonts w:eastAsia="Times New Roman"/>
                <w:color w:val="000000"/>
                <w:sz w:val="20"/>
                <w:szCs w:val="20"/>
                <w:lang w:eastAsia="en-GB"/>
              </w:rPr>
              <w:t>rs</w:t>
            </w:r>
            <w:proofErr w:type="spellEnd"/>
            <w:r>
              <w:rPr>
                <w:rFonts w:eastAsia="Times New Roman"/>
                <w:color w:val="000000"/>
                <w:sz w:val="20"/>
                <w:szCs w:val="20"/>
                <w:lang w:eastAsia="en-GB"/>
              </w:rPr>
              <w:t xml:space="preserve"> old,</w:t>
            </w:r>
            <w:r w:rsidRPr="001B40D5">
              <w:rPr>
                <w:rFonts w:eastAsia="Times New Roman"/>
                <w:color w:val="000000"/>
                <w:sz w:val="20"/>
                <w:szCs w:val="20"/>
                <w:lang w:eastAsia="en-GB"/>
              </w:rPr>
              <w:t xml:space="preserve"> persons)</w:t>
            </w:r>
          </w:p>
        </w:tc>
        <w:tc>
          <w:tcPr>
            <w:tcW w:w="926" w:type="dxa"/>
            <w:shd w:val="clear" w:color="auto" w:fill="auto"/>
            <w:noWrap/>
            <w:vAlign w:val="center"/>
            <w:hideMark/>
          </w:tcPr>
          <w:p w:rsidR="00E670CA" w:rsidRPr="001B40D5" w:rsidRDefault="00E670CA" w:rsidP="00412908">
            <w:pPr>
              <w:spacing w:after="0" w:line="240" w:lineRule="auto"/>
              <w:ind w:left="-126"/>
              <w:jc w:val="center"/>
              <w:rPr>
                <w:rFonts w:eastAsia="Times New Roman"/>
                <w:color w:val="000000"/>
                <w:sz w:val="20"/>
                <w:szCs w:val="20"/>
                <w:lang w:eastAsia="en-GB"/>
              </w:rPr>
            </w:pPr>
            <w:r w:rsidRPr="001B40D5">
              <w:rPr>
                <w:rFonts w:eastAsia="Times New Roman"/>
                <w:color w:val="000000"/>
                <w:sz w:val="20"/>
                <w:szCs w:val="20"/>
                <w:lang w:eastAsia="en-GB"/>
              </w:rPr>
              <w:t>2013/14</w:t>
            </w:r>
          </w:p>
        </w:tc>
        <w:tc>
          <w:tcPr>
            <w:tcW w:w="834" w:type="dxa"/>
            <w:vAlign w:val="center"/>
          </w:tcPr>
          <w:p w:rsidR="00E670CA" w:rsidRPr="001B40D5" w:rsidRDefault="00E670CA" w:rsidP="00412908">
            <w:pPr>
              <w:spacing w:after="0" w:line="240" w:lineRule="auto"/>
              <w:ind w:left="-126"/>
              <w:jc w:val="center"/>
              <w:rPr>
                <w:rFonts w:eastAsia="Times New Roman"/>
                <w:color w:val="000000"/>
                <w:sz w:val="20"/>
                <w:szCs w:val="20"/>
                <w:lang w:eastAsia="en-GB"/>
              </w:rPr>
            </w:pPr>
            <w:r w:rsidRPr="001B40D5">
              <w:rPr>
                <w:rFonts w:eastAsia="Times New Roman"/>
                <w:color w:val="000000"/>
                <w:sz w:val="20"/>
                <w:szCs w:val="20"/>
                <w:lang w:eastAsia="en-GB"/>
              </w:rPr>
              <w:t>4,473</w:t>
            </w:r>
          </w:p>
        </w:tc>
        <w:tc>
          <w:tcPr>
            <w:tcW w:w="708" w:type="dxa"/>
            <w:shd w:val="clear" w:color="auto" w:fill="FF0000"/>
            <w:noWrap/>
            <w:vAlign w:val="center"/>
            <w:hideMark/>
          </w:tcPr>
          <w:p w:rsidR="00E670CA" w:rsidRPr="001B40D5" w:rsidRDefault="00E670CA" w:rsidP="00412908">
            <w:pPr>
              <w:spacing w:after="0" w:line="240" w:lineRule="auto"/>
              <w:ind w:left="-126"/>
              <w:jc w:val="center"/>
              <w:rPr>
                <w:rFonts w:eastAsia="Times New Roman"/>
                <w:color w:val="000000"/>
                <w:sz w:val="20"/>
                <w:szCs w:val="20"/>
                <w:lang w:eastAsia="en-GB"/>
              </w:rPr>
            </w:pPr>
            <w:r>
              <w:rPr>
                <w:rFonts w:eastAsia="Times New Roman"/>
                <w:color w:val="000000"/>
                <w:sz w:val="20"/>
                <w:szCs w:val="20"/>
                <w:lang w:eastAsia="en-GB"/>
              </w:rPr>
              <w:t>75.1%</w:t>
            </w:r>
          </w:p>
        </w:tc>
        <w:tc>
          <w:tcPr>
            <w:tcW w:w="851" w:type="dxa"/>
            <w:shd w:val="clear" w:color="auto" w:fill="auto"/>
            <w:vAlign w:val="center"/>
          </w:tcPr>
          <w:p w:rsidR="00E670CA" w:rsidRPr="001B40D5" w:rsidRDefault="00E670CA" w:rsidP="00412908">
            <w:pPr>
              <w:spacing w:after="0" w:line="240" w:lineRule="auto"/>
              <w:ind w:left="-126"/>
              <w:jc w:val="center"/>
              <w:rPr>
                <w:rFonts w:eastAsia="Times New Roman"/>
                <w:color w:val="000000"/>
                <w:sz w:val="20"/>
                <w:szCs w:val="20"/>
                <w:lang w:eastAsia="en-GB"/>
              </w:rPr>
            </w:pPr>
            <w:r>
              <w:rPr>
                <w:rFonts w:eastAsia="Times New Roman"/>
                <w:color w:val="000000"/>
                <w:sz w:val="20"/>
                <w:szCs w:val="20"/>
                <w:lang w:eastAsia="en-GB"/>
              </w:rPr>
              <w:t>88.3%</w:t>
            </w:r>
          </w:p>
        </w:tc>
      </w:tr>
      <w:tr w:rsidR="00E670CA" w:rsidRPr="001B40D5" w:rsidTr="00412908">
        <w:trPr>
          <w:trHeight w:val="300"/>
        </w:trPr>
        <w:tc>
          <w:tcPr>
            <w:tcW w:w="6789" w:type="dxa"/>
            <w:gridSpan w:val="2"/>
            <w:shd w:val="clear" w:color="auto" w:fill="auto"/>
            <w:noWrap/>
            <w:vAlign w:val="center"/>
            <w:hideMark/>
          </w:tcPr>
          <w:p w:rsidR="00E670CA" w:rsidRPr="001B40D5" w:rsidRDefault="00E670CA" w:rsidP="00412908">
            <w:pPr>
              <w:spacing w:after="0" w:line="240" w:lineRule="auto"/>
              <w:rPr>
                <w:rFonts w:eastAsia="Times New Roman"/>
                <w:color w:val="000000"/>
                <w:sz w:val="20"/>
                <w:szCs w:val="20"/>
                <w:lang w:eastAsia="en-GB"/>
              </w:rPr>
            </w:pPr>
            <w:r w:rsidRPr="001B40D5">
              <w:rPr>
                <w:rFonts w:eastAsia="Times New Roman"/>
                <w:color w:val="000000"/>
                <w:sz w:val="20"/>
                <w:szCs w:val="20"/>
                <w:lang w:eastAsia="en-GB"/>
              </w:rPr>
              <w:t xml:space="preserve">3.03xii - Population vaccination coverage – HPV (Female, 12-13 </w:t>
            </w:r>
            <w:proofErr w:type="spellStart"/>
            <w:r w:rsidRPr="001B40D5">
              <w:rPr>
                <w:rFonts w:eastAsia="Times New Roman"/>
                <w:color w:val="000000"/>
                <w:sz w:val="20"/>
                <w:szCs w:val="20"/>
                <w:lang w:eastAsia="en-GB"/>
              </w:rPr>
              <w:t>yrs</w:t>
            </w:r>
            <w:proofErr w:type="spellEnd"/>
            <w:r w:rsidRPr="001B40D5">
              <w:rPr>
                <w:rFonts w:eastAsia="Times New Roman"/>
                <w:color w:val="000000"/>
                <w:sz w:val="20"/>
                <w:szCs w:val="20"/>
                <w:lang w:eastAsia="en-GB"/>
              </w:rPr>
              <w:t>)</w:t>
            </w:r>
          </w:p>
        </w:tc>
        <w:tc>
          <w:tcPr>
            <w:tcW w:w="926" w:type="dxa"/>
            <w:shd w:val="clear" w:color="auto" w:fill="auto"/>
            <w:noWrap/>
            <w:vAlign w:val="center"/>
            <w:hideMark/>
          </w:tcPr>
          <w:p w:rsidR="00E670CA" w:rsidRPr="001B40D5" w:rsidRDefault="00E670CA" w:rsidP="00412908">
            <w:pPr>
              <w:spacing w:after="0" w:line="240" w:lineRule="auto"/>
              <w:ind w:left="-126"/>
              <w:jc w:val="center"/>
              <w:rPr>
                <w:rFonts w:eastAsia="Times New Roman"/>
                <w:color w:val="000000"/>
                <w:sz w:val="20"/>
                <w:szCs w:val="20"/>
                <w:lang w:eastAsia="en-GB"/>
              </w:rPr>
            </w:pPr>
            <w:r w:rsidRPr="001B40D5">
              <w:rPr>
                <w:rFonts w:eastAsia="Times New Roman"/>
                <w:color w:val="000000"/>
                <w:sz w:val="20"/>
                <w:szCs w:val="20"/>
                <w:lang w:eastAsia="en-GB"/>
              </w:rPr>
              <w:t>2013/14</w:t>
            </w:r>
          </w:p>
        </w:tc>
        <w:tc>
          <w:tcPr>
            <w:tcW w:w="834" w:type="dxa"/>
            <w:vAlign w:val="center"/>
          </w:tcPr>
          <w:p w:rsidR="00E670CA" w:rsidRPr="001B40D5" w:rsidRDefault="00E670CA" w:rsidP="00412908">
            <w:pPr>
              <w:spacing w:after="0" w:line="240" w:lineRule="auto"/>
              <w:ind w:left="-126"/>
              <w:jc w:val="center"/>
              <w:rPr>
                <w:rFonts w:eastAsia="Times New Roman"/>
                <w:color w:val="000000"/>
                <w:sz w:val="20"/>
                <w:szCs w:val="20"/>
                <w:lang w:eastAsia="en-GB"/>
              </w:rPr>
            </w:pPr>
            <w:r w:rsidRPr="001B40D5">
              <w:rPr>
                <w:rFonts w:eastAsia="Times New Roman"/>
                <w:color w:val="000000"/>
                <w:sz w:val="20"/>
                <w:szCs w:val="20"/>
                <w:lang w:eastAsia="en-GB"/>
              </w:rPr>
              <w:t>1,339</w:t>
            </w:r>
          </w:p>
        </w:tc>
        <w:tc>
          <w:tcPr>
            <w:tcW w:w="708" w:type="dxa"/>
            <w:shd w:val="clear" w:color="auto" w:fill="FF0000"/>
            <w:noWrap/>
            <w:vAlign w:val="center"/>
            <w:hideMark/>
          </w:tcPr>
          <w:p w:rsidR="00E670CA" w:rsidRPr="001B40D5" w:rsidRDefault="00E670CA" w:rsidP="00412908">
            <w:pPr>
              <w:spacing w:after="0" w:line="240" w:lineRule="auto"/>
              <w:ind w:left="-126"/>
              <w:jc w:val="center"/>
              <w:rPr>
                <w:rFonts w:eastAsia="Times New Roman"/>
                <w:color w:val="000000"/>
                <w:sz w:val="20"/>
                <w:szCs w:val="20"/>
                <w:lang w:eastAsia="en-GB"/>
              </w:rPr>
            </w:pPr>
            <w:r>
              <w:rPr>
                <w:rFonts w:eastAsia="Times New Roman"/>
                <w:color w:val="000000"/>
                <w:sz w:val="20"/>
                <w:szCs w:val="20"/>
                <w:lang w:eastAsia="en-GB"/>
              </w:rPr>
              <w:t>69.5%</w:t>
            </w:r>
          </w:p>
        </w:tc>
        <w:tc>
          <w:tcPr>
            <w:tcW w:w="851" w:type="dxa"/>
            <w:shd w:val="clear" w:color="auto" w:fill="auto"/>
            <w:vAlign w:val="center"/>
          </w:tcPr>
          <w:p w:rsidR="00E670CA" w:rsidRPr="001B40D5" w:rsidRDefault="00E670CA" w:rsidP="00412908">
            <w:pPr>
              <w:spacing w:after="0" w:line="240" w:lineRule="auto"/>
              <w:ind w:left="-126"/>
              <w:jc w:val="center"/>
              <w:rPr>
                <w:rFonts w:eastAsia="Times New Roman"/>
                <w:color w:val="000000"/>
                <w:sz w:val="20"/>
                <w:szCs w:val="20"/>
                <w:lang w:eastAsia="en-GB"/>
              </w:rPr>
            </w:pPr>
            <w:r>
              <w:rPr>
                <w:rFonts w:eastAsia="Times New Roman"/>
                <w:color w:val="000000"/>
                <w:sz w:val="20"/>
                <w:szCs w:val="20"/>
                <w:lang w:eastAsia="en-GB"/>
              </w:rPr>
              <w:t>86.7%</w:t>
            </w:r>
          </w:p>
        </w:tc>
      </w:tr>
      <w:tr w:rsidR="00E670CA" w:rsidRPr="001B40D5" w:rsidTr="00412908">
        <w:trPr>
          <w:trHeight w:val="300"/>
        </w:trPr>
        <w:tc>
          <w:tcPr>
            <w:tcW w:w="6789" w:type="dxa"/>
            <w:gridSpan w:val="2"/>
            <w:shd w:val="clear" w:color="auto" w:fill="auto"/>
            <w:noWrap/>
            <w:vAlign w:val="center"/>
            <w:hideMark/>
          </w:tcPr>
          <w:p w:rsidR="00E670CA" w:rsidRPr="001B40D5" w:rsidRDefault="00E670CA" w:rsidP="00412908">
            <w:pPr>
              <w:spacing w:after="0" w:line="240" w:lineRule="auto"/>
              <w:rPr>
                <w:rFonts w:eastAsia="Times New Roman"/>
                <w:color w:val="000000"/>
                <w:sz w:val="20"/>
                <w:szCs w:val="20"/>
                <w:lang w:eastAsia="en-GB"/>
              </w:rPr>
            </w:pPr>
            <w:r w:rsidRPr="001B40D5">
              <w:rPr>
                <w:rFonts w:eastAsia="Times New Roman"/>
                <w:color w:val="000000"/>
                <w:sz w:val="20"/>
                <w:szCs w:val="20"/>
                <w:lang w:eastAsia="en-GB"/>
              </w:rPr>
              <w:t xml:space="preserve">3.03xiii - Population vaccination coverage – PPV CTAD (persons, 65+ </w:t>
            </w:r>
            <w:proofErr w:type="spellStart"/>
            <w:r w:rsidRPr="001B40D5">
              <w:rPr>
                <w:rFonts w:eastAsia="Times New Roman"/>
                <w:color w:val="000000"/>
                <w:sz w:val="20"/>
                <w:szCs w:val="20"/>
                <w:lang w:eastAsia="en-GB"/>
              </w:rPr>
              <w:t>yrs</w:t>
            </w:r>
            <w:proofErr w:type="spellEnd"/>
            <w:r w:rsidRPr="001B40D5">
              <w:rPr>
                <w:rFonts w:eastAsia="Times New Roman"/>
                <w:color w:val="000000"/>
                <w:sz w:val="20"/>
                <w:szCs w:val="20"/>
                <w:lang w:eastAsia="en-GB"/>
              </w:rPr>
              <w:t>)</w:t>
            </w:r>
          </w:p>
        </w:tc>
        <w:tc>
          <w:tcPr>
            <w:tcW w:w="926" w:type="dxa"/>
            <w:shd w:val="clear" w:color="auto" w:fill="auto"/>
            <w:noWrap/>
            <w:vAlign w:val="center"/>
            <w:hideMark/>
          </w:tcPr>
          <w:p w:rsidR="00E670CA" w:rsidRPr="001B40D5" w:rsidRDefault="00E670CA" w:rsidP="00412908">
            <w:pPr>
              <w:spacing w:after="0" w:line="240" w:lineRule="auto"/>
              <w:ind w:left="-126"/>
              <w:jc w:val="center"/>
              <w:rPr>
                <w:rFonts w:eastAsia="Times New Roman"/>
                <w:color w:val="000000"/>
                <w:sz w:val="20"/>
                <w:szCs w:val="20"/>
                <w:lang w:eastAsia="en-GB"/>
              </w:rPr>
            </w:pPr>
            <w:r w:rsidRPr="001B40D5">
              <w:rPr>
                <w:rFonts w:eastAsia="Times New Roman"/>
                <w:color w:val="000000"/>
                <w:sz w:val="20"/>
                <w:szCs w:val="20"/>
                <w:lang w:eastAsia="en-GB"/>
              </w:rPr>
              <w:t>2013/14</w:t>
            </w:r>
          </w:p>
        </w:tc>
        <w:tc>
          <w:tcPr>
            <w:tcW w:w="834" w:type="dxa"/>
            <w:vAlign w:val="center"/>
          </w:tcPr>
          <w:p w:rsidR="00E670CA" w:rsidRPr="001B40D5" w:rsidRDefault="00E670CA" w:rsidP="00412908">
            <w:pPr>
              <w:spacing w:after="0" w:line="240" w:lineRule="auto"/>
              <w:ind w:left="-126"/>
              <w:jc w:val="center"/>
              <w:rPr>
                <w:rFonts w:eastAsia="Times New Roman"/>
                <w:color w:val="000000"/>
                <w:sz w:val="20"/>
                <w:szCs w:val="20"/>
                <w:lang w:eastAsia="en-GB"/>
              </w:rPr>
            </w:pPr>
            <w:r w:rsidRPr="001B40D5">
              <w:rPr>
                <w:rFonts w:eastAsia="Times New Roman"/>
                <w:color w:val="000000"/>
                <w:sz w:val="20"/>
                <w:szCs w:val="20"/>
                <w:lang w:eastAsia="en-GB"/>
              </w:rPr>
              <w:t>30,921</w:t>
            </w:r>
          </w:p>
        </w:tc>
        <w:tc>
          <w:tcPr>
            <w:tcW w:w="708" w:type="dxa"/>
            <w:shd w:val="clear" w:color="auto" w:fill="FF0000"/>
            <w:noWrap/>
            <w:vAlign w:val="center"/>
            <w:hideMark/>
          </w:tcPr>
          <w:p w:rsidR="00E670CA" w:rsidRPr="001B40D5" w:rsidRDefault="00E670CA" w:rsidP="00412908">
            <w:pPr>
              <w:spacing w:after="0" w:line="240" w:lineRule="auto"/>
              <w:ind w:left="-126"/>
              <w:jc w:val="center"/>
              <w:rPr>
                <w:rFonts w:eastAsia="Times New Roman"/>
                <w:color w:val="000000"/>
                <w:sz w:val="20"/>
                <w:szCs w:val="20"/>
                <w:lang w:eastAsia="en-GB"/>
              </w:rPr>
            </w:pPr>
            <w:r>
              <w:rPr>
                <w:rFonts w:eastAsia="Times New Roman"/>
                <w:color w:val="000000"/>
                <w:sz w:val="20"/>
                <w:szCs w:val="20"/>
                <w:lang w:eastAsia="en-GB"/>
              </w:rPr>
              <w:t>64.6%</w:t>
            </w:r>
          </w:p>
        </w:tc>
        <w:tc>
          <w:tcPr>
            <w:tcW w:w="851" w:type="dxa"/>
            <w:shd w:val="clear" w:color="auto" w:fill="auto"/>
            <w:vAlign w:val="center"/>
          </w:tcPr>
          <w:p w:rsidR="00E670CA" w:rsidRPr="001B40D5" w:rsidRDefault="00E670CA" w:rsidP="00412908">
            <w:pPr>
              <w:spacing w:after="0" w:line="240" w:lineRule="auto"/>
              <w:ind w:left="-126"/>
              <w:jc w:val="center"/>
              <w:rPr>
                <w:rFonts w:eastAsia="Times New Roman"/>
                <w:color w:val="000000"/>
                <w:sz w:val="20"/>
                <w:szCs w:val="20"/>
                <w:lang w:eastAsia="en-GB"/>
              </w:rPr>
            </w:pPr>
            <w:r>
              <w:rPr>
                <w:rFonts w:eastAsia="Times New Roman"/>
                <w:color w:val="000000"/>
                <w:sz w:val="20"/>
                <w:szCs w:val="20"/>
                <w:lang w:eastAsia="en-GB"/>
              </w:rPr>
              <w:t>68.9%</w:t>
            </w:r>
          </w:p>
        </w:tc>
      </w:tr>
      <w:tr w:rsidR="00E670CA" w:rsidRPr="001B40D5" w:rsidTr="00412908">
        <w:trPr>
          <w:trHeight w:val="300"/>
        </w:trPr>
        <w:tc>
          <w:tcPr>
            <w:tcW w:w="6789" w:type="dxa"/>
            <w:gridSpan w:val="2"/>
            <w:shd w:val="clear" w:color="auto" w:fill="auto"/>
            <w:noWrap/>
            <w:vAlign w:val="center"/>
            <w:hideMark/>
          </w:tcPr>
          <w:p w:rsidR="00E670CA" w:rsidRPr="001B40D5" w:rsidRDefault="00E670CA" w:rsidP="00412908">
            <w:pPr>
              <w:spacing w:after="0" w:line="240" w:lineRule="auto"/>
              <w:rPr>
                <w:rFonts w:eastAsia="Times New Roman"/>
                <w:color w:val="000000"/>
                <w:sz w:val="20"/>
                <w:szCs w:val="20"/>
                <w:lang w:eastAsia="en-GB"/>
              </w:rPr>
            </w:pPr>
            <w:r w:rsidRPr="001B40D5">
              <w:rPr>
                <w:rFonts w:eastAsia="Times New Roman"/>
                <w:color w:val="000000"/>
                <w:sz w:val="20"/>
                <w:szCs w:val="20"/>
                <w:lang w:eastAsia="en-GB"/>
              </w:rPr>
              <w:t>3.03xiv - Population vaccination coverage - Flu (persons</w:t>
            </w:r>
            <w:r>
              <w:rPr>
                <w:rFonts w:eastAsia="Times New Roman"/>
                <w:color w:val="000000"/>
                <w:sz w:val="20"/>
                <w:szCs w:val="20"/>
                <w:lang w:eastAsia="en-GB"/>
              </w:rPr>
              <w:t>,</w:t>
            </w:r>
            <w:r w:rsidRPr="001B40D5">
              <w:rPr>
                <w:rFonts w:eastAsia="Times New Roman"/>
                <w:color w:val="000000"/>
                <w:sz w:val="20"/>
                <w:szCs w:val="20"/>
                <w:lang w:eastAsia="en-GB"/>
              </w:rPr>
              <w:t xml:space="preserve"> 65+</w:t>
            </w:r>
            <w:r>
              <w:rPr>
                <w:rFonts w:eastAsia="Times New Roman"/>
                <w:color w:val="000000"/>
                <w:sz w:val="20"/>
                <w:szCs w:val="20"/>
                <w:lang w:eastAsia="en-GB"/>
              </w:rPr>
              <w:t xml:space="preserve"> </w:t>
            </w:r>
            <w:proofErr w:type="spellStart"/>
            <w:r>
              <w:rPr>
                <w:rFonts w:eastAsia="Times New Roman"/>
                <w:color w:val="000000"/>
                <w:sz w:val="20"/>
                <w:szCs w:val="20"/>
                <w:lang w:eastAsia="en-GB"/>
              </w:rPr>
              <w:t>yrs</w:t>
            </w:r>
            <w:proofErr w:type="spellEnd"/>
            <w:r w:rsidRPr="001B40D5">
              <w:rPr>
                <w:rFonts w:eastAsia="Times New Roman"/>
                <w:color w:val="000000"/>
                <w:sz w:val="20"/>
                <w:szCs w:val="20"/>
                <w:lang w:eastAsia="en-GB"/>
              </w:rPr>
              <w:t>)</w:t>
            </w:r>
          </w:p>
        </w:tc>
        <w:tc>
          <w:tcPr>
            <w:tcW w:w="926" w:type="dxa"/>
            <w:shd w:val="clear" w:color="auto" w:fill="auto"/>
            <w:noWrap/>
            <w:vAlign w:val="center"/>
            <w:hideMark/>
          </w:tcPr>
          <w:p w:rsidR="00E670CA" w:rsidRPr="001B40D5" w:rsidRDefault="00E670CA" w:rsidP="00412908">
            <w:pPr>
              <w:spacing w:after="0" w:line="240" w:lineRule="auto"/>
              <w:ind w:left="-126"/>
              <w:jc w:val="center"/>
              <w:rPr>
                <w:rFonts w:eastAsia="Times New Roman"/>
                <w:color w:val="000000"/>
                <w:sz w:val="20"/>
                <w:szCs w:val="20"/>
                <w:lang w:eastAsia="en-GB"/>
              </w:rPr>
            </w:pPr>
            <w:r>
              <w:rPr>
                <w:rFonts w:eastAsia="Times New Roman"/>
                <w:color w:val="000000"/>
                <w:sz w:val="20"/>
                <w:szCs w:val="20"/>
                <w:lang w:eastAsia="en-GB"/>
              </w:rPr>
              <w:t>2014/15</w:t>
            </w:r>
          </w:p>
        </w:tc>
        <w:tc>
          <w:tcPr>
            <w:tcW w:w="834" w:type="dxa"/>
            <w:vAlign w:val="center"/>
          </w:tcPr>
          <w:p w:rsidR="00E670CA" w:rsidRPr="001B40D5" w:rsidRDefault="00E670CA" w:rsidP="00412908">
            <w:pPr>
              <w:spacing w:after="0" w:line="240" w:lineRule="auto"/>
              <w:ind w:left="-126"/>
              <w:jc w:val="center"/>
              <w:rPr>
                <w:rFonts w:eastAsia="Times New Roman"/>
                <w:color w:val="000000"/>
                <w:sz w:val="20"/>
                <w:szCs w:val="20"/>
                <w:lang w:eastAsia="en-GB"/>
              </w:rPr>
            </w:pPr>
            <w:r w:rsidRPr="001B40D5">
              <w:rPr>
                <w:rFonts w:eastAsia="Times New Roman"/>
                <w:color w:val="000000"/>
                <w:sz w:val="20"/>
                <w:szCs w:val="20"/>
                <w:lang w:eastAsia="en-GB"/>
              </w:rPr>
              <w:t>38,</w:t>
            </w:r>
            <w:r>
              <w:rPr>
                <w:rFonts w:eastAsia="Times New Roman"/>
                <w:color w:val="000000"/>
                <w:sz w:val="20"/>
                <w:szCs w:val="20"/>
                <w:lang w:eastAsia="en-GB"/>
              </w:rPr>
              <w:t>821</w:t>
            </w:r>
          </w:p>
        </w:tc>
        <w:tc>
          <w:tcPr>
            <w:tcW w:w="708" w:type="dxa"/>
            <w:shd w:val="clear" w:color="auto" w:fill="FF0000"/>
            <w:noWrap/>
            <w:vAlign w:val="center"/>
            <w:hideMark/>
          </w:tcPr>
          <w:p w:rsidR="00E670CA" w:rsidRPr="001B40D5" w:rsidRDefault="00E670CA" w:rsidP="00412908">
            <w:pPr>
              <w:spacing w:after="0" w:line="240" w:lineRule="auto"/>
              <w:ind w:left="-126"/>
              <w:jc w:val="center"/>
              <w:rPr>
                <w:rFonts w:eastAsia="Times New Roman"/>
                <w:color w:val="000000"/>
                <w:sz w:val="20"/>
                <w:szCs w:val="20"/>
                <w:lang w:eastAsia="en-GB"/>
              </w:rPr>
            </w:pPr>
            <w:r w:rsidRPr="001B40D5">
              <w:rPr>
                <w:rFonts w:eastAsia="Times New Roman"/>
                <w:color w:val="000000"/>
                <w:sz w:val="20"/>
                <w:szCs w:val="20"/>
                <w:lang w:eastAsia="en-GB"/>
              </w:rPr>
              <w:t>71.</w:t>
            </w:r>
            <w:r>
              <w:rPr>
                <w:rFonts w:eastAsia="Times New Roman"/>
                <w:color w:val="000000"/>
                <w:sz w:val="20"/>
                <w:szCs w:val="20"/>
                <w:lang w:eastAsia="en-GB"/>
              </w:rPr>
              <w:t>0%</w:t>
            </w:r>
          </w:p>
        </w:tc>
        <w:tc>
          <w:tcPr>
            <w:tcW w:w="851" w:type="dxa"/>
            <w:shd w:val="clear" w:color="auto" w:fill="auto"/>
            <w:vAlign w:val="center"/>
          </w:tcPr>
          <w:p w:rsidR="00E670CA" w:rsidRPr="001B40D5" w:rsidRDefault="00E670CA" w:rsidP="00412908">
            <w:pPr>
              <w:spacing w:after="0" w:line="240" w:lineRule="auto"/>
              <w:ind w:left="-126"/>
              <w:jc w:val="center"/>
              <w:rPr>
                <w:rFonts w:eastAsia="Times New Roman"/>
                <w:color w:val="000000"/>
                <w:sz w:val="20"/>
                <w:szCs w:val="20"/>
                <w:lang w:eastAsia="en-GB"/>
              </w:rPr>
            </w:pPr>
            <w:r>
              <w:rPr>
                <w:rFonts w:eastAsia="Times New Roman"/>
                <w:color w:val="000000"/>
                <w:sz w:val="20"/>
                <w:szCs w:val="20"/>
                <w:lang w:eastAsia="en-GB"/>
              </w:rPr>
              <w:t>72.7%</w:t>
            </w:r>
          </w:p>
        </w:tc>
      </w:tr>
      <w:tr w:rsidR="00E670CA" w:rsidRPr="001B40D5" w:rsidTr="00412908">
        <w:trPr>
          <w:trHeight w:val="300"/>
        </w:trPr>
        <w:tc>
          <w:tcPr>
            <w:tcW w:w="6789" w:type="dxa"/>
            <w:gridSpan w:val="2"/>
            <w:shd w:val="clear" w:color="auto" w:fill="auto"/>
            <w:noWrap/>
            <w:vAlign w:val="center"/>
            <w:hideMark/>
          </w:tcPr>
          <w:p w:rsidR="00E670CA" w:rsidRPr="001B40D5" w:rsidRDefault="00E670CA" w:rsidP="00412908">
            <w:pPr>
              <w:spacing w:after="0" w:line="240" w:lineRule="auto"/>
              <w:rPr>
                <w:rFonts w:eastAsia="Times New Roman"/>
                <w:color w:val="000000"/>
                <w:sz w:val="20"/>
                <w:szCs w:val="20"/>
                <w:lang w:eastAsia="en-GB"/>
              </w:rPr>
            </w:pPr>
            <w:r w:rsidRPr="001B40D5">
              <w:rPr>
                <w:rFonts w:eastAsia="Times New Roman"/>
                <w:color w:val="000000"/>
                <w:sz w:val="20"/>
                <w:szCs w:val="20"/>
                <w:lang w:eastAsia="en-GB"/>
              </w:rPr>
              <w:t>3.03xv - Population vaccination coverage - Flu (at risk individuals) (persons, 6 months</w:t>
            </w:r>
            <w:r>
              <w:rPr>
                <w:rFonts w:eastAsia="Times New Roman"/>
                <w:color w:val="000000"/>
                <w:sz w:val="20"/>
                <w:szCs w:val="20"/>
                <w:lang w:eastAsia="en-GB"/>
              </w:rPr>
              <w:t xml:space="preserve"> </w:t>
            </w:r>
            <w:r w:rsidRPr="001B40D5">
              <w:rPr>
                <w:rFonts w:eastAsia="Times New Roman"/>
                <w:color w:val="000000"/>
                <w:sz w:val="20"/>
                <w:szCs w:val="20"/>
                <w:lang w:eastAsia="en-GB"/>
              </w:rPr>
              <w:t>-</w:t>
            </w:r>
            <w:r>
              <w:rPr>
                <w:rFonts w:eastAsia="Times New Roman"/>
                <w:color w:val="000000"/>
                <w:sz w:val="20"/>
                <w:szCs w:val="20"/>
                <w:lang w:eastAsia="en-GB"/>
              </w:rPr>
              <w:t xml:space="preserve"> </w:t>
            </w:r>
            <w:r w:rsidRPr="001B40D5">
              <w:rPr>
                <w:rFonts w:eastAsia="Times New Roman"/>
                <w:color w:val="000000"/>
                <w:sz w:val="20"/>
                <w:szCs w:val="20"/>
                <w:lang w:eastAsia="en-GB"/>
              </w:rPr>
              <w:t xml:space="preserve">64 </w:t>
            </w:r>
            <w:proofErr w:type="spellStart"/>
            <w:r w:rsidRPr="001B40D5">
              <w:rPr>
                <w:rFonts w:eastAsia="Times New Roman"/>
                <w:color w:val="000000"/>
                <w:sz w:val="20"/>
                <w:szCs w:val="20"/>
                <w:lang w:eastAsia="en-GB"/>
              </w:rPr>
              <w:t>yrs</w:t>
            </w:r>
            <w:proofErr w:type="spellEnd"/>
            <w:r w:rsidRPr="001B40D5">
              <w:rPr>
                <w:rFonts w:eastAsia="Times New Roman"/>
                <w:color w:val="000000"/>
                <w:sz w:val="20"/>
                <w:szCs w:val="20"/>
                <w:lang w:eastAsia="en-GB"/>
              </w:rPr>
              <w:t>)</w:t>
            </w:r>
          </w:p>
        </w:tc>
        <w:tc>
          <w:tcPr>
            <w:tcW w:w="926" w:type="dxa"/>
            <w:shd w:val="clear" w:color="auto" w:fill="auto"/>
            <w:noWrap/>
            <w:vAlign w:val="center"/>
            <w:hideMark/>
          </w:tcPr>
          <w:p w:rsidR="00E670CA" w:rsidRPr="001B40D5" w:rsidRDefault="00E670CA" w:rsidP="00412908">
            <w:pPr>
              <w:spacing w:after="0" w:line="240" w:lineRule="auto"/>
              <w:ind w:left="-126"/>
              <w:jc w:val="center"/>
              <w:rPr>
                <w:rFonts w:eastAsia="Times New Roman"/>
                <w:color w:val="000000"/>
                <w:sz w:val="20"/>
                <w:szCs w:val="20"/>
                <w:lang w:eastAsia="en-GB"/>
              </w:rPr>
            </w:pPr>
            <w:r>
              <w:rPr>
                <w:rFonts w:eastAsia="Times New Roman"/>
                <w:color w:val="000000"/>
                <w:sz w:val="20"/>
                <w:szCs w:val="20"/>
                <w:lang w:eastAsia="en-GB"/>
              </w:rPr>
              <w:t>2014/15</w:t>
            </w:r>
          </w:p>
        </w:tc>
        <w:tc>
          <w:tcPr>
            <w:tcW w:w="834" w:type="dxa"/>
            <w:vAlign w:val="center"/>
          </w:tcPr>
          <w:p w:rsidR="00E670CA" w:rsidRPr="001B40D5" w:rsidRDefault="00E670CA" w:rsidP="00412908">
            <w:pPr>
              <w:spacing w:after="0" w:line="240" w:lineRule="auto"/>
              <w:ind w:left="-126"/>
              <w:jc w:val="center"/>
              <w:rPr>
                <w:rFonts w:eastAsia="Times New Roman"/>
                <w:color w:val="000000"/>
                <w:sz w:val="20"/>
                <w:szCs w:val="20"/>
                <w:lang w:eastAsia="en-GB"/>
              </w:rPr>
            </w:pPr>
            <w:r w:rsidRPr="001B40D5">
              <w:rPr>
                <w:rFonts w:eastAsia="Times New Roman"/>
                <w:color w:val="000000"/>
                <w:sz w:val="20"/>
                <w:szCs w:val="20"/>
                <w:lang w:eastAsia="en-GB"/>
              </w:rPr>
              <w:t>16,</w:t>
            </w:r>
            <w:r>
              <w:rPr>
                <w:rFonts w:eastAsia="Times New Roman"/>
                <w:color w:val="000000"/>
                <w:sz w:val="20"/>
                <w:szCs w:val="20"/>
                <w:lang w:eastAsia="en-GB"/>
              </w:rPr>
              <w:t>855</w:t>
            </w:r>
          </w:p>
        </w:tc>
        <w:tc>
          <w:tcPr>
            <w:tcW w:w="708" w:type="dxa"/>
            <w:shd w:val="clear" w:color="auto" w:fill="FF0000"/>
            <w:noWrap/>
            <w:vAlign w:val="center"/>
            <w:hideMark/>
          </w:tcPr>
          <w:p w:rsidR="00E670CA" w:rsidRPr="001B40D5" w:rsidRDefault="00E670CA" w:rsidP="00412908">
            <w:pPr>
              <w:spacing w:after="0" w:line="240" w:lineRule="auto"/>
              <w:ind w:left="-126"/>
              <w:jc w:val="center"/>
              <w:rPr>
                <w:rFonts w:eastAsia="Times New Roman"/>
                <w:color w:val="000000"/>
                <w:sz w:val="20"/>
                <w:szCs w:val="20"/>
                <w:lang w:eastAsia="en-GB"/>
              </w:rPr>
            </w:pPr>
            <w:r>
              <w:rPr>
                <w:rFonts w:eastAsia="Times New Roman"/>
                <w:color w:val="000000"/>
                <w:sz w:val="20"/>
                <w:szCs w:val="20"/>
                <w:lang w:eastAsia="en-GB"/>
              </w:rPr>
              <w:t>48.4%</w:t>
            </w:r>
          </w:p>
        </w:tc>
        <w:tc>
          <w:tcPr>
            <w:tcW w:w="851" w:type="dxa"/>
            <w:shd w:val="clear" w:color="auto" w:fill="auto"/>
            <w:vAlign w:val="center"/>
          </w:tcPr>
          <w:p w:rsidR="00E670CA" w:rsidRPr="001B40D5" w:rsidRDefault="00E670CA" w:rsidP="00412908">
            <w:pPr>
              <w:spacing w:after="0" w:line="240" w:lineRule="auto"/>
              <w:ind w:left="-126"/>
              <w:jc w:val="center"/>
              <w:rPr>
                <w:rFonts w:eastAsia="Times New Roman"/>
                <w:color w:val="000000"/>
                <w:sz w:val="20"/>
                <w:szCs w:val="20"/>
                <w:lang w:eastAsia="en-GB"/>
              </w:rPr>
            </w:pPr>
            <w:r>
              <w:rPr>
                <w:rFonts w:eastAsia="Times New Roman"/>
                <w:color w:val="000000"/>
                <w:sz w:val="20"/>
                <w:szCs w:val="20"/>
                <w:lang w:eastAsia="en-GB"/>
              </w:rPr>
              <w:t>50.3%</w:t>
            </w:r>
          </w:p>
        </w:tc>
      </w:tr>
      <w:tr w:rsidR="00E670CA" w:rsidRPr="001B40D5" w:rsidTr="00412908">
        <w:trPr>
          <w:trHeight w:val="300"/>
        </w:trPr>
        <w:tc>
          <w:tcPr>
            <w:tcW w:w="6789" w:type="dxa"/>
            <w:gridSpan w:val="2"/>
            <w:shd w:val="clear" w:color="auto" w:fill="auto"/>
            <w:noWrap/>
            <w:vAlign w:val="center"/>
            <w:hideMark/>
          </w:tcPr>
          <w:p w:rsidR="00E670CA" w:rsidRPr="001B40D5" w:rsidRDefault="00E670CA" w:rsidP="00412908">
            <w:pPr>
              <w:spacing w:after="0" w:line="240" w:lineRule="auto"/>
              <w:rPr>
                <w:rFonts w:eastAsia="Times New Roman"/>
                <w:color w:val="000000"/>
                <w:sz w:val="20"/>
                <w:szCs w:val="20"/>
                <w:lang w:eastAsia="en-GB"/>
              </w:rPr>
            </w:pPr>
            <w:r w:rsidRPr="001B40D5">
              <w:rPr>
                <w:rFonts w:eastAsia="Times New Roman"/>
                <w:color w:val="000000"/>
                <w:sz w:val="20"/>
                <w:szCs w:val="20"/>
                <w:lang w:eastAsia="en-GB"/>
              </w:rPr>
              <w:t xml:space="preserve">3.04 - People presenting with HIV at a late stage of infection (persons, 15 </w:t>
            </w:r>
            <w:proofErr w:type="spellStart"/>
            <w:r w:rsidRPr="001B40D5">
              <w:rPr>
                <w:rFonts w:eastAsia="Times New Roman"/>
                <w:color w:val="000000"/>
                <w:sz w:val="20"/>
                <w:szCs w:val="20"/>
                <w:lang w:eastAsia="en-GB"/>
              </w:rPr>
              <w:t>yrs</w:t>
            </w:r>
            <w:proofErr w:type="spellEnd"/>
            <w:r w:rsidRPr="001B40D5">
              <w:rPr>
                <w:rFonts w:eastAsia="Times New Roman"/>
                <w:color w:val="000000"/>
                <w:sz w:val="20"/>
                <w:szCs w:val="20"/>
                <w:lang w:eastAsia="en-GB"/>
              </w:rPr>
              <w:t>)</w:t>
            </w:r>
          </w:p>
        </w:tc>
        <w:tc>
          <w:tcPr>
            <w:tcW w:w="926" w:type="dxa"/>
            <w:shd w:val="clear" w:color="auto" w:fill="auto"/>
            <w:noWrap/>
            <w:vAlign w:val="center"/>
            <w:hideMark/>
          </w:tcPr>
          <w:p w:rsidR="00E670CA" w:rsidRPr="001B40D5" w:rsidRDefault="00E670CA" w:rsidP="00412908">
            <w:pPr>
              <w:spacing w:after="0" w:line="240" w:lineRule="auto"/>
              <w:ind w:left="-126"/>
              <w:jc w:val="center"/>
              <w:rPr>
                <w:rFonts w:eastAsia="Times New Roman"/>
                <w:color w:val="000000"/>
                <w:sz w:val="20"/>
                <w:szCs w:val="20"/>
                <w:lang w:eastAsia="en-GB"/>
              </w:rPr>
            </w:pPr>
            <w:r w:rsidRPr="001B40D5">
              <w:rPr>
                <w:rFonts w:eastAsia="Times New Roman"/>
                <w:color w:val="000000"/>
                <w:sz w:val="20"/>
                <w:szCs w:val="20"/>
                <w:lang w:eastAsia="en-GB"/>
              </w:rPr>
              <w:t>2011-13</w:t>
            </w:r>
          </w:p>
        </w:tc>
        <w:tc>
          <w:tcPr>
            <w:tcW w:w="834" w:type="dxa"/>
            <w:vAlign w:val="center"/>
          </w:tcPr>
          <w:p w:rsidR="00E670CA" w:rsidRPr="001B40D5" w:rsidRDefault="00E670CA" w:rsidP="00412908">
            <w:pPr>
              <w:spacing w:after="0" w:line="240" w:lineRule="auto"/>
              <w:ind w:left="-126"/>
              <w:jc w:val="center"/>
              <w:rPr>
                <w:rFonts w:eastAsia="Times New Roman"/>
                <w:color w:val="000000"/>
                <w:sz w:val="20"/>
                <w:szCs w:val="20"/>
                <w:lang w:eastAsia="en-GB"/>
              </w:rPr>
            </w:pPr>
            <w:r w:rsidRPr="001B40D5">
              <w:rPr>
                <w:rFonts w:eastAsia="Times New Roman"/>
                <w:color w:val="000000"/>
                <w:sz w:val="20"/>
                <w:szCs w:val="20"/>
                <w:lang w:eastAsia="en-GB"/>
              </w:rPr>
              <w:t>68</w:t>
            </w:r>
          </w:p>
        </w:tc>
        <w:tc>
          <w:tcPr>
            <w:tcW w:w="708" w:type="dxa"/>
            <w:shd w:val="clear" w:color="auto" w:fill="FF0000"/>
            <w:noWrap/>
            <w:vAlign w:val="center"/>
            <w:hideMark/>
          </w:tcPr>
          <w:p w:rsidR="00E670CA" w:rsidRPr="001B40D5" w:rsidRDefault="00E670CA" w:rsidP="00412908">
            <w:pPr>
              <w:spacing w:after="0" w:line="240" w:lineRule="auto"/>
              <w:ind w:left="-126"/>
              <w:jc w:val="center"/>
              <w:rPr>
                <w:rFonts w:eastAsia="Times New Roman"/>
                <w:color w:val="000000"/>
                <w:sz w:val="20"/>
                <w:szCs w:val="20"/>
                <w:lang w:eastAsia="en-GB"/>
              </w:rPr>
            </w:pPr>
            <w:r w:rsidRPr="001B40D5">
              <w:rPr>
                <w:rFonts w:eastAsia="Times New Roman"/>
                <w:color w:val="000000"/>
                <w:sz w:val="20"/>
                <w:szCs w:val="20"/>
                <w:lang w:eastAsia="en-GB"/>
              </w:rPr>
              <w:t>51.5</w:t>
            </w:r>
            <w:r>
              <w:rPr>
                <w:rFonts w:eastAsia="Times New Roman"/>
                <w:color w:val="000000"/>
                <w:sz w:val="20"/>
                <w:szCs w:val="20"/>
                <w:lang w:eastAsia="en-GB"/>
              </w:rPr>
              <w:t>%</w:t>
            </w:r>
          </w:p>
        </w:tc>
        <w:tc>
          <w:tcPr>
            <w:tcW w:w="851" w:type="dxa"/>
            <w:shd w:val="clear" w:color="auto" w:fill="auto"/>
            <w:vAlign w:val="center"/>
          </w:tcPr>
          <w:p w:rsidR="00E670CA" w:rsidRPr="001B40D5" w:rsidRDefault="00E670CA" w:rsidP="00412908">
            <w:pPr>
              <w:spacing w:after="0" w:line="240" w:lineRule="auto"/>
              <w:ind w:left="-126"/>
              <w:jc w:val="center"/>
              <w:rPr>
                <w:rFonts w:eastAsia="Times New Roman"/>
                <w:color w:val="000000"/>
                <w:sz w:val="20"/>
                <w:szCs w:val="20"/>
                <w:lang w:eastAsia="en-GB"/>
              </w:rPr>
            </w:pPr>
            <w:r>
              <w:rPr>
                <w:rFonts w:eastAsia="Times New Roman"/>
                <w:color w:val="000000"/>
                <w:sz w:val="20"/>
                <w:szCs w:val="20"/>
                <w:lang w:eastAsia="en-GB"/>
              </w:rPr>
              <w:t>45.0%</w:t>
            </w:r>
          </w:p>
        </w:tc>
      </w:tr>
      <w:tr w:rsidR="00E670CA" w:rsidRPr="001B40D5" w:rsidTr="00412908">
        <w:trPr>
          <w:trHeight w:val="300"/>
        </w:trPr>
        <w:tc>
          <w:tcPr>
            <w:tcW w:w="6789" w:type="dxa"/>
            <w:gridSpan w:val="2"/>
            <w:shd w:val="clear" w:color="auto" w:fill="auto"/>
            <w:noWrap/>
            <w:vAlign w:val="center"/>
            <w:hideMark/>
          </w:tcPr>
          <w:p w:rsidR="00E670CA" w:rsidRPr="001B40D5" w:rsidRDefault="00E670CA" w:rsidP="00412908">
            <w:pPr>
              <w:spacing w:after="0" w:line="240" w:lineRule="auto"/>
              <w:rPr>
                <w:rFonts w:eastAsia="Times New Roman"/>
                <w:color w:val="000000"/>
                <w:sz w:val="20"/>
                <w:szCs w:val="20"/>
                <w:lang w:eastAsia="en-GB"/>
              </w:rPr>
            </w:pPr>
            <w:r w:rsidRPr="001B40D5">
              <w:rPr>
                <w:rFonts w:eastAsia="Times New Roman"/>
                <w:color w:val="000000"/>
                <w:sz w:val="20"/>
                <w:szCs w:val="20"/>
                <w:lang w:eastAsia="en-GB"/>
              </w:rPr>
              <w:t>3.05ii - Incidence of TB (persons, all ages)</w:t>
            </w:r>
          </w:p>
        </w:tc>
        <w:tc>
          <w:tcPr>
            <w:tcW w:w="926" w:type="dxa"/>
            <w:shd w:val="clear" w:color="auto" w:fill="auto"/>
            <w:noWrap/>
            <w:vAlign w:val="center"/>
            <w:hideMark/>
          </w:tcPr>
          <w:p w:rsidR="00E670CA" w:rsidRPr="001B40D5" w:rsidRDefault="00E670CA" w:rsidP="00412908">
            <w:pPr>
              <w:spacing w:after="0" w:line="240" w:lineRule="auto"/>
              <w:ind w:left="-126"/>
              <w:jc w:val="center"/>
              <w:rPr>
                <w:rFonts w:eastAsia="Times New Roman"/>
                <w:color w:val="000000"/>
                <w:sz w:val="20"/>
                <w:szCs w:val="20"/>
                <w:lang w:eastAsia="en-GB"/>
              </w:rPr>
            </w:pPr>
            <w:r w:rsidRPr="001B40D5">
              <w:rPr>
                <w:rFonts w:eastAsia="Times New Roman"/>
                <w:color w:val="000000"/>
                <w:sz w:val="20"/>
                <w:szCs w:val="20"/>
                <w:lang w:eastAsia="en-GB"/>
              </w:rPr>
              <w:t>2011-13</w:t>
            </w:r>
          </w:p>
        </w:tc>
        <w:tc>
          <w:tcPr>
            <w:tcW w:w="834" w:type="dxa"/>
            <w:vAlign w:val="center"/>
          </w:tcPr>
          <w:p w:rsidR="00E670CA" w:rsidRPr="001B40D5" w:rsidRDefault="00E670CA" w:rsidP="00412908">
            <w:pPr>
              <w:spacing w:after="0" w:line="240" w:lineRule="auto"/>
              <w:ind w:left="-126"/>
              <w:jc w:val="center"/>
              <w:rPr>
                <w:rFonts w:eastAsia="Times New Roman"/>
                <w:color w:val="000000"/>
                <w:sz w:val="20"/>
                <w:szCs w:val="20"/>
                <w:lang w:eastAsia="en-GB"/>
              </w:rPr>
            </w:pPr>
            <w:r w:rsidRPr="001B40D5">
              <w:rPr>
                <w:rFonts w:eastAsia="Times New Roman"/>
                <w:color w:val="000000"/>
                <w:sz w:val="20"/>
                <w:szCs w:val="20"/>
                <w:lang w:eastAsia="en-GB"/>
              </w:rPr>
              <w:t>283</w:t>
            </w:r>
          </w:p>
        </w:tc>
        <w:tc>
          <w:tcPr>
            <w:tcW w:w="708" w:type="dxa"/>
            <w:shd w:val="clear" w:color="auto" w:fill="FF0000"/>
            <w:noWrap/>
            <w:vAlign w:val="center"/>
            <w:hideMark/>
          </w:tcPr>
          <w:p w:rsidR="00E670CA" w:rsidRPr="001B40D5" w:rsidRDefault="00E670CA" w:rsidP="00412908">
            <w:pPr>
              <w:spacing w:after="0" w:line="240" w:lineRule="auto"/>
              <w:ind w:left="-126"/>
              <w:jc w:val="center"/>
              <w:rPr>
                <w:rFonts w:eastAsia="Times New Roman"/>
                <w:color w:val="000000"/>
                <w:sz w:val="20"/>
                <w:szCs w:val="20"/>
                <w:lang w:eastAsia="en-GB"/>
              </w:rPr>
            </w:pPr>
            <w:r w:rsidRPr="001B40D5">
              <w:rPr>
                <w:rFonts w:eastAsia="Times New Roman"/>
                <w:color w:val="000000"/>
                <w:sz w:val="20"/>
                <w:szCs w:val="20"/>
                <w:lang w:eastAsia="en-GB"/>
              </w:rPr>
              <w:t>25.9</w:t>
            </w:r>
            <w:r>
              <w:rPr>
                <w:rFonts w:eastAsia="Times New Roman"/>
                <w:color w:val="000000"/>
                <w:sz w:val="20"/>
                <w:szCs w:val="20"/>
                <w:lang w:eastAsia="en-GB"/>
              </w:rPr>
              <w:t>†</w:t>
            </w:r>
          </w:p>
        </w:tc>
        <w:tc>
          <w:tcPr>
            <w:tcW w:w="851" w:type="dxa"/>
            <w:shd w:val="clear" w:color="auto" w:fill="auto"/>
            <w:vAlign w:val="center"/>
          </w:tcPr>
          <w:p w:rsidR="00E670CA" w:rsidRPr="001B40D5" w:rsidRDefault="00E670CA" w:rsidP="00412908">
            <w:pPr>
              <w:spacing w:after="0" w:line="240" w:lineRule="auto"/>
              <w:ind w:left="-126"/>
              <w:jc w:val="center"/>
              <w:rPr>
                <w:rFonts w:eastAsia="Times New Roman"/>
                <w:color w:val="000000"/>
                <w:sz w:val="20"/>
                <w:szCs w:val="20"/>
                <w:lang w:eastAsia="en-GB"/>
              </w:rPr>
            </w:pPr>
            <w:r>
              <w:rPr>
                <w:rFonts w:eastAsia="Times New Roman"/>
                <w:color w:val="000000"/>
                <w:sz w:val="20"/>
                <w:szCs w:val="20"/>
                <w:lang w:eastAsia="en-GB"/>
              </w:rPr>
              <w:t>14.8†</w:t>
            </w:r>
          </w:p>
        </w:tc>
      </w:tr>
    </w:tbl>
    <w:p w:rsidR="00E670CA" w:rsidRPr="00E63247" w:rsidRDefault="00E670CA" w:rsidP="00E670CA">
      <w:pPr>
        <w:rPr>
          <w:rFonts w:eastAsia="Times New Roman" w:cs="Arial"/>
          <w:color w:val="000000"/>
          <w:sz w:val="18"/>
          <w:lang w:eastAsia="en-GB"/>
        </w:rPr>
      </w:pPr>
      <w:r>
        <w:rPr>
          <w:rFonts w:eastAsia="Times New Roman" w:cs="Arial"/>
          <w:color w:val="000000"/>
          <w:sz w:val="18"/>
          <w:lang w:eastAsia="en-GB"/>
        </w:rPr>
        <w:t xml:space="preserve">†Per 100,000; </w:t>
      </w:r>
      <w:r w:rsidRPr="00E63247">
        <w:rPr>
          <w:rFonts w:eastAsia="Times New Roman" w:cs="Arial"/>
          <w:color w:val="000000"/>
          <w:sz w:val="18"/>
          <w:lang w:eastAsia="en-GB"/>
        </w:rPr>
        <w:t xml:space="preserve">Data source: </w:t>
      </w:r>
      <w:r>
        <w:rPr>
          <w:rFonts w:eastAsia="Times New Roman" w:cs="Arial"/>
          <w:color w:val="000000"/>
          <w:sz w:val="18"/>
          <w:lang w:eastAsia="en-GB"/>
        </w:rPr>
        <w:t xml:space="preserve">Public Health England. </w:t>
      </w:r>
      <w:hyperlink r:id="rId262" w:history="1">
        <w:r w:rsidRPr="007D2B74">
          <w:rPr>
            <w:rStyle w:val="Hyperlink"/>
            <w:rFonts w:eastAsia="Times New Roman" w:cs="Arial"/>
            <w:sz w:val="18"/>
            <w:lang w:eastAsia="en-GB"/>
          </w:rPr>
          <w:t>Public Health Outcomes Framework</w:t>
        </w:r>
      </w:hyperlink>
      <w:r>
        <w:rPr>
          <w:rFonts w:eastAsia="Times New Roman" w:cs="Arial"/>
          <w:color w:val="000000"/>
          <w:sz w:val="18"/>
          <w:lang w:eastAsia="en-GB"/>
        </w:rPr>
        <w:t xml:space="preserve"> (PHOF). Data Release: 4</w:t>
      </w:r>
      <w:r>
        <w:rPr>
          <w:rFonts w:eastAsia="Times New Roman" w:cs="Arial"/>
          <w:color w:val="000000"/>
          <w:sz w:val="18"/>
          <w:vertAlign w:val="superscript"/>
          <w:lang w:eastAsia="en-GB"/>
        </w:rPr>
        <w:t xml:space="preserve">th </w:t>
      </w:r>
      <w:r>
        <w:rPr>
          <w:rFonts w:eastAsia="Times New Roman" w:cs="Arial"/>
          <w:color w:val="000000"/>
          <w:sz w:val="18"/>
          <w:lang w:eastAsia="en-GB"/>
        </w:rPr>
        <w:t>Aug. 2015</w:t>
      </w:r>
    </w:p>
    <w:p w:rsidR="00E670CA" w:rsidRPr="000D6E85" w:rsidRDefault="00E670CA" w:rsidP="00040678">
      <w:pPr>
        <w:spacing w:after="0" w:line="240" w:lineRule="auto"/>
        <w:jc w:val="center"/>
        <w:rPr>
          <w:rFonts w:ascii="Calibri" w:hAnsi="Calibri" w:cs="Arial"/>
        </w:rPr>
      </w:pPr>
    </w:p>
    <w:sectPr w:rsidR="00E670CA" w:rsidRPr="000D6E85" w:rsidSect="0037150F">
      <w:headerReference w:type="default" r:id="rId263"/>
      <w:footerReference w:type="default" r:id="rId264"/>
      <w:pgSz w:w="11906" w:h="16838"/>
      <w:pgMar w:top="144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90277" w:rsidRDefault="00890277" w:rsidP="006C358A">
      <w:pPr>
        <w:spacing w:after="0" w:line="240" w:lineRule="auto"/>
      </w:pPr>
      <w:r>
        <w:separator/>
      </w:r>
    </w:p>
  </w:endnote>
  <w:endnote w:type="continuationSeparator" w:id="0">
    <w:p w:rsidR="00890277" w:rsidRDefault="00890277" w:rsidP="006C358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ymbolMT">
    <w:altName w:val="Arial Unicode MS"/>
    <w:panose1 w:val="00000000000000000000"/>
    <w:charset w:val="88"/>
    <w:family w:val="auto"/>
    <w:notTrueType/>
    <w:pitch w:val="default"/>
    <w:sig w:usb0="00000003" w:usb1="08080000" w:usb2="00000010" w:usb3="00000000" w:csb0="00100001" w:csb1="00000000"/>
  </w:font>
  <w:font w:name="Foundry Form Sans">
    <w:altName w:val="Foundry Form Sans"/>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45 Light">
    <w:altName w:val="Helvetica 45 Light"/>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Georgia">
    <w:panose1 w:val="02040502050405020303"/>
    <w:charset w:val="00"/>
    <w:family w:val="roman"/>
    <w:pitch w:val="variable"/>
    <w:sig w:usb0="00000287" w:usb1="00000000" w:usb2="00000000" w:usb3="00000000" w:csb0="0000009F" w:csb1="00000000"/>
  </w:font>
  <w:font w:name="CenturySchoolbook">
    <w:altName w:val="Century Schoolbook"/>
    <w:panose1 w:val="00000000000000000000"/>
    <w:charset w:val="4D"/>
    <w:family w:val="auto"/>
    <w:notTrueType/>
    <w:pitch w:val="default"/>
    <w:sig w:usb0="00000003" w:usb1="00000000" w:usb2="00000000" w:usb3="00000000" w:csb0="00000001" w:csb1="00000000"/>
  </w:font>
  <w:font w:name="HelveticaNeueLTStd-It">
    <w:panose1 w:val="00000000000000000000"/>
    <w:charset w:val="00"/>
    <w:family w:val="swiss"/>
    <w:notTrueType/>
    <w:pitch w:val="default"/>
    <w:sig w:usb0="00000003" w:usb1="00000000" w:usb2="00000000" w:usb3="00000000" w:csb0="00000001" w:csb1="00000000"/>
  </w:font>
  <w:font w:name="TT3DD0o00">
    <w:panose1 w:val="00000000000000000000"/>
    <w:charset w:val="00"/>
    <w:family w:val="auto"/>
    <w:notTrueType/>
    <w:pitch w:val="default"/>
    <w:sig w:usb0="00000003" w:usb1="00000000" w:usb2="00000000" w:usb3="00000000" w:csb0="00000001" w:csb1="00000000"/>
  </w:font>
  <w:font w:name="HelveticaNeue-Light">
    <w:panose1 w:val="00000000000000000000"/>
    <w:charset w:val="00"/>
    <w:family w:val="swiss"/>
    <w:notTrueType/>
    <w:pitch w:val="default"/>
    <w:sig w:usb0="00000003" w:usb1="00000000" w:usb2="00000000" w:usb3="00000000" w:csb0="00000001" w:csb1="00000000"/>
  </w:font>
  <w:font w:name="ArialMT">
    <w:panose1 w:val="00000000000000000000"/>
    <w:charset w:val="00"/>
    <w:family w:val="swiss"/>
    <w:notTrueType/>
    <w:pitch w:val="default"/>
    <w:sig w:usb0="00000003" w:usb1="00000000" w:usb2="00000000" w:usb3="00000000" w:csb0="00000001" w:csb1="00000000"/>
  </w:font>
  <w:font w:name="Arial-BoldMT">
    <w:altName w:val="Arial"/>
    <w:charset w:val="00"/>
    <w:family w:val="auto"/>
    <w:pitch w:val="variable"/>
    <w:sig w:usb0="00000001" w:usb1="00000000" w:usb2="00000000" w:usb3="00000000" w:csb0="0000009F" w:csb1="00000000"/>
  </w:font>
  <w:font w:name="Consolas">
    <w:panose1 w:val="020B0609020204030204"/>
    <w:charset w:val="00"/>
    <w:family w:val="modern"/>
    <w:pitch w:val="fixed"/>
    <w:sig w:usb0="E10002FF" w:usb1="4000F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14653917"/>
      <w:docPartObj>
        <w:docPartGallery w:val="Page Numbers (Bottom of Page)"/>
        <w:docPartUnique/>
      </w:docPartObj>
    </w:sdtPr>
    <w:sdtEndPr>
      <w:rPr>
        <w:noProof/>
      </w:rPr>
    </w:sdtEndPr>
    <w:sdtContent>
      <w:p w:rsidR="00890277" w:rsidRDefault="00890277">
        <w:pPr>
          <w:pStyle w:val="Footer"/>
          <w:jc w:val="center"/>
        </w:pPr>
        <w:r>
          <w:fldChar w:fldCharType="begin"/>
        </w:r>
        <w:r>
          <w:instrText xml:space="preserve"> PAGE   \* MERGEFORMAT </w:instrText>
        </w:r>
        <w:r>
          <w:fldChar w:fldCharType="separate"/>
        </w:r>
        <w:r w:rsidR="00146202">
          <w:rPr>
            <w:noProof/>
          </w:rPr>
          <w:t>2</w:t>
        </w:r>
        <w:r>
          <w:rPr>
            <w:noProof/>
          </w:rPr>
          <w:fldChar w:fldCharType="end"/>
        </w:r>
      </w:p>
    </w:sdtContent>
  </w:sdt>
  <w:p w:rsidR="00890277" w:rsidRDefault="0089027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90277" w:rsidRDefault="00890277" w:rsidP="006C358A">
      <w:pPr>
        <w:spacing w:after="0" w:line="240" w:lineRule="auto"/>
      </w:pPr>
      <w:r>
        <w:separator/>
      </w:r>
    </w:p>
  </w:footnote>
  <w:footnote w:type="continuationSeparator" w:id="0">
    <w:p w:rsidR="00890277" w:rsidRDefault="00890277" w:rsidP="006C358A">
      <w:pPr>
        <w:spacing w:after="0" w:line="240" w:lineRule="auto"/>
      </w:pPr>
      <w:r>
        <w:continuationSeparator/>
      </w:r>
    </w:p>
  </w:footnote>
  <w:footnote w:id="1">
    <w:p w:rsidR="00890277" w:rsidRPr="00EE4904" w:rsidRDefault="00890277" w:rsidP="00A9706E">
      <w:pPr>
        <w:shd w:val="clear" w:color="auto" w:fill="FFFFFF"/>
        <w:spacing w:after="0" w:line="240" w:lineRule="auto"/>
        <w:rPr>
          <w:rFonts w:eastAsia="Times New Roman" w:cs="Arial"/>
          <w:color w:val="222222"/>
          <w:sz w:val="16"/>
          <w:szCs w:val="16"/>
          <w:lang w:eastAsia="en-GB"/>
        </w:rPr>
      </w:pPr>
      <w:r w:rsidRPr="00EE4904">
        <w:rPr>
          <w:rStyle w:val="FootnoteReference"/>
          <w:rFonts w:cs="Arial"/>
          <w:sz w:val="16"/>
          <w:szCs w:val="16"/>
        </w:rPr>
        <w:footnoteRef/>
      </w:r>
      <w:r w:rsidRPr="00EE4904">
        <w:rPr>
          <w:rFonts w:cs="Arial"/>
          <w:sz w:val="16"/>
          <w:szCs w:val="16"/>
        </w:rPr>
        <w:t xml:space="preserve"> </w:t>
      </w:r>
      <w:r w:rsidRPr="00EE4904">
        <w:rPr>
          <w:rFonts w:eastAsia="Times New Roman" w:cs="Arial"/>
          <w:color w:val="222222"/>
          <w:sz w:val="16"/>
          <w:szCs w:val="16"/>
          <w:lang w:eastAsia="en-GB"/>
        </w:rPr>
        <w:t>A Lower Layer Super Output Area (</w:t>
      </w:r>
      <w:r w:rsidRPr="00EE4904">
        <w:rPr>
          <w:rFonts w:eastAsia="Times New Roman" w:cs="Arial"/>
          <w:bCs/>
          <w:color w:val="222222"/>
          <w:sz w:val="16"/>
          <w:szCs w:val="16"/>
          <w:lang w:eastAsia="en-GB"/>
        </w:rPr>
        <w:t>LSOA</w:t>
      </w:r>
      <w:r w:rsidRPr="00EE4904">
        <w:rPr>
          <w:rFonts w:eastAsia="Times New Roman" w:cs="Arial"/>
          <w:color w:val="222222"/>
          <w:sz w:val="16"/>
          <w:szCs w:val="16"/>
          <w:lang w:eastAsia="en-GB"/>
        </w:rPr>
        <w:t>) is a GEOGRAPHIC AREA. Lower </w:t>
      </w:r>
      <w:r w:rsidRPr="00EE4904">
        <w:rPr>
          <w:rFonts w:eastAsia="Times New Roman" w:cs="Arial"/>
          <w:bCs/>
          <w:color w:val="222222"/>
          <w:sz w:val="16"/>
          <w:szCs w:val="16"/>
          <w:lang w:eastAsia="en-GB"/>
        </w:rPr>
        <w:t>Layer Super Output Areas</w:t>
      </w:r>
      <w:r w:rsidRPr="00EE4904">
        <w:rPr>
          <w:rFonts w:eastAsia="Times New Roman" w:cs="Arial"/>
          <w:color w:val="222222"/>
          <w:sz w:val="16"/>
          <w:szCs w:val="16"/>
          <w:lang w:eastAsia="en-GB"/>
        </w:rPr>
        <w:t> are a geographic hierarchy designed to improve the reporting of small area statistics in England and Wales.</w:t>
      </w:r>
    </w:p>
    <w:p w:rsidR="00890277" w:rsidRPr="00EE4904" w:rsidRDefault="00890277" w:rsidP="00A9706E">
      <w:pPr>
        <w:pStyle w:val="FootnoteText"/>
        <w:rPr>
          <w:rFonts w:asciiTheme="minorHAnsi" w:hAnsiTheme="minorHAnsi"/>
          <w:sz w:val="16"/>
          <w:szCs w:val="16"/>
        </w:rPr>
      </w:pPr>
    </w:p>
  </w:footnote>
  <w:footnote w:id="2">
    <w:p w:rsidR="00890277" w:rsidRPr="00EE4904" w:rsidRDefault="00890277" w:rsidP="00A9706E">
      <w:pPr>
        <w:pStyle w:val="FootnoteText"/>
        <w:rPr>
          <w:rFonts w:asciiTheme="minorHAnsi" w:hAnsiTheme="minorHAnsi"/>
          <w:sz w:val="16"/>
          <w:szCs w:val="16"/>
        </w:rPr>
      </w:pPr>
      <w:r w:rsidRPr="00EE4904">
        <w:rPr>
          <w:rStyle w:val="FootnoteReference"/>
          <w:rFonts w:asciiTheme="minorHAnsi" w:eastAsiaTheme="majorEastAsia" w:hAnsiTheme="minorHAnsi"/>
          <w:sz w:val="16"/>
          <w:szCs w:val="16"/>
        </w:rPr>
        <w:footnoteRef/>
      </w:r>
      <w:r w:rsidRPr="00EE4904">
        <w:rPr>
          <w:rFonts w:asciiTheme="minorHAnsi" w:hAnsiTheme="minorHAnsi"/>
          <w:sz w:val="16"/>
          <w:szCs w:val="16"/>
        </w:rPr>
        <w:t xml:space="preserve"> Projections used within this report are taken from the 2013 GLA Borough Preferred Option Projections. These are based on Barnet’s actual future development plans that have been provided by LBB to the GLA.  The GLA produces a variety  of different projections, additional information on these can be found here </w:t>
      </w:r>
      <w:hyperlink r:id="rId1" w:history="1">
        <w:r w:rsidRPr="00EE4904">
          <w:rPr>
            <w:rStyle w:val="Hyperlink"/>
            <w:rFonts w:asciiTheme="minorHAnsi" w:eastAsiaTheme="majorEastAsia" w:hAnsiTheme="minorHAnsi"/>
            <w:sz w:val="16"/>
            <w:szCs w:val="16"/>
          </w:rPr>
          <w:t>https://londondatastore-upload.s3.amazonaws.com/jYs%3Dtechnical-note-guide-gla-popproj-variants.pdf</w:t>
        </w:r>
      </w:hyperlink>
    </w:p>
  </w:footnote>
  <w:footnote w:id="3">
    <w:p w:rsidR="00890277" w:rsidRPr="00EE4904" w:rsidRDefault="00890277" w:rsidP="00A9706E">
      <w:pPr>
        <w:jc w:val="both"/>
        <w:rPr>
          <w:rFonts w:cs="Calibri"/>
          <w:sz w:val="16"/>
          <w:szCs w:val="16"/>
        </w:rPr>
      </w:pPr>
      <w:r w:rsidRPr="00EE4904">
        <w:rPr>
          <w:rStyle w:val="FootnoteReference"/>
          <w:sz w:val="16"/>
          <w:szCs w:val="16"/>
        </w:rPr>
        <w:footnoteRef/>
      </w:r>
      <w:r w:rsidRPr="00EE4904">
        <w:rPr>
          <w:sz w:val="16"/>
          <w:szCs w:val="16"/>
        </w:rPr>
        <w:t xml:space="preserve"> </w:t>
      </w:r>
      <w:r w:rsidRPr="00EE4904">
        <w:rPr>
          <w:rFonts w:cs="Tahoma"/>
          <w:sz w:val="16"/>
          <w:szCs w:val="16"/>
          <w:shd w:val="clear" w:color="auto" w:fill="FFFFFF"/>
        </w:rPr>
        <w:t xml:space="preserve">These projections are trend-based, with assumptions made based on recent trends in migration. They give an indication of what future migration levels might be if recent trends continued. They are not forecasts and take no account of policy nor development aims that have not yet had an impact on observed trends and so actual migration levels are likely to be different. </w:t>
      </w:r>
    </w:p>
    <w:p w:rsidR="00890277" w:rsidRPr="00EE4904" w:rsidRDefault="00890277" w:rsidP="00A9706E">
      <w:pPr>
        <w:pStyle w:val="FootnoteText"/>
        <w:rPr>
          <w:rFonts w:asciiTheme="minorHAnsi" w:hAnsiTheme="minorHAnsi"/>
          <w:sz w:val="16"/>
          <w:szCs w:val="16"/>
        </w:rPr>
      </w:pPr>
    </w:p>
  </w:footnote>
  <w:footnote w:id="4">
    <w:p w:rsidR="00890277" w:rsidRPr="00EE4904" w:rsidRDefault="00890277" w:rsidP="00A9706E">
      <w:pPr>
        <w:pStyle w:val="FootnoteText"/>
        <w:rPr>
          <w:rFonts w:asciiTheme="minorHAnsi" w:hAnsiTheme="minorHAnsi"/>
          <w:sz w:val="16"/>
          <w:szCs w:val="16"/>
        </w:rPr>
      </w:pPr>
      <w:r w:rsidRPr="00EE4904">
        <w:rPr>
          <w:rStyle w:val="FootnoteReference"/>
          <w:rFonts w:asciiTheme="minorHAnsi" w:eastAsiaTheme="majorEastAsia" w:hAnsiTheme="minorHAnsi"/>
          <w:sz w:val="16"/>
          <w:szCs w:val="16"/>
        </w:rPr>
        <w:footnoteRef/>
      </w:r>
      <w:r w:rsidRPr="00EE4904">
        <w:rPr>
          <w:rFonts w:asciiTheme="minorHAnsi" w:hAnsiTheme="minorHAnsi"/>
          <w:sz w:val="16"/>
          <w:szCs w:val="16"/>
        </w:rPr>
        <w:t xml:space="preserve"> </w:t>
      </w:r>
      <w:r w:rsidRPr="00EE4904">
        <w:rPr>
          <w:rStyle w:val="apple-converted-space"/>
          <w:rFonts w:asciiTheme="minorHAnsi" w:eastAsiaTheme="majorEastAsia" w:hAnsiTheme="minorHAnsi" w:cs="Arial"/>
          <w:color w:val="151515"/>
          <w:sz w:val="16"/>
          <w:szCs w:val="16"/>
          <w:shd w:val="clear" w:color="auto" w:fill="FFFFFF"/>
        </w:rPr>
        <w:t> </w:t>
      </w:r>
      <w:r w:rsidRPr="00EE4904">
        <w:rPr>
          <w:rStyle w:val="Strong"/>
          <w:rFonts w:asciiTheme="minorHAnsi" w:eastAsiaTheme="majorEastAsia" w:hAnsiTheme="minorHAnsi" w:cs="Arial"/>
          <w:color w:val="151515"/>
          <w:sz w:val="16"/>
          <w:szCs w:val="16"/>
          <w:shd w:val="clear" w:color="auto" w:fill="FFFFFF"/>
        </w:rPr>
        <w:t>EA Core disabled</w:t>
      </w:r>
      <w:r w:rsidRPr="00EE4904">
        <w:rPr>
          <w:rStyle w:val="apple-converted-space"/>
          <w:rFonts w:asciiTheme="minorHAnsi" w:eastAsiaTheme="majorEastAsia" w:hAnsiTheme="minorHAnsi" w:cs="Arial"/>
          <w:color w:val="151515"/>
          <w:sz w:val="16"/>
          <w:szCs w:val="16"/>
          <w:shd w:val="clear" w:color="auto" w:fill="FFFFFF"/>
        </w:rPr>
        <w:t> </w:t>
      </w:r>
      <w:r w:rsidRPr="00EE4904">
        <w:rPr>
          <w:rFonts w:asciiTheme="minorHAnsi" w:hAnsiTheme="minorHAnsi" w:cs="Arial"/>
          <w:color w:val="151515"/>
          <w:sz w:val="16"/>
          <w:szCs w:val="16"/>
          <w:shd w:val="clear" w:color="auto" w:fill="FFFFFF"/>
        </w:rPr>
        <w:t>includes those who have a long-term disability which substantially limits their day-to-day activities</w:t>
      </w:r>
    </w:p>
  </w:footnote>
  <w:footnote w:id="5">
    <w:p w:rsidR="00890277" w:rsidRPr="00EE4904" w:rsidRDefault="00890277" w:rsidP="007547D4">
      <w:pPr>
        <w:rPr>
          <w:rFonts w:cs="Arial"/>
          <w:sz w:val="16"/>
          <w:szCs w:val="16"/>
          <w:lang w:eastAsia="en-GB"/>
        </w:rPr>
      </w:pPr>
      <w:r w:rsidRPr="00EE4904">
        <w:rPr>
          <w:rStyle w:val="FootnoteReference"/>
          <w:rFonts w:cs="Arial"/>
          <w:sz w:val="16"/>
          <w:szCs w:val="16"/>
        </w:rPr>
        <w:footnoteRef/>
      </w:r>
      <w:r w:rsidRPr="00EE4904">
        <w:rPr>
          <w:rFonts w:cs="Arial"/>
          <w:sz w:val="16"/>
          <w:szCs w:val="16"/>
        </w:rPr>
        <w:t xml:space="preserve"> </w:t>
      </w:r>
      <w:r w:rsidRPr="00EE4904">
        <w:rPr>
          <w:rFonts w:cs="Arial"/>
          <w:sz w:val="16"/>
          <w:szCs w:val="16"/>
          <w:lang w:eastAsia="en-GB"/>
        </w:rPr>
        <w:t>Lifetime Homes, Lifetime Neighbourhoods: A National Strategy for Housing in an Ageing Society– Communities &amp; Local Government Feb 08</w:t>
      </w:r>
    </w:p>
  </w:footnote>
  <w:footnote w:id="6">
    <w:p w:rsidR="00890277" w:rsidRPr="00EE4904" w:rsidRDefault="00890277" w:rsidP="007547D4">
      <w:pPr>
        <w:pStyle w:val="FootnoteText"/>
        <w:rPr>
          <w:rFonts w:asciiTheme="minorHAnsi" w:hAnsiTheme="minorHAnsi"/>
          <w:sz w:val="16"/>
          <w:szCs w:val="16"/>
        </w:rPr>
      </w:pPr>
      <w:r w:rsidRPr="00EE4904">
        <w:rPr>
          <w:rStyle w:val="FootnoteReference"/>
          <w:rFonts w:asciiTheme="minorHAnsi" w:eastAsiaTheme="majorEastAsia" w:hAnsiTheme="minorHAnsi"/>
          <w:sz w:val="16"/>
          <w:szCs w:val="16"/>
        </w:rPr>
        <w:footnoteRef/>
      </w:r>
      <w:r w:rsidRPr="00EE4904">
        <w:rPr>
          <w:rFonts w:asciiTheme="minorHAnsi" w:hAnsiTheme="minorHAnsi"/>
          <w:sz w:val="16"/>
          <w:szCs w:val="16"/>
        </w:rPr>
        <w:t xml:space="preserve"> AEA for the Department of Energy and Climate Change: Local and regional CO2 Emissions Estimates for 2005-2012</w:t>
      </w:r>
    </w:p>
  </w:footnote>
  <w:footnote w:id="7">
    <w:p w:rsidR="00890277" w:rsidRPr="00EE4904" w:rsidRDefault="00890277" w:rsidP="007547D4">
      <w:pPr>
        <w:pStyle w:val="FootnoteText"/>
        <w:rPr>
          <w:rFonts w:asciiTheme="minorHAnsi" w:hAnsiTheme="minorHAnsi"/>
          <w:sz w:val="16"/>
          <w:szCs w:val="16"/>
        </w:rPr>
      </w:pPr>
      <w:r w:rsidRPr="00EE4904">
        <w:rPr>
          <w:rStyle w:val="FootnoteReference"/>
          <w:rFonts w:asciiTheme="minorHAnsi" w:eastAsiaTheme="majorEastAsia" w:hAnsiTheme="minorHAnsi"/>
          <w:sz w:val="16"/>
          <w:szCs w:val="16"/>
        </w:rPr>
        <w:footnoteRef/>
      </w:r>
      <w:r w:rsidRPr="00EE4904">
        <w:rPr>
          <w:rFonts w:asciiTheme="minorHAnsi" w:hAnsiTheme="minorHAnsi"/>
          <w:sz w:val="16"/>
          <w:szCs w:val="16"/>
        </w:rPr>
        <w:t xml:space="preserve"> </w:t>
      </w:r>
      <w:hyperlink r:id="rId2" w:history="1">
        <w:r w:rsidRPr="00EE4904">
          <w:rPr>
            <w:rStyle w:val="Hyperlink"/>
            <w:rFonts w:asciiTheme="minorHAnsi" w:eastAsiaTheme="majorEastAsia" w:hAnsiTheme="minorHAnsi"/>
            <w:sz w:val="16"/>
            <w:szCs w:val="16"/>
          </w:rPr>
          <w:t>https://www.london.gov.uk/sites/default/files/Air%20Quality%20for%20Public%20Health%20Professionals%20-%20LB%20Barnet.pdf</w:t>
        </w:r>
      </w:hyperlink>
    </w:p>
  </w:footnote>
  <w:footnote w:id="8">
    <w:p w:rsidR="00890277" w:rsidRPr="00EE4904" w:rsidRDefault="00890277" w:rsidP="007547D4">
      <w:pPr>
        <w:pStyle w:val="FootnoteText"/>
        <w:rPr>
          <w:rFonts w:asciiTheme="minorHAnsi" w:hAnsiTheme="minorHAnsi"/>
          <w:sz w:val="16"/>
          <w:szCs w:val="16"/>
        </w:rPr>
      </w:pPr>
      <w:r w:rsidRPr="00EE4904">
        <w:rPr>
          <w:rStyle w:val="FootnoteReference"/>
          <w:rFonts w:asciiTheme="minorHAnsi" w:eastAsiaTheme="majorEastAsia" w:hAnsiTheme="minorHAnsi"/>
          <w:sz w:val="16"/>
          <w:szCs w:val="16"/>
        </w:rPr>
        <w:footnoteRef/>
      </w:r>
      <w:r w:rsidRPr="00EE4904">
        <w:rPr>
          <w:rFonts w:asciiTheme="minorHAnsi" w:hAnsiTheme="minorHAnsi"/>
          <w:sz w:val="16"/>
          <w:szCs w:val="16"/>
        </w:rPr>
        <w:t xml:space="preserve"> SPA Consultation, 2013</w:t>
      </w:r>
    </w:p>
  </w:footnote>
  <w:footnote w:id="9">
    <w:p w:rsidR="00890277" w:rsidRPr="00EE4904" w:rsidRDefault="00890277" w:rsidP="007547D4">
      <w:pPr>
        <w:pStyle w:val="FootnoteText"/>
        <w:rPr>
          <w:rFonts w:asciiTheme="minorHAnsi" w:hAnsiTheme="minorHAnsi"/>
          <w:sz w:val="16"/>
          <w:szCs w:val="16"/>
        </w:rPr>
      </w:pPr>
      <w:r w:rsidRPr="00EE4904">
        <w:rPr>
          <w:rFonts w:asciiTheme="minorHAnsi" w:hAnsiTheme="minorHAnsi"/>
          <w:sz w:val="16"/>
          <w:szCs w:val="16"/>
        </w:rPr>
        <w:footnoteRef/>
      </w:r>
      <w:r w:rsidRPr="00EE4904">
        <w:rPr>
          <w:rFonts w:asciiTheme="minorHAnsi" w:hAnsiTheme="minorHAnsi"/>
          <w:sz w:val="16"/>
          <w:szCs w:val="16"/>
        </w:rPr>
        <w:t xml:space="preserve"> </w:t>
      </w:r>
      <w:proofErr w:type="spellStart"/>
      <w:proofErr w:type="gramStart"/>
      <w:r w:rsidRPr="00EE4904">
        <w:rPr>
          <w:rFonts w:asciiTheme="minorHAnsi" w:hAnsiTheme="minorHAnsi"/>
          <w:sz w:val="16"/>
          <w:szCs w:val="16"/>
        </w:rPr>
        <w:t>Grahn</w:t>
      </w:r>
      <w:proofErr w:type="spellEnd"/>
      <w:r w:rsidRPr="00EE4904">
        <w:rPr>
          <w:rFonts w:asciiTheme="minorHAnsi" w:hAnsiTheme="minorHAnsi"/>
          <w:sz w:val="16"/>
          <w:szCs w:val="16"/>
        </w:rPr>
        <w:t xml:space="preserve">, P., and </w:t>
      </w:r>
      <w:proofErr w:type="spellStart"/>
      <w:r w:rsidRPr="00EE4904">
        <w:rPr>
          <w:rFonts w:asciiTheme="minorHAnsi" w:hAnsiTheme="minorHAnsi"/>
          <w:sz w:val="16"/>
          <w:szCs w:val="16"/>
        </w:rPr>
        <w:t>Stigsdotter</w:t>
      </w:r>
      <w:proofErr w:type="spellEnd"/>
      <w:r w:rsidRPr="00EE4904">
        <w:rPr>
          <w:rFonts w:asciiTheme="minorHAnsi" w:hAnsiTheme="minorHAnsi"/>
          <w:sz w:val="16"/>
          <w:szCs w:val="16"/>
        </w:rPr>
        <w:t>, U.A. (2003).</w:t>
      </w:r>
      <w:proofErr w:type="gramEnd"/>
      <w:r w:rsidRPr="00EE4904">
        <w:rPr>
          <w:rFonts w:asciiTheme="minorHAnsi" w:hAnsiTheme="minorHAnsi"/>
          <w:sz w:val="16"/>
          <w:szCs w:val="16"/>
        </w:rPr>
        <w:t xml:space="preserve"> Landscape planning and stress. Urban Forestry and Urban Greening 2 (1): 1-18.</w:t>
      </w:r>
    </w:p>
  </w:footnote>
  <w:footnote w:id="10">
    <w:p w:rsidR="00890277" w:rsidRPr="00EE4904" w:rsidRDefault="00890277" w:rsidP="007547D4">
      <w:pPr>
        <w:pStyle w:val="FootnoteText"/>
        <w:rPr>
          <w:rFonts w:asciiTheme="minorHAnsi" w:hAnsiTheme="minorHAnsi"/>
          <w:sz w:val="16"/>
          <w:szCs w:val="16"/>
        </w:rPr>
      </w:pPr>
      <w:r w:rsidRPr="00EE4904">
        <w:rPr>
          <w:rStyle w:val="FootnoteReference"/>
          <w:rFonts w:asciiTheme="minorHAnsi" w:eastAsiaTheme="majorEastAsia" w:hAnsiTheme="minorHAnsi"/>
          <w:sz w:val="16"/>
          <w:szCs w:val="16"/>
        </w:rPr>
        <w:footnoteRef/>
      </w:r>
      <w:r w:rsidRPr="00EE4904">
        <w:rPr>
          <w:rFonts w:asciiTheme="minorHAnsi" w:hAnsiTheme="minorHAnsi"/>
          <w:sz w:val="16"/>
          <w:szCs w:val="16"/>
        </w:rPr>
        <w:t xml:space="preserve"> Residents’ Perception Survey, 2014</w:t>
      </w:r>
    </w:p>
  </w:footnote>
  <w:footnote w:id="11">
    <w:p w:rsidR="00890277" w:rsidRPr="00EE4904" w:rsidRDefault="00890277" w:rsidP="007547D4">
      <w:pPr>
        <w:pStyle w:val="FootnoteText"/>
        <w:rPr>
          <w:rFonts w:asciiTheme="minorHAnsi" w:hAnsiTheme="minorHAnsi"/>
          <w:sz w:val="16"/>
          <w:szCs w:val="16"/>
        </w:rPr>
      </w:pPr>
      <w:r w:rsidRPr="00EE4904">
        <w:rPr>
          <w:rFonts w:asciiTheme="minorHAnsi" w:hAnsiTheme="minorHAnsi"/>
          <w:sz w:val="16"/>
          <w:szCs w:val="16"/>
        </w:rPr>
        <w:footnoteRef/>
      </w:r>
      <w:r w:rsidRPr="00EE4904">
        <w:rPr>
          <w:rFonts w:asciiTheme="minorHAnsi" w:hAnsiTheme="minorHAnsi"/>
          <w:sz w:val="16"/>
          <w:szCs w:val="16"/>
        </w:rPr>
        <w:t xml:space="preserve"> Lucas, K. (2012) Transport and social exclusion: Where are we now? Transport Policy, 20, 105-113</w:t>
      </w:r>
    </w:p>
  </w:footnote>
  <w:footnote w:id="12">
    <w:p w:rsidR="00890277" w:rsidRPr="00EE4904" w:rsidRDefault="00890277" w:rsidP="007547D4">
      <w:pPr>
        <w:pStyle w:val="FootnoteText"/>
        <w:rPr>
          <w:rFonts w:asciiTheme="minorHAnsi" w:hAnsiTheme="minorHAnsi" w:cs="Arial"/>
          <w:sz w:val="16"/>
          <w:szCs w:val="16"/>
        </w:rPr>
      </w:pPr>
      <w:r w:rsidRPr="00EE4904">
        <w:rPr>
          <w:rStyle w:val="FootnoteReference"/>
          <w:rFonts w:asciiTheme="minorHAnsi" w:eastAsiaTheme="majorEastAsia" w:hAnsiTheme="minorHAnsi"/>
          <w:sz w:val="16"/>
          <w:szCs w:val="16"/>
        </w:rPr>
        <w:footnoteRef/>
      </w:r>
      <w:r w:rsidRPr="00EE4904">
        <w:rPr>
          <w:rFonts w:asciiTheme="minorHAnsi" w:hAnsiTheme="minorHAnsi"/>
          <w:sz w:val="16"/>
          <w:szCs w:val="16"/>
        </w:rPr>
        <w:t xml:space="preserve"> </w:t>
      </w:r>
      <w:hyperlink r:id="rId3" w:history="1">
        <w:r w:rsidRPr="00EE4904">
          <w:rPr>
            <w:rStyle w:val="Hyperlink"/>
            <w:rFonts w:asciiTheme="minorHAnsi" w:eastAsiaTheme="majorEastAsia" w:hAnsiTheme="minorHAnsi" w:cs="Arial"/>
            <w:sz w:val="16"/>
            <w:szCs w:val="16"/>
          </w:rPr>
          <w:t>http://www.ons.gov.uk/ons/rel/rdit2/internet-access---households-and-individuals/2014/sty-digital-day-2014.html</w:t>
        </w:r>
      </w:hyperlink>
    </w:p>
  </w:footnote>
  <w:footnote w:id="13">
    <w:p w:rsidR="00890277" w:rsidRPr="00EE4904" w:rsidRDefault="00890277" w:rsidP="007547D4">
      <w:pPr>
        <w:pStyle w:val="FootnoteText"/>
        <w:rPr>
          <w:rFonts w:asciiTheme="minorHAnsi" w:hAnsiTheme="minorHAnsi"/>
          <w:sz w:val="16"/>
          <w:szCs w:val="16"/>
        </w:rPr>
      </w:pPr>
      <w:r w:rsidRPr="00EE4904">
        <w:rPr>
          <w:rStyle w:val="FootnoteReference"/>
          <w:rFonts w:asciiTheme="minorHAnsi" w:eastAsiaTheme="majorEastAsia" w:hAnsiTheme="minorHAnsi"/>
          <w:sz w:val="16"/>
          <w:szCs w:val="16"/>
        </w:rPr>
        <w:footnoteRef/>
      </w:r>
      <w:r w:rsidRPr="00EE4904">
        <w:rPr>
          <w:rFonts w:asciiTheme="minorHAnsi" w:hAnsiTheme="minorHAnsi"/>
          <w:sz w:val="16"/>
          <w:szCs w:val="16"/>
        </w:rPr>
        <w:t xml:space="preserve"> </w:t>
      </w:r>
      <w:hyperlink r:id="rId4" w:history="1">
        <w:r w:rsidRPr="00EE4904">
          <w:rPr>
            <w:rStyle w:val="Hyperlink"/>
            <w:rFonts w:asciiTheme="minorHAnsi" w:eastAsiaTheme="majorEastAsia" w:hAnsiTheme="minorHAnsi" w:cs="Arial"/>
            <w:sz w:val="16"/>
            <w:szCs w:val="16"/>
          </w:rPr>
          <w:t>http://www.londoncouncils.gov.uk/policylobbying/transport/parkinginlondon/parkingurban.htm</w:t>
        </w:r>
      </w:hyperlink>
    </w:p>
  </w:footnote>
  <w:footnote w:id="14">
    <w:p w:rsidR="00890277" w:rsidRPr="00EE4904" w:rsidRDefault="00890277" w:rsidP="007547D4">
      <w:pPr>
        <w:pStyle w:val="FootnoteText"/>
        <w:rPr>
          <w:rFonts w:asciiTheme="minorHAnsi" w:hAnsiTheme="minorHAnsi"/>
          <w:sz w:val="16"/>
          <w:szCs w:val="16"/>
        </w:rPr>
      </w:pPr>
      <w:r w:rsidRPr="00EE4904">
        <w:rPr>
          <w:rStyle w:val="FootnoteReference"/>
          <w:rFonts w:asciiTheme="minorHAnsi" w:eastAsiaTheme="majorEastAsia" w:hAnsiTheme="minorHAnsi"/>
          <w:sz w:val="16"/>
          <w:szCs w:val="16"/>
        </w:rPr>
        <w:footnoteRef/>
      </w:r>
      <w:r w:rsidRPr="00EE4904">
        <w:rPr>
          <w:rFonts w:asciiTheme="minorHAnsi" w:hAnsiTheme="minorHAnsi"/>
          <w:sz w:val="16"/>
          <w:szCs w:val="16"/>
        </w:rPr>
        <w:t xml:space="preserve"> IDBR annual data for March 2009 to March 2012</w:t>
      </w:r>
    </w:p>
  </w:footnote>
  <w:footnote w:id="15">
    <w:p w:rsidR="00890277" w:rsidRPr="00EE4904" w:rsidRDefault="00890277" w:rsidP="007547D4">
      <w:pPr>
        <w:pStyle w:val="FootnoteText"/>
        <w:rPr>
          <w:rFonts w:asciiTheme="minorHAnsi" w:hAnsiTheme="minorHAnsi"/>
          <w:sz w:val="16"/>
          <w:szCs w:val="16"/>
        </w:rPr>
      </w:pPr>
      <w:r w:rsidRPr="00EE4904">
        <w:rPr>
          <w:rStyle w:val="FootnoteReference"/>
          <w:rFonts w:asciiTheme="minorHAnsi" w:eastAsiaTheme="majorEastAsia" w:hAnsiTheme="minorHAnsi"/>
          <w:sz w:val="16"/>
          <w:szCs w:val="16"/>
        </w:rPr>
        <w:footnoteRef/>
      </w:r>
      <w:r w:rsidRPr="00EE4904">
        <w:rPr>
          <w:rFonts w:asciiTheme="minorHAnsi" w:hAnsiTheme="minorHAnsi"/>
          <w:sz w:val="16"/>
          <w:szCs w:val="16"/>
        </w:rPr>
        <w:t xml:space="preserve"> </w:t>
      </w:r>
      <w:r w:rsidRPr="00EE4904">
        <w:rPr>
          <w:rFonts w:asciiTheme="minorHAnsi" w:hAnsiTheme="minorHAnsi" w:cs="Arial"/>
          <w:sz w:val="16"/>
          <w:szCs w:val="16"/>
        </w:rPr>
        <w:t>NOMIS annual BRES data 2008 to 2011</w:t>
      </w:r>
    </w:p>
  </w:footnote>
  <w:footnote w:id="16">
    <w:p w:rsidR="00890277" w:rsidRPr="00EE4904" w:rsidRDefault="00890277" w:rsidP="007547D4">
      <w:pPr>
        <w:pStyle w:val="FootnoteText"/>
        <w:rPr>
          <w:rFonts w:asciiTheme="minorHAnsi" w:hAnsiTheme="minorHAnsi"/>
          <w:sz w:val="16"/>
          <w:szCs w:val="16"/>
        </w:rPr>
      </w:pPr>
      <w:r w:rsidRPr="00EE4904">
        <w:rPr>
          <w:rStyle w:val="FootnoteReference"/>
          <w:rFonts w:asciiTheme="minorHAnsi" w:eastAsiaTheme="majorEastAsia" w:hAnsiTheme="minorHAnsi"/>
          <w:sz w:val="16"/>
          <w:szCs w:val="16"/>
        </w:rPr>
        <w:footnoteRef/>
      </w:r>
      <w:r w:rsidRPr="00EE4904">
        <w:rPr>
          <w:rFonts w:asciiTheme="minorHAnsi" w:hAnsiTheme="minorHAnsi"/>
          <w:sz w:val="16"/>
          <w:szCs w:val="16"/>
        </w:rPr>
        <w:t xml:space="preserve"> </w:t>
      </w:r>
      <w:r w:rsidRPr="00EE4904">
        <w:rPr>
          <w:rFonts w:asciiTheme="minorHAnsi" w:hAnsiTheme="minorHAnsi" w:cs="Arial"/>
          <w:sz w:val="16"/>
          <w:szCs w:val="16"/>
        </w:rPr>
        <w:t>BRES 2011</w:t>
      </w:r>
    </w:p>
  </w:footnote>
  <w:footnote w:id="17">
    <w:p w:rsidR="00890277" w:rsidRPr="00EE4904" w:rsidRDefault="00890277" w:rsidP="007547D4">
      <w:pPr>
        <w:pStyle w:val="FootnoteText"/>
        <w:rPr>
          <w:rFonts w:asciiTheme="minorHAnsi" w:hAnsiTheme="minorHAnsi"/>
          <w:sz w:val="16"/>
          <w:szCs w:val="16"/>
        </w:rPr>
      </w:pPr>
      <w:r w:rsidRPr="00EE4904">
        <w:rPr>
          <w:rStyle w:val="FootnoteReference"/>
          <w:rFonts w:asciiTheme="minorHAnsi" w:eastAsiaTheme="majorEastAsia" w:hAnsiTheme="minorHAnsi" w:cs="Arial"/>
          <w:sz w:val="16"/>
          <w:szCs w:val="16"/>
        </w:rPr>
        <w:footnoteRef/>
      </w:r>
      <w:r w:rsidRPr="00EE4904">
        <w:rPr>
          <w:rFonts w:asciiTheme="minorHAnsi" w:hAnsiTheme="minorHAnsi" w:cs="Arial"/>
          <w:sz w:val="16"/>
          <w:szCs w:val="16"/>
        </w:rPr>
        <w:t xml:space="preserve"> </w:t>
      </w:r>
      <w:r w:rsidRPr="00EE4904">
        <w:rPr>
          <w:rFonts w:asciiTheme="minorHAnsi" w:hAnsiTheme="minorHAnsi"/>
          <w:sz w:val="16"/>
          <w:szCs w:val="16"/>
        </w:rPr>
        <w:t>Oxford Economics: http://web.oxfordeconomics.com/FREE/PDFS/UKMFEAT3_1012.PDF</w:t>
      </w:r>
    </w:p>
  </w:footnote>
  <w:footnote w:id="18">
    <w:p w:rsidR="00890277" w:rsidRPr="00EE4904" w:rsidRDefault="00890277" w:rsidP="007547D4">
      <w:pPr>
        <w:pStyle w:val="FootnoteText"/>
        <w:rPr>
          <w:rFonts w:asciiTheme="minorHAnsi" w:hAnsiTheme="minorHAnsi"/>
          <w:sz w:val="16"/>
          <w:szCs w:val="16"/>
        </w:rPr>
      </w:pPr>
      <w:r w:rsidRPr="00EE4904">
        <w:rPr>
          <w:rStyle w:val="FootnoteReference"/>
          <w:rFonts w:asciiTheme="minorHAnsi" w:eastAsiaTheme="majorEastAsia" w:hAnsiTheme="minorHAnsi"/>
          <w:sz w:val="16"/>
          <w:szCs w:val="16"/>
        </w:rPr>
        <w:footnoteRef/>
      </w:r>
      <w:r w:rsidRPr="00EE4904">
        <w:rPr>
          <w:rFonts w:asciiTheme="minorHAnsi" w:hAnsiTheme="minorHAnsi"/>
          <w:sz w:val="16"/>
          <w:szCs w:val="16"/>
        </w:rPr>
        <w:t xml:space="preserve"> ONS Labour Market Profile – based on 16-64 age group</w:t>
      </w:r>
    </w:p>
  </w:footnote>
  <w:footnote w:id="19">
    <w:p w:rsidR="00890277" w:rsidRPr="00EE4904" w:rsidRDefault="00890277" w:rsidP="007547D4">
      <w:pPr>
        <w:pStyle w:val="FootnoteText"/>
        <w:rPr>
          <w:rFonts w:asciiTheme="minorHAnsi" w:hAnsiTheme="minorHAnsi"/>
          <w:sz w:val="16"/>
          <w:szCs w:val="16"/>
        </w:rPr>
      </w:pPr>
      <w:r w:rsidRPr="00EE4904">
        <w:rPr>
          <w:rStyle w:val="FootnoteReference"/>
          <w:rFonts w:asciiTheme="minorHAnsi" w:eastAsiaTheme="majorEastAsia" w:hAnsiTheme="minorHAnsi"/>
          <w:sz w:val="16"/>
          <w:szCs w:val="16"/>
        </w:rPr>
        <w:footnoteRef/>
      </w:r>
      <w:r w:rsidRPr="00EE4904">
        <w:rPr>
          <w:rFonts w:asciiTheme="minorHAnsi" w:hAnsiTheme="minorHAnsi"/>
          <w:sz w:val="16"/>
          <w:szCs w:val="16"/>
        </w:rPr>
        <w:t xml:space="preserve"> NOMIS Labour Market Profile: ONS Annual Population Survey Jan 2013 – Dec2013</w:t>
      </w:r>
    </w:p>
  </w:footnote>
  <w:footnote w:id="20">
    <w:p w:rsidR="00890277" w:rsidRPr="00EE4904" w:rsidRDefault="00890277" w:rsidP="007547D4">
      <w:pPr>
        <w:pStyle w:val="FootnoteText"/>
        <w:rPr>
          <w:rFonts w:asciiTheme="minorHAnsi" w:hAnsiTheme="minorHAnsi"/>
          <w:sz w:val="16"/>
          <w:szCs w:val="16"/>
        </w:rPr>
      </w:pPr>
      <w:r w:rsidRPr="00EE4904">
        <w:rPr>
          <w:rStyle w:val="FootnoteReference"/>
          <w:rFonts w:asciiTheme="minorHAnsi" w:eastAsiaTheme="majorEastAsia" w:hAnsiTheme="minorHAnsi"/>
          <w:sz w:val="16"/>
          <w:szCs w:val="16"/>
        </w:rPr>
        <w:footnoteRef/>
      </w:r>
      <w:r w:rsidRPr="00EE4904">
        <w:rPr>
          <w:rFonts w:asciiTheme="minorHAnsi" w:hAnsiTheme="minorHAnsi"/>
          <w:sz w:val="16"/>
          <w:szCs w:val="16"/>
        </w:rPr>
        <w:t xml:space="preserve"> GLA London Labour Market Projections, 2014</w:t>
      </w:r>
    </w:p>
  </w:footnote>
  <w:footnote w:id="21">
    <w:p w:rsidR="00890277" w:rsidRPr="00EE4904" w:rsidRDefault="00890277" w:rsidP="007547D4">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LGA, August 2013</w:t>
      </w:r>
    </w:p>
  </w:footnote>
  <w:footnote w:id="22">
    <w:p w:rsidR="00890277" w:rsidRPr="00EE4904" w:rsidRDefault="00890277" w:rsidP="007547D4">
      <w:pPr>
        <w:pStyle w:val="FootnoteText"/>
        <w:rPr>
          <w:rFonts w:asciiTheme="minorHAnsi" w:hAnsiTheme="minorHAnsi"/>
          <w:sz w:val="16"/>
          <w:szCs w:val="16"/>
        </w:rPr>
      </w:pPr>
      <w:r w:rsidRPr="00EE4904">
        <w:rPr>
          <w:rStyle w:val="FootnoteReference"/>
          <w:rFonts w:asciiTheme="minorHAnsi" w:eastAsiaTheme="majorEastAsia" w:hAnsiTheme="minorHAnsi"/>
          <w:sz w:val="16"/>
          <w:szCs w:val="16"/>
        </w:rPr>
        <w:footnoteRef/>
      </w:r>
      <w:r w:rsidRPr="00EE4904">
        <w:rPr>
          <w:rFonts w:asciiTheme="minorHAnsi" w:hAnsiTheme="minorHAnsi"/>
          <w:sz w:val="16"/>
          <w:szCs w:val="16"/>
        </w:rPr>
        <w:t xml:space="preserve"> </w:t>
      </w:r>
      <w:r w:rsidRPr="00EE4904">
        <w:rPr>
          <w:rFonts w:asciiTheme="minorHAnsi" w:hAnsiTheme="minorHAnsi"/>
          <w:color w:val="333333"/>
          <w:sz w:val="16"/>
          <w:szCs w:val="16"/>
          <w:shd w:val="clear" w:color="auto" w:fill="FFFFFF"/>
        </w:rPr>
        <w:t>Key out-of-work benefits include the groups: job seekers, ESA and incapacity benefits, lone parents and others on income related benefits.</w:t>
      </w:r>
    </w:p>
  </w:footnote>
  <w:footnote w:id="23">
    <w:p w:rsidR="00890277" w:rsidRPr="00EE4904" w:rsidRDefault="00890277" w:rsidP="007547D4">
      <w:pPr>
        <w:pStyle w:val="FootnoteText"/>
        <w:rPr>
          <w:rFonts w:asciiTheme="minorHAnsi" w:hAnsiTheme="minorHAnsi"/>
          <w:sz w:val="16"/>
          <w:szCs w:val="16"/>
        </w:rPr>
      </w:pPr>
      <w:r w:rsidRPr="00EE4904">
        <w:rPr>
          <w:rStyle w:val="FootnoteReference"/>
          <w:rFonts w:asciiTheme="minorHAnsi" w:eastAsiaTheme="majorEastAsia" w:hAnsiTheme="minorHAnsi"/>
          <w:sz w:val="16"/>
          <w:szCs w:val="16"/>
        </w:rPr>
        <w:footnoteRef/>
      </w:r>
      <w:r w:rsidRPr="00EE4904">
        <w:rPr>
          <w:rFonts w:asciiTheme="minorHAnsi" w:hAnsiTheme="minorHAnsi"/>
          <w:sz w:val="16"/>
          <w:szCs w:val="16"/>
        </w:rPr>
        <w:t xml:space="preserve"> Nomis Labour Market Profile: DWP benefit claimants - working age client group</w:t>
      </w:r>
    </w:p>
  </w:footnote>
  <w:footnote w:id="24">
    <w:p w:rsidR="00890277" w:rsidRPr="00EE4904" w:rsidRDefault="00890277" w:rsidP="007547D4">
      <w:pPr>
        <w:pStyle w:val="FootnoteText"/>
        <w:rPr>
          <w:rFonts w:asciiTheme="minorHAnsi" w:hAnsiTheme="minorHAnsi"/>
          <w:sz w:val="16"/>
          <w:szCs w:val="16"/>
        </w:rPr>
      </w:pPr>
      <w:r w:rsidRPr="00EE4904">
        <w:rPr>
          <w:rStyle w:val="FootnoteReference"/>
          <w:rFonts w:asciiTheme="minorHAnsi" w:eastAsiaTheme="majorEastAsia" w:hAnsiTheme="minorHAnsi"/>
          <w:sz w:val="16"/>
          <w:szCs w:val="16"/>
        </w:rPr>
        <w:footnoteRef/>
      </w:r>
      <w:r w:rsidRPr="00EE4904">
        <w:rPr>
          <w:rFonts w:asciiTheme="minorHAnsi" w:hAnsiTheme="minorHAnsi"/>
          <w:sz w:val="16"/>
          <w:szCs w:val="16"/>
        </w:rPr>
        <w:t xml:space="preserve"> </w:t>
      </w:r>
      <w:proofErr w:type="gramStart"/>
      <w:r w:rsidRPr="00EE4904">
        <w:rPr>
          <w:rFonts w:asciiTheme="minorHAnsi" w:hAnsiTheme="minorHAnsi"/>
          <w:color w:val="333333"/>
          <w:sz w:val="16"/>
          <w:szCs w:val="16"/>
          <w:shd w:val="clear" w:color="auto" w:fill="FFFFFF"/>
        </w:rPr>
        <w:t>Bennett, D. (1970) the value of work in psychiatric rehabilitation.</w:t>
      </w:r>
      <w:proofErr w:type="gramEnd"/>
      <w:r w:rsidRPr="00EE4904">
        <w:rPr>
          <w:rFonts w:asciiTheme="minorHAnsi" w:hAnsiTheme="minorHAnsi"/>
          <w:color w:val="333333"/>
          <w:sz w:val="16"/>
          <w:szCs w:val="16"/>
          <w:shd w:val="clear" w:color="auto" w:fill="FFFFFF"/>
        </w:rPr>
        <w:t xml:space="preserve"> Social Psychiatry 5, 224</w:t>
      </w:r>
      <w:r w:rsidRPr="00EE4904">
        <w:rPr>
          <w:rFonts w:asciiTheme="minorHAnsi" w:hAnsiTheme="minorHAnsi"/>
          <w:color w:val="333333"/>
          <w:sz w:val="16"/>
          <w:szCs w:val="16"/>
          <w:shd w:val="clear" w:color="auto" w:fill="FFFFFF"/>
        </w:rPr>
        <w:softHyphen/>
        <w:t>230</w:t>
      </w:r>
    </w:p>
  </w:footnote>
  <w:footnote w:id="25">
    <w:p w:rsidR="00890277" w:rsidRPr="00EE4904" w:rsidRDefault="00890277" w:rsidP="007547D4">
      <w:pPr>
        <w:pStyle w:val="FootnoteText"/>
        <w:rPr>
          <w:rFonts w:asciiTheme="minorHAnsi" w:hAnsiTheme="minorHAnsi"/>
          <w:sz w:val="16"/>
          <w:szCs w:val="16"/>
        </w:rPr>
      </w:pPr>
      <w:r w:rsidRPr="00EE4904">
        <w:rPr>
          <w:rFonts w:asciiTheme="minorHAnsi" w:hAnsiTheme="minorHAnsi"/>
          <w:color w:val="333333"/>
          <w:sz w:val="16"/>
          <w:szCs w:val="16"/>
          <w:shd w:val="clear" w:color="auto" w:fill="FFFFFF"/>
        </w:rPr>
        <w:footnoteRef/>
      </w:r>
      <w:r w:rsidRPr="00EE4904">
        <w:rPr>
          <w:rFonts w:asciiTheme="minorHAnsi" w:hAnsiTheme="minorHAnsi"/>
          <w:color w:val="333333"/>
          <w:sz w:val="16"/>
          <w:szCs w:val="16"/>
          <w:shd w:val="clear" w:color="auto" w:fill="FFFFFF"/>
        </w:rPr>
        <w:t xml:space="preserve"> </w:t>
      </w:r>
      <w:proofErr w:type="gramStart"/>
      <w:r w:rsidRPr="00EE4904">
        <w:rPr>
          <w:rFonts w:asciiTheme="minorHAnsi" w:hAnsiTheme="minorHAnsi"/>
          <w:color w:val="333333"/>
          <w:sz w:val="16"/>
          <w:szCs w:val="16"/>
          <w:shd w:val="clear" w:color="auto" w:fill="FFFFFF"/>
        </w:rPr>
        <w:t>Social Exclusion Unit (2004) Mental Health and Social Exclusion.</w:t>
      </w:r>
      <w:proofErr w:type="gramEnd"/>
      <w:r w:rsidRPr="00EE4904">
        <w:rPr>
          <w:rFonts w:asciiTheme="minorHAnsi" w:hAnsiTheme="minorHAnsi"/>
          <w:color w:val="333333"/>
          <w:sz w:val="16"/>
          <w:szCs w:val="16"/>
          <w:shd w:val="clear" w:color="auto" w:fill="FFFFFF"/>
        </w:rPr>
        <w:t xml:space="preserve"> London: Office of the Deputy Prime Minister</w:t>
      </w:r>
    </w:p>
  </w:footnote>
  <w:footnote w:id="26">
    <w:p w:rsidR="00890277" w:rsidRPr="00EE4904" w:rsidRDefault="00890277" w:rsidP="007547D4">
      <w:pPr>
        <w:pStyle w:val="FootnoteText"/>
        <w:rPr>
          <w:rFonts w:asciiTheme="minorHAnsi" w:hAnsiTheme="minorHAnsi"/>
          <w:sz w:val="16"/>
          <w:szCs w:val="16"/>
        </w:rPr>
      </w:pPr>
      <w:r w:rsidRPr="00EE4904">
        <w:rPr>
          <w:rStyle w:val="FootnoteReference"/>
          <w:rFonts w:asciiTheme="minorHAnsi" w:eastAsiaTheme="majorEastAsia" w:hAnsiTheme="minorHAnsi"/>
          <w:sz w:val="16"/>
          <w:szCs w:val="16"/>
        </w:rPr>
        <w:footnoteRef/>
      </w:r>
      <w:r w:rsidRPr="00EE4904">
        <w:rPr>
          <w:rFonts w:asciiTheme="minorHAnsi" w:hAnsiTheme="minorHAnsi"/>
          <w:sz w:val="16"/>
          <w:szCs w:val="16"/>
        </w:rPr>
        <w:t xml:space="preserve"> </w:t>
      </w:r>
      <w:hyperlink r:id="rId5" w:history="1">
        <w:r w:rsidRPr="00EE4904">
          <w:rPr>
            <w:rStyle w:val="Hyperlink"/>
            <w:rFonts w:asciiTheme="minorHAnsi" w:eastAsiaTheme="majorEastAsia" w:hAnsiTheme="minorHAnsi"/>
            <w:sz w:val="16"/>
            <w:szCs w:val="16"/>
          </w:rPr>
          <w:t>http://ascof.hscic.gov.uk/Outcome/717/1F</w:t>
        </w:r>
      </w:hyperlink>
    </w:p>
  </w:footnote>
  <w:footnote w:id="27">
    <w:p w:rsidR="00890277" w:rsidRPr="00EE4904" w:rsidRDefault="00890277" w:rsidP="007547D4">
      <w:pPr>
        <w:pStyle w:val="FootnoteText"/>
        <w:rPr>
          <w:rFonts w:asciiTheme="minorHAnsi" w:hAnsiTheme="minorHAnsi"/>
          <w:sz w:val="16"/>
          <w:szCs w:val="16"/>
        </w:rPr>
      </w:pPr>
      <w:r w:rsidRPr="00EE4904">
        <w:rPr>
          <w:rStyle w:val="FootnoteReference"/>
          <w:rFonts w:asciiTheme="minorHAnsi" w:eastAsiaTheme="majorEastAsia" w:hAnsiTheme="minorHAnsi"/>
          <w:sz w:val="16"/>
          <w:szCs w:val="16"/>
        </w:rPr>
        <w:footnoteRef/>
      </w:r>
      <w:r w:rsidRPr="00EE4904">
        <w:rPr>
          <w:rFonts w:asciiTheme="minorHAnsi" w:hAnsiTheme="minorHAnsi"/>
          <w:sz w:val="16"/>
          <w:szCs w:val="16"/>
        </w:rPr>
        <w:t xml:space="preserve"> </w:t>
      </w:r>
      <w:hyperlink r:id="rId6" w:history="1">
        <w:r w:rsidRPr="00EE4904">
          <w:rPr>
            <w:rStyle w:val="Hyperlink"/>
            <w:rFonts w:asciiTheme="minorHAnsi" w:eastAsiaTheme="majorEastAsia" w:hAnsiTheme="minorHAnsi"/>
            <w:sz w:val="16"/>
            <w:szCs w:val="16"/>
          </w:rPr>
          <w:t>http://www.learningdisabilities.org.uk/help-information/Learning-Disability-Statistics-/187693/</w:t>
        </w:r>
      </w:hyperlink>
    </w:p>
  </w:footnote>
  <w:footnote w:id="28">
    <w:p w:rsidR="00890277" w:rsidRPr="00EE4904" w:rsidRDefault="00890277">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R</w:t>
      </w:r>
      <w:r w:rsidRPr="00EE4904">
        <w:rPr>
          <w:rFonts w:asciiTheme="minorHAnsi" w:hAnsiTheme="minorHAnsi" w:cs="Arial"/>
          <w:bCs/>
          <w:color w:val="252525"/>
          <w:sz w:val="16"/>
          <w:szCs w:val="16"/>
          <w:shd w:val="clear" w:color="auto" w:fill="FFFFFF"/>
        </w:rPr>
        <w:t xml:space="preserve">eal term values or ‘real values’ are </w:t>
      </w:r>
      <w:proofErr w:type="spellStart"/>
      <w:r w:rsidRPr="00EE4904">
        <w:rPr>
          <w:rFonts w:asciiTheme="minorHAnsi" w:hAnsiTheme="minorHAnsi" w:cs="Arial"/>
          <w:bCs/>
          <w:color w:val="252525"/>
          <w:sz w:val="16"/>
          <w:szCs w:val="16"/>
          <w:shd w:val="clear" w:color="auto" w:fill="FFFFFF"/>
        </w:rPr>
        <w:t>dereived</w:t>
      </w:r>
      <w:proofErr w:type="spellEnd"/>
      <w:r w:rsidRPr="00EE4904">
        <w:rPr>
          <w:rFonts w:asciiTheme="minorHAnsi" w:hAnsiTheme="minorHAnsi" w:cs="Arial"/>
          <w:bCs/>
          <w:color w:val="252525"/>
          <w:sz w:val="16"/>
          <w:szCs w:val="16"/>
          <w:shd w:val="clear" w:color="auto" w:fill="FFFFFF"/>
        </w:rPr>
        <w:t xml:space="preserve"> by adjusting the actual or ‘nominal value’ by inflation, to take into account the changing value of money </w:t>
      </w:r>
      <w:proofErr w:type="spellStart"/>
      <w:r w:rsidRPr="00EE4904">
        <w:rPr>
          <w:rFonts w:asciiTheme="minorHAnsi" w:hAnsiTheme="minorHAnsi" w:cs="Arial"/>
          <w:bCs/>
          <w:color w:val="252525"/>
          <w:sz w:val="16"/>
          <w:szCs w:val="16"/>
          <w:shd w:val="clear" w:color="auto" w:fill="FFFFFF"/>
        </w:rPr>
        <w:t>ovetime</w:t>
      </w:r>
      <w:proofErr w:type="spellEnd"/>
      <w:r w:rsidRPr="00EE4904">
        <w:rPr>
          <w:rFonts w:asciiTheme="minorHAnsi" w:hAnsiTheme="minorHAnsi" w:cs="Arial"/>
          <w:bCs/>
          <w:color w:val="252525"/>
          <w:sz w:val="16"/>
          <w:szCs w:val="16"/>
          <w:shd w:val="clear" w:color="auto" w:fill="FFFFFF"/>
        </w:rPr>
        <w:t xml:space="preserve">.   </w:t>
      </w:r>
    </w:p>
  </w:footnote>
  <w:footnote w:id="29">
    <w:p w:rsidR="00890277" w:rsidRPr="00EE4904" w:rsidRDefault="00890277" w:rsidP="000C02C2">
      <w:pPr>
        <w:pStyle w:val="FootnoteText"/>
        <w:jc w:val="both"/>
        <w:rPr>
          <w:rFonts w:asciiTheme="minorHAnsi" w:hAnsiTheme="minorHAnsi"/>
          <w:sz w:val="16"/>
          <w:szCs w:val="16"/>
        </w:rPr>
      </w:pPr>
      <w:r w:rsidRPr="00EE4904">
        <w:rPr>
          <w:rStyle w:val="FootnoteReference"/>
          <w:rFonts w:asciiTheme="minorHAnsi" w:eastAsiaTheme="majorEastAsia" w:hAnsiTheme="minorHAnsi"/>
          <w:sz w:val="16"/>
          <w:szCs w:val="16"/>
        </w:rPr>
        <w:footnoteRef/>
      </w:r>
      <w:r w:rsidRPr="00EE4904">
        <w:rPr>
          <w:rFonts w:asciiTheme="minorHAnsi" w:hAnsiTheme="minorHAnsi"/>
          <w:sz w:val="16"/>
          <w:szCs w:val="16"/>
        </w:rPr>
        <w:t xml:space="preserve"> All analyses in this chapter are based on CAMEO </w:t>
      </w:r>
      <w:proofErr w:type="spellStart"/>
      <w:r w:rsidRPr="00EE4904">
        <w:rPr>
          <w:rFonts w:asciiTheme="minorHAnsi" w:hAnsiTheme="minorHAnsi"/>
          <w:sz w:val="16"/>
          <w:szCs w:val="16"/>
        </w:rPr>
        <w:t>CallCredit</w:t>
      </w:r>
      <w:proofErr w:type="spellEnd"/>
      <w:r w:rsidRPr="00EE4904">
        <w:rPr>
          <w:rFonts w:asciiTheme="minorHAnsi" w:hAnsiTheme="minorHAnsi"/>
          <w:sz w:val="16"/>
          <w:szCs w:val="16"/>
        </w:rPr>
        <w:t xml:space="preserve"> data (February, 2015), which comprises individual-level and household-level information about 235,529 Barnet residents aged 16+.</w:t>
      </w:r>
    </w:p>
  </w:footnote>
  <w:footnote w:id="30">
    <w:p w:rsidR="00890277" w:rsidRPr="00EE4904" w:rsidRDefault="00890277">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Due to rounding, percentages may not total 100%</w:t>
      </w:r>
    </w:p>
  </w:footnote>
  <w:footnote w:id="31">
    <w:p w:rsidR="00890277" w:rsidRPr="00EE4904" w:rsidRDefault="00890277" w:rsidP="000C02C2">
      <w:pPr>
        <w:pStyle w:val="FootnoteText"/>
        <w:rPr>
          <w:rFonts w:asciiTheme="minorHAnsi" w:hAnsiTheme="minorHAnsi"/>
          <w:sz w:val="16"/>
          <w:szCs w:val="16"/>
        </w:rPr>
      </w:pPr>
      <w:r w:rsidRPr="00EE4904">
        <w:rPr>
          <w:rStyle w:val="FootnoteReference"/>
          <w:rFonts w:asciiTheme="minorHAnsi" w:eastAsiaTheme="majorEastAsia" w:hAnsiTheme="minorHAnsi"/>
          <w:sz w:val="16"/>
          <w:szCs w:val="16"/>
        </w:rPr>
        <w:footnoteRef/>
      </w:r>
      <w:r w:rsidRPr="00EE4904">
        <w:rPr>
          <w:rFonts w:asciiTheme="minorHAnsi" w:hAnsiTheme="minorHAnsi"/>
          <w:sz w:val="16"/>
          <w:szCs w:val="16"/>
        </w:rPr>
        <w:t xml:space="preserve"> Local authorities with similar characteristics used for benchmarking and comparing performance.</w:t>
      </w:r>
    </w:p>
  </w:footnote>
  <w:footnote w:id="32">
    <w:p w:rsidR="00890277" w:rsidRPr="00EE4904" w:rsidRDefault="00890277">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w:t>
      </w:r>
      <w:proofErr w:type="gramStart"/>
      <w:r w:rsidRPr="00EE4904">
        <w:rPr>
          <w:rFonts w:asciiTheme="minorHAnsi" w:hAnsiTheme="minorHAnsi"/>
          <w:sz w:val="16"/>
          <w:szCs w:val="16"/>
        </w:rPr>
        <w:t>Public Health England.</w:t>
      </w:r>
      <w:proofErr w:type="gramEnd"/>
      <w:r w:rsidRPr="00EE4904">
        <w:rPr>
          <w:rFonts w:asciiTheme="minorHAnsi" w:hAnsiTheme="minorHAnsi"/>
          <w:sz w:val="16"/>
          <w:szCs w:val="16"/>
        </w:rPr>
        <w:t xml:space="preserve"> </w:t>
      </w:r>
      <w:hyperlink r:id="rId7" w:history="1">
        <w:r w:rsidRPr="00EE4904">
          <w:rPr>
            <w:rStyle w:val="Hyperlink"/>
            <w:rFonts w:asciiTheme="minorHAnsi" w:hAnsiTheme="minorHAnsi"/>
            <w:sz w:val="16"/>
            <w:szCs w:val="16"/>
          </w:rPr>
          <w:t>Segment Tool 2015</w:t>
        </w:r>
      </w:hyperlink>
    </w:p>
  </w:footnote>
  <w:footnote w:id="33">
    <w:p w:rsidR="00890277" w:rsidRPr="00EE4904" w:rsidRDefault="00890277" w:rsidP="00E57656">
      <w:pPr>
        <w:pStyle w:val="FootnoteText"/>
        <w:rPr>
          <w:rFonts w:asciiTheme="minorHAnsi" w:hAnsiTheme="minorHAnsi"/>
          <w:sz w:val="16"/>
          <w:szCs w:val="16"/>
        </w:rPr>
      </w:pPr>
      <w:r w:rsidRPr="00EE4904">
        <w:rPr>
          <w:rStyle w:val="FootnoteReference"/>
          <w:rFonts w:asciiTheme="minorHAnsi" w:hAnsiTheme="minorHAnsi"/>
          <w:sz w:val="16"/>
          <w:szCs w:val="16"/>
        </w:rPr>
        <w:footnoteRef/>
      </w:r>
      <w:proofErr w:type="gramStart"/>
      <w:r w:rsidRPr="00EE4904">
        <w:rPr>
          <w:rFonts w:asciiTheme="minorHAnsi" w:hAnsiTheme="minorHAnsi"/>
          <w:sz w:val="16"/>
          <w:szCs w:val="16"/>
        </w:rPr>
        <w:t>Public Health England.</w:t>
      </w:r>
      <w:proofErr w:type="gramEnd"/>
      <w:r w:rsidRPr="00EE4904">
        <w:rPr>
          <w:rFonts w:asciiTheme="minorHAnsi" w:hAnsiTheme="minorHAnsi"/>
          <w:sz w:val="16"/>
          <w:szCs w:val="16"/>
        </w:rPr>
        <w:t xml:space="preserve"> </w:t>
      </w:r>
      <w:proofErr w:type="gramStart"/>
      <w:r w:rsidRPr="00EE4904">
        <w:rPr>
          <w:rFonts w:asciiTheme="minorHAnsi" w:hAnsiTheme="minorHAnsi"/>
          <w:sz w:val="16"/>
          <w:szCs w:val="16"/>
        </w:rPr>
        <w:t>Barnet indicators.</w:t>
      </w:r>
      <w:proofErr w:type="gramEnd"/>
      <w:r w:rsidRPr="00EE4904">
        <w:rPr>
          <w:rFonts w:asciiTheme="minorHAnsi" w:hAnsiTheme="minorHAnsi"/>
          <w:sz w:val="16"/>
          <w:szCs w:val="16"/>
        </w:rPr>
        <w:t xml:space="preserve"> </w:t>
      </w:r>
      <w:proofErr w:type="gramStart"/>
      <w:r w:rsidRPr="00EE4904">
        <w:rPr>
          <w:rFonts w:asciiTheme="minorHAnsi" w:hAnsiTheme="minorHAnsi"/>
          <w:sz w:val="16"/>
          <w:szCs w:val="16"/>
        </w:rPr>
        <w:t>Public Health Outcomes Framework.</w:t>
      </w:r>
      <w:proofErr w:type="gramEnd"/>
      <w:r w:rsidRPr="00EE4904">
        <w:rPr>
          <w:rFonts w:asciiTheme="minorHAnsi" w:hAnsiTheme="minorHAnsi"/>
          <w:sz w:val="16"/>
          <w:szCs w:val="16"/>
        </w:rPr>
        <w:t xml:space="preserve"> 3 February 2015 </w:t>
      </w:r>
      <w:hyperlink r:id="rId8" w:history="1">
        <w:r w:rsidRPr="00EE4904">
          <w:rPr>
            <w:rStyle w:val="Hyperlink"/>
            <w:rFonts w:asciiTheme="minorHAnsi" w:hAnsiTheme="minorHAnsi"/>
            <w:sz w:val="16"/>
            <w:szCs w:val="16"/>
          </w:rPr>
          <w:t>http://www.nepho.org.uk/pdfs/public-health-outcomes-framework/E09000003.pdf</w:t>
        </w:r>
      </w:hyperlink>
      <w:r w:rsidRPr="00EE4904">
        <w:rPr>
          <w:rFonts w:asciiTheme="minorHAnsi" w:hAnsiTheme="minorHAnsi"/>
          <w:sz w:val="16"/>
          <w:szCs w:val="16"/>
        </w:rPr>
        <w:t xml:space="preserve"> </w:t>
      </w:r>
    </w:p>
  </w:footnote>
  <w:footnote w:id="34">
    <w:p w:rsidR="00890277" w:rsidRPr="00EE4904" w:rsidRDefault="00890277" w:rsidP="00E57656">
      <w:pPr>
        <w:pStyle w:val="NormalWeb"/>
        <w:shd w:val="clear" w:color="auto" w:fill="FFFFFF"/>
        <w:spacing w:before="0" w:beforeAutospacing="0" w:after="0" w:afterAutospacing="0"/>
        <w:textAlignment w:val="baseline"/>
        <w:rPr>
          <w:rFonts w:asciiTheme="minorHAnsi" w:hAnsiTheme="minorHAnsi"/>
          <w:color w:val="191919"/>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w:t>
      </w:r>
      <w:r w:rsidRPr="00EE4904">
        <w:rPr>
          <w:rFonts w:asciiTheme="minorHAnsi" w:hAnsiTheme="minorHAnsi"/>
          <w:color w:val="191919"/>
          <w:sz w:val="16"/>
          <w:szCs w:val="16"/>
        </w:rPr>
        <w:t>Excess mortality is the number of deaths, or</w:t>
      </w:r>
      <w:r w:rsidRPr="00EE4904">
        <w:rPr>
          <w:rStyle w:val="apple-converted-space"/>
          <w:rFonts w:asciiTheme="minorHAnsi" w:hAnsiTheme="minorHAnsi"/>
          <w:color w:val="191919"/>
          <w:sz w:val="16"/>
          <w:szCs w:val="16"/>
        </w:rPr>
        <w:t> </w:t>
      </w:r>
      <w:hyperlink r:id="rId9" w:history="1">
        <w:r w:rsidRPr="00EE4904">
          <w:rPr>
            <w:rFonts w:asciiTheme="minorHAnsi" w:hAnsiTheme="minorHAnsi"/>
            <w:color w:val="191919"/>
            <w:sz w:val="16"/>
            <w:szCs w:val="16"/>
          </w:rPr>
          <w:t>mortality</w:t>
        </w:r>
      </w:hyperlink>
      <w:r w:rsidRPr="00EE4904">
        <w:rPr>
          <w:rFonts w:asciiTheme="minorHAnsi" w:hAnsiTheme="minorHAnsi"/>
          <w:color w:val="191919"/>
          <w:sz w:val="16"/>
          <w:szCs w:val="16"/>
        </w:rPr>
        <w:t>, caused by a specific disease or condition. It's a measure of the deaths which occurred over and above those that would be predicted (in the absence of that negative defined circumstance) for a given population.</w:t>
      </w:r>
    </w:p>
    <w:p w:rsidR="00890277" w:rsidRPr="00EE4904" w:rsidRDefault="00890277" w:rsidP="00E57656">
      <w:pPr>
        <w:pStyle w:val="FootnoteText"/>
        <w:rPr>
          <w:rFonts w:asciiTheme="minorHAnsi" w:hAnsiTheme="minorHAnsi"/>
          <w:sz w:val="16"/>
          <w:szCs w:val="16"/>
        </w:rPr>
      </w:pPr>
    </w:p>
  </w:footnote>
  <w:footnote w:id="35">
    <w:p w:rsidR="00890277" w:rsidRPr="00EE4904" w:rsidRDefault="00890277" w:rsidP="00E57656">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w:t>
      </w:r>
      <w:proofErr w:type="gramStart"/>
      <w:r w:rsidRPr="00EE4904">
        <w:rPr>
          <w:rFonts w:asciiTheme="minorHAnsi" w:hAnsiTheme="minorHAnsi"/>
          <w:sz w:val="16"/>
          <w:szCs w:val="16"/>
        </w:rPr>
        <w:t>Public Health England.</w:t>
      </w:r>
      <w:proofErr w:type="gramEnd"/>
      <w:r w:rsidRPr="00EE4904">
        <w:rPr>
          <w:rFonts w:asciiTheme="minorHAnsi" w:hAnsiTheme="minorHAnsi"/>
          <w:sz w:val="16"/>
          <w:szCs w:val="16"/>
        </w:rPr>
        <w:t xml:space="preserve"> </w:t>
      </w:r>
      <w:hyperlink r:id="rId10" w:history="1">
        <w:r w:rsidRPr="00EE4904">
          <w:rPr>
            <w:rStyle w:val="Hyperlink"/>
            <w:rFonts w:asciiTheme="minorHAnsi" w:hAnsiTheme="minorHAnsi"/>
            <w:sz w:val="16"/>
            <w:szCs w:val="16"/>
          </w:rPr>
          <w:t>Healthier Lives: Premature mortality</w:t>
        </w:r>
      </w:hyperlink>
      <w:r w:rsidRPr="00EE4904">
        <w:rPr>
          <w:rFonts w:asciiTheme="minorHAnsi" w:hAnsiTheme="minorHAnsi"/>
          <w:sz w:val="16"/>
          <w:szCs w:val="16"/>
        </w:rPr>
        <w:t>.</w:t>
      </w:r>
    </w:p>
  </w:footnote>
  <w:footnote w:id="36">
    <w:p w:rsidR="00890277" w:rsidRPr="00EE4904" w:rsidRDefault="00890277" w:rsidP="00E57656">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vertAlign w:val="superscript"/>
        </w:rPr>
        <w:t xml:space="preserve"> </w:t>
      </w:r>
      <w:r w:rsidRPr="00EE4904">
        <w:rPr>
          <w:rFonts w:asciiTheme="minorHAnsi" w:hAnsiTheme="minorHAnsi"/>
          <w:sz w:val="16"/>
          <w:szCs w:val="16"/>
        </w:rPr>
        <w:t xml:space="preserve">World Health Organisation (2011) </w:t>
      </w:r>
      <w:hyperlink r:id="rId11" w:history="1">
        <w:r w:rsidRPr="00EE4904">
          <w:rPr>
            <w:rStyle w:val="Hyperlink"/>
            <w:rFonts w:asciiTheme="minorHAnsi" w:hAnsiTheme="minorHAnsi"/>
            <w:sz w:val="16"/>
            <w:szCs w:val="16"/>
          </w:rPr>
          <w:t>Global Atlas on cardiovascular disease prevention and control</w:t>
        </w:r>
      </w:hyperlink>
      <w:r w:rsidRPr="00EE4904">
        <w:rPr>
          <w:rFonts w:asciiTheme="minorHAnsi" w:hAnsiTheme="minorHAnsi"/>
          <w:sz w:val="16"/>
          <w:szCs w:val="16"/>
        </w:rPr>
        <w:t xml:space="preserve">, Geneva. </w:t>
      </w:r>
    </w:p>
  </w:footnote>
  <w:footnote w:id="37">
    <w:p w:rsidR="00890277" w:rsidRPr="00EE4904" w:rsidRDefault="00890277" w:rsidP="00E57656">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vertAlign w:val="superscript"/>
        </w:rPr>
        <w:t xml:space="preserve"> </w:t>
      </w:r>
      <w:proofErr w:type="gramStart"/>
      <w:r w:rsidRPr="00EE4904">
        <w:rPr>
          <w:rFonts w:asciiTheme="minorHAnsi" w:hAnsiTheme="minorHAnsi"/>
          <w:sz w:val="16"/>
          <w:szCs w:val="16"/>
        </w:rPr>
        <w:t xml:space="preserve">World Health Organisation (2015) Cardiovascular diseases (CVDs), </w:t>
      </w:r>
      <w:hyperlink r:id="rId12" w:history="1">
        <w:r w:rsidRPr="00EE4904">
          <w:rPr>
            <w:rStyle w:val="Hyperlink"/>
            <w:rFonts w:asciiTheme="minorHAnsi" w:hAnsiTheme="minorHAnsi"/>
            <w:sz w:val="16"/>
            <w:szCs w:val="16"/>
          </w:rPr>
          <w:t>Fact sheet N°317</w:t>
        </w:r>
      </w:hyperlink>
      <w:r w:rsidRPr="00EE4904">
        <w:rPr>
          <w:rFonts w:asciiTheme="minorHAnsi" w:hAnsiTheme="minorHAnsi"/>
          <w:sz w:val="16"/>
          <w:szCs w:val="16"/>
        </w:rPr>
        <w:t xml:space="preserve"> (Updated January 2015), Geneva.</w:t>
      </w:r>
      <w:proofErr w:type="gramEnd"/>
      <w:r w:rsidRPr="00EE4904">
        <w:rPr>
          <w:rFonts w:asciiTheme="minorHAnsi" w:hAnsiTheme="minorHAnsi"/>
          <w:sz w:val="16"/>
          <w:szCs w:val="16"/>
        </w:rPr>
        <w:t xml:space="preserve"> </w:t>
      </w:r>
    </w:p>
  </w:footnote>
  <w:footnote w:id="38">
    <w:p w:rsidR="00890277" w:rsidRPr="00EE4904" w:rsidRDefault="00890277" w:rsidP="00E57656">
      <w:pPr>
        <w:spacing w:after="0" w:line="240" w:lineRule="auto"/>
        <w:rPr>
          <w:rFonts w:eastAsia="Times New Roman" w:cs="Times New Roman"/>
          <w:sz w:val="16"/>
          <w:szCs w:val="16"/>
        </w:rPr>
      </w:pPr>
      <w:r w:rsidRPr="00EE4904">
        <w:rPr>
          <w:rStyle w:val="FootnoteReference"/>
          <w:sz w:val="16"/>
          <w:szCs w:val="16"/>
        </w:rPr>
        <w:footnoteRef/>
      </w:r>
      <w:r w:rsidRPr="00EE4904">
        <w:rPr>
          <w:sz w:val="16"/>
          <w:szCs w:val="16"/>
        </w:rPr>
        <w:t xml:space="preserve"> </w:t>
      </w:r>
      <w:proofErr w:type="gramStart"/>
      <w:r w:rsidRPr="00EE4904">
        <w:rPr>
          <w:sz w:val="16"/>
          <w:szCs w:val="16"/>
        </w:rPr>
        <w:t>NHS Choices.</w:t>
      </w:r>
      <w:proofErr w:type="gramEnd"/>
      <w:r w:rsidRPr="00EE4904">
        <w:rPr>
          <w:sz w:val="16"/>
          <w:szCs w:val="16"/>
        </w:rPr>
        <w:t xml:space="preserve"> </w:t>
      </w:r>
      <w:hyperlink r:id="rId13" w:history="1">
        <w:r w:rsidRPr="00EE4904">
          <w:rPr>
            <w:rStyle w:val="Hyperlink"/>
            <w:sz w:val="16"/>
            <w:szCs w:val="16"/>
          </w:rPr>
          <w:t>Cardiovascular disease</w:t>
        </w:r>
      </w:hyperlink>
      <w:r w:rsidRPr="00EE4904">
        <w:rPr>
          <w:sz w:val="16"/>
          <w:szCs w:val="16"/>
        </w:rPr>
        <w:t xml:space="preserve"> (</w:t>
      </w:r>
      <w:r w:rsidRPr="00EE4904">
        <w:rPr>
          <w:rFonts w:eastAsia="Times New Roman" w:cs="Times New Roman"/>
          <w:sz w:val="16"/>
          <w:szCs w:val="16"/>
        </w:rPr>
        <w:t>Page last reviewed: 15/09/2014)</w:t>
      </w:r>
    </w:p>
  </w:footnote>
  <w:footnote w:id="39">
    <w:p w:rsidR="00890277" w:rsidRPr="00EE4904" w:rsidRDefault="00890277" w:rsidP="00E57656">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w:t>
      </w:r>
      <w:proofErr w:type="gramStart"/>
      <w:r w:rsidRPr="00EE4904">
        <w:rPr>
          <w:rFonts w:asciiTheme="minorHAnsi" w:hAnsiTheme="minorHAnsi"/>
          <w:sz w:val="16"/>
          <w:szCs w:val="16"/>
        </w:rPr>
        <w:t>British Heart Foundation.</w:t>
      </w:r>
      <w:proofErr w:type="gramEnd"/>
      <w:r w:rsidRPr="00EE4904">
        <w:rPr>
          <w:rFonts w:asciiTheme="minorHAnsi" w:hAnsiTheme="minorHAnsi"/>
          <w:sz w:val="16"/>
          <w:szCs w:val="16"/>
        </w:rPr>
        <w:t xml:space="preserve"> </w:t>
      </w:r>
      <w:hyperlink r:id="rId14" w:history="1">
        <w:r w:rsidRPr="00EE4904">
          <w:rPr>
            <w:rStyle w:val="Hyperlink"/>
            <w:rFonts w:asciiTheme="minorHAnsi" w:hAnsiTheme="minorHAnsi"/>
            <w:sz w:val="16"/>
            <w:szCs w:val="16"/>
          </w:rPr>
          <w:t>Cardiovascular Disease Statistics Factsheet</w:t>
        </w:r>
      </w:hyperlink>
      <w:r w:rsidRPr="00EE4904">
        <w:rPr>
          <w:rFonts w:asciiTheme="minorHAnsi" w:hAnsiTheme="minorHAnsi"/>
          <w:sz w:val="16"/>
          <w:szCs w:val="16"/>
        </w:rPr>
        <w:t xml:space="preserve"> (Last reviewed and updated: 13/02/2015) </w:t>
      </w:r>
    </w:p>
  </w:footnote>
  <w:footnote w:id="40">
    <w:p w:rsidR="00890277" w:rsidRPr="00EE4904" w:rsidRDefault="00890277" w:rsidP="00E57656">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vertAlign w:val="superscript"/>
        </w:rPr>
        <w:t xml:space="preserve"> </w:t>
      </w:r>
      <w:proofErr w:type="gramStart"/>
      <w:r w:rsidRPr="00EE4904">
        <w:rPr>
          <w:rFonts w:asciiTheme="minorHAnsi" w:hAnsiTheme="minorHAnsi"/>
          <w:sz w:val="16"/>
          <w:szCs w:val="16"/>
        </w:rPr>
        <w:t xml:space="preserve">World Health Organisation (2014) </w:t>
      </w:r>
      <w:hyperlink r:id="rId15" w:history="1">
        <w:r w:rsidRPr="00EE4904">
          <w:rPr>
            <w:rStyle w:val="Hyperlink"/>
            <w:rFonts w:asciiTheme="minorHAnsi" w:hAnsiTheme="minorHAnsi"/>
            <w:sz w:val="16"/>
            <w:szCs w:val="16"/>
          </w:rPr>
          <w:t xml:space="preserve">Global status report on </w:t>
        </w:r>
        <w:proofErr w:type="spellStart"/>
        <w:r w:rsidRPr="00EE4904">
          <w:rPr>
            <w:rStyle w:val="Hyperlink"/>
            <w:rFonts w:asciiTheme="minorHAnsi" w:hAnsiTheme="minorHAnsi"/>
            <w:sz w:val="16"/>
            <w:szCs w:val="16"/>
          </w:rPr>
          <w:t>noncommunicable</w:t>
        </w:r>
        <w:proofErr w:type="spellEnd"/>
        <w:r w:rsidRPr="00EE4904">
          <w:rPr>
            <w:rStyle w:val="Hyperlink"/>
            <w:rFonts w:asciiTheme="minorHAnsi" w:hAnsiTheme="minorHAnsi"/>
            <w:sz w:val="16"/>
            <w:szCs w:val="16"/>
          </w:rPr>
          <w:t xml:space="preserve"> diseases 2014</w:t>
        </w:r>
      </w:hyperlink>
      <w:r w:rsidRPr="00EE4904">
        <w:rPr>
          <w:rFonts w:asciiTheme="minorHAnsi" w:hAnsiTheme="minorHAnsi"/>
          <w:sz w:val="16"/>
          <w:szCs w:val="16"/>
        </w:rPr>
        <w:t>.</w:t>
      </w:r>
      <w:proofErr w:type="gramEnd"/>
      <w:r w:rsidRPr="00EE4904">
        <w:rPr>
          <w:rFonts w:asciiTheme="minorHAnsi" w:hAnsiTheme="minorHAnsi"/>
          <w:sz w:val="16"/>
          <w:szCs w:val="16"/>
        </w:rPr>
        <w:t xml:space="preserve"> Geneva. </w:t>
      </w:r>
    </w:p>
  </w:footnote>
  <w:footnote w:id="41">
    <w:p w:rsidR="00890277" w:rsidRPr="00EE4904" w:rsidRDefault="00890277" w:rsidP="00E57656">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w:t>
      </w:r>
      <w:hyperlink r:id="rId16" w:history="1">
        <w:r w:rsidRPr="00EE4904">
          <w:rPr>
            <w:rStyle w:val="Hyperlink"/>
            <w:rFonts w:asciiTheme="minorHAnsi" w:hAnsiTheme="minorHAnsi"/>
            <w:sz w:val="16"/>
            <w:szCs w:val="16"/>
          </w:rPr>
          <w:t>http://www.yhpho.org.uk/ncvincvd/pdfs/Heart/07M_Heart.pdf</w:t>
        </w:r>
      </w:hyperlink>
      <w:r w:rsidRPr="00EE4904">
        <w:rPr>
          <w:rFonts w:asciiTheme="minorHAnsi" w:hAnsiTheme="minorHAnsi"/>
          <w:sz w:val="16"/>
          <w:szCs w:val="16"/>
        </w:rPr>
        <w:t xml:space="preserve"> </w:t>
      </w:r>
    </w:p>
  </w:footnote>
  <w:footnote w:id="42">
    <w:p w:rsidR="00890277" w:rsidRPr="00EE4904" w:rsidRDefault="00890277" w:rsidP="00E57656">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w:t>
      </w:r>
      <w:hyperlink r:id="rId17" w:history="1">
        <w:r w:rsidRPr="00EE4904">
          <w:rPr>
            <w:rStyle w:val="Hyperlink"/>
            <w:rFonts w:asciiTheme="minorHAnsi" w:hAnsiTheme="minorHAnsi"/>
            <w:sz w:val="16"/>
            <w:szCs w:val="16"/>
          </w:rPr>
          <w:t>http://www.yhpho.org.uk/ncvincvd/pdfs/stroke/07M_Stroke.pdf</w:t>
        </w:r>
      </w:hyperlink>
      <w:r w:rsidRPr="00EE4904">
        <w:rPr>
          <w:rFonts w:asciiTheme="minorHAnsi" w:hAnsiTheme="minorHAnsi"/>
          <w:sz w:val="16"/>
          <w:szCs w:val="16"/>
        </w:rPr>
        <w:t xml:space="preserve"> </w:t>
      </w:r>
    </w:p>
  </w:footnote>
  <w:footnote w:id="43">
    <w:p w:rsidR="00890277" w:rsidRPr="00EE4904" w:rsidRDefault="00890277" w:rsidP="00E57656">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vertAlign w:val="superscript"/>
        </w:rPr>
        <w:t xml:space="preserve"> </w:t>
      </w:r>
      <w:hyperlink r:id="rId18" w:history="1">
        <w:r w:rsidRPr="00EE4904">
          <w:rPr>
            <w:rStyle w:val="Hyperlink"/>
            <w:rFonts w:asciiTheme="minorHAnsi" w:hAnsiTheme="minorHAnsi"/>
            <w:sz w:val="16"/>
            <w:szCs w:val="16"/>
          </w:rPr>
          <w:t>http://www.localhealth.org.uk/</w:t>
        </w:r>
      </w:hyperlink>
      <w:r w:rsidRPr="00EE4904">
        <w:rPr>
          <w:rFonts w:asciiTheme="minorHAnsi" w:hAnsiTheme="minorHAnsi"/>
          <w:sz w:val="16"/>
          <w:szCs w:val="16"/>
        </w:rPr>
        <w:t xml:space="preserve"> </w:t>
      </w:r>
    </w:p>
  </w:footnote>
  <w:footnote w:id="44">
    <w:p w:rsidR="00890277" w:rsidRPr="00EE4904" w:rsidRDefault="00890277" w:rsidP="00E57656">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w:t>
      </w:r>
      <w:proofErr w:type="gramStart"/>
      <w:r w:rsidRPr="00EE4904">
        <w:rPr>
          <w:rFonts w:asciiTheme="minorHAnsi" w:hAnsiTheme="minorHAnsi"/>
          <w:sz w:val="16"/>
          <w:szCs w:val="16"/>
        </w:rPr>
        <w:t>Public Health England.</w:t>
      </w:r>
      <w:proofErr w:type="gramEnd"/>
      <w:r w:rsidRPr="00EE4904">
        <w:rPr>
          <w:rFonts w:asciiTheme="minorHAnsi" w:hAnsiTheme="minorHAnsi"/>
          <w:sz w:val="16"/>
          <w:szCs w:val="16"/>
        </w:rPr>
        <w:t xml:space="preserve"> </w:t>
      </w:r>
      <w:hyperlink r:id="rId19" w:history="1">
        <w:r w:rsidRPr="00EE4904">
          <w:rPr>
            <w:rStyle w:val="Hyperlink"/>
            <w:rFonts w:asciiTheme="minorHAnsi" w:hAnsiTheme="minorHAnsi"/>
            <w:sz w:val="16"/>
            <w:szCs w:val="16"/>
          </w:rPr>
          <w:t>Cancer Mortality Profiles: Trends spreadsheet</w:t>
        </w:r>
      </w:hyperlink>
      <w:r w:rsidRPr="00EE4904">
        <w:rPr>
          <w:rFonts w:asciiTheme="minorHAnsi" w:hAnsiTheme="minorHAnsi"/>
          <w:sz w:val="16"/>
          <w:szCs w:val="16"/>
        </w:rPr>
        <w:t xml:space="preserve"> </w:t>
      </w:r>
    </w:p>
  </w:footnote>
  <w:footnote w:id="45">
    <w:p w:rsidR="00890277" w:rsidRPr="00EE4904" w:rsidRDefault="00890277" w:rsidP="00E57656">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w:t>
      </w:r>
      <w:hyperlink r:id="rId20" w:history="1">
        <w:r w:rsidRPr="00EE4904">
          <w:rPr>
            <w:rStyle w:val="Hyperlink"/>
            <w:rFonts w:asciiTheme="minorHAnsi" w:hAnsiTheme="minorHAnsi"/>
            <w:sz w:val="16"/>
            <w:szCs w:val="16"/>
          </w:rPr>
          <w:t>http://www.cancerresearchuk.org/cancer-info/cancerstats/local-cancer-statistics/</w:t>
        </w:r>
      </w:hyperlink>
      <w:r w:rsidRPr="00EE4904">
        <w:rPr>
          <w:rFonts w:asciiTheme="minorHAnsi" w:hAnsiTheme="minorHAnsi"/>
          <w:sz w:val="16"/>
          <w:szCs w:val="16"/>
        </w:rPr>
        <w:t xml:space="preserve"> </w:t>
      </w:r>
    </w:p>
  </w:footnote>
  <w:footnote w:id="46">
    <w:p w:rsidR="00890277" w:rsidRPr="00EE4904" w:rsidRDefault="00890277" w:rsidP="00E57656">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w:t>
      </w:r>
      <w:hyperlink r:id="rId21" w:history="1">
        <w:r w:rsidRPr="00EE4904">
          <w:rPr>
            <w:rStyle w:val="Hyperlink"/>
            <w:rFonts w:asciiTheme="minorHAnsi" w:hAnsiTheme="minorHAnsi"/>
            <w:sz w:val="16"/>
            <w:szCs w:val="16"/>
          </w:rPr>
          <w:t>http://www.swpho.nhs.uk/resource/item.aspx?RID=76243</w:t>
        </w:r>
      </w:hyperlink>
      <w:r w:rsidRPr="00EE4904">
        <w:rPr>
          <w:rFonts w:asciiTheme="minorHAnsi" w:hAnsiTheme="minorHAnsi"/>
          <w:sz w:val="16"/>
          <w:szCs w:val="16"/>
        </w:rPr>
        <w:t xml:space="preserve"> </w:t>
      </w:r>
    </w:p>
  </w:footnote>
  <w:footnote w:id="47">
    <w:p w:rsidR="00890277" w:rsidRPr="00EE4904" w:rsidRDefault="00890277" w:rsidP="00E57656">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w:t>
      </w:r>
      <w:proofErr w:type="gramStart"/>
      <w:r w:rsidRPr="00EE4904">
        <w:rPr>
          <w:rFonts w:asciiTheme="minorHAnsi" w:hAnsiTheme="minorHAnsi"/>
          <w:sz w:val="16"/>
          <w:szCs w:val="16"/>
        </w:rPr>
        <w:t>Office of National Statistics.</w:t>
      </w:r>
      <w:proofErr w:type="gramEnd"/>
      <w:r w:rsidRPr="00EE4904">
        <w:rPr>
          <w:rFonts w:asciiTheme="minorHAnsi" w:hAnsiTheme="minorHAnsi"/>
          <w:sz w:val="16"/>
          <w:szCs w:val="16"/>
        </w:rPr>
        <w:t xml:space="preserve"> </w:t>
      </w:r>
      <w:hyperlink r:id="rId22" w:history="1">
        <w:r w:rsidRPr="00EE4904">
          <w:rPr>
            <w:rStyle w:val="Hyperlink"/>
            <w:rFonts w:asciiTheme="minorHAnsi" w:hAnsiTheme="minorHAnsi"/>
            <w:color w:val="auto"/>
            <w:sz w:val="16"/>
            <w:szCs w:val="16"/>
            <w:u w:val="none"/>
          </w:rPr>
          <w:t>Table 2-4: Index of cancer survival for Clinical Commissioning Groups in England: Adults diagnosed 1997-2012 and followed up to 2013 (Excel sheet 443Kb)</w:t>
        </w:r>
      </w:hyperlink>
      <w:r w:rsidRPr="00EE4904">
        <w:rPr>
          <w:rStyle w:val="Hyperlink"/>
          <w:rFonts w:asciiTheme="minorHAnsi" w:hAnsiTheme="minorHAnsi"/>
          <w:color w:val="auto"/>
          <w:sz w:val="16"/>
          <w:szCs w:val="16"/>
          <w:u w:val="none"/>
        </w:rPr>
        <w:t xml:space="preserve"> </w:t>
      </w:r>
    </w:p>
  </w:footnote>
  <w:footnote w:id="48">
    <w:p w:rsidR="00890277" w:rsidRPr="00EE4904" w:rsidRDefault="00890277" w:rsidP="00E57656">
      <w:pPr>
        <w:pStyle w:val="FootnoteText"/>
        <w:rPr>
          <w:rFonts w:asciiTheme="minorHAnsi" w:hAnsiTheme="minorHAnsi"/>
          <w:sz w:val="16"/>
          <w:szCs w:val="16"/>
        </w:rPr>
      </w:pPr>
      <w:r w:rsidRPr="00EE4904">
        <w:rPr>
          <w:rStyle w:val="FootnoteReference"/>
          <w:rFonts w:asciiTheme="minorHAnsi" w:hAnsiTheme="minorHAnsi"/>
          <w:sz w:val="16"/>
          <w:szCs w:val="16"/>
        </w:rPr>
        <w:footnoteRef/>
      </w:r>
      <w:hyperlink r:id="rId23" w:history="1">
        <w:r w:rsidRPr="00EE4904">
          <w:rPr>
            <w:rStyle w:val="Hyperlink"/>
            <w:rFonts w:asciiTheme="minorHAnsi" w:hAnsiTheme="minorHAnsi"/>
            <w:sz w:val="16"/>
            <w:szCs w:val="16"/>
          </w:rPr>
          <w:t>http://www.ons.gov.uk/ons/datasets-and-tables/index.htmlhttp://www.ons.gov.uk/ons/datasets-and-tables/index.html?pageSize=50&amp;sortBy=none&amp;sortDirection=none&amp;newquery=Cancer+Incidence+and+Mortality&amp;content-type=Reference+table&amp;content-type=Dataset</w:t>
        </w:r>
      </w:hyperlink>
      <w:r w:rsidRPr="00EE4904">
        <w:rPr>
          <w:rFonts w:asciiTheme="minorHAnsi" w:hAnsiTheme="minorHAnsi"/>
          <w:sz w:val="16"/>
          <w:szCs w:val="16"/>
        </w:rPr>
        <w:t xml:space="preserve"> (Release date: 16 Dec, 2014).</w:t>
      </w:r>
    </w:p>
  </w:footnote>
  <w:footnote w:id="49">
    <w:p w:rsidR="00890277" w:rsidRPr="00EE4904" w:rsidRDefault="00890277" w:rsidP="00E57656">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w:t>
      </w:r>
      <w:hyperlink r:id="rId24" w:history="1">
        <w:r w:rsidRPr="00EE4904">
          <w:rPr>
            <w:rStyle w:val="Hyperlink"/>
            <w:rFonts w:asciiTheme="minorHAnsi" w:hAnsiTheme="minorHAnsi"/>
            <w:sz w:val="16"/>
            <w:szCs w:val="16"/>
          </w:rPr>
          <w:t>http://www.phoutcomes.info</w:t>
        </w:r>
      </w:hyperlink>
      <w:r w:rsidRPr="00EE4904">
        <w:rPr>
          <w:rFonts w:asciiTheme="minorHAnsi" w:hAnsiTheme="minorHAnsi"/>
          <w:sz w:val="16"/>
          <w:szCs w:val="16"/>
        </w:rPr>
        <w:t xml:space="preserve"> </w:t>
      </w:r>
    </w:p>
  </w:footnote>
  <w:footnote w:id="50">
    <w:p w:rsidR="00890277" w:rsidRPr="00EE4904" w:rsidRDefault="00890277" w:rsidP="00E57656">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Public Health England </w:t>
      </w:r>
      <w:hyperlink r:id="rId25" w:history="1">
        <w:r w:rsidRPr="00EE4904">
          <w:rPr>
            <w:rStyle w:val="Hyperlink"/>
            <w:rFonts w:asciiTheme="minorHAnsi" w:hAnsiTheme="minorHAnsi"/>
            <w:sz w:val="16"/>
            <w:szCs w:val="16"/>
          </w:rPr>
          <w:t>http://fingertips.phe.org.uk/</w:t>
        </w:r>
      </w:hyperlink>
      <w:r w:rsidRPr="00EE4904">
        <w:rPr>
          <w:rFonts w:asciiTheme="minorHAnsi" w:hAnsiTheme="minorHAnsi"/>
          <w:sz w:val="16"/>
          <w:szCs w:val="16"/>
        </w:rPr>
        <w:t xml:space="preserve"> </w:t>
      </w:r>
    </w:p>
  </w:footnote>
  <w:footnote w:id="51">
    <w:p w:rsidR="00890277" w:rsidRPr="00EE4904" w:rsidRDefault="00890277" w:rsidP="00E57656">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w:t>
      </w:r>
      <w:hyperlink r:id="rId26" w:history="1">
        <w:r w:rsidRPr="00EE4904">
          <w:rPr>
            <w:rStyle w:val="Hyperlink"/>
            <w:rFonts w:asciiTheme="minorHAnsi" w:hAnsiTheme="minorHAnsi"/>
            <w:sz w:val="16"/>
            <w:szCs w:val="16"/>
          </w:rPr>
          <w:t>http://www.nepho.org.uk/respiratory/index.php</w:t>
        </w:r>
      </w:hyperlink>
    </w:p>
  </w:footnote>
  <w:footnote w:id="52">
    <w:p w:rsidR="00890277" w:rsidRPr="00EE4904" w:rsidRDefault="00890277" w:rsidP="00E57656">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w:t>
      </w:r>
      <w:proofErr w:type="gramStart"/>
      <w:r w:rsidRPr="00EE4904">
        <w:rPr>
          <w:rFonts w:asciiTheme="minorHAnsi" w:hAnsiTheme="minorHAnsi"/>
          <w:sz w:val="16"/>
          <w:szCs w:val="16"/>
        </w:rPr>
        <w:t>HSCIC (2014).</w:t>
      </w:r>
      <w:proofErr w:type="gramEnd"/>
      <w:r w:rsidRPr="00EE4904">
        <w:rPr>
          <w:rFonts w:asciiTheme="minorHAnsi" w:hAnsiTheme="minorHAnsi"/>
          <w:sz w:val="16"/>
          <w:szCs w:val="16"/>
        </w:rPr>
        <w:t xml:space="preserve"> Quality and Outcomes Framework (QOF) - 2013-14 Date: 28 October 2014. </w:t>
      </w:r>
      <w:hyperlink r:id="rId27" w:history="1">
        <w:r w:rsidRPr="00EE4904">
          <w:rPr>
            <w:rStyle w:val="Hyperlink"/>
            <w:rFonts w:asciiTheme="minorHAnsi" w:hAnsiTheme="minorHAnsi"/>
            <w:sz w:val="16"/>
            <w:szCs w:val="16"/>
          </w:rPr>
          <w:t>http://www.hscic.gov.uk/catalogue/PUB15751</w:t>
        </w:r>
      </w:hyperlink>
      <w:r w:rsidRPr="00EE4904">
        <w:rPr>
          <w:rFonts w:asciiTheme="minorHAnsi" w:hAnsiTheme="minorHAnsi"/>
          <w:sz w:val="16"/>
          <w:szCs w:val="16"/>
        </w:rPr>
        <w:t xml:space="preserve"> </w:t>
      </w:r>
      <w:hyperlink r:id="rId28" w:history="1">
        <w:r w:rsidRPr="00EE4904">
          <w:rPr>
            <w:rStyle w:val="Hyperlink"/>
            <w:rFonts w:asciiTheme="minorHAnsi" w:hAnsiTheme="minorHAnsi"/>
            <w:sz w:val="16"/>
            <w:szCs w:val="16"/>
          </w:rPr>
          <w:t>http://www.hscic.gov.uk/catalogue/PUB15751/qof-1314-prev-ach-exc-ccg.xlsx</w:t>
        </w:r>
      </w:hyperlink>
      <w:r w:rsidRPr="00EE4904">
        <w:rPr>
          <w:rFonts w:asciiTheme="minorHAnsi" w:hAnsiTheme="minorHAnsi"/>
          <w:sz w:val="16"/>
          <w:szCs w:val="16"/>
        </w:rPr>
        <w:t xml:space="preserve"> </w:t>
      </w:r>
    </w:p>
  </w:footnote>
  <w:footnote w:id="53">
    <w:p w:rsidR="00890277" w:rsidRPr="00EE4904" w:rsidRDefault="00890277" w:rsidP="00E57656">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w:t>
      </w:r>
      <w:hyperlink r:id="rId29" w:history="1">
        <w:r w:rsidRPr="00EE4904">
          <w:rPr>
            <w:rStyle w:val="Hyperlink"/>
            <w:rFonts w:asciiTheme="minorHAnsi" w:hAnsiTheme="minorHAnsi"/>
            <w:sz w:val="16"/>
            <w:szCs w:val="16"/>
          </w:rPr>
          <w:t>http://fingertips.phe.org.uk/profile/general-practice/data</w:t>
        </w:r>
      </w:hyperlink>
      <w:r w:rsidRPr="00EE4904">
        <w:rPr>
          <w:rFonts w:asciiTheme="minorHAnsi" w:hAnsiTheme="minorHAnsi"/>
          <w:sz w:val="16"/>
          <w:szCs w:val="16"/>
        </w:rPr>
        <w:t xml:space="preserve"> </w:t>
      </w:r>
    </w:p>
  </w:footnote>
  <w:footnote w:id="54">
    <w:p w:rsidR="00890277" w:rsidRPr="00EE4904" w:rsidRDefault="00890277" w:rsidP="00E57656">
      <w:pPr>
        <w:spacing w:after="0" w:line="240" w:lineRule="auto"/>
        <w:rPr>
          <w:sz w:val="16"/>
          <w:szCs w:val="16"/>
        </w:rPr>
      </w:pPr>
      <w:r w:rsidRPr="00EE4904">
        <w:rPr>
          <w:rStyle w:val="FootnoteReference"/>
          <w:sz w:val="16"/>
          <w:szCs w:val="16"/>
        </w:rPr>
        <w:footnoteRef/>
      </w:r>
      <w:r w:rsidRPr="00EE4904">
        <w:rPr>
          <w:sz w:val="16"/>
          <w:szCs w:val="16"/>
        </w:rPr>
        <w:t xml:space="preserve"> </w:t>
      </w:r>
      <w:proofErr w:type="gramStart"/>
      <w:r w:rsidRPr="00EE4904">
        <w:rPr>
          <w:sz w:val="16"/>
          <w:szCs w:val="16"/>
        </w:rPr>
        <w:t>HSCIC.</w:t>
      </w:r>
      <w:proofErr w:type="gramEnd"/>
      <w:r w:rsidRPr="00EE4904">
        <w:rPr>
          <w:sz w:val="16"/>
          <w:szCs w:val="16"/>
        </w:rPr>
        <w:t xml:space="preserve"> </w:t>
      </w:r>
      <w:hyperlink r:id="rId30" w:tgtFrame="rightside" w:tooltip="Prevalence: chronic obstructive pulmonary disease confirmed by spirometry: percent, all ages, annual, P" w:history="1">
        <w:r w:rsidRPr="00EE4904">
          <w:rPr>
            <w:rStyle w:val="Hyperlink"/>
            <w:sz w:val="16"/>
            <w:szCs w:val="16"/>
            <w:lang w:val="en"/>
          </w:rPr>
          <w:t xml:space="preserve">Prevalence: chronic obstructive pulmonary disease confirmed by spirometry: percent, all ages, annual, </w:t>
        </w:r>
        <w:proofErr w:type="gramStart"/>
        <w:r w:rsidRPr="00EE4904">
          <w:rPr>
            <w:rStyle w:val="Hyperlink"/>
            <w:sz w:val="16"/>
            <w:szCs w:val="16"/>
            <w:lang w:val="en"/>
          </w:rPr>
          <w:t xml:space="preserve">P </w:t>
        </w:r>
      </w:hyperlink>
      <w:proofErr w:type="gramEnd"/>
      <w:r w:rsidRPr="00EE4904">
        <w:rPr>
          <w:sz w:val="16"/>
          <w:szCs w:val="16"/>
          <w:lang w:val="en"/>
        </w:rPr>
        <w:t xml:space="preserve"> ; </w:t>
      </w:r>
      <w:hyperlink r:id="rId31" w:tgtFrame="_new" w:history="1">
        <w:r w:rsidRPr="00EE4904">
          <w:rPr>
            <w:rStyle w:val="Hyperlink"/>
            <w:sz w:val="16"/>
            <w:szCs w:val="16"/>
            <w:lang w:val="en"/>
          </w:rPr>
          <w:t>Period 2013/14: Version 14: Data file 24D_635PC_14_D.xls</w:t>
        </w:r>
      </w:hyperlink>
      <w:r w:rsidRPr="00EE4904">
        <w:rPr>
          <w:sz w:val="16"/>
          <w:szCs w:val="16"/>
          <w:lang w:val="en"/>
        </w:rPr>
        <w:t xml:space="preserve">. Release date: </w:t>
      </w:r>
      <w:r w:rsidRPr="00EE4904">
        <w:rPr>
          <w:sz w:val="16"/>
          <w:szCs w:val="16"/>
        </w:rPr>
        <w:t>March 2015 [https://indicators.ic.nhs.uk/webview/]</w:t>
      </w:r>
    </w:p>
  </w:footnote>
  <w:footnote w:id="55">
    <w:p w:rsidR="00890277" w:rsidRPr="00EE4904" w:rsidRDefault="00890277" w:rsidP="00E57656">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w:t>
      </w:r>
      <w:proofErr w:type="spellStart"/>
      <w:r w:rsidRPr="00EE4904">
        <w:rPr>
          <w:rFonts w:asciiTheme="minorHAnsi" w:hAnsiTheme="minorHAnsi"/>
          <w:sz w:val="16"/>
          <w:szCs w:val="16"/>
        </w:rPr>
        <w:t>Wesseling</w:t>
      </w:r>
      <w:proofErr w:type="spellEnd"/>
      <w:r w:rsidRPr="00EE4904">
        <w:rPr>
          <w:rFonts w:asciiTheme="minorHAnsi" w:hAnsiTheme="minorHAnsi"/>
          <w:sz w:val="16"/>
          <w:szCs w:val="16"/>
        </w:rPr>
        <w:t xml:space="preserve">, G. (2007) </w:t>
      </w:r>
      <w:hyperlink r:id="rId32" w:history="1">
        <w:r w:rsidRPr="00EE4904">
          <w:rPr>
            <w:rStyle w:val="Hyperlink"/>
            <w:rFonts w:asciiTheme="minorHAnsi" w:hAnsiTheme="minorHAnsi"/>
            <w:sz w:val="16"/>
            <w:szCs w:val="16"/>
          </w:rPr>
          <w:t>Occasional review: Influenza in COPD: pathogenesis, prevention, and treatment</w:t>
        </w:r>
      </w:hyperlink>
      <w:r w:rsidRPr="00EE4904">
        <w:rPr>
          <w:rFonts w:asciiTheme="minorHAnsi" w:hAnsiTheme="minorHAnsi"/>
          <w:sz w:val="16"/>
          <w:szCs w:val="16"/>
        </w:rPr>
        <w:t xml:space="preserve">. </w:t>
      </w:r>
      <w:proofErr w:type="spellStart"/>
      <w:r w:rsidRPr="00EE4904">
        <w:rPr>
          <w:rFonts w:asciiTheme="minorHAnsi" w:hAnsiTheme="minorHAnsi"/>
          <w:sz w:val="16"/>
          <w:szCs w:val="16"/>
        </w:rPr>
        <w:t>Int</w:t>
      </w:r>
      <w:proofErr w:type="spellEnd"/>
      <w:r w:rsidRPr="00EE4904">
        <w:rPr>
          <w:rFonts w:asciiTheme="minorHAnsi" w:hAnsiTheme="minorHAnsi"/>
          <w:sz w:val="16"/>
          <w:szCs w:val="16"/>
        </w:rPr>
        <w:t xml:space="preserve"> J </w:t>
      </w:r>
      <w:proofErr w:type="spellStart"/>
      <w:r w:rsidRPr="00EE4904">
        <w:rPr>
          <w:rFonts w:asciiTheme="minorHAnsi" w:hAnsiTheme="minorHAnsi"/>
          <w:sz w:val="16"/>
          <w:szCs w:val="16"/>
        </w:rPr>
        <w:t>Chron</w:t>
      </w:r>
      <w:proofErr w:type="spellEnd"/>
      <w:r w:rsidRPr="00EE4904">
        <w:rPr>
          <w:rFonts w:asciiTheme="minorHAnsi" w:hAnsiTheme="minorHAnsi"/>
          <w:sz w:val="16"/>
          <w:szCs w:val="16"/>
        </w:rPr>
        <w:t xml:space="preserve"> Obstruct </w:t>
      </w:r>
      <w:proofErr w:type="spellStart"/>
      <w:r w:rsidRPr="00EE4904">
        <w:rPr>
          <w:rFonts w:asciiTheme="minorHAnsi" w:hAnsiTheme="minorHAnsi"/>
          <w:sz w:val="16"/>
          <w:szCs w:val="16"/>
        </w:rPr>
        <w:t>Pulmon</w:t>
      </w:r>
      <w:proofErr w:type="spellEnd"/>
      <w:r w:rsidRPr="00EE4904">
        <w:rPr>
          <w:rFonts w:asciiTheme="minorHAnsi" w:hAnsiTheme="minorHAnsi"/>
          <w:sz w:val="16"/>
          <w:szCs w:val="16"/>
        </w:rPr>
        <w:t xml:space="preserve"> Dis. 2(1): 5–10. </w:t>
      </w:r>
    </w:p>
  </w:footnote>
  <w:footnote w:id="56">
    <w:p w:rsidR="00890277" w:rsidRPr="00EE4904" w:rsidRDefault="00890277" w:rsidP="00E57656">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Department of Health (2011) </w:t>
      </w:r>
      <w:hyperlink r:id="rId33" w:history="1">
        <w:r w:rsidRPr="00EE4904">
          <w:rPr>
            <w:rStyle w:val="Hyperlink"/>
            <w:rFonts w:asciiTheme="minorHAnsi" w:hAnsiTheme="minorHAnsi"/>
            <w:sz w:val="16"/>
            <w:szCs w:val="16"/>
          </w:rPr>
          <w:t xml:space="preserve">No Health </w:t>
        </w:r>
        <w:proofErr w:type="gramStart"/>
        <w:r w:rsidRPr="00EE4904">
          <w:rPr>
            <w:rStyle w:val="Hyperlink"/>
            <w:rFonts w:asciiTheme="minorHAnsi" w:hAnsiTheme="minorHAnsi"/>
            <w:sz w:val="16"/>
            <w:szCs w:val="16"/>
          </w:rPr>
          <w:t>Without</w:t>
        </w:r>
        <w:proofErr w:type="gramEnd"/>
        <w:r w:rsidRPr="00EE4904">
          <w:rPr>
            <w:rStyle w:val="Hyperlink"/>
            <w:rFonts w:asciiTheme="minorHAnsi" w:hAnsiTheme="minorHAnsi"/>
            <w:sz w:val="16"/>
            <w:szCs w:val="16"/>
          </w:rPr>
          <w:t xml:space="preserve"> Mental Health: a cross-government mental health outcomes strategy for people of all ages</w:t>
        </w:r>
      </w:hyperlink>
      <w:r w:rsidRPr="00EE4904">
        <w:rPr>
          <w:rFonts w:asciiTheme="minorHAnsi" w:hAnsiTheme="minorHAnsi"/>
          <w:sz w:val="16"/>
          <w:szCs w:val="16"/>
        </w:rPr>
        <w:t xml:space="preserve">. London. </w:t>
      </w:r>
    </w:p>
  </w:footnote>
  <w:footnote w:id="57">
    <w:p w:rsidR="00890277" w:rsidRPr="00EE4904" w:rsidRDefault="00890277" w:rsidP="00E57656">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Public Health England (2014) Community Mental Health Profile data </w:t>
      </w:r>
      <w:hyperlink r:id="rId34" w:history="1">
        <w:r w:rsidRPr="00EE4904">
          <w:rPr>
            <w:rStyle w:val="Hyperlink"/>
            <w:rFonts w:asciiTheme="minorHAnsi" w:hAnsiTheme="minorHAnsi"/>
            <w:sz w:val="16"/>
            <w:szCs w:val="16"/>
          </w:rPr>
          <w:t>http://fingertips.phe.org.uk/cmhp</w:t>
        </w:r>
      </w:hyperlink>
      <w:r w:rsidRPr="00EE4904">
        <w:rPr>
          <w:rFonts w:asciiTheme="minorHAnsi" w:hAnsiTheme="minorHAnsi"/>
          <w:sz w:val="16"/>
          <w:szCs w:val="16"/>
        </w:rPr>
        <w:t xml:space="preserve"> </w:t>
      </w:r>
    </w:p>
  </w:footnote>
  <w:footnote w:id="58">
    <w:p w:rsidR="00890277" w:rsidRPr="00EE4904" w:rsidRDefault="00890277" w:rsidP="00E57656">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w:t>
      </w:r>
      <w:proofErr w:type="gramStart"/>
      <w:r w:rsidRPr="00EE4904">
        <w:rPr>
          <w:rFonts w:asciiTheme="minorHAnsi" w:hAnsiTheme="minorHAnsi"/>
          <w:sz w:val="16"/>
          <w:szCs w:val="16"/>
        </w:rPr>
        <w:t>Public Health England (2014) Barnet Clinical Commissioning Group.</w:t>
      </w:r>
      <w:proofErr w:type="gramEnd"/>
      <w:r w:rsidRPr="00EE4904">
        <w:rPr>
          <w:rFonts w:asciiTheme="minorHAnsi" w:hAnsiTheme="minorHAnsi"/>
          <w:sz w:val="16"/>
          <w:szCs w:val="16"/>
        </w:rPr>
        <w:t xml:space="preserve"> </w:t>
      </w:r>
      <w:hyperlink r:id="rId35" w:history="1">
        <w:proofErr w:type="gramStart"/>
        <w:r w:rsidRPr="00EE4904">
          <w:rPr>
            <w:rStyle w:val="Hyperlink"/>
            <w:rFonts w:asciiTheme="minorHAnsi" w:hAnsiTheme="minorHAnsi"/>
            <w:sz w:val="16"/>
            <w:szCs w:val="16"/>
          </w:rPr>
          <w:t>Community Mental Health Profile 2014</w:t>
        </w:r>
      </w:hyperlink>
      <w:r w:rsidRPr="00EE4904">
        <w:rPr>
          <w:rFonts w:asciiTheme="minorHAnsi" w:hAnsiTheme="minorHAnsi"/>
          <w:sz w:val="16"/>
          <w:szCs w:val="16"/>
        </w:rPr>
        <w:t>.</w:t>
      </w:r>
      <w:proofErr w:type="gramEnd"/>
      <w:r w:rsidRPr="00EE4904">
        <w:rPr>
          <w:rFonts w:asciiTheme="minorHAnsi" w:hAnsiTheme="minorHAnsi"/>
          <w:sz w:val="16"/>
          <w:szCs w:val="16"/>
        </w:rPr>
        <w:t xml:space="preserve"> </w:t>
      </w:r>
    </w:p>
  </w:footnote>
  <w:footnote w:id="59">
    <w:p w:rsidR="00890277" w:rsidRPr="00EE4904" w:rsidRDefault="00890277" w:rsidP="00E57656">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Public Health England (2014) </w:t>
      </w:r>
      <w:hyperlink r:id="rId36" w:history="1">
        <w:r w:rsidRPr="00EE4904">
          <w:rPr>
            <w:rStyle w:val="Hyperlink"/>
            <w:rFonts w:asciiTheme="minorHAnsi" w:hAnsiTheme="minorHAnsi"/>
            <w:sz w:val="16"/>
            <w:szCs w:val="16"/>
          </w:rPr>
          <w:t>Community Mental Health Profile data</w:t>
        </w:r>
      </w:hyperlink>
      <w:r w:rsidRPr="00EE4904">
        <w:rPr>
          <w:rFonts w:asciiTheme="minorHAnsi" w:hAnsiTheme="minorHAnsi"/>
          <w:sz w:val="16"/>
          <w:szCs w:val="16"/>
        </w:rPr>
        <w:t xml:space="preserve"> </w:t>
      </w:r>
    </w:p>
  </w:footnote>
  <w:footnote w:id="60">
    <w:p w:rsidR="00890277" w:rsidRPr="00EE4904" w:rsidRDefault="00890277" w:rsidP="00E57656">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w:t>
      </w:r>
      <w:proofErr w:type="gramStart"/>
      <w:r w:rsidRPr="00EE4904">
        <w:rPr>
          <w:rFonts w:asciiTheme="minorHAnsi" w:hAnsiTheme="minorHAnsi"/>
          <w:sz w:val="16"/>
          <w:szCs w:val="16"/>
        </w:rPr>
        <w:t>NHS England (July 2014) Child and Adolescent Mental Health Services (CAMHS) Tier 4 Report.</w:t>
      </w:r>
      <w:proofErr w:type="gramEnd"/>
      <w:r w:rsidRPr="00EE4904">
        <w:rPr>
          <w:rFonts w:asciiTheme="minorHAnsi" w:hAnsiTheme="minorHAnsi"/>
          <w:sz w:val="16"/>
          <w:szCs w:val="16"/>
        </w:rPr>
        <w:t xml:space="preserve"> . </w:t>
      </w:r>
      <w:hyperlink r:id="rId37" w:history="1">
        <w:r w:rsidRPr="00EE4904">
          <w:rPr>
            <w:rStyle w:val="Hyperlink"/>
            <w:rFonts w:asciiTheme="minorHAnsi" w:hAnsiTheme="minorHAnsi"/>
            <w:sz w:val="16"/>
            <w:szCs w:val="16"/>
          </w:rPr>
          <w:t>http://www.england.nhs.uk/wp-content/uploads/2014/07/camhs-tier-4-rep.pdf</w:t>
        </w:r>
      </w:hyperlink>
      <w:r w:rsidRPr="00EE4904">
        <w:rPr>
          <w:rFonts w:asciiTheme="minorHAnsi" w:hAnsiTheme="minorHAnsi"/>
          <w:sz w:val="16"/>
          <w:szCs w:val="16"/>
        </w:rPr>
        <w:t xml:space="preserve"> </w:t>
      </w:r>
    </w:p>
  </w:footnote>
  <w:footnote w:id="61">
    <w:p w:rsidR="00890277" w:rsidRPr="00EE4904" w:rsidRDefault="00890277" w:rsidP="00E57656">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w:t>
      </w:r>
      <w:proofErr w:type="gramStart"/>
      <w:r w:rsidRPr="00EE4904">
        <w:rPr>
          <w:rFonts w:asciiTheme="minorHAnsi" w:hAnsiTheme="minorHAnsi"/>
          <w:sz w:val="16"/>
          <w:szCs w:val="16"/>
        </w:rPr>
        <w:t>Barnet JSNA Refresh 2013-14 - Mental health and wellbeing.</w:t>
      </w:r>
      <w:proofErr w:type="gramEnd"/>
      <w:r w:rsidRPr="00EE4904">
        <w:rPr>
          <w:rFonts w:asciiTheme="minorHAnsi" w:hAnsiTheme="minorHAnsi"/>
          <w:sz w:val="16"/>
          <w:szCs w:val="16"/>
        </w:rPr>
        <w:t xml:space="preserve"> </w:t>
      </w:r>
    </w:p>
  </w:footnote>
  <w:footnote w:id="62">
    <w:p w:rsidR="00890277" w:rsidRPr="00EE4904" w:rsidRDefault="00890277" w:rsidP="00E57656">
      <w:pPr>
        <w:spacing w:after="0" w:line="240" w:lineRule="auto"/>
        <w:rPr>
          <w:sz w:val="16"/>
          <w:szCs w:val="16"/>
        </w:rPr>
      </w:pPr>
      <w:r w:rsidRPr="00EE4904">
        <w:rPr>
          <w:rStyle w:val="FootnoteReference"/>
          <w:sz w:val="16"/>
          <w:szCs w:val="16"/>
        </w:rPr>
        <w:footnoteRef/>
      </w:r>
      <w:r w:rsidRPr="00EE4904">
        <w:rPr>
          <w:sz w:val="16"/>
          <w:szCs w:val="16"/>
        </w:rPr>
        <w:t xml:space="preserve"> </w:t>
      </w:r>
      <w:proofErr w:type="gramStart"/>
      <w:r w:rsidRPr="00EE4904">
        <w:rPr>
          <w:rStyle w:val="FootnoteTextChar"/>
          <w:rFonts w:asciiTheme="minorHAnsi" w:eastAsiaTheme="minorHAnsi" w:hAnsiTheme="minorHAnsi"/>
          <w:sz w:val="16"/>
          <w:szCs w:val="16"/>
        </w:rPr>
        <w:t>Public Health England.</w:t>
      </w:r>
      <w:proofErr w:type="gramEnd"/>
      <w:r w:rsidRPr="00EE4904">
        <w:rPr>
          <w:rStyle w:val="FootnoteTextChar"/>
          <w:rFonts w:asciiTheme="minorHAnsi" w:eastAsiaTheme="minorHAnsi" w:hAnsiTheme="minorHAnsi"/>
          <w:sz w:val="16"/>
          <w:szCs w:val="16"/>
        </w:rPr>
        <w:t xml:space="preserve"> </w:t>
      </w:r>
      <w:hyperlink r:id="rId38" w:history="1">
        <w:proofErr w:type="gramStart"/>
        <w:r w:rsidRPr="00EE4904">
          <w:rPr>
            <w:rStyle w:val="Hyperlink"/>
            <w:rFonts w:cs="Times New Roman"/>
            <w:sz w:val="16"/>
            <w:szCs w:val="16"/>
          </w:rPr>
          <w:t>Diabetes Prevalence Model for Local Authorities and CCGs</w:t>
        </w:r>
      </w:hyperlink>
      <w:r w:rsidRPr="00EE4904">
        <w:rPr>
          <w:rStyle w:val="FootnoteTextChar"/>
          <w:rFonts w:asciiTheme="minorHAnsi" w:eastAsiaTheme="minorHAnsi" w:hAnsiTheme="minorHAnsi"/>
          <w:sz w:val="16"/>
          <w:szCs w:val="16"/>
        </w:rPr>
        <w:t>.</w:t>
      </w:r>
      <w:proofErr w:type="gramEnd"/>
      <w:r w:rsidRPr="00EE4904">
        <w:rPr>
          <w:rStyle w:val="FootnoteTextChar"/>
          <w:rFonts w:asciiTheme="minorHAnsi" w:eastAsiaTheme="minorHAnsi" w:hAnsiTheme="minorHAnsi"/>
          <w:sz w:val="16"/>
          <w:szCs w:val="16"/>
        </w:rPr>
        <w:t xml:space="preserve"> </w:t>
      </w:r>
    </w:p>
  </w:footnote>
  <w:footnote w:id="63">
    <w:p w:rsidR="00890277" w:rsidRPr="00EE4904" w:rsidRDefault="00890277" w:rsidP="00E57656">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w:t>
      </w:r>
      <w:hyperlink r:id="rId39" w:history="1">
        <w:r w:rsidRPr="00EE4904">
          <w:rPr>
            <w:rStyle w:val="Hyperlink"/>
            <w:rFonts w:asciiTheme="minorHAnsi" w:hAnsiTheme="minorHAnsi"/>
            <w:sz w:val="16"/>
            <w:szCs w:val="16"/>
          </w:rPr>
          <w:t>http://www.yhpho.org.uk/ncvinintellpacks/pdfs/07M_SlidePack.pdf</w:t>
        </w:r>
      </w:hyperlink>
      <w:r w:rsidRPr="00EE4904">
        <w:rPr>
          <w:rFonts w:asciiTheme="minorHAnsi" w:hAnsiTheme="minorHAnsi"/>
          <w:sz w:val="16"/>
          <w:szCs w:val="16"/>
        </w:rPr>
        <w:t xml:space="preserve"> </w:t>
      </w:r>
    </w:p>
  </w:footnote>
  <w:footnote w:id="64">
    <w:p w:rsidR="00890277" w:rsidRPr="00EE4904" w:rsidRDefault="00890277" w:rsidP="00E57656">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w:t>
      </w:r>
      <w:proofErr w:type="gramStart"/>
      <w:r w:rsidRPr="00EE4904">
        <w:rPr>
          <w:rFonts w:asciiTheme="minorHAnsi" w:hAnsiTheme="minorHAnsi"/>
          <w:sz w:val="16"/>
          <w:szCs w:val="16"/>
        </w:rPr>
        <w:t>Public Health England.</w:t>
      </w:r>
      <w:proofErr w:type="gramEnd"/>
      <w:r w:rsidRPr="00EE4904">
        <w:rPr>
          <w:rFonts w:asciiTheme="minorHAnsi" w:hAnsiTheme="minorHAnsi"/>
          <w:sz w:val="16"/>
          <w:szCs w:val="16"/>
        </w:rPr>
        <w:t xml:space="preserve"> </w:t>
      </w:r>
      <w:hyperlink r:id="rId40" w:history="1">
        <w:proofErr w:type="gramStart"/>
        <w:r w:rsidRPr="00EE4904">
          <w:rPr>
            <w:rStyle w:val="Hyperlink"/>
            <w:rFonts w:asciiTheme="minorHAnsi" w:hAnsiTheme="minorHAnsi"/>
            <w:sz w:val="16"/>
            <w:szCs w:val="16"/>
          </w:rPr>
          <w:t>Barnet Cardiovascular disease profile.</w:t>
        </w:r>
        <w:proofErr w:type="gramEnd"/>
        <w:r w:rsidRPr="00EE4904">
          <w:rPr>
            <w:rStyle w:val="Hyperlink"/>
            <w:rFonts w:asciiTheme="minorHAnsi" w:hAnsiTheme="minorHAnsi"/>
            <w:sz w:val="16"/>
            <w:szCs w:val="16"/>
          </w:rPr>
          <w:t xml:space="preserve"> </w:t>
        </w:r>
        <w:proofErr w:type="gramStart"/>
        <w:r w:rsidRPr="00EE4904">
          <w:rPr>
            <w:rStyle w:val="Hyperlink"/>
            <w:rFonts w:asciiTheme="minorHAnsi" w:hAnsiTheme="minorHAnsi"/>
            <w:sz w:val="16"/>
            <w:szCs w:val="16"/>
          </w:rPr>
          <w:t>Diabetes.</w:t>
        </w:r>
        <w:proofErr w:type="gramEnd"/>
        <w:r w:rsidRPr="00EE4904">
          <w:rPr>
            <w:rStyle w:val="Hyperlink"/>
            <w:rFonts w:asciiTheme="minorHAnsi" w:hAnsiTheme="minorHAnsi"/>
            <w:sz w:val="16"/>
            <w:szCs w:val="16"/>
          </w:rPr>
          <w:t xml:space="preserve"> March 2015</w:t>
        </w:r>
      </w:hyperlink>
      <w:hyperlink r:id="rId41" w:history="1"/>
      <w:r w:rsidRPr="00EE4904">
        <w:rPr>
          <w:rFonts w:asciiTheme="minorHAnsi" w:hAnsiTheme="minorHAnsi"/>
          <w:sz w:val="16"/>
          <w:szCs w:val="16"/>
        </w:rPr>
        <w:t xml:space="preserve">. </w:t>
      </w:r>
    </w:p>
  </w:footnote>
  <w:footnote w:id="65">
    <w:p w:rsidR="00890277" w:rsidRPr="00EE4904" w:rsidRDefault="00890277" w:rsidP="00E57656">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w:t>
      </w:r>
      <w:hyperlink r:id="rId42" w:history="1">
        <w:r w:rsidRPr="00EE4904">
          <w:rPr>
            <w:rStyle w:val="Hyperlink"/>
            <w:rFonts w:asciiTheme="minorHAnsi" w:hAnsiTheme="minorHAnsi"/>
            <w:sz w:val="16"/>
            <w:szCs w:val="16"/>
          </w:rPr>
          <w:t>http://www.yhpho.org.uk/ncvincvd/pdfs/Diabetes/07M_Diabetes.pdf</w:t>
        </w:r>
      </w:hyperlink>
      <w:r w:rsidRPr="00EE4904">
        <w:rPr>
          <w:rFonts w:asciiTheme="minorHAnsi" w:hAnsiTheme="minorHAnsi"/>
          <w:sz w:val="16"/>
          <w:szCs w:val="16"/>
        </w:rPr>
        <w:t xml:space="preserve"> </w:t>
      </w:r>
    </w:p>
  </w:footnote>
  <w:footnote w:id="66">
    <w:p w:rsidR="00890277" w:rsidRPr="00EE4904" w:rsidRDefault="00890277" w:rsidP="00E57656">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w:t>
      </w:r>
      <w:hyperlink r:id="rId43" w:history="1">
        <w:r w:rsidRPr="00EE4904">
          <w:rPr>
            <w:rStyle w:val="Hyperlink"/>
            <w:rFonts w:asciiTheme="minorHAnsi" w:hAnsiTheme="minorHAnsi"/>
            <w:sz w:val="16"/>
            <w:szCs w:val="16"/>
          </w:rPr>
          <w:t>http://fingertips.phe.org.uk/profile/general-practice/data</w:t>
        </w:r>
      </w:hyperlink>
      <w:r w:rsidRPr="00EE4904">
        <w:rPr>
          <w:rFonts w:asciiTheme="minorHAnsi" w:hAnsiTheme="minorHAnsi"/>
          <w:sz w:val="16"/>
          <w:szCs w:val="16"/>
        </w:rPr>
        <w:t xml:space="preserve"> </w:t>
      </w:r>
    </w:p>
  </w:footnote>
  <w:footnote w:id="67">
    <w:p w:rsidR="00890277" w:rsidRPr="00EE4904" w:rsidRDefault="00890277" w:rsidP="00E57656">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w:t>
      </w:r>
      <w:proofErr w:type="gramStart"/>
      <w:r w:rsidRPr="00EE4904">
        <w:rPr>
          <w:rFonts w:asciiTheme="minorHAnsi" w:hAnsiTheme="minorHAnsi"/>
          <w:sz w:val="16"/>
          <w:szCs w:val="16"/>
        </w:rPr>
        <w:t>HSCIC (2015).</w:t>
      </w:r>
      <w:proofErr w:type="gramEnd"/>
      <w:r w:rsidRPr="00EE4904">
        <w:rPr>
          <w:rFonts w:asciiTheme="minorHAnsi" w:hAnsiTheme="minorHAnsi"/>
          <w:sz w:val="16"/>
          <w:szCs w:val="16"/>
        </w:rPr>
        <w:t xml:space="preserve"> National Diabetes Audit 2012-2013. </w:t>
      </w:r>
      <w:hyperlink r:id="rId44" w:history="1">
        <w:r w:rsidRPr="00EE4904">
          <w:rPr>
            <w:rStyle w:val="Hyperlink"/>
            <w:rFonts w:asciiTheme="minorHAnsi" w:hAnsiTheme="minorHAnsi"/>
            <w:sz w:val="16"/>
            <w:szCs w:val="16"/>
          </w:rPr>
          <w:t>Report 2: Complications and Mortality</w:t>
        </w:r>
        <w:r w:rsidRPr="00EE4904">
          <w:rPr>
            <w:rStyle w:val="Hyperlink"/>
            <w:rFonts w:asciiTheme="minorHAnsi" w:eastAsiaTheme="minorHAnsi" w:hAnsiTheme="minorHAnsi"/>
            <w:sz w:val="16"/>
            <w:szCs w:val="16"/>
          </w:rPr>
          <w:t xml:space="preserve"> </w:t>
        </w:r>
        <w:r w:rsidRPr="00EE4904">
          <w:rPr>
            <w:rStyle w:val="Hyperlink"/>
            <w:rFonts w:asciiTheme="minorHAnsi" w:hAnsiTheme="minorHAnsi"/>
            <w:sz w:val="16"/>
            <w:szCs w:val="16"/>
          </w:rPr>
          <w:t>Summary for NHS Barnet CCG (07M)</w:t>
        </w:r>
      </w:hyperlink>
      <w:r w:rsidRPr="00EE4904">
        <w:rPr>
          <w:rStyle w:val="FootnoteTextChar"/>
          <w:rFonts w:asciiTheme="minorHAnsi" w:hAnsiTheme="minorHAnsi"/>
          <w:sz w:val="16"/>
          <w:szCs w:val="16"/>
        </w:rPr>
        <w:t xml:space="preserve">. </w:t>
      </w:r>
    </w:p>
  </w:footnote>
  <w:footnote w:id="68">
    <w:p w:rsidR="00890277" w:rsidRPr="00EE4904" w:rsidRDefault="00890277" w:rsidP="00E57656">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w:t>
      </w:r>
      <w:proofErr w:type="gramStart"/>
      <w:r w:rsidRPr="00EE4904">
        <w:rPr>
          <w:rFonts w:asciiTheme="minorHAnsi" w:hAnsiTheme="minorHAnsi"/>
          <w:sz w:val="16"/>
          <w:szCs w:val="16"/>
        </w:rPr>
        <w:t>World Health Organisation.</w:t>
      </w:r>
      <w:proofErr w:type="gramEnd"/>
      <w:r w:rsidRPr="00EE4904">
        <w:rPr>
          <w:rFonts w:asciiTheme="minorHAnsi" w:hAnsiTheme="minorHAnsi"/>
          <w:sz w:val="16"/>
          <w:szCs w:val="16"/>
        </w:rPr>
        <w:t xml:space="preserve"> </w:t>
      </w:r>
      <w:hyperlink r:id="rId45" w:history="1">
        <w:proofErr w:type="gramStart"/>
        <w:r w:rsidRPr="00EE4904">
          <w:rPr>
            <w:rStyle w:val="Hyperlink"/>
            <w:rFonts w:asciiTheme="minorHAnsi" w:hAnsiTheme="minorHAnsi"/>
            <w:sz w:val="16"/>
            <w:szCs w:val="16"/>
          </w:rPr>
          <w:t>Oral Health.</w:t>
        </w:r>
        <w:proofErr w:type="gramEnd"/>
        <w:r w:rsidRPr="00EE4904">
          <w:rPr>
            <w:rStyle w:val="Hyperlink"/>
            <w:rFonts w:asciiTheme="minorHAnsi" w:hAnsiTheme="minorHAnsi"/>
            <w:sz w:val="16"/>
            <w:szCs w:val="16"/>
          </w:rPr>
          <w:t xml:space="preserve"> </w:t>
        </w:r>
        <w:proofErr w:type="gramStart"/>
        <w:r w:rsidRPr="00EE4904">
          <w:rPr>
            <w:rStyle w:val="Hyperlink"/>
            <w:rFonts w:asciiTheme="minorHAnsi" w:hAnsiTheme="minorHAnsi"/>
            <w:sz w:val="16"/>
            <w:szCs w:val="16"/>
          </w:rPr>
          <w:t>Policy basis</w:t>
        </w:r>
      </w:hyperlink>
      <w:r w:rsidRPr="00EE4904">
        <w:rPr>
          <w:rFonts w:asciiTheme="minorHAnsi" w:hAnsiTheme="minorHAnsi"/>
          <w:sz w:val="16"/>
          <w:szCs w:val="16"/>
        </w:rPr>
        <w:t>.</w:t>
      </w:r>
      <w:proofErr w:type="gramEnd"/>
      <w:r w:rsidRPr="00EE4904">
        <w:rPr>
          <w:rFonts w:asciiTheme="minorHAnsi" w:hAnsiTheme="minorHAnsi"/>
          <w:sz w:val="16"/>
          <w:szCs w:val="16"/>
        </w:rPr>
        <w:t xml:space="preserve"> </w:t>
      </w:r>
    </w:p>
  </w:footnote>
  <w:footnote w:id="69">
    <w:p w:rsidR="00890277" w:rsidRPr="00EE4904" w:rsidRDefault="00890277" w:rsidP="00E57656">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w:t>
      </w:r>
      <w:proofErr w:type="gramStart"/>
      <w:r w:rsidRPr="00EE4904">
        <w:rPr>
          <w:rFonts w:asciiTheme="minorHAnsi" w:hAnsiTheme="minorHAnsi"/>
          <w:sz w:val="16"/>
          <w:szCs w:val="16"/>
        </w:rPr>
        <w:t>World Health Organisation (2015).</w:t>
      </w:r>
      <w:proofErr w:type="gramEnd"/>
      <w:r w:rsidRPr="00EE4904">
        <w:rPr>
          <w:rFonts w:asciiTheme="minorHAnsi" w:hAnsiTheme="minorHAnsi"/>
          <w:sz w:val="16"/>
          <w:szCs w:val="16"/>
        </w:rPr>
        <w:t xml:space="preserve"> </w:t>
      </w:r>
      <w:hyperlink r:id="rId46" w:history="1">
        <w:r w:rsidRPr="00EE4904">
          <w:rPr>
            <w:rStyle w:val="Hyperlink"/>
            <w:rFonts w:asciiTheme="minorHAnsi" w:hAnsiTheme="minorHAnsi"/>
            <w:sz w:val="16"/>
            <w:szCs w:val="16"/>
          </w:rPr>
          <w:t>Tokyo Declaration on Dental care and oral health for healthy longevity</w:t>
        </w:r>
      </w:hyperlink>
      <w:r w:rsidRPr="00EE4904">
        <w:rPr>
          <w:rFonts w:asciiTheme="minorHAnsi" w:hAnsiTheme="minorHAnsi"/>
          <w:sz w:val="16"/>
          <w:szCs w:val="16"/>
        </w:rPr>
        <w:t xml:space="preserve">. </w:t>
      </w:r>
    </w:p>
  </w:footnote>
  <w:footnote w:id="70">
    <w:p w:rsidR="00890277" w:rsidRPr="00EE4904" w:rsidRDefault="00890277" w:rsidP="00E57656">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w:t>
      </w:r>
      <w:proofErr w:type="gramStart"/>
      <w:r w:rsidRPr="00EE4904">
        <w:rPr>
          <w:rFonts w:asciiTheme="minorHAnsi" w:hAnsiTheme="minorHAnsi"/>
          <w:sz w:val="16"/>
          <w:szCs w:val="16"/>
        </w:rPr>
        <w:t>World Health Organisation.</w:t>
      </w:r>
      <w:proofErr w:type="gramEnd"/>
      <w:r w:rsidRPr="00EE4904">
        <w:rPr>
          <w:rFonts w:asciiTheme="minorHAnsi" w:hAnsiTheme="minorHAnsi"/>
          <w:sz w:val="16"/>
          <w:szCs w:val="16"/>
        </w:rPr>
        <w:t xml:space="preserve"> </w:t>
      </w:r>
      <w:proofErr w:type="gramStart"/>
      <w:r w:rsidRPr="00EE4904">
        <w:rPr>
          <w:rFonts w:asciiTheme="minorHAnsi" w:hAnsiTheme="minorHAnsi"/>
          <w:sz w:val="16"/>
          <w:szCs w:val="16"/>
        </w:rPr>
        <w:t>Oral Health.</w:t>
      </w:r>
      <w:proofErr w:type="gramEnd"/>
      <w:r w:rsidRPr="00EE4904">
        <w:rPr>
          <w:rFonts w:asciiTheme="minorHAnsi" w:hAnsiTheme="minorHAnsi"/>
          <w:sz w:val="16"/>
          <w:szCs w:val="16"/>
        </w:rPr>
        <w:t xml:space="preserve"> </w:t>
      </w:r>
      <w:hyperlink r:id="rId47" w:history="1">
        <w:r w:rsidRPr="00EE4904">
          <w:rPr>
            <w:rStyle w:val="Hyperlink"/>
            <w:rFonts w:asciiTheme="minorHAnsi" w:hAnsiTheme="minorHAnsi"/>
            <w:sz w:val="16"/>
            <w:szCs w:val="16"/>
          </w:rPr>
          <w:t>Strategies and approaches in oral disease prevention and health promotion</w:t>
        </w:r>
      </w:hyperlink>
      <w:r w:rsidRPr="00EE4904">
        <w:rPr>
          <w:rFonts w:asciiTheme="minorHAnsi" w:hAnsiTheme="minorHAnsi"/>
          <w:sz w:val="16"/>
          <w:szCs w:val="16"/>
        </w:rPr>
        <w:t xml:space="preserve">. </w:t>
      </w:r>
    </w:p>
  </w:footnote>
  <w:footnote w:id="71">
    <w:p w:rsidR="00890277" w:rsidRPr="00EE4904" w:rsidRDefault="00890277" w:rsidP="00E57656">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NHS Choices (2014) Mouth cancer </w:t>
      </w:r>
      <w:hyperlink r:id="rId48" w:history="1">
        <w:r w:rsidRPr="00EE4904">
          <w:rPr>
            <w:rStyle w:val="Hyperlink"/>
            <w:rFonts w:asciiTheme="minorHAnsi" w:hAnsiTheme="minorHAnsi"/>
            <w:sz w:val="16"/>
            <w:szCs w:val="16"/>
          </w:rPr>
          <w:t>http://www.nhs.uk/Conditions/Cancer-of-the-mouth/Pages/Introduction.aspx</w:t>
        </w:r>
      </w:hyperlink>
      <w:r w:rsidRPr="00EE4904">
        <w:rPr>
          <w:rFonts w:asciiTheme="minorHAnsi" w:hAnsiTheme="minorHAnsi"/>
          <w:sz w:val="16"/>
          <w:szCs w:val="16"/>
        </w:rPr>
        <w:t xml:space="preserve"> </w:t>
      </w:r>
    </w:p>
  </w:footnote>
  <w:footnote w:id="72">
    <w:p w:rsidR="00890277" w:rsidRPr="00EE4904" w:rsidRDefault="00890277" w:rsidP="00E57656">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w:t>
      </w:r>
      <w:proofErr w:type="gramStart"/>
      <w:r w:rsidRPr="00EE4904">
        <w:rPr>
          <w:rFonts w:asciiTheme="minorHAnsi" w:hAnsiTheme="minorHAnsi"/>
          <w:sz w:val="16"/>
          <w:szCs w:val="16"/>
        </w:rPr>
        <w:t>Public Health England.</w:t>
      </w:r>
      <w:proofErr w:type="gramEnd"/>
      <w:r w:rsidRPr="00EE4904">
        <w:rPr>
          <w:rFonts w:asciiTheme="minorHAnsi" w:hAnsiTheme="minorHAnsi"/>
          <w:sz w:val="16"/>
          <w:szCs w:val="16"/>
        </w:rPr>
        <w:t xml:space="preserve"> </w:t>
      </w:r>
      <w:hyperlink r:id="rId49" w:history="1">
        <w:r w:rsidRPr="00EE4904">
          <w:rPr>
            <w:rStyle w:val="Hyperlink"/>
            <w:rFonts w:asciiTheme="minorHAnsi" w:hAnsiTheme="minorHAnsi"/>
            <w:sz w:val="16"/>
            <w:szCs w:val="16"/>
          </w:rPr>
          <w:t>Oral Cavity Cancer: recent survival trends</w:t>
        </w:r>
      </w:hyperlink>
      <w:r w:rsidRPr="00EE4904">
        <w:rPr>
          <w:rFonts w:asciiTheme="minorHAnsi" w:hAnsiTheme="minorHAnsi"/>
          <w:sz w:val="16"/>
          <w:szCs w:val="16"/>
        </w:rPr>
        <w:t xml:space="preserve">. The National Cancer Intelligence Network, London. </w:t>
      </w:r>
    </w:p>
  </w:footnote>
  <w:footnote w:id="73">
    <w:p w:rsidR="00890277" w:rsidRPr="00EE4904" w:rsidRDefault="00890277" w:rsidP="00E57656">
      <w:pPr>
        <w:pStyle w:val="FootnoteText"/>
        <w:rPr>
          <w:rFonts w:asciiTheme="minorHAnsi" w:hAnsiTheme="minorHAnsi"/>
          <w:sz w:val="16"/>
          <w:szCs w:val="16"/>
        </w:rPr>
      </w:pPr>
      <w:r w:rsidRPr="00EE4904">
        <w:rPr>
          <w:rStyle w:val="FootnoteReference"/>
          <w:rFonts w:asciiTheme="minorHAnsi" w:hAnsiTheme="minorHAnsi"/>
          <w:sz w:val="16"/>
          <w:szCs w:val="16"/>
        </w:rPr>
        <w:footnoteRef/>
      </w:r>
      <w:proofErr w:type="gramStart"/>
      <w:r w:rsidRPr="00EE4904">
        <w:rPr>
          <w:rFonts w:asciiTheme="minorHAnsi" w:hAnsiTheme="minorHAnsi"/>
          <w:sz w:val="16"/>
          <w:szCs w:val="16"/>
        </w:rPr>
        <w:t xml:space="preserve">Public Health England (Oct 2014) </w:t>
      </w:r>
      <w:hyperlink r:id="rId50" w:history="1">
        <w:r w:rsidRPr="00EE4904">
          <w:rPr>
            <w:rStyle w:val="Hyperlink"/>
            <w:rFonts w:asciiTheme="minorHAnsi" w:hAnsiTheme="minorHAnsi"/>
            <w:sz w:val="16"/>
            <w:szCs w:val="16"/>
          </w:rPr>
          <w:t>Barnet Dental Health Profile.</w:t>
        </w:r>
        <w:proofErr w:type="gramEnd"/>
        <w:r w:rsidRPr="00EE4904">
          <w:rPr>
            <w:rStyle w:val="Hyperlink"/>
            <w:rFonts w:asciiTheme="minorHAnsi" w:hAnsiTheme="minorHAnsi"/>
            <w:sz w:val="16"/>
            <w:szCs w:val="16"/>
          </w:rPr>
          <w:t xml:space="preserve"> </w:t>
        </w:r>
        <w:proofErr w:type="gramStart"/>
        <w:r w:rsidRPr="00EE4904">
          <w:rPr>
            <w:rStyle w:val="Hyperlink"/>
            <w:rFonts w:asciiTheme="minorHAnsi" w:hAnsiTheme="minorHAnsi"/>
            <w:sz w:val="16"/>
            <w:szCs w:val="16"/>
          </w:rPr>
          <w:t>Dental health of five-year-old children 2012.</w:t>
        </w:r>
        <w:proofErr w:type="gramEnd"/>
      </w:hyperlink>
    </w:p>
  </w:footnote>
  <w:footnote w:id="74">
    <w:p w:rsidR="00890277" w:rsidRPr="00EE4904" w:rsidRDefault="00890277" w:rsidP="00E57656">
      <w:pPr>
        <w:pStyle w:val="FootnoteText"/>
        <w:rPr>
          <w:rFonts w:asciiTheme="minorHAnsi" w:hAnsiTheme="minorHAnsi"/>
          <w:sz w:val="16"/>
          <w:szCs w:val="16"/>
        </w:rPr>
      </w:pPr>
      <w:r w:rsidRPr="00EE4904">
        <w:rPr>
          <w:rStyle w:val="FootnoteReference"/>
          <w:rFonts w:asciiTheme="minorHAnsi" w:hAnsiTheme="minorHAnsi"/>
          <w:sz w:val="16"/>
          <w:szCs w:val="16"/>
        </w:rPr>
        <w:footnoteRef/>
      </w:r>
      <w:proofErr w:type="gramStart"/>
      <w:r w:rsidRPr="00EE4904">
        <w:rPr>
          <w:rFonts w:asciiTheme="minorHAnsi" w:hAnsiTheme="minorHAnsi"/>
          <w:sz w:val="16"/>
          <w:szCs w:val="16"/>
        </w:rPr>
        <w:t>Public Health England.</w:t>
      </w:r>
      <w:proofErr w:type="gramEnd"/>
      <w:r w:rsidRPr="00EE4904">
        <w:rPr>
          <w:rFonts w:asciiTheme="minorHAnsi" w:hAnsiTheme="minorHAnsi"/>
          <w:sz w:val="16"/>
          <w:szCs w:val="16"/>
        </w:rPr>
        <w:t xml:space="preserve"> </w:t>
      </w:r>
      <w:hyperlink r:id="rId51" w:history="1">
        <w:r w:rsidRPr="00EE4904">
          <w:rPr>
            <w:rStyle w:val="Hyperlink"/>
            <w:rFonts w:asciiTheme="minorHAnsi" w:hAnsiTheme="minorHAnsi"/>
            <w:sz w:val="16"/>
            <w:szCs w:val="16"/>
          </w:rPr>
          <w:t>http://fingertips.phe.org.uk/search/dental</w:t>
        </w:r>
      </w:hyperlink>
      <w:r w:rsidRPr="00EE4904">
        <w:rPr>
          <w:rFonts w:asciiTheme="minorHAnsi" w:hAnsiTheme="minorHAnsi"/>
          <w:sz w:val="16"/>
          <w:szCs w:val="16"/>
        </w:rPr>
        <w:t xml:space="preserve"> </w:t>
      </w:r>
    </w:p>
  </w:footnote>
  <w:footnote w:id="75">
    <w:p w:rsidR="00890277" w:rsidRPr="00EE4904" w:rsidRDefault="00890277" w:rsidP="00E57656">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Public Health Programme (2015) </w:t>
      </w:r>
      <w:hyperlink r:id="rId52" w:history="1">
        <w:r w:rsidRPr="00EE4904">
          <w:rPr>
            <w:rStyle w:val="Hyperlink"/>
            <w:rFonts w:asciiTheme="minorHAnsi" w:hAnsiTheme="minorHAnsi"/>
            <w:sz w:val="16"/>
            <w:szCs w:val="16"/>
          </w:rPr>
          <w:t xml:space="preserve">Oral health survey of three-year-old children 2013. </w:t>
        </w:r>
        <w:proofErr w:type="gramStart"/>
        <w:r w:rsidRPr="00EE4904">
          <w:rPr>
            <w:rStyle w:val="Hyperlink"/>
            <w:rFonts w:asciiTheme="minorHAnsi" w:hAnsiTheme="minorHAnsi"/>
            <w:sz w:val="16"/>
            <w:szCs w:val="16"/>
          </w:rPr>
          <w:t>A report on the prevalence and severity of dental decay</w:t>
        </w:r>
      </w:hyperlink>
      <w:r w:rsidRPr="00EE4904">
        <w:rPr>
          <w:rFonts w:asciiTheme="minorHAnsi" w:hAnsiTheme="minorHAnsi"/>
          <w:sz w:val="16"/>
          <w:szCs w:val="16"/>
        </w:rPr>
        <w:t>.</w:t>
      </w:r>
      <w:proofErr w:type="gramEnd"/>
      <w:r w:rsidRPr="00EE4904">
        <w:rPr>
          <w:rFonts w:asciiTheme="minorHAnsi" w:hAnsiTheme="minorHAnsi"/>
          <w:sz w:val="16"/>
          <w:szCs w:val="16"/>
        </w:rPr>
        <w:t xml:space="preserve"> </w:t>
      </w:r>
      <w:proofErr w:type="gramStart"/>
      <w:r w:rsidRPr="00EE4904">
        <w:rPr>
          <w:rFonts w:asciiTheme="minorHAnsi" w:hAnsiTheme="minorHAnsi"/>
          <w:sz w:val="16"/>
          <w:szCs w:val="16"/>
        </w:rPr>
        <w:t>Dental public health epidemiology programme.</w:t>
      </w:r>
      <w:proofErr w:type="gramEnd"/>
      <w:r w:rsidRPr="00EE4904">
        <w:rPr>
          <w:rFonts w:asciiTheme="minorHAnsi" w:hAnsiTheme="minorHAnsi"/>
          <w:sz w:val="16"/>
          <w:szCs w:val="16"/>
        </w:rPr>
        <w:t xml:space="preserve"> </w:t>
      </w:r>
      <w:proofErr w:type="gramStart"/>
      <w:r w:rsidRPr="00EE4904">
        <w:rPr>
          <w:rFonts w:asciiTheme="minorHAnsi" w:hAnsiTheme="minorHAnsi"/>
          <w:sz w:val="16"/>
          <w:szCs w:val="16"/>
        </w:rPr>
        <w:t>(Revised January 2015).</w:t>
      </w:r>
      <w:proofErr w:type="gramEnd"/>
      <w:r w:rsidRPr="00EE4904">
        <w:rPr>
          <w:rFonts w:asciiTheme="minorHAnsi" w:hAnsiTheme="minorHAnsi"/>
          <w:sz w:val="16"/>
          <w:szCs w:val="16"/>
        </w:rPr>
        <w:t xml:space="preserve"> </w:t>
      </w:r>
    </w:p>
  </w:footnote>
  <w:footnote w:id="76">
    <w:p w:rsidR="00890277" w:rsidRPr="00EE4904" w:rsidRDefault="00890277" w:rsidP="00E57656">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w:t>
      </w:r>
      <w:proofErr w:type="gramStart"/>
      <w:r w:rsidRPr="00EE4904">
        <w:rPr>
          <w:rFonts w:asciiTheme="minorHAnsi" w:hAnsiTheme="minorHAnsi"/>
          <w:sz w:val="16"/>
          <w:szCs w:val="16"/>
        </w:rPr>
        <w:t>Public Health England.</w:t>
      </w:r>
      <w:proofErr w:type="gramEnd"/>
      <w:r w:rsidRPr="00EE4904">
        <w:rPr>
          <w:rFonts w:asciiTheme="minorHAnsi" w:hAnsiTheme="minorHAnsi"/>
          <w:sz w:val="16"/>
          <w:szCs w:val="16"/>
        </w:rPr>
        <w:t xml:space="preserve"> </w:t>
      </w:r>
      <w:hyperlink r:id="rId53" w:history="1">
        <w:r w:rsidRPr="00EE4904">
          <w:rPr>
            <w:rStyle w:val="Hyperlink"/>
            <w:rFonts w:asciiTheme="minorHAnsi" w:hAnsiTheme="minorHAnsi"/>
            <w:sz w:val="16"/>
            <w:szCs w:val="16"/>
          </w:rPr>
          <w:t xml:space="preserve">Public Health England Epidemiology Programme: Extraction data </w:t>
        </w:r>
      </w:hyperlink>
      <w:r w:rsidRPr="00EE4904">
        <w:rPr>
          <w:rFonts w:asciiTheme="minorHAnsi" w:hAnsiTheme="minorHAnsi"/>
          <w:sz w:val="16"/>
          <w:szCs w:val="16"/>
        </w:rPr>
        <w:t xml:space="preserve"> </w:t>
      </w:r>
    </w:p>
  </w:footnote>
  <w:footnote w:id="77">
    <w:p w:rsidR="00890277" w:rsidRPr="00EE4904" w:rsidRDefault="00890277" w:rsidP="00E57656">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w:t>
      </w:r>
      <w:proofErr w:type="gramStart"/>
      <w:r w:rsidRPr="00EE4904">
        <w:rPr>
          <w:rFonts w:asciiTheme="minorHAnsi" w:hAnsiTheme="minorHAnsi"/>
          <w:sz w:val="16"/>
          <w:szCs w:val="16"/>
        </w:rPr>
        <w:t>HSCIC.</w:t>
      </w:r>
      <w:proofErr w:type="gramEnd"/>
      <w:r w:rsidRPr="00EE4904">
        <w:rPr>
          <w:rFonts w:asciiTheme="minorHAnsi" w:hAnsiTheme="minorHAnsi"/>
          <w:sz w:val="16"/>
          <w:szCs w:val="16"/>
        </w:rPr>
        <w:t xml:space="preserve"> Access by patient London LA region Sept 2013, </w:t>
      </w:r>
      <w:hyperlink r:id="rId54" w:history="1">
        <w:r w:rsidRPr="00EE4904">
          <w:rPr>
            <w:rStyle w:val="Hyperlink"/>
            <w:rFonts w:asciiTheme="minorHAnsi" w:hAnsiTheme="minorHAnsi"/>
            <w:sz w:val="16"/>
            <w:szCs w:val="16"/>
          </w:rPr>
          <w:t>NHS dental statistics England 2012-2013</w:t>
        </w:r>
      </w:hyperlink>
    </w:p>
  </w:footnote>
  <w:footnote w:id="78">
    <w:p w:rsidR="00890277" w:rsidRPr="00EE4904" w:rsidRDefault="00890277" w:rsidP="00E57656">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JSNA Refresh 2014 Oral Health Barnet</w:t>
      </w:r>
    </w:p>
  </w:footnote>
  <w:footnote w:id="79">
    <w:p w:rsidR="00890277" w:rsidRPr="00EE4904" w:rsidRDefault="00890277" w:rsidP="00E57656">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w:t>
      </w:r>
      <w:proofErr w:type="gramStart"/>
      <w:r w:rsidRPr="00EE4904">
        <w:rPr>
          <w:rFonts w:asciiTheme="minorHAnsi" w:hAnsiTheme="minorHAnsi"/>
          <w:sz w:val="16"/>
          <w:szCs w:val="16"/>
        </w:rPr>
        <w:t>Public Health England (2014) Dental public health intelligence programme.</w:t>
      </w:r>
      <w:proofErr w:type="gramEnd"/>
      <w:r w:rsidRPr="00EE4904">
        <w:rPr>
          <w:rFonts w:asciiTheme="minorHAnsi" w:hAnsiTheme="minorHAnsi"/>
          <w:sz w:val="16"/>
          <w:szCs w:val="16"/>
        </w:rPr>
        <w:t xml:space="preserve"> </w:t>
      </w:r>
      <w:hyperlink r:id="rId55" w:history="1">
        <w:proofErr w:type="gramStart"/>
        <w:r w:rsidRPr="00EE4904">
          <w:rPr>
            <w:rStyle w:val="Hyperlink"/>
            <w:rFonts w:asciiTheme="minorHAnsi" w:hAnsiTheme="minorHAnsi"/>
            <w:sz w:val="16"/>
            <w:szCs w:val="16"/>
          </w:rPr>
          <w:t>North West oral health survey of services for dependent older people, 2012 to 2013</w:t>
        </w:r>
      </w:hyperlink>
      <w:r w:rsidRPr="00EE4904">
        <w:rPr>
          <w:rFonts w:asciiTheme="minorHAnsi" w:hAnsiTheme="minorHAnsi"/>
          <w:sz w:val="16"/>
          <w:szCs w:val="16"/>
        </w:rPr>
        <w:t>.</w:t>
      </w:r>
      <w:proofErr w:type="gramEnd"/>
      <w:r w:rsidRPr="00EE4904">
        <w:rPr>
          <w:rFonts w:asciiTheme="minorHAnsi" w:hAnsiTheme="minorHAnsi"/>
          <w:sz w:val="16"/>
          <w:szCs w:val="16"/>
        </w:rPr>
        <w:t xml:space="preserve"> </w:t>
      </w:r>
    </w:p>
  </w:footnote>
  <w:footnote w:id="80">
    <w:p w:rsidR="00890277" w:rsidRPr="00EE4904" w:rsidRDefault="00890277" w:rsidP="00E57656">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A maternity is a pregnancy resulting in the birth of one or more children, including still births</w:t>
      </w:r>
    </w:p>
  </w:footnote>
  <w:footnote w:id="81">
    <w:p w:rsidR="00890277" w:rsidRPr="00EE4904" w:rsidRDefault="00890277" w:rsidP="00E57656">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w:t>
      </w:r>
      <w:hyperlink r:id="rId56" w:history="1">
        <w:r w:rsidRPr="00EE4904">
          <w:rPr>
            <w:rStyle w:val="Hyperlink"/>
            <w:rFonts w:asciiTheme="minorHAnsi" w:hAnsiTheme="minorHAnsi"/>
            <w:sz w:val="16"/>
            <w:szCs w:val="16"/>
          </w:rPr>
          <w:t>http://www.who.int/topics/immunization/en/</w:t>
        </w:r>
      </w:hyperlink>
      <w:r w:rsidRPr="00EE4904">
        <w:rPr>
          <w:rFonts w:asciiTheme="minorHAnsi" w:hAnsiTheme="minorHAnsi"/>
          <w:sz w:val="16"/>
          <w:szCs w:val="16"/>
        </w:rPr>
        <w:t xml:space="preserve"> </w:t>
      </w:r>
    </w:p>
  </w:footnote>
  <w:footnote w:id="82">
    <w:p w:rsidR="00890277" w:rsidRPr="00EE4904" w:rsidRDefault="00890277" w:rsidP="00E57656">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w:t>
      </w:r>
      <w:proofErr w:type="gramStart"/>
      <w:r w:rsidRPr="00EE4904">
        <w:rPr>
          <w:rFonts w:asciiTheme="minorHAnsi" w:hAnsiTheme="minorHAnsi"/>
          <w:sz w:val="16"/>
          <w:szCs w:val="16"/>
        </w:rPr>
        <w:t>World Health Organisation (2014) Immunization coverage.</w:t>
      </w:r>
      <w:proofErr w:type="gramEnd"/>
      <w:r w:rsidRPr="00EE4904">
        <w:rPr>
          <w:rFonts w:asciiTheme="minorHAnsi" w:hAnsiTheme="minorHAnsi"/>
          <w:sz w:val="16"/>
          <w:szCs w:val="16"/>
        </w:rPr>
        <w:t xml:space="preserve"> </w:t>
      </w:r>
      <w:hyperlink r:id="rId57" w:history="1">
        <w:proofErr w:type="gramStart"/>
        <w:r w:rsidRPr="00EE4904">
          <w:rPr>
            <w:rStyle w:val="Hyperlink"/>
            <w:rFonts w:asciiTheme="minorHAnsi" w:hAnsiTheme="minorHAnsi"/>
            <w:sz w:val="16"/>
            <w:szCs w:val="16"/>
          </w:rPr>
          <w:t>Fact sheet N°378</w:t>
        </w:r>
      </w:hyperlink>
      <w:r w:rsidRPr="00EE4904">
        <w:rPr>
          <w:rFonts w:asciiTheme="minorHAnsi" w:hAnsiTheme="minorHAnsi"/>
          <w:sz w:val="16"/>
          <w:szCs w:val="16"/>
        </w:rPr>
        <w:t>.</w:t>
      </w:r>
      <w:proofErr w:type="gramEnd"/>
      <w:r w:rsidRPr="00EE4904">
        <w:rPr>
          <w:rFonts w:asciiTheme="minorHAnsi" w:hAnsiTheme="minorHAnsi"/>
          <w:sz w:val="16"/>
          <w:szCs w:val="16"/>
        </w:rPr>
        <w:t xml:space="preserve"> </w:t>
      </w:r>
      <w:proofErr w:type="gramStart"/>
      <w:r w:rsidRPr="00EE4904">
        <w:rPr>
          <w:rFonts w:asciiTheme="minorHAnsi" w:hAnsiTheme="minorHAnsi"/>
          <w:sz w:val="16"/>
          <w:szCs w:val="16"/>
        </w:rPr>
        <w:t>Last reviewed: November 2014.</w:t>
      </w:r>
      <w:proofErr w:type="gramEnd"/>
      <w:r w:rsidRPr="00EE4904">
        <w:rPr>
          <w:rFonts w:asciiTheme="minorHAnsi" w:hAnsiTheme="minorHAnsi"/>
          <w:sz w:val="16"/>
          <w:szCs w:val="16"/>
        </w:rPr>
        <w:t xml:space="preserve"> </w:t>
      </w:r>
    </w:p>
  </w:footnote>
  <w:footnote w:id="83">
    <w:p w:rsidR="00890277" w:rsidRPr="00EE4904" w:rsidRDefault="00890277" w:rsidP="00E57656">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w:t>
      </w:r>
      <w:hyperlink r:id="rId58" w:history="1">
        <w:r w:rsidRPr="00EE4904">
          <w:rPr>
            <w:rStyle w:val="Hyperlink"/>
            <w:rFonts w:asciiTheme="minorHAnsi" w:hAnsiTheme="minorHAnsi"/>
            <w:sz w:val="16"/>
            <w:szCs w:val="16"/>
          </w:rPr>
          <w:t>http://www.nhs.uk/Conditions/vaccinations/Pages/vaccination-schedule-age-checklist.aspx</w:t>
        </w:r>
      </w:hyperlink>
      <w:r w:rsidRPr="00EE4904">
        <w:rPr>
          <w:rFonts w:asciiTheme="minorHAnsi" w:hAnsiTheme="minorHAnsi"/>
          <w:sz w:val="16"/>
          <w:szCs w:val="16"/>
        </w:rPr>
        <w:t xml:space="preserve"> </w:t>
      </w:r>
    </w:p>
  </w:footnote>
  <w:footnote w:id="84">
    <w:p w:rsidR="00890277" w:rsidRPr="00EE4904" w:rsidRDefault="00890277" w:rsidP="00E57656">
      <w:pPr>
        <w:pStyle w:val="FootnoteText"/>
        <w:rPr>
          <w:rFonts w:asciiTheme="minorHAnsi" w:hAnsiTheme="minorHAnsi"/>
          <w:sz w:val="16"/>
          <w:szCs w:val="16"/>
        </w:rPr>
      </w:pPr>
      <w:r w:rsidRPr="00EE4904">
        <w:rPr>
          <w:rStyle w:val="FootnoteReference"/>
          <w:rFonts w:asciiTheme="minorHAnsi" w:hAnsiTheme="minorHAnsi"/>
          <w:sz w:val="16"/>
          <w:szCs w:val="16"/>
        </w:rPr>
        <w:footnoteRef/>
      </w:r>
      <w:proofErr w:type="gramStart"/>
      <w:r w:rsidRPr="00EE4904">
        <w:rPr>
          <w:rFonts w:asciiTheme="minorHAnsi" w:hAnsiTheme="minorHAnsi"/>
          <w:sz w:val="16"/>
          <w:szCs w:val="16"/>
        </w:rPr>
        <w:t>Department of Health.</w:t>
      </w:r>
      <w:proofErr w:type="gramEnd"/>
      <w:r w:rsidRPr="00EE4904">
        <w:rPr>
          <w:rFonts w:asciiTheme="minorHAnsi" w:hAnsiTheme="minorHAnsi"/>
          <w:sz w:val="16"/>
          <w:szCs w:val="16"/>
        </w:rPr>
        <w:t xml:space="preserve"> (2014</w:t>
      </w:r>
      <w:hyperlink r:id="rId59" w:history="1">
        <w:r w:rsidRPr="00EE4904">
          <w:rPr>
            <w:rStyle w:val="Hyperlink"/>
            <w:rFonts w:asciiTheme="minorHAnsi" w:hAnsiTheme="minorHAnsi"/>
            <w:sz w:val="16"/>
            <w:szCs w:val="16"/>
          </w:rPr>
          <w:t>) Vaccines for the routine immunisation schedule from summer 2014</w:t>
        </w:r>
      </w:hyperlink>
      <w:r w:rsidRPr="00EE4904">
        <w:rPr>
          <w:rFonts w:asciiTheme="minorHAnsi" w:hAnsiTheme="minorHAnsi"/>
          <w:sz w:val="16"/>
          <w:szCs w:val="16"/>
        </w:rPr>
        <w:t xml:space="preserve">. </w:t>
      </w:r>
      <w:proofErr w:type="gramStart"/>
      <w:r w:rsidRPr="00EE4904">
        <w:rPr>
          <w:rFonts w:asciiTheme="minorHAnsi" w:hAnsiTheme="minorHAnsi"/>
          <w:sz w:val="16"/>
          <w:szCs w:val="16"/>
        </w:rPr>
        <w:t>Published on 7 May 2014.</w:t>
      </w:r>
      <w:proofErr w:type="gramEnd"/>
      <w:r w:rsidRPr="00EE4904">
        <w:rPr>
          <w:rFonts w:asciiTheme="minorHAnsi" w:hAnsiTheme="minorHAnsi"/>
          <w:sz w:val="16"/>
          <w:szCs w:val="16"/>
        </w:rPr>
        <w:t xml:space="preserve"> </w:t>
      </w:r>
    </w:p>
  </w:footnote>
  <w:footnote w:id="85">
    <w:p w:rsidR="00890277" w:rsidRPr="00EE4904" w:rsidRDefault="00890277" w:rsidP="00E57656">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w:t>
      </w:r>
      <w:hyperlink r:id="rId60" w:anchor="gid/1000043/pat/6/ati/102/page/1/par/E12000007/are/E09000003" w:history="1">
        <w:r w:rsidRPr="00EE4904">
          <w:rPr>
            <w:rStyle w:val="Hyperlink"/>
            <w:rFonts w:asciiTheme="minorHAnsi" w:hAnsiTheme="minorHAnsi"/>
            <w:sz w:val="16"/>
            <w:szCs w:val="16"/>
          </w:rPr>
          <w:t>http://www.phoutcomes.info/public-health-outcomes-framework#gid/1000043/pat/6/ati/102/page/1/par/E12000007/are/E09000003</w:t>
        </w:r>
      </w:hyperlink>
      <w:r w:rsidRPr="00EE4904">
        <w:rPr>
          <w:rFonts w:asciiTheme="minorHAnsi" w:hAnsiTheme="minorHAnsi"/>
          <w:sz w:val="16"/>
          <w:szCs w:val="16"/>
        </w:rPr>
        <w:t xml:space="preserve"> </w:t>
      </w:r>
    </w:p>
  </w:footnote>
  <w:footnote w:id="86">
    <w:p w:rsidR="00890277" w:rsidRPr="00EE4904" w:rsidRDefault="00890277" w:rsidP="00E57656">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w:t>
      </w:r>
      <w:proofErr w:type="gramStart"/>
      <w:r w:rsidRPr="00EE4904">
        <w:rPr>
          <w:rFonts w:asciiTheme="minorHAnsi" w:hAnsiTheme="minorHAnsi"/>
          <w:sz w:val="16"/>
          <w:szCs w:val="16"/>
        </w:rPr>
        <w:t>Public Health England.</w:t>
      </w:r>
      <w:proofErr w:type="gramEnd"/>
      <w:r w:rsidRPr="00EE4904">
        <w:rPr>
          <w:rFonts w:asciiTheme="minorHAnsi" w:hAnsiTheme="minorHAnsi"/>
          <w:sz w:val="16"/>
          <w:szCs w:val="16"/>
        </w:rPr>
        <w:t xml:space="preserve"> (2014) </w:t>
      </w:r>
      <w:hyperlink r:id="rId61" w:history="1">
        <w:r w:rsidRPr="00EE4904">
          <w:rPr>
            <w:rStyle w:val="Hyperlink"/>
            <w:rFonts w:asciiTheme="minorHAnsi" w:hAnsiTheme="minorHAnsi"/>
            <w:sz w:val="16"/>
            <w:szCs w:val="16"/>
          </w:rPr>
          <w:t>Tuberculosis in the UK: 2014 report</w:t>
        </w:r>
      </w:hyperlink>
      <w:r w:rsidRPr="00EE4904">
        <w:rPr>
          <w:rFonts w:asciiTheme="minorHAnsi" w:hAnsiTheme="minorHAnsi"/>
          <w:sz w:val="16"/>
          <w:szCs w:val="16"/>
        </w:rPr>
        <w:t>. London.</w:t>
      </w:r>
    </w:p>
  </w:footnote>
  <w:footnote w:id="87">
    <w:p w:rsidR="00890277" w:rsidRPr="00EE4904" w:rsidRDefault="00890277" w:rsidP="00E57656">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w:t>
      </w:r>
      <w:proofErr w:type="gramStart"/>
      <w:r w:rsidRPr="00EE4904">
        <w:rPr>
          <w:rFonts w:asciiTheme="minorHAnsi" w:hAnsiTheme="minorHAnsi"/>
          <w:sz w:val="16"/>
          <w:szCs w:val="16"/>
        </w:rPr>
        <w:t>Public Health England.</w:t>
      </w:r>
      <w:proofErr w:type="gramEnd"/>
      <w:r w:rsidRPr="00EE4904">
        <w:rPr>
          <w:rFonts w:asciiTheme="minorHAnsi" w:hAnsiTheme="minorHAnsi"/>
          <w:sz w:val="16"/>
          <w:szCs w:val="16"/>
        </w:rPr>
        <w:t xml:space="preserve"> </w:t>
      </w:r>
      <w:hyperlink r:id="rId62" w:anchor="gid/1938132814/pat/6/ati/102/page/0/par/E12000007/are/E09000003" w:history="1">
        <w:proofErr w:type="gramStart"/>
        <w:r w:rsidRPr="00EE4904">
          <w:rPr>
            <w:rStyle w:val="Hyperlink"/>
            <w:rFonts w:asciiTheme="minorHAnsi" w:hAnsiTheme="minorHAnsi"/>
            <w:sz w:val="16"/>
            <w:szCs w:val="16"/>
          </w:rPr>
          <w:t>TB Strategy Monitoring Indicators</w:t>
        </w:r>
      </w:hyperlink>
      <w:r w:rsidRPr="00EE4904">
        <w:rPr>
          <w:rFonts w:asciiTheme="minorHAnsi" w:hAnsiTheme="minorHAnsi"/>
          <w:sz w:val="16"/>
          <w:szCs w:val="16"/>
        </w:rPr>
        <w:t>.</w:t>
      </w:r>
      <w:proofErr w:type="gramEnd"/>
      <w:r w:rsidRPr="00EE4904">
        <w:rPr>
          <w:rFonts w:asciiTheme="minorHAnsi" w:hAnsiTheme="minorHAnsi"/>
          <w:sz w:val="16"/>
          <w:szCs w:val="16"/>
        </w:rPr>
        <w:t xml:space="preserve"> </w:t>
      </w:r>
    </w:p>
  </w:footnote>
  <w:footnote w:id="88">
    <w:p w:rsidR="00890277" w:rsidRPr="00EE4904" w:rsidRDefault="00890277" w:rsidP="00E57656">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w:t>
      </w:r>
      <w:proofErr w:type="gramStart"/>
      <w:r w:rsidRPr="00EE4904">
        <w:rPr>
          <w:rFonts w:asciiTheme="minorHAnsi" w:hAnsiTheme="minorHAnsi"/>
          <w:sz w:val="16"/>
          <w:szCs w:val="16"/>
        </w:rPr>
        <w:t>Public Health England.</w:t>
      </w:r>
      <w:proofErr w:type="gramEnd"/>
      <w:r w:rsidRPr="00EE4904">
        <w:rPr>
          <w:rFonts w:asciiTheme="minorHAnsi" w:hAnsiTheme="minorHAnsi"/>
          <w:sz w:val="16"/>
          <w:szCs w:val="16"/>
        </w:rPr>
        <w:t xml:space="preserve"> (2013) </w:t>
      </w:r>
      <w:hyperlink r:id="rId63" w:history="1">
        <w:r w:rsidRPr="00EE4904">
          <w:rPr>
            <w:rStyle w:val="Hyperlink"/>
            <w:rFonts w:asciiTheme="minorHAnsi" w:hAnsiTheme="minorHAnsi"/>
            <w:sz w:val="16"/>
            <w:szCs w:val="16"/>
          </w:rPr>
          <w:t>Local authority TB profiles (2012 data)</w:t>
        </w:r>
      </w:hyperlink>
      <w:r w:rsidRPr="00EE4904">
        <w:rPr>
          <w:rFonts w:asciiTheme="minorHAnsi" w:hAnsiTheme="minorHAnsi"/>
          <w:sz w:val="16"/>
          <w:szCs w:val="16"/>
        </w:rPr>
        <w:t xml:space="preserve">. </w:t>
      </w:r>
    </w:p>
  </w:footnote>
  <w:footnote w:id="89">
    <w:p w:rsidR="00890277" w:rsidRPr="00EE4904" w:rsidRDefault="00890277" w:rsidP="00E57656">
      <w:pPr>
        <w:spacing w:after="0" w:line="240" w:lineRule="auto"/>
        <w:rPr>
          <w:sz w:val="16"/>
          <w:szCs w:val="16"/>
        </w:rPr>
      </w:pPr>
      <w:r w:rsidRPr="00EE4904">
        <w:rPr>
          <w:rStyle w:val="FootnoteReference"/>
          <w:sz w:val="16"/>
          <w:szCs w:val="16"/>
        </w:rPr>
        <w:footnoteRef/>
      </w:r>
      <w:r w:rsidRPr="00EE4904">
        <w:rPr>
          <w:sz w:val="16"/>
          <w:szCs w:val="16"/>
        </w:rPr>
        <w:t xml:space="preserve"> </w:t>
      </w:r>
      <w:proofErr w:type="gramStart"/>
      <w:r w:rsidRPr="00EE4904">
        <w:rPr>
          <w:sz w:val="16"/>
          <w:szCs w:val="16"/>
        </w:rPr>
        <w:t xml:space="preserve">Gupta et al. (2015) </w:t>
      </w:r>
      <w:hyperlink r:id="rId64" w:history="1">
        <w:r w:rsidRPr="00EE4904">
          <w:rPr>
            <w:rStyle w:val="Hyperlink"/>
            <w:sz w:val="16"/>
            <w:szCs w:val="16"/>
          </w:rPr>
          <w:t>Tuberculosis among the Homeless — Preventing another Outbreak through Community Action</w:t>
        </w:r>
      </w:hyperlink>
      <w:r w:rsidRPr="00EE4904">
        <w:rPr>
          <w:sz w:val="16"/>
          <w:szCs w:val="16"/>
        </w:rPr>
        <w:t>.</w:t>
      </w:r>
      <w:proofErr w:type="gramEnd"/>
      <w:r w:rsidRPr="00EE4904">
        <w:rPr>
          <w:sz w:val="16"/>
          <w:szCs w:val="16"/>
        </w:rPr>
        <w:t xml:space="preserve"> </w:t>
      </w:r>
      <w:r w:rsidRPr="00EE4904">
        <w:rPr>
          <w:i/>
          <w:sz w:val="16"/>
          <w:szCs w:val="16"/>
        </w:rPr>
        <w:t xml:space="preserve">N. Engl. J. Med. </w:t>
      </w:r>
      <w:r w:rsidRPr="00EE4904">
        <w:rPr>
          <w:sz w:val="16"/>
          <w:szCs w:val="16"/>
        </w:rPr>
        <w:t>372 (16):1483-1485.</w:t>
      </w:r>
    </w:p>
  </w:footnote>
  <w:footnote w:id="90">
    <w:p w:rsidR="00890277" w:rsidRPr="00EE4904" w:rsidRDefault="00890277" w:rsidP="00895BDD">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w:t>
      </w:r>
      <w:proofErr w:type="gramStart"/>
      <w:r w:rsidRPr="00EE4904">
        <w:rPr>
          <w:rFonts w:asciiTheme="minorHAnsi" w:hAnsiTheme="minorHAnsi"/>
          <w:sz w:val="16"/>
          <w:szCs w:val="16"/>
        </w:rPr>
        <w:t xml:space="preserve">National Institute for Health and Care Excellence (NICE) (2015) </w:t>
      </w:r>
      <w:hyperlink r:id="rId65" w:history="1">
        <w:r w:rsidRPr="00EE4904">
          <w:rPr>
            <w:rStyle w:val="Hyperlink"/>
            <w:rFonts w:asciiTheme="minorHAnsi" w:hAnsiTheme="minorHAnsi"/>
            <w:sz w:val="16"/>
            <w:szCs w:val="16"/>
          </w:rPr>
          <w:t>Tobacco.</w:t>
        </w:r>
        <w:proofErr w:type="gramEnd"/>
        <w:r w:rsidRPr="00EE4904">
          <w:rPr>
            <w:rStyle w:val="Hyperlink"/>
            <w:rFonts w:asciiTheme="minorHAnsi" w:hAnsiTheme="minorHAnsi"/>
            <w:sz w:val="16"/>
            <w:szCs w:val="16"/>
          </w:rPr>
          <w:t xml:space="preserve"> NICE advice [LGB24]</w:t>
        </w:r>
      </w:hyperlink>
      <w:r w:rsidRPr="00EE4904">
        <w:rPr>
          <w:rFonts w:asciiTheme="minorHAnsi" w:hAnsiTheme="minorHAnsi"/>
          <w:sz w:val="16"/>
          <w:szCs w:val="16"/>
        </w:rPr>
        <w:t xml:space="preserve">. </w:t>
      </w:r>
      <w:proofErr w:type="gramStart"/>
      <w:r w:rsidRPr="00EE4904">
        <w:rPr>
          <w:rFonts w:asciiTheme="minorHAnsi" w:hAnsiTheme="minorHAnsi"/>
          <w:sz w:val="16"/>
          <w:szCs w:val="16"/>
        </w:rPr>
        <w:t>Published date: January 2015.</w:t>
      </w:r>
      <w:proofErr w:type="gramEnd"/>
      <w:r w:rsidRPr="00EE4904">
        <w:rPr>
          <w:rFonts w:asciiTheme="minorHAnsi" w:hAnsiTheme="minorHAnsi"/>
          <w:sz w:val="16"/>
          <w:szCs w:val="16"/>
        </w:rPr>
        <w:t xml:space="preserve"> </w:t>
      </w:r>
    </w:p>
  </w:footnote>
  <w:footnote w:id="91">
    <w:p w:rsidR="00890277" w:rsidRPr="00EE4904" w:rsidRDefault="00890277" w:rsidP="00895BDD">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w:t>
      </w:r>
      <w:hyperlink r:id="rId66" w:history="1">
        <w:r w:rsidRPr="00EE4904">
          <w:rPr>
            <w:rStyle w:val="Hyperlink"/>
            <w:rFonts w:asciiTheme="minorHAnsi" w:hAnsiTheme="minorHAnsi"/>
            <w:sz w:val="16"/>
            <w:szCs w:val="16"/>
          </w:rPr>
          <w:t>http://www.tobaccoprofiles.info/profile/tobacco-control/data</w:t>
        </w:r>
      </w:hyperlink>
    </w:p>
  </w:footnote>
  <w:footnote w:id="92">
    <w:p w:rsidR="00890277" w:rsidRPr="00EE4904" w:rsidRDefault="00890277" w:rsidP="00895BDD">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w:t>
      </w:r>
      <w:proofErr w:type="gramStart"/>
      <w:r w:rsidRPr="00EE4904">
        <w:rPr>
          <w:rFonts w:asciiTheme="minorHAnsi" w:hAnsiTheme="minorHAnsi"/>
          <w:sz w:val="16"/>
          <w:szCs w:val="16"/>
        </w:rPr>
        <w:t xml:space="preserve">Deborah et al. (2004) </w:t>
      </w:r>
      <w:hyperlink r:id="rId67" w:history="1">
        <w:r w:rsidRPr="00EE4904">
          <w:rPr>
            <w:rStyle w:val="Hyperlink"/>
            <w:rFonts w:asciiTheme="minorHAnsi" w:hAnsiTheme="minorHAnsi"/>
            <w:sz w:val="16"/>
            <w:szCs w:val="16"/>
          </w:rPr>
          <w:t>Genetics of Asthma and COPD.</w:t>
        </w:r>
        <w:proofErr w:type="gramEnd"/>
        <w:r w:rsidRPr="00EE4904">
          <w:rPr>
            <w:rStyle w:val="Hyperlink"/>
            <w:rFonts w:asciiTheme="minorHAnsi" w:hAnsiTheme="minorHAnsi"/>
            <w:sz w:val="16"/>
            <w:szCs w:val="16"/>
          </w:rPr>
          <w:t xml:space="preserve"> Similar results for different phenotypes</w:t>
        </w:r>
      </w:hyperlink>
      <w:r w:rsidRPr="00EE4904">
        <w:rPr>
          <w:rFonts w:asciiTheme="minorHAnsi" w:hAnsiTheme="minorHAnsi"/>
          <w:sz w:val="16"/>
          <w:szCs w:val="16"/>
        </w:rPr>
        <w:t xml:space="preserve">. </w:t>
      </w:r>
      <w:r w:rsidRPr="00EE4904">
        <w:rPr>
          <w:rFonts w:asciiTheme="minorHAnsi" w:hAnsiTheme="minorHAnsi"/>
          <w:i/>
          <w:sz w:val="16"/>
          <w:szCs w:val="16"/>
        </w:rPr>
        <w:t>Chest,</w:t>
      </w:r>
      <w:r w:rsidRPr="00EE4904">
        <w:rPr>
          <w:rFonts w:asciiTheme="minorHAnsi" w:hAnsiTheme="minorHAnsi"/>
          <w:sz w:val="16"/>
          <w:szCs w:val="16"/>
        </w:rPr>
        <w:t xml:space="preserve"> 126 (2): 105S-110S. </w:t>
      </w:r>
    </w:p>
  </w:footnote>
  <w:footnote w:id="93">
    <w:p w:rsidR="00890277" w:rsidRPr="00EE4904" w:rsidRDefault="00890277" w:rsidP="00895BDD">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Hardin et al. (2011) </w:t>
      </w:r>
      <w:hyperlink r:id="rId68" w:history="1">
        <w:proofErr w:type="gramStart"/>
        <w:r w:rsidRPr="00EE4904">
          <w:rPr>
            <w:rStyle w:val="Hyperlink"/>
            <w:rFonts w:asciiTheme="minorHAnsi" w:hAnsiTheme="minorHAnsi"/>
            <w:sz w:val="16"/>
            <w:szCs w:val="16"/>
          </w:rPr>
          <w:t>The</w:t>
        </w:r>
        <w:proofErr w:type="gramEnd"/>
        <w:r w:rsidRPr="00EE4904">
          <w:rPr>
            <w:rStyle w:val="Hyperlink"/>
            <w:rFonts w:asciiTheme="minorHAnsi" w:hAnsiTheme="minorHAnsi"/>
            <w:sz w:val="16"/>
            <w:szCs w:val="16"/>
          </w:rPr>
          <w:t xml:space="preserve"> clinical features of the overlap between COPD and asthma</w:t>
        </w:r>
      </w:hyperlink>
      <w:r w:rsidRPr="00EE4904">
        <w:rPr>
          <w:rFonts w:asciiTheme="minorHAnsi" w:hAnsiTheme="minorHAnsi"/>
          <w:sz w:val="16"/>
          <w:szCs w:val="16"/>
        </w:rPr>
        <w:t xml:space="preserve">. </w:t>
      </w:r>
      <w:r w:rsidRPr="00EE4904">
        <w:rPr>
          <w:rFonts w:asciiTheme="minorHAnsi" w:hAnsiTheme="minorHAnsi"/>
          <w:i/>
          <w:sz w:val="16"/>
          <w:szCs w:val="16"/>
        </w:rPr>
        <w:t>Respiratory Research</w:t>
      </w:r>
      <w:r w:rsidRPr="00EE4904">
        <w:rPr>
          <w:rFonts w:asciiTheme="minorHAnsi" w:hAnsiTheme="minorHAnsi"/>
          <w:sz w:val="16"/>
          <w:szCs w:val="16"/>
        </w:rPr>
        <w:t xml:space="preserve">, 12(1): 127. </w:t>
      </w:r>
    </w:p>
  </w:footnote>
  <w:footnote w:id="94">
    <w:p w:rsidR="00890277" w:rsidRPr="00EE4904" w:rsidRDefault="00890277" w:rsidP="00895BDD">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w:t>
      </w:r>
      <w:hyperlink r:id="rId69" w:history="1">
        <w:r w:rsidRPr="00EE4904">
          <w:rPr>
            <w:rStyle w:val="Hyperlink"/>
            <w:rFonts w:asciiTheme="minorHAnsi" w:hAnsiTheme="minorHAnsi"/>
            <w:sz w:val="16"/>
            <w:szCs w:val="16"/>
          </w:rPr>
          <w:t>http://www.cancerresearchuk.org/cancer-info/cancerstats/local-cancer-statistics/</w:t>
        </w:r>
      </w:hyperlink>
      <w:r w:rsidRPr="00EE4904">
        <w:rPr>
          <w:rFonts w:asciiTheme="minorHAnsi" w:hAnsiTheme="minorHAnsi"/>
          <w:sz w:val="16"/>
          <w:szCs w:val="16"/>
        </w:rPr>
        <w:t xml:space="preserve"> </w:t>
      </w:r>
    </w:p>
  </w:footnote>
  <w:footnote w:id="95">
    <w:p w:rsidR="00890277" w:rsidRPr="00EE4904" w:rsidRDefault="00890277" w:rsidP="00895BDD">
      <w:pPr>
        <w:spacing w:after="0" w:line="240" w:lineRule="auto"/>
        <w:rPr>
          <w:sz w:val="16"/>
          <w:szCs w:val="16"/>
        </w:rPr>
      </w:pPr>
      <w:r w:rsidRPr="00EE4904">
        <w:rPr>
          <w:rStyle w:val="FootnoteReference"/>
          <w:sz w:val="16"/>
          <w:szCs w:val="16"/>
        </w:rPr>
        <w:footnoteRef/>
      </w:r>
      <w:r w:rsidRPr="00EE4904">
        <w:rPr>
          <w:sz w:val="16"/>
          <w:szCs w:val="16"/>
        </w:rPr>
        <w:t xml:space="preserve"> </w:t>
      </w:r>
      <w:proofErr w:type="spellStart"/>
      <w:proofErr w:type="gramStart"/>
      <w:r w:rsidRPr="00EE4904">
        <w:rPr>
          <w:sz w:val="16"/>
          <w:szCs w:val="16"/>
        </w:rPr>
        <w:t>Hillas</w:t>
      </w:r>
      <w:proofErr w:type="spellEnd"/>
      <w:r w:rsidRPr="00EE4904">
        <w:rPr>
          <w:sz w:val="16"/>
          <w:szCs w:val="16"/>
        </w:rPr>
        <w:t xml:space="preserve">, et al. (2015) </w:t>
      </w:r>
      <w:hyperlink r:id="rId70" w:history="1">
        <w:r w:rsidRPr="00EE4904">
          <w:rPr>
            <w:rStyle w:val="Hyperlink"/>
            <w:sz w:val="16"/>
            <w:szCs w:val="16"/>
          </w:rPr>
          <w:t>Managing comorbidities in COPD</w:t>
        </w:r>
      </w:hyperlink>
      <w:r w:rsidRPr="00EE4904">
        <w:rPr>
          <w:sz w:val="16"/>
          <w:szCs w:val="16"/>
        </w:rPr>
        <w:t>.</w:t>
      </w:r>
      <w:proofErr w:type="gramEnd"/>
      <w:r w:rsidRPr="00EE4904">
        <w:rPr>
          <w:sz w:val="16"/>
          <w:szCs w:val="16"/>
        </w:rPr>
        <w:t xml:space="preserve"> </w:t>
      </w:r>
      <w:r w:rsidRPr="00EE4904">
        <w:rPr>
          <w:i/>
          <w:sz w:val="16"/>
          <w:szCs w:val="16"/>
        </w:rPr>
        <w:t xml:space="preserve">Int. J. Chron. Obstruct. </w:t>
      </w:r>
      <w:proofErr w:type="spellStart"/>
      <w:proofErr w:type="gramStart"/>
      <w:r w:rsidRPr="00EE4904">
        <w:rPr>
          <w:i/>
          <w:sz w:val="16"/>
          <w:szCs w:val="16"/>
        </w:rPr>
        <w:t>Pulmon</w:t>
      </w:r>
      <w:proofErr w:type="spellEnd"/>
      <w:r w:rsidRPr="00EE4904">
        <w:rPr>
          <w:i/>
          <w:sz w:val="16"/>
          <w:szCs w:val="16"/>
        </w:rPr>
        <w:t>.</w:t>
      </w:r>
      <w:proofErr w:type="gramEnd"/>
      <w:r w:rsidRPr="00EE4904">
        <w:rPr>
          <w:i/>
          <w:sz w:val="16"/>
          <w:szCs w:val="16"/>
        </w:rPr>
        <w:t xml:space="preserve"> Dis.</w:t>
      </w:r>
      <w:r w:rsidRPr="00EE4904">
        <w:rPr>
          <w:sz w:val="16"/>
          <w:szCs w:val="16"/>
        </w:rPr>
        <w:t xml:space="preserve"> 10: 95–109. </w:t>
      </w:r>
    </w:p>
  </w:footnote>
  <w:footnote w:id="96">
    <w:p w:rsidR="00890277" w:rsidRPr="00EE4904" w:rsidRDefault="00890277" w:rsidP="00895BDD">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w:t>
      </w:r>
      <w:proofErr w:type="gramStart"/>
      <w:r w:rsidRPr="00EE4904">
        <w:rPr>
          <w:rFonts w:asciiTheme="minorHAnsi" w:hAnsiTheme="minorHAnsi"/>
          <w:sz w:val="16"/>
          <w:szCs w:val="16"/>
        </w:rPr>
        <w:t>HSCIC (2014).</w:t>
      </w:r>
      <w:proofErr w:type="gramEnd"/>
      <w:r w:rsidRPr="00EE4904">
        <w:rPr>
          <w:rFonts w:asciiTheme="minorHAnsi" w:hAnsiTheme="minorHAnsi"/>
          <w:sz w:val="16"/>
          <w:szCs w:val="16"/>
        </w:rPr>
        <w:t xml:space="preserve"> </w:t>
      </w:r>
      <w:hyperlink r:id="rId71" w:history="1">
        <w:r w:rsidRPr="00EE4904">
          <w:rPr>
            <w:rStyle w:val="Hyperlink"/>
            <w:rFonts w:asciiTheme="minorHAnsi" w:hAnsiTheme="minorHAnsi"/>
            <w:sz w:val="16"/>
            <w:szCs w:val="16"/>
          </w:rPr>
          <w:t>Quality and Outcomes Framework (QOF) - 2013-14</w:t>
        </w:r>
      </w:hyperlink>
      <w:r w:rsidRPr="00EE4904">
        <w:rPr>
          <w:rFonts w:asciiTheme="minorHAnsi" w:hAnsiTheme="minorHAnsi"/>
          <w:sz w:val="16"/>
          <w:szCs w:val="16"/>
        </w:rPr>
        <w:t xml:space="preserve">. </w:t>
      </w:r>
      <w:proofErr w:type="gramStart"/>
      <w:r w:rsidRPr="00EE4904">
        <w:rPr>
          <w:rFonts w:asciiTheme="minorHAnsi" w:hAnsiTheme="minorHAnsi"/>
          <w:sz w:val="16"/>
          <w:szCs w:val="16"/>
        </w:rPr>
        <w:t>Dated: 28 October 2014.</w:t>
      </w:r>
      <w:proofErr w:type="gramEnd"/>
      <w:r w:rsidRPr="00EE4904">
        <w:rPr>
          <w:rFonts w:asciiTheme="minorHAnsi" w:hAnsiTheme="minorHAnsi"/>
          <w:sz w:val="16"/>
          <w:szCs w:val="16"/>
        </w:rPr>
        <w:t xml:space="preserve"> </w:t>
      </w:r>
    </w:p>
  </w:footnote>
  <w:footnote w:id="97">
    <w:p w:rsidR="00890277" w:rsidRPr="00EE4904" w:rsidRDefault="00890277" w:rsidP="00895BDD">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HSCIC (2015) </w:t>
      </w:r>
      <w:hyperlink r:id="rId72" w:history="1">
        <w:r w:rsidRPr="00EE4904">
          <w:rPr>
            <w:rStyle w:val="Hyperlink"/>
            <w:rFonts w:asciiTheme="minorHAnsi" w:hAnsiTheme="minorHAnsi"/>
            <w:sz w:val="16"/>
            <w:szCs w:val="16"/>
          </w:rPr>
          <w:t>Statistics on Obesity, Physical Activity and Diet - England 2015</w:t>
        </w:r>
      </w:hyperlink>
      <w:r w:rsidRPr="00EE4904">
        <w:rPr>
          <w:rFonts w:asciiTheme="minorHAnsi" w:hAnsiTheme="minorHAnsi"/>
          <w:sz w:val="16"/>
          <w:szCs w:val="16"/>
        </w:rPr>
        <w:t xml:space="preserve"> [Publication date: March 03, 2015) </w:t>
      </w:r>
    </w:p>
  </w:footnote>
  <w:footnote w:id="98">
    <w:p w:rsidR="00890277" w:rsidRPr="00EE4904" w:rsidRDefault="00890277" w:rsidP="00895BDD">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Chief Medical Officer (2004). </w:t>
      </w:r>
      <w:hyperlink r:id="rId73" w:history="1">
        <w:r w:rsidRPr="00EE4904">
          <w:rPr>
            <w:rStyle w:val="Hyperlink"/>
            <w:rFonts w:asciiTheme="minorHAnsi" w:hAnsiTheme="minorHAnsi"/>
            <w:sz w:val="16"/>
            <w:szCs w:val="16"/>
          </w:rPr>
          <w:t>At least five a week: Evidence on the impact of physical activity and its relationship to health</w:t>
        </w:r>
      </w:hyperlink>
      <w:r w:rsidRPr="00EE4904">
        <w:rPr>
          <w:rFonts w:asciiTheme="minorHAnsi" w:hAnsiTheme="minorHAnsi"/>
          <w:sz w:val="16"/>
          <w:szCs w:val="16"/>
        </w:rPr>
        <w:t>. London: Department of Health.</w:t>
      </w:r>
    </w:p>
  </w:footnote>
  <w:footnote w:id="99">
    <w:p w:rsidR="00890277" w:rsidRPr="00EE4904" w:rsidRDefault="00890277" w:rsidP="00895BDD">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w:t>
      </w:r>
      <w:proofErr w:type="gramStart"/>
      <w:r w:rsidRPr="00EE4904">
        <w:rPr>
          <w:rFonts w:asciiTheme="minorHAnsi" w:hAnsiTheme="minorHAnsi"/>
          <w:sz w:val="16"/>
          <w:szCs w:val="16"/>
        </w:rPr>
        <w:t>Public Health England.</w:t>
      </w:r>
      <w:proofErr w:type="gramEnd"/>
      <w:r w:rsidRPr="00EE4904">
        <w:rPr>
          <w:rFonts w:asciiTheme="minorHAnsi" w:hAnsiTheme="minorHAnsi"/>
          <w:sz w:val="16"/>
          <w:szCs w:val="16"/>
        </w:rPr>
        <w:t xml:space="preserve"> </w:t>
      </w:r>
      <w:hyperlink r:id="rId74" w:history="1">
        <w:r w:rsidRPr="00EE4904">
          <w:rPr>
            <w:rStyle w:val="Hyperlink"/>
            <w:rFonts w:asciiTheme="minorHAnsi" w:hAnsiTheme="minorHAnsi"/>
            <w:sz w:val="16"/>
            <w:szCs w:val="16"/>
          </w:rPr>
          <w:t>Health Improvement</w:t>
        </w:r>
      </w:hyperlink>
      <w:r w:rsidRPr="00EE4904">
        <w:rPr>
          <w:rFonts w:asciiTheme="minorHAnsi" w:hAnsiTheme="minorHAnsi"/>
          <w:sz w:val="16"/>
          <w:szCs w:val="16"/>
        </w:rPr>
        <w:t xml:space="preserve"> in </w:t>
      </w:r>
      <w:hyperlink r:id="rId75" w:history="1">
        <w:r w:rsidRPr="00EE4904">
          <w:rPr>
            <w:rStyle w:val="Hyperlink"/>
            <w:rFonts w:asciiTheme="minorHAnsi" w:hAnsiTheme="minorHAnsi"/>
            <w:sz w:val="16"/>
            <w:szCs w:val="16"/>
          </w:rPr>
          <w:t>Public Health Outcome Framework</w:t>
        </w:r>
      </w:hyperlink>
    </w:p>
  </w:footnote>
  <w:footnote w:id="100">
    <w:p w:rsidR="00890277" w:rsidRPr="00EE4904" w:rsidRDefault="00890277" w:rsidP="00895BDD">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Sport England. </w:t>
      </w:r>
      <w:hyperlink r:id="rId76" w:history="1">
        <w:r w:rsidRPr="00EE4904">
          <w:rPr>
            <w:rStyle w:val="Hyperlink"/>
            <w:rFonts w:asciiTheme="minorHAnsi" w:hAnsiTheme="minorHAnsi"/>
            <w:sz w:val="16"/>
            <w:szCs w:val="16"/>
          </w:rPr>
          <w:t>Small Area Estimates web tool</w:t>
        </w:r>
      </w:hyperlink>
    </w:p>
  </w:footnote>
  <w:footnote w:id="101">
    <w:p w:rsidR="00890277" w:rsidRPr="00EE4904" w:rsidRDefault="00890277" w:rsidP="00895BDD">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London Borough of Barnet (2014) </w:t>
      </w:r>
      <w:hyperlink r:id="rId77" w:history="1">
        <w:r w:rsidRPr="00EE4904">
          <w:rPr>
            <w:rStyle w:val="Hyperlink"/>
            <w:rFonts w:asciiTheme="minorHAnsi" w:hAnsiTheme="minorHAnsi"/>
            <w:sz w:val="16"/>
            <w:szCs w:val="16"/>
          </w:rPr>
          <w:t xml:space="preserve">Harrow &amp; Barnet </w:t>
        </w:r>
        <w:proofErr w:type="gramStart"/>
        <w:r w:rsidRPr="00EE4904">
          <w:rPr>
            <w:rStyle w:val="Hyperlink"/>
            <w:rFonts w:asciiTheme="minorHAnsi" w:hAnsiTheme="minorHAnsi"/>
            <w:sz w:val="16"/>
            <w:szCs w:val="16"/>
          </w:rPr>
          <w:t>On</w:t>
        </w:r>
        <w:proofErr w:type="gramEnd"/>
        <w:r w:rsidRPr="00EE4904">
          <w:rPr>
            <w:rStyle w:val="Hyperlink"/>
            <w:rFonts w:asciiTheme="minorHAnsi" w:hAnsiTheme="minorHAnsi"/>
            <w:sz w:val="16"/>
            <w:szCs w:val="16"/>
          </w:rPr>
          <w:t xml:space="preserve"> The Move</w:t>
        </w:r>
      </w:hyperlink>
      <w:r w:rsidRPr="00EE4904">
        <w:rPr>
          <w:rFonts w:asciiTheme="minorHAnsi" w:hAnsiTheme="minorHAnsi"/>
          <w:sz w:val="16"/>
          <w:szCs w:val="16"/>
        </w:rPr>
        <w:t xml:space="preserve">. The Annual Report of the Director of Public Health of the London Boroughs of Barnet and Harrow 2013-14 </w:t>
      </w:r>
    </w:p>
  </w:footnote>
  <w:footnote w:id="102">
    <w:p w:rsidR="00890277" w:rsidRPr="00EE4904" w:rsidRDefault="00890277" w:rsidP="00895BDD">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w:t>
      </w:r>
      <w:hyperlink r:id="rId78" w:history="1">
        <w:r w:rsidRPr="00EE4904">
          <w:rPr>
            <w:rStyle w:val="Hyperlink"/>
            <w:rFonts w:asciiTheme="minorHAnsi" w:hAnsiTheme="minorHAnsi"/>
            <w:sz w:val="16"/>
            <w:szCs w:val="16"/>
          </w:rPr>
          <w:t>http://www.hscic.gov.uk/catalogue/PUB02931/adul-psyc-morb-res-hou-sur-eng-2007-rep.pdf</w:t>
        </w:r>
      </w:hyperlink>
      <w:r w:rsidRPr="00EE4904">
        <w:rPr>
          <w:rFonts w:asciiTheme="minorHAnsi" w:hAnsiTheme="minorHAnsi"/>
          <w:sz w:val="16"/>
          <w:szCs w:val="16"/>
        </w:rPr>
        <w:t xml:space="preserve"> </w:t>
      </w:r>
    </w:p>
  </w:footnote>
  <w:footnote w:id="103">
    <w:p w:rsidR="00890277" w:rsidRPr="00EE4904" w:rsidRDefault="00890277" w:rsidP="00895BDD">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DOMES report Q4 2013-2014</w:t>
      </w:r>
    </w:p>
  </w:footnote>
  <w:footnote w:id="104">
    <w:p w:rsidR="00890277" w:rsidRPr="00EE4904" w:rsidRDefault="00890277" w:rsidP="00895BDD">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Department of Health (2014) </w:t>
      </w:r>
      <w:hyperlink r:id="rId79" w:history="1">
        <w:r w:rsidRPr="00EE4904">
          <w:rPr>
            <w:rStyle w:val="Hyperlink"/>
            <w:rFonts w:asciiTheme="minorHAnsi" w:hAnsiTheme="minorHAnsi"/>
            <w:sz w:val="16"/>
            <w:szCs w:val="16"/>
          </w:rPr>
          <w:t>Abortion statistics, England and Wales: 2013</w:t>
        </w:r>
      </w:hyperlink>
      <w:r w:rsidRPr="00EE4904">
        <w:rPr>
          <w:rFonts w:asciiTheme="minorHAnsi" w:hAnsiTheme="minorHAnsi"/>
          <w:sz w:val="16"/>
          <w:szCs w:val="16"/>
        </w:rPr>
        <w:t xml:space="preserve">. </w:t>
      </w:r>
      <w:proofErr w:type="gramStart"/>
      <w:r w:rsidRPr="00EE4904">
        <w:rPr>
          <w:rFonts w:asciiTheme="minorHAnsi" w:hAnsiTheme="minorHAnsi"/>
          <w:sz w:val="16"/>
          <w:szCs w:val="16"/>
        </w:rPr>
        <w:t>Dated: 12 June 2014.</w:t>
      </w:r>
      <w:proofErr w:type="gramEnd"/>
      <w:r w:rsidRPr="00EE4904">
        <w:rPr>
          <w:rFonts w:asciiTheme="minorHAnsi" w:hAnsiTheme="minorHAnsi"/>
          <w:sz w:val="16"/>
          <w:szCs w:val="16"/>
        </w:rPr>
        <w:t xml:space="preserve"> </w:t>
      </w:r>
    </w:p>
  </w:footnote>
  <w:footnote w:id="105">
    <w:p w:rsidR="00890277" w:rsidRPr="00EE4904" w:rsidRDefault="00890277" w:rsidP="00895BDD">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w:t>
      </w:r>
      <w:proofErr w:type="gramStart"/>
      <w:r w:rsidRPr="00EE4904">
        <w:rPr>
          <w:rFonts w:asciiTheme="minorHAnsi" w:hAnsiTheme="minorHAnsi"/>
          <w:sz w:val="16"/>
          <w:szCs w:val="16"/>
        </w:rPr>
        <w:t xml:space="preserve">National Institute for Health and Care Excellence (2009) </w:t>
      </w:r>
      <w:hyperlink r:id="rId80" w:history="1">
        <w:r w:rsidRPr="00EE4904">
          <w:rPr>
            <w:rStyle w:val="Hyperlink"/>
            <w:rFonts w:asciiTheme="minorHAnsi" w:hAnsiTheme="minorHAnsi"/>
            <w:sz w:val="16"/>
            <w:szCs w:val="16"/>
          </w:rPr>
          <w:t>Reducing differences in the uptake of immunisations</w:t>
        </w:r>
      </w:hyperlink>
      <w:r w:rsidRPr="00EE4904">
        <w:rPr>
          <w:rFonts w:asciiTheme="minorHAnsi" w:hAnsiTheme="minorHAnsi"/>
          <w:sz w:val="16"/>
          <w:szCs w:val="16"/>
        </w:rPr>
        <w:t>.</w:t>
      </w:r>
      <w:proofErr w:type="gramEnd"/>
      <w:r w:rsidRPr="00EE4904">
        <w:rPr>
          <w:rFonts w:asciiTheme="minorHAnsi" w:hAnsiTheme="minorHAnsi"/>
          <w:sz w:val="16"/>
          <w:szCs w:val="16"/>
        </w:rPr>
        <w:t xml:space="preserve"> </w:t>
      </w:r>
      <w:hyperlink r:id="rId81" w:history="1">
        <w:r w:rsidRPr="00EE4904">
          <w:rPr>
            <w:rStyle w:val="Hyperlink"/>
            <w:rFonts w:asciiTheme="minorHAnsi" w:hAnsiTheme="minorHAnsi"/>
            <w:sz w:val="16"/>
            <w:szCs w:val="16"/>
          </w:rPr>
          <w:t xml:space="preserve">NICE Public Health guidance 21 </w:t>
        </w:r>
      </w:hyperlink>
      <w:r w:rsidRPr="00EE4904">
        <w:rPr>
          <w:rFonts w:asciiTheme="minorHAnsi" w:hAnsiTheme="minorHAnsi"/>
          <w:sz w:val="16"/>
          <w:szCs w:val="16"/>
        </w:rPr>
        <w:t xml:space="preserve"> London</w:t>
      </w:r>
    </w:p>
  </w:footnote>
  <w:footnote w:id="106">
    <w:p w:rsidR="00890277" w:rsidRPr="00EE4904" w:rsidRDefault="00890277" w:rsidP="00F16C54">
      <w:pPr>
        <w:pStyle w:val="CommentText"/>
        <w:spacing w:after="0"/>
        <w:rPr>
          <w:sz w:val="16"/>
          <w:szCs w:val="16"/>
        </w:rPr>
      </w:pPr>
      <w:r w:rsidRPr="00EE4904">
        <w:rPr>
          <w:sz w:val="16"/>
          <w:szCs w:val="16"/>
        </w:rPr>
        <w:footnoteRef/>
      </w:r>
      <w:r w:rsidRPr="00EE4904">
        <w:rPr>
          <w:sz w:val="16"/>
          <w:szCs w:val="16"/>
        </w:rPr>
        <w:t xml:space="preserve"> </w:t>
      </w:r>
      <w:proofErr w:type="gramStart"/>
      <w:r w:rsidRPr="00EE4904">
        <w:rPr>
          <w:sz w:val="16"/>
          <w:szCs w:val="16"/>
        </w:rPr>
        <w:t>Commissioning for Value.</w:t>
      </w:r>
      <w:proofErr w:type="gramEnd"/>
      <w:r w:rsidRPr="00EE4904">
        <w:rPr>
          <w:sz w:val="16"/>
          <w:szCs w:val="16"/>
        </w:rPr>
        <w:t xml:space="preserve"> NHS England, Public Health England. CCG Barnet</w:t>
      </w:r>
    </w:p>
  </w:footnote>
  <w:footnote w:id="107">
    <w:p w:rsidR="00890277" w:rsidRPr="00EE4904" w:rsidRDefault="00890277" w:rsidP="00F16C54">
      <w:pPr>
        <w:pStyle w:val="CommentText"/>
        <w:spacing w:after="0"/>
        <w:rPr>
          <w:sz w:val="16"/>
          <w:szCs w:val="16"/>
        </w:rPr>
      </w:pPr>
      <w:r w:rsidRPr="00EE4904">
        <w:rPr>
          <w:sz w:val="16"/>
          <w:szCs w:val="16"/>
        </w:rPr>
        <w:footnoteRef/>
      </w:r>
      <w:r w:rsidRPr="00EE4904">
        <w:rPr>
          <w:sz w:val="16"/>
          <w:szCs w:val="16"/>
        </w:rPr>
        <w:t xml:space="preserve"> Foot C, Harrison T (June 20011).How to improve cancer survival: Explaining England’s, poor rates (Catherine Foot)</w:t>
      </w:r>
    </w:p>
  </w:footnote>
  <w:footnote w:id="108">
    <w:p w:rsidR="00890277" w:rsidRPr="00EE4904" w:rsidRDefault="00890277" w:rsidP="00F16C54">
      <w:pPr>
        <w:pStyle w:val="CommentText"/>
        <w:spacing w:after="0"/>
        <w:rPr>
          <w:sz w:val="16"/>
          <w:szCs w:val="16"/>
        </w:rPr>
      </w:pPr>
      <w:r w:rsidRPr="00EE4904">
        <w:rPr>
          <w:rStyle w:val="FootnoteReference"/>
          <w:sz w:val="16"/>
          <w:szCs w:val="16"/>
        </w:rPr>
        <w:footnoteRef/>
      </w:r>
      <w:r w:rsidRPr="00EE4904">
        <w:rPr>
          <w:sz w:val="16"/>
          <w:szCs w:val="16"/>
        </w:rPr>
        <w:t xml:space="preserve"> Fair Society Health Lives: Marmot Review Report, Feb 2010)</w:t>
      </w:r>
    </w:p>
  </w:footnote>
  <w:footnote w:id="109">
    <w:p w:rsidR="00890277" w:rsidRPr="00EE4904" w:rsidRDefault="00890277" w:rsidP="00F16C54">
      <w:pPr>
        <w:pStyle w:val="CommentText"/>
        <w:spacing w:after="0"/>
        <w:rPr>
          <w:sz w:val="16"/>
          <w:szCs w:val="16"/>
        </w:rPr>
      </w:pPr>
      <w:r w:rsidRPr="00EE4904">
        <w:rPr>
          <w:sz w:val="16"/>
          <w:szCs w:val="16"/>
        </w:rPr>
        <w:footnoteRef/>
      </w:r>
      <w:r w:rsidRPr="00EE4904">
        <w:rPr>
          <w:sz w:val="16"/>
          <w:szCs w:val="16"/>
        </w:rPr>
        <w:t xml:space="preserve"> The Integration of Health and Social Care, June 2012: BMA Health Policy &amp; Economic Research Unit</w:t>
      </w:r>
    </w:p>
    <w:p w:rsidR="00890277" w:rsidRPr="00EE4904" w:rsidRDefault="00890277" w:rsidP="00F16C54">
      <w:pPr>
        <w:pStyle w:val="FootnoteText"/>
        <w:rPr>
          <w:rFonts w:asciiTheme="minorHAnsi" w:hAnsiTheme="minorHAnsi"/>
          <w:sz w:val="16"/>
          <w:szCs w:val="16"/>
        </w:rPr>
      </w:pPr>
    </w:p>
  </w:footnote>
  <w:footnote w:id="110">
    <w:p w:rsidR="00890277" w:rsidRPr="00EE4904" w:rsidRDefault="00890277" w:rsidP="00F16C54">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w:t>
      </w:r>
      <w:proofErr w:type="spellStart"/>
      <w:r w:rsidRPr="00EE4904">
        <w:rPr>
          <w:rFonts w:asciiTheme="minorHAnsi" w:hAnsiTheme="minorHAnsi"/>
          <w:sz w:val="16"/>
          <w:szCs w:val="16"/>
        </w:rPr>
        <w:t>Poteliakhoff</w:t>
      </w:r>
      <w:proofErr w:type="spellEnd"/>
      <w:r w:rsidRPr="00EE4904">
        <w:rPr>
          <w:rFonts w:asciiTheme="minorHAnsi" w:hAnsiTheme="minorHAnsi"/>
          <w:sz w:val="16"/>
          <w:szCs w:val="16"/>
        </w:rPr>
        <w:t xml:space="preserve"> and Thompson 2011</w:t>
      </w:r>
    </w:p>
  </w:footnote>
  <w:footnote w:id="111">
    <w:p w:rsidR="00890277" w:rsidRPr="00EE4904" w:rsidRDefault="00890277" w:rsidP="00F16C54">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Purdy 2010</w:t>
      </w:r>
    </w:p>
  </w:footnote>
  <w:footnote w:id="112">
    <w:p w:rsidR="00890277" w:rsidRPr="00EE4904" w:rsidRDefault="00890277" w:rsidP="00F16C54">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w:t>
      </w:r>
      <w:proofErr w:type="spellStart"/>
      <w:r w:rsidRPr="00EE4904">
        <w:rPr>
          <w:rFonts w:asciiTheme="minorHAnsi" w:hAnsiTheme="minorHAnsi"/>
          <w:sz w:val="16"/>
          <w:szCs w:val="16"/>
        </w:rPr>
        <w:t>Poteliakhoff</w:t>
      </w:r>
      <w:proofErr w:type="spellEnd"/>
      <w:r w:rsidRPr="00EE4904">
        <w:rPr>
          <w:rFonts w:asciiTheme="minorHAnsi" w:hAnsiTheme="minorHAnsi"/>
          <w:sz w:val="16"/>
          <w:szCs w:val="16"/>
        </w:rPr>
        <w:t xml:space="preserve"> et al 2011</w:t>
      </w:r>
    </w:p>
  </w:footnote>
  <w:footnote w:id="113">
    <w:p w:rsidR="00890277" w:rsidRPr="00EE4904" w:rsidRDefault="00890277" w:rsidP="00F16C54">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w:t>
      </w:r>
      <w:proofErr w:type="spellStart"/>
      <w:r w:rsidRPr="00EE4904">
        <w:rPr>
          <w:rFonts w:asciiTheme="minorHAnsi" w:hAnsiTheme="minorHAnsi"/>
          <w:sz w:val="16"/>
          <w:szCs w:val="16"/>
        </w:rPr>
        <w:t>Fearon</w:t>
      </w:r>
      <w:proofErr w:type="spellEnd"/>
      <w:r w:rsidRPr="00EE4904">
        <w:rPr>
          <w:rFonts w:asciiTheme="minorHAnsi" w:hAnsiTheme="minorHAnsi"/>
          <w:sz w:val="16"/>
          <w:szCs w:val="16"/>
        </w:rPr>
        <w:t xml:space="preserve"> and Langhorne 2005)</w:t>
      </w:r>
    </w:p>
  </w:footnote>
  <w:footnote w:id="114">
    <w:p w:rsidR="00890277" w:rsidRPr="00EE4904" w:rsidRDefault="00890277" w:rsidP="00F16C54">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Avoiding hospital admissions: what does research evidence say? Purdy S (2010)</w:t>
      </w:r>
    </w:p>
  </w:footnote>
  <w:footnote w:id="115">
    <w:p w:rsidR="00890277" w:rsidRPr="00EE4904" w:rsidRDefault="00890277" w:rsidP="00F16C54">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NICE Guidance 2014, DOH (2009). Fracture prevention services: An economic evaluation. London: The stationery Office.</w:t>
      </w:r>
    </w:p>
  </w:footnote>
  <w:footnote w:id="116">
    <w:p w:rsidR="00890277" w:rsidRPr="00EE4904" w:rsidRDefault="00890277" w:rsidP="00F16C54">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NHSE 2013</w:t>
      </w:r>
    </w:p>
  </w:footnote>
  <w:footnote w:id="117">
    <w:p w:rsidR="00890277" w:rsidRPr="00EE4904" w:rsidRDefault="00890277" w:rsidP="00F16C54">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w:t>
      </w:r>
      <w:proofErr w:type="spellStart"/>
      <w:r w:rsidRPr="00EE4904">
        <w:rPr>
          <w:rFonts w:asciiTheme="minorHAnsi" w:hAnsiTheme="minorHAnsi"/>
          <w:sz w:val="16"/>
          <w:szCs w:val="16"/>
        </w:rPr>
        <w:t>Nunes</w:t>
      </w:r>
      <w:proofErr w:type="spellEnd"/>
      <w:r w:rsidRPr="00EE4904">
        <w:rPr>
          <w:rFonts w:asciiTheme="minorHAnsi" w:hAnsiTheme="minorHAnsi"/>
          <w:sz w:val="16"/>
          <w:szCs w:val="16"/>
        </w:rPr>
        <w:t xml:space="preserve"> et al 2009</w:t>
      </w:r>
    </w:p>
  </w:footnote>
  <w:footnote w:id="118">
    <w:p w:rsidR="00890277" w:rsidRPr="00EE4904" w:rsidRDefault="00890277" w:rsidP="00F16C54">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w:t>
      </w:r>
      <w:proofErr w:type="gramStart"/>
      <w:r w:rsidRPr="00EE4904">
        <w:rPr>
          <w:rFonts w:asciiTheme="minorHAnsi" w:hAnsiTheme="minorHAnsi"/>
          <w:sz w:val="16"/>
          <w:szCs w:val="16"/>
        </w:rPr>
        <w:t>Making best use of the Better Care Fund.</w:t>
      </w:r>
      <w:proofErr w:type="gramEnd"/>
      <w:r w:rsidRPr="00EE4904">
        <w:rPr>
          <w:rFonts w:asciiTheme="minorHAnsi" w:hAnsiTheme="minorHAnsi"/>
          <w:sz w:val="16"/>
          <w:szCs w:val="16"/>
        </w:rPr>
        <w:t xml:space="preserve"> </w:t>
      </w:r>
      <w:proofErr w:type="gramStart"/>
      <w:r w:rsidRPr="00EE4904">
        <w:rPr>
          <w:rFonts w:asciiTheme="minorHAnsi" w:hAnsiTheme="minorHAnsi"/>
          <w:sz w:val="16"/>
          <w:szCs w:val="16"/>
        </w:rPr>
        <w:t>Spending to save, January 2014.</w:t>
      </w:r>
      <w:proofErr w:type="gramEnd"/>
      <w:r w:rsidRPr="00EE4904">
        <w:rPr>
          <w:rFonts w:asciiTheme="minorHAnsi" w:hAnsiTheme="minorHAnsi"/>
          <w:sz w:val="16"/>
          <w:szCs w:val="16"/>
        </w:rPr>
        <w:t xml:space="preserve"> Kings Fund</w:t>
      </w:r>
    </w:p>
  </w:footnote>
  <w:footnote w:id="119">
    <w:p w:rsidR="00890277" w:rsidRPr="00EE4904" w:rsidRDefault="00890277" w:rsidP="00F16C54">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w:t>
      </w:r>
      <w:proofErr w:type="spellStart"/>
      <w:r w:rsidRPr="00EE4904">
        <w:rPr>
          <w:rFonts w:asciiTheme="minorHAnsi" w:hAnsiTheme="minorHAnsi"/>
          <w:sz w:val="16"/>
          <w:szCs w:val="16"/>
        </w:rPr>
        <w:t>Pirmohamed</w:t>
      </w:r>
      <w:proofErr w:type="spellEnd"/>
      <w:r w:rsidRPr="00EE4904">
        <w:rPr>
          <w:rFonts w:asciiTheme="minorHAnsi" w:hAnsiTheme="minorHAnsi"/>
          <w:sz w:val="16"/>
          <w:szCs w:val="16"/>
        </w:rPr>
        <w:t xml:space="preserve"> et al 2004</w:t>
      </w:r>
    </w:p>
  </w:footnote>
  <w:footnote w:id="120">
    <w:p w:rsidR="00890277" w:rsidRPr="00EE4904" w:rsidRDefault="00890277" w:rsidP="00F16C54">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Community Health Mental Health Profiles 2013:</w:t>
      </w:r>
    </w:p>
    <w:p w:rsidR="00890277" w:rsidRPr="00EE4904" w:rsidRDefault="00890277" w:rsidP="00F16C54">
      <w:pPr>
        <w:pStyle w:val="FootnoteText"/>
        <w:rPr>
          <w:rFonts w:asciiTheme="minorHAnsi" w:hAnsiTheme="minorHAnsi"/>
          <w:sz w:val="16"/>
          <w:szCs w:val="16"/>
        </w:rPr>
      </w:pPr>
      <w:r w:rsidRPr="00EE4904">
        <w:rPr>
          <w:rFonts w:asciiTheme="minorHAnsi" w:hAnsiTheme="minorHAnsi"/>
          <w:sz w:val="16"/>
          <w:szCs w:val="16"/>
        </w:rPr>
        <w:t xml:space="preserve"> Public Health Observatories</w:t>
      </w:r>
    </w:p>
  </w:footnote>
  <w:footnote w:id="121">
    <w:p w:rsidR="00890277" w:rsidRPr="00EE4904" w:rsidRDefault="00890277" w:rsidP="00007BA9">
      <w:pPr>
        <w:spacing w:after="0" w:line="240" w:lineRule="auto"/>
        <w:jc w:val="both"/>
        <w:rPr>
          <w:sz w:val="16"/>
          <w:szCs w:val="16"/>
        </w:rPr>
      </w:pPr>
      <w:r w:rsidRPr="00EE4904">
        <w:rPr>
          <w:rStyle w:val="FootnoteReference"/>
          <w:sz w:val="16"/>
          <w:szCs w:val="16"/>
        </w:rPr>
        <w:footnoteRef/>
      </w:r>
      <w:r w:rsidRPr="00EE4904">
        <w:rPr>
          <w:sz w:val="16"/>
          <w:szCs w:val="16"/>
        </w:rPr>
        <w:t xml:space="preserve"> JSNA Refresh 2013/14 Mental Health &amp; Wellbeing - Barnet</w:t>
      </w:r>
    </w:p>
  </w:footnote>
  <w:footnote w:id="122">
    <w:p w:rsidR="00890277" w:rsidRPr="00EE4904" w:rsidRDefault="00890277" w:rsidP="00007BA9">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Mental Health Nursing with Learning Disabilities:wwww.rcn.org.uk/_data/assests/pdf/0006/78765/003184.pdf</w:t>
      </w:r>
    </w:p>
    <w:p w:rsidR="00890277" w:rsidRPr="00EE4904" w:rsidRDefault="00890277" w:rsidP="00007BA9">
      <w:pPr>
        <w:pStyle w:val="FootnoteText"/>
        <w:rPr>
          <w:rFonts w:asciiTheme="minorHAnsi" w:hAnsiTheme="minorHAnsi"/>
          <w:sz w:val="16"/>
          <w:szCs w:val="16"/>
        </w:rPr>
      </w:pPr>
    </w:p>
  </w:footnote>
  <w:footnote w:id="123">
    <w:p w:rsidR="00890277" w:rsidRPr="00EE4904" w:rsidRDefault="00890277" w:rsidP="00282E35">
      <w:pPr>
        <w:pStyle w:val="FootnoteText"/>
        <w:rPr>
          <w:rFonts w:asciiTheme="minorHAnsi" w:hAnsiTheme="minorHAnsi"/>
          <w:sz w:val="16"/>
          <w:szCs w:val="16"/>
        </w:rPr>
      </w:pPr>
      <w:r w:rsidRPr="00EE4904">
        <w:rPr>
          <w:rStyle w:val="FootnoteReference"/>
          <w:rFonts w:asciiTheme="minorHAnsi" w:eastAsiaTheme="majorEastAsia" w:hAnsiTheme="minorHAnsi"/>
          <w:sz w:val="16"/>
          <w:szCs w:val="16"/>
        </w:rPr>
        <w:footnoteRef/>
      </w:r>
      <w:r w:rsidRPr="00EE4904">
        <w:rPr>
          <w:rFonts w:asciiTheme="minorHAnsi" w:hAnsiTheme="minorHAnsi"/>
          <w:sz w:val="16"/>
          <w:szCs w:val="16"/>
        </w:rPr>
        <w:t xml:space="preserve"> Index of Multiple Deprivation, DCLG, 2010</w:t>
      </w:r>
    </w:p>
  </w:footnote>
  <w:footnote w:id="124">
    <w:p w:rsidR="00890277" w:rsidRPr="00EE4904" w:rsidRDefault="00890277" w:rsidP="00282E35">
      <w:pPr>
        <w:pStyle w:val="FootnoteText"/>
        <w:rPr>
          <w:rFonts w:asciiTheme="minorHAnsi" w:hAnsiTheme="minorHAnsi"/>
          <w:sz w:val="16"/>
          <w:szCs w:val="16"/>
        </w:rPr>
      </w:pPr>
      <w:r w:rsidRPr="00EE4904">
        <w:rPr>
          <w:rStyle w:val="FootnoteReference"/>
          <w:rFonts w:asciiTheme="minorHAnsi" w:eastAsiaTheme="majorEastAsia" w:hAnsiTheme="minorHAnsi"/>
          <w:sz w:val="16"/>
          <w:szCs w:val="16"/>
        </w:rPr>
        <w:footnoteRef/>
      </w:r>
      <w:r w:rsidRPr="00EE4904">
        <w:rPr>
          <w:rFonts w:asciiTheme="minorHAnsi" w:hAnsiTheme="minorHAnsi"/>
          <w:sz w:val="16"/>
          <w:szCs w:val="16"/>
        </w:rPr>
        <w:t xml:space="preserve"> HMRC, 2011</w:t>
      </w:r>
    </w:p>
  </w:footnote>
  <w:footnote w:id="125">
    <w:p w:rsidR="00890277" w:rsidRPr="00EE4904" w:rsidRDefault="00890277" w:rsidP="00282E35">
      <w:pPr>
        <w:pStyle w:val="FootnoteText"/>
        <w:rPr>
          <w:rFonts w:asciiTheme="minorHAnsi" w:hAnsiTheme="minorHAnsi"/>
          <w:sz w:val="16"/>
          <w:szCs w:val="16"/>
        </w:rPr>
      </w:pPr>
      <w:r w:rsidRPr="00EE4904">
        <w:rPr>
          <w:rStyle w:val="FootnoteReference"/>
          <w:rFonts w:asciiTheme="minorHAnsi" w:eastAsiaTheme="majorEastAsia" w:hAnsiTheme="minorHAnsi"/>
          <w:sz w:val="16"/>
          <w:szCs w:val="16"/>
        </w:rPr>
        <w:footnoteRef/>
      </w:r>
      <w:r w:rsidRPr="00EE4904">
        <w:rPr>
          <w:rFonts w:asciiTheme="minorHAnsi" w:hAnsiTheme="minorHAnsi"/>
          <w:sz w:val="16"/>
          <w:szCs w:val="16"/>
        </w:rPr>
        <w:t xml:space="preserve"> Are You Ready? Good Practice In School Readiness, Ofsted 2014</w:t>
      </w:r>
    </w:p>
  </w:footnote>
  <w:footnote w:id="126">
    <w:p w:rsidR="00890277" w:rsidRPr="00EE4904" w:rsidRDefault="00890277" w:rsidP="00282E35">
      <w:pPr>
        <w:pStyle w:val="FootnoteText"/>
        <w:rPr>
          <w:rFonts w:asciiTheme="minorHAnsi" w:hAnsiTheme="minorHAnsi"/>
          <w:sz w:val="16"/>
          <w:szCs w:val="16"/>
        </w:rPr>
      </w:pPr>
      <w:r w:rsidRPr="00EE4904">
        <w:rPr>
          <w:rStyle w:val="FootnoteReference"/>
          <w:rFonts w:asciiTheme="minorHAnsi" w:eastAsiaTheme="majorEastAsia" w:hAnsiTheme="minorHAnsi"/>
          <w:sz w:val="16"/>
          <w:szCs w:val="16"/>
        </w:rPr>
        <w:footnoteRef/>
      </w:r>
      <w:r w:rsidRPr="00EE4904">
        <w:rPr>
          <w:rFonts w:asciiTheme="minorHAnsi" w:hAnsiTheme="minorHAnsi"/>
          <w:sz w:val="16"/>
          <w:szCs w:val="16"/>
        </w:rPr>
        <w:t xml:space="preserve"> Early years foundation stage profile attainment by pupil characteristics, England 2014, </w:t>
      </w:r>
      <w:proofErr w:type="spellStart"/>
      <w:r w:rsidRPr="00EE4904">
        <w:rPr>
          <w:rFonts w:asciiTheme="minorHAnsi" w:hAnsiTheme="minorHAnsi"/>
          <w:sz w:val="16"/>
          <w:szCs w:val="16"/>
        </w:rPr>
        <w:t>DfE</w:t>
      </w:r>
      <w:proofErr w:type="spellEnd"/>
      <w:r w:rsidRPr="00EE4904">
        <w:rPr>
          <w:rFonts w:asciiTheme="minorHAnsi" w:hAnsiTheme="minorHAnsi"/>
          <w:sz w:val="16"/>
          <w:szCs w:val="16"/>
        </w:rPr>
        <w:t>, Statistical First Release</w:t>
      </w:r>
    </w:p>
  </w:footnote>
  <w:footnote w:id="127">
    <w:p w:rsidR="00890277" w:rsidRPr="00EE4904" w:rsidRDefault="00890277" w:rsidP="00282E35">
      <w:pPr>
        <w:pStyle w:val="FootnoteText"/>
        <w:rPr>
          <w:rFonts w:asciiTheme="minorHAnsi" w:hAnsiTheme="minorHAnsi"/>
          <w:sz w:val="16"/>
          <w:szCs w:val="16"/>
        </w:rPr>
      </w:pPr>
      <w:r w:rsidRPr="00EE4904">
        <w:rPr>
          <w:rStyle w:val="FootnoteReference"/>
          <w:rFonts w:asciiTheme="minorHAnsi" w:eastAsiaTheme="majorEastAsia" w:hAnsiTheme="minorHAnsi"/>
          <w:sz w:val="16"/>
          <w:szCs w:val="16"/>
        </w:rPr>
        <w:footnoteRef/>
      </w:r>
      <w:r w:rsidRPr="00EE4904">
        <w:rPr>
          <w:rFonts w:asciiTheme="minorHAnsi" w:hAnsiTheme="minorHAnsi"/>
          <w:sz w:val="16"/>
          <w:szCs w:val="16"/>
        </w:rPr>
        <w:t xml:space="preserve"> Data source ICS (includes all teams)</w:t>
      </w:r>
    </w:p>
  </w:footnote>
  <w:footnote w:id="128">
    <w:p w:rsidR="00890277" w:rsidRPr="00EE4904" w:rsidRDefault="00890277" w:rsidP="00282E35">
      <w:pPr>
        <w:pStyle w:val="FootnoteText"/>
        <w:rPr>
          <w:rFonts w:asciiTheme="minorHAnsi" w:hAnsiTheme="minorHAnsi"/>
          <w:sz w:val="16"/>
          <w:szCs w:val="16"/>
        </w:rPr>
      </w:pPr>
      <w:r w:rsidRPr="00EE4904">
        <w:rPr>
          <w:rStyle w:val="FootnoteReference"/>
          <w:rFonts w:asciiTheme="minorHAnsi" w:eastAsiaTheme="majorEastAsia" w:hAnsiTheme="minorHAnsi"/>
          <w:sz w:val="16"/>
          <w:szCs w:val="16"/>
        </w:rPr>
        <w:footnoteRef/>
      </w:r>
      <w:r w:rsidRPr="00EE4904">
        <w:rPr>
          <w:rFonts w:asciiTheme="minorHAnsi" w:hAnsiTheme="minorHAnsi"/>
          <w:sz w:val="16"/>
          <w:szCs w:val="16"/>
        </w:rPr>
        <w:t xml:space="preserve"> Residential placements as defined in OFSTED social care data 31</w:t>
      </w:r>
      <w:r w:rsidRPr="00EE4904">
        <w:rPr>
          <w:rFonts w:asciiTheme="minorHAnsi" w:hAnsiTheme="minorHAnsi"/>
          <w:sz w:val="16"/>
          <w:szCs w:val="16"/>
          <w:vertAlign w:val="superscript"/>
        </w:rPr>
        <w:t>st</w:t>
      </w:r>
      <w:r w:rsidRPr="00EE4904">
        <w:rPr>
          <w:rFonts w:asciiTheme="minorHAnsi" w:hAnsiTheme="minorHAnsi"/>
          <w:sz w:val="16"/>
          <w:szCs w:val="16"/>
        </w:rPr>
        <w:t xml:space="preserve"> March2014</w:t>
      </w:r>
    </w:p>
  </w:footnote>
  <w:footnote w:id="129">
    <w:p w:rsidR="00890277" w:rsidRPr="00EE4904" w:rsidRDefault="00890277" w:rsidP="00282E35">
      <w:pPr>
        <w:pStyle w:val="FootnoteText"/>
        <w:rPr>
          <w:rFonts w:asciiTheme="minorHAnsi" w:hAnsiTheme="minorHAnsi"/>
          <w:sz w:val="16"/>
          <w:szCs w:val="16"/>
        </w:rPr>
      </w:pPr>
      <w:r w:rsidRPr="00EE4904">
        <w:rPr>
          <w:rStyle w:val="FootnoteReference"/>
          <w:rFonts w:asciiTheme="minorHAnsi" w:eastAsiaTheme="majorEastAsia" w:hAnsiTheme="minorHAnsi"/>
          <w:sz w:val="16"/>
          <w:szCs w:val="16"/>
        </w:rPr>
        <w:footnoteRef/>
      </w:r>
      <w:r w:rsidRPr="00EE4904">
        <w:rPr>
          <w:rFonts w:asciiTheme="minorHAnsi" w:hAnsiTheme="minorHAnsi"/>
          <w:sz w:val="16"/>
          <w:szCs w:val="16"/>
        </w:rPr>
        <w:t xml:space="preserve"> Number of programmes started, rather than number of young people</w:t>
      </w:r>
    </w:p>
  </w:footnote>
  <w:footnote w:id="130">
    <w:p w:rsidR="00890277" w:rsidRPr="00EE4904" w:rsidRDefault="00890277" w:rsidP="00282E35">
      <w:pPr>
        <w:pStyle w:val="FootnoteText"/>
        <w:rPr>
          <w:rFonts w:asciiTheme="minorHAnsi" w:hAnsiTheme="minorHAnsi"/>
          <w:sz w:val="16"/>
          <w:szCs w:val="16"/>
        </w:rPr>
      </w:pPr>
      <w:r w:rsidRPr="00EE4904">
        <w:rPr>
          <w:rStyle w:val="FootnoteReference"/>
          <w:rFonts w:asciiTheme="minorHAnsi" w:eastAsiaTheme="majorEastAsia" w:hAnsiTheme="minorHAnsi"/>
          <w:sz w:val="16"/>
          <w:szCs w:val="16"/>
        </w:rPr>
        <w:footnoteRef/>
      </w:r>
      <w:r w:rsidRPr="00EE4904">
        <w:rPr>
          <w:rFonts w:asciiTheme="minorHAnsi" w:hAnsiTheme="minorHAnsi"/>
          <w:sz w:val="16"/>
          <w:szCs w:val="16"/>
        </w:rPr>
        <w:t xml:space="preserve"> Extracted from Children and Adolescent Mental Health Service (CAMHS) – Barnet </w:t>
      </w:r>
      <w:r w:rsidRPr="00EE4904">
        <w:rPr>
          <w:rFonts w:asciiTheme="minorHAnsi" w:hAnsiTheme="minorHAnsi"/>
          <w:b/>
          <w:bCs/>
          <w:sz w:val="16"/>
          <w:szCs w:val="16"/>
        </w:rPr>
        <w:t>(</w:t>
      </w:r>
      <w:r w:rsidRPr="00EE4904">
        <w:rPr>
          <w:rFonts w:asciiTheme="minorHAnsi" w:hAnsiTheme="minorHAnsi"/>
          <w:bCs/>
          <w:sz w:val="16"/>
          <w:szCs w:val="16"/>
        </w:rPr>
        <w:t xml:space="preserve">26.01.2015) Dr Neel </w:t>
      </w:r>
      <w:proofErr w:type="spellStart"/>
      <w:r w:rsidRPr="00EE4904">
        <w:rPr>
          <w:rFonts w:asciiTheme="minorHAnsi" w:hAnsiTheme="minorHAnsi"/>
          <w:bCs/>
          <w:sz w:val="16"/>
          <w:szCs w:val="16"/>
        </w:rPr>
        <w:t>Bhaduri</w:t>
      </w:r>
      <w:proofErr w:type="spellEnd"/>
      <w:r w:rsidRPr="00EE4904">
        <w:rPr>
          <w:rFonts w:asciiTheme="minorHAnsi" w:hAnsiTheme="minorHAnsi"/>
          <w:bCs/>
          <w:sz w:val="16"/>
          <w:szCs w:val="16"/>
        </w:rPr>
        <w:t>, Draft V2</w:t>
      </w:r>
      <w:r w:rsidRPr="00EE4904">
        <w:rPr>
          <w:rFonts w:asciiTheme="minorHAnsi" w:hAnsiTheme="minorHAnsi"/>
          <w:sz w:val="16"/>
          <w:szCs w:val="16"/>
        </w:rPr>
        <w:t xml:space="preserve"> </w:t>
      </w:r>
    </w:p>
  </w:footnote>
  <w:footnote w:id="131">
    <w:p w:rsidR="00890277" w:rsidRPr="00EE4904" w:rsidRDefault="00890277" w:rsidP="00282E35">
      <w:pPr>
        <w:pStyle w:val="FootnoteText"/>
        <w:rPr>
          <w:rFonts w:asciiTheme="minorHAnsi" w:hAnsiTheme="minorHAnsi"/>
          <w:sz w:val="16"/>
          <w:szCs w:val="16"/>
        </w:rPr>
      </w:pPr>
      <w:r w:rsidRPr="00EE4904">
        <w:rPr>
          <w:rStyle w:val="FootnoteReference"/>
          <w:rFonts w:asciiTheme="minorHAnsi" w:eastAsiaTheme="majorEastAsia" w:hAnsiTheme="minorHAnsi"/>
          <w:sz w:val="16"/>
          <w:szCs w:val="16"/>
        </w:rPr>
        <w:footnoteRef/>
      </w:r>
      <w:r w:rsidRPr="00EE4904">
        <w:rPr>
          <w:rFonts w:asciiTheme="minorHAnsi" w:hAnsiTheme="minorHAnsi"/>
          <w:sz w:val="16"/>
          <w:szCs w:val="16"/>
        </w:rPr>
        <w:t xml:space="preserve"> Children and Adolescent Mental Health Services (CAMHS) – Barnet DRAFT (14.01.2015) Dr Neel </w:t>
      </w:r>
      <w:proofErr w:type="spellStart"/>
      <w:r w:rsidRPr="00EE4904">
        <w:rPr>
          <w:rFonts w:asciiTheme="minorHAnsi" w:hAnsiTheme="minorHAnsi"/>
          <w:sz w:val="16"/>
          <w:szCs w:val="16"/>
        </w:rPr>
        <w:t>Bhaduri</w:t>
      </w:r>
      <w:proofErr w:type="spellEnd"/>
      <w:r w:rsidRPr="00EE4904">
        <w:rPr>
          <w:rFonts w:asciiTheme="minorHAnsi" w:hAnsiTheme="minorHAnsi"/>
          <w:sz w:val="16"/>
          <w:szCs w:val="16"/>
        </w:rPr>
        <w:t>, Draft V1</w:t>
      </w:r>
    </w:p>
  </w:footnote>
  <w:footnote w:id="132">
    <w:p w:rsidR="00890277" w:rsidRPr="00EE4904" w:rsidRDefault="00890277" w:rsidP="00282E35">
      <w:pPr>
        <w:pStyle w:val="FootnoteText"/>
        <w:rPr>
          <w:rFonts w:asciiTheme="minorHAnsi" w:hAnsiTheme="minorHAnsi"/>
          <w:sz w:val="16"/>
          <w:szCs w:val="16"/>
        </w:rPr>
      </w:pPr>
      <w:r w:rsidRPr="00EE4904">
        <w:rPr>
          <w:rStyle w:val="FootnoteReference"/>
          <w:rFonts w:asciiTheme="minorHAnsi" w:eastAsiaTheme="majorEastAsia" w:hAnsiTheme="minorHAnsi"/>
          <w:sz w:val="16"/>
          <w:szCs w:val="16"/>
        </w:rPr>
        <w:footnoteRef/>
      </w:r>
      <w:r w:rsidRPr="00EE4904">
        <w:rPr>
          <w:rFonts w:asciiTheme="minorHAnsi" w:hAnsiTheme="minorHAnsi"/>
          <w:sz w:val="16"/>
          <w:szCs w:val="16"/>
        </w:rPr>
        <w:t xml:space="preserve"> </w:t>
      </w:r>
      <w:r w:rsidRPr="00EE4904">
        <w:rPr>
          <w:rFonts w:asciiTheme="minorHAnsi" w:hAnsiTheme="minorHAnsi" w:cs="Arial"/>
          <w:color w:val="000000" w:themeColor="text1"/>
          <w:sz w:val="16"/>
          <w:szCs w:val="16"/>
        </w:rPr>
        <w:t xml:space="preserve">Barnet </w:t>
      </w:r>
      <w:r w:rsidRPr="00EE4904">
        <w:rPr>
          <w:rFonts w:asciiTheme="minorHAnsi" w:eastAsiaTheme="minorEastAsia" w:hAnsiTheme="minorHAnsi" w:cs="Arial"/>
          <w:smallCaps/>
          <w:color w:val="000000" w:themeColor="text1"/>
          <w:sz w:val="16"/>
          <w:szCs w:val="16"/>
        </w:rPr>
        <w:t>CAMHS Needs Assessment V2</w:t>
      </w:r>
    </w:p>
  </w:footnote>
  <w:footnote w:id="133">
    <w:p w:rsidR="00890277" w:rsidRPr="00EE4904" w:rsidRDefault="00890277" w:rsidP="00282E35">
      <w:pPr>
        <w:pStyle w:val="FootnoteText"/>
        <w:rPr>
          <w:rFonts w:asciiTheme="minorHAnsi" w:hAnsiTheme="minorHAnsi"/>
          <w:i/>
          <w:sz w:val="16"/>
          <w:szCs w:val="16"/>
        </w:rPr>
      </w:pPr>
      <w:r w:rsidRPr="00EE4904">
        <w:rPr>
          <w:rStyle w:val="FootnoteReference"/>
          <w:rFonts w:asciiTheme="minorHAnsi" w:eastAsiaTheme="majorEastAsia" w:hAnsiTheme="minorHAnsi"/>
          <w:sz w:val="16"/>
          <w:szCs w:val="16"/>
        </w:rPr>
        <w:footnoteRef/>
      </w:r>
      <w:r w:rsidRPr="00EE4904">
        <w:rPr>
          <w:rFonts w:asciiTheme="minorHAnsi" w:hAnsiTheme="minorHAnsi"/>
          <w:sz w:val="16"/>
          <w:szCs w:val="16"/>
        </w:rPr>
        <w:t xml:space="preserve"> The Children’s Society (2013), </w:t>
      </w:r>
      <w:r w:rsidRPr="00EE4904">
        <w:rPr>
          <w:rFonts w:asciiTheme="minorHAnsi" w:hAnsiTheme="minorHAnsi"/>
          <w:i/>
          <w:sz w:val="16"/>
          <w:szCs w:val="16"/>
        </w:rPr>
        <w:t xml:space="preserve">Hidden from view, </w:t>
      </w:r>
      <w:hyperlink r:id="rId82" w:history="1">
        <w:r w:rsidRPr="00EE4904">
          <w:rPr>
            <w:rStyle w:val="Hyperlink"/>
            <w:rFonts w:asciiTheme="minorHAnsi" w:hAnsiTheme="minorHAnsi"/>
            <w:i/>
            <w:sz w:val="16"/>
            <w:szCs w:val="16"/>
          </w:rPr>
          <w:t>http://www.childrenssociety.org.uk/sites/default/files/tcs/hidden_from_view_-_final.pdf</w:t>
        </w:r>
      </w:hyperlink>
    </w:p>
  </w:footnote>
  <w:footnote w:id="134">
    <w:p w:rsidR="00890277" w:rsidRPr="00EE4904" w:rsidRDefault="00890277" w:rsidP="00282E35">
      <w:pPr>
        <w:pStyle w:val="FootnoteText"/>
        <w:rPr>
          <w:rFonts w:asciiTheme="minorHAnsi" w:hAnsiTheme="minorHAnsi" w:cs="Arial"/>
          <w:sz w:val="16"/>
          <w:szCs w:val="16"/>
        </w:rPr>
      </w:pPr>
      <w:r w:rsidRPr="00EE4904">
        <w:rPr>
          <w:rStyle w:val="FootnoteReference"/>
          <w:rFonts w:asciiTheme="minorHAnsi" w:eastAsiaTheme="majorEastAsia" w:hAnsiTheme="minorHAnsi" w:cs="Arial"/>
          <w:sz w:val="16"/>
          <w:szCs w:val="16"/>
        </w:rPr>
        <w:footnoteRef/>
      </w:r>
      <w:r w:rsidRPr="00EE4904">
        <w:rPr>
          <w:rFonts w:asciiTheme="minorHAnsi" w:hAnsiTheme="minorHAnsi" w:cs="Arial"/>
          <w:sz w:val="16"/>
          <w:szCs w:val="16"/>
        </w:rPr>
        <w:t xml:space="preserve"> </w:t>
      </w:r>
      <w:proofErr w:type="gramStart"/>
      <w:r w:rsidRPr="00EE4904">
        <w:rPr>
          <w:rFonts w:asciiTheme="minorHAnsi" w:hAnsiTheme="minorHAnsi" w:cs="Arial"/>
          <w:sz w:val="16"/>
          <w:szCs w:val="16"/>
        </w:rPr>
        <w:t>Using the measure of household income less than 60 per cent of current median income.</w:t>
      </w:r>
      <w:proofErr w:type="gramEnd"/>
      <w:r w:rsidRPr="00EE4904">
        <w:rPr>
          <w:rFonts w:asciiTheme="minorHAnsi" w:hAnsiTheme="minorHAnsi" w:cs="Arial"/>
          <w:sz w:val="16"/>
          <w:szCs w:val="16"/>
        </w:rPr>
        <w:t xml:space="preserve"> Source: HMRC snapshot as at 31 August 2012, IMD 2010, DoE Child Poverty Dataset</w:t>
      </w:r>
    </w:p>
  </w:footnote>
  <w:footnote w:id="135">
    <w:p w:rsidR="00890277" w:rsidRPr="00EE4904" w:rsidRDefault="00890277" w:rsidP="00282E35">
      <w:pPr>
        <w:pStyle w:val="FootnoteText"/>
        <w:rPr>
          <w:rFonts w:asciiTheme="minorHAnsi" w:hAnsiTheme="minorHAnsi" w:cs="Arial"/>
          <w:sz w:val="16"/>
          <w:szCs w:val="16"/>
        </w:rPr>
      </w:pPr>
      <w:r w:rsidRPr="00EE4904">
        <w:rPr>
          <w:rStyle w:val="FootnoteReference"/>
          <w:rFonts w:asciiTheme="minorHAnsi" w:eastAsiaTheme="majorEastAsia" w:hAnsiTheme="minorHAnsi" w:cs="Arial"/>
          <w:sz w:val="16"/>
          <w:szCs w:val="16"/>
        </w:rPr>
        <w:footnoteRef/>
      </w:r>
      <w:r w:rsidRPr="00EE4904">
        <w:rPr>
          <w:rFonts w:asciiTheme="minorHAnsi" w:hAnsiTheme="minorHAnsi" w:cs="Arial"/>
          <w:sz w:val="16"/>
          <w:szCs w:val="16"/>
        </w:rPr>
        <w:t xml:space="preserve"> 2011 Census</w:t>
      </w:r>
    </w:p>
  </w:footnote>
  <w:footnote w:id="136">
    <w:p w:rsidR="00890277" w:rsidRPr="00EE4904" w:rsidRDefault="00890277" w:rsidP="00282E35">
      <w:pPr>
        <w:pStyle w:val="FootnoteText"/>
        <w:rPr>
          <w:rFonts w:asciiTheme="minorHAnsi" w:hAnsiTheme="minorHAnsi"/>
          <w:sz w:val="16"/>
          <w:szCs w:val="16"/>
        </w:rPr>
      </w:pPr>
      <w:r w:rsidRPr="00EE4904">
        <w:rPr>
          <w:rStyle w:val="FootnoteReference"/>
          <w:rFonts w:asciiTheme="minorHAnsi" w:eastAsiaTheme="majorEastAsia" w:hAnsiTheme="minorHAnsi" w:cs="Arial"/>
          <w:sz w:val="16"/>
          <w:szCs w:val="16"/>
        </w:rPr>
        <w:footnoteRef/>
      </w:r>
      <w:r w:rsidRPr="00EE4904">
        <w:rPr>
          <w:rFonts w:asciiTheme="minorHAnsi" w:hAnsiTheme="minorHAnsi" w:cs="Arial"/>
          <w:sz w:val="16"/>
          <w:szCs w:val="16"/>
        </w:rPr>
        <w:t xml:space="preserve"> Palmer and </w:t>
      </w:r>
      <w:proofErr w:type="spellStart"/>
      <w:r w:rsidRPr="00EE4904">
        <w:rPr>
          <w:rFonts w:asciiTheme="minorHAnsi" w:hAnsiTheme="minorHAnsi" w:cs="Arial"/>
          <w:sz w:val="16"/>
          <w:szCs w:val="16"/>
        </w:rPr>
        <w:t>Kenway</w:t>
      </w:r>
      <w:proofErr w:type="spellEnd"/>
      <w:r w:rsidRPr="00EE4904">
        <w:rPr>
          <w:rFonts w:asciiTheme="minorHAnsi" w:hAnsiTheme="minorHAnsi" w:cs="Arial"/>
          <w:sz w:val="16"/>
          <w:szCs w:val="16"/>
        </w:rPr>
        <w:t xml:space="preserve"> (2007),‘Poverty Rates among Ethnic Groups in Great Britain’</w:t>
      </w:r>
      <w:r w:rsidRPr="00EE4904">
        <w:rPr>
          <w:rFonts w:asciiTheme="minorHAnsi" w:hAnsiTheme="minorHAnsi"/>
          <w:sz w:val="16"/>
          <w:szCs w:val="16"/>
        </w:rPr>
        <w:t xml:space="preserve"> </w:t>
      </w:r>
    </w:p>
  </w:footnote>
  <w:footnote w:id="137">
    <w:p w:rsidR="00890277" w:rsidRPr="00EE4904" w:rsidRDefault="00890277" w:rsidP="00282E35">
      <w:pPr>
        <w:pStyle w:val="FootnoteText"/>
        <w:rPr>
          <w:rFonts w:asciiTheme="minorHAnsi" w:hAnsiTheme="minorHAnsi"/>
          <w:sz w:val="16"/>
          <w:szCs w:val="16"/>
        </w:rPr>
      </w:pPr>
      <w:r w:rsidRPr="00EE4904">
        <w:rPr>
          <w:rStyle w:val="FootnoteReference"/>
          <w:rFonts w:asciiTheme="minorHAnsi" w:eastAsiaTheme="majorEastAsia" w:hAnsiTheme="minorHAnsi" w:cs="Arial"/>
          <w:sz w:val="16"/>
          <w:szCs w:val="16"/>
        </w:rPr>
        <w:footnoteRef/>
      </w:r>
      <w:r w:rsidRPr="00EE4904">
        <w:rPr>
          <w:rFonts w:asciiTheme="minorHAnsi" w:hAnsiTheme="minorHAnsi" w:cs="Arial"/>
          <w:sz w:val="16"/>
          <w:szCs w:val="16"/>
        </w:rPr>
        <w:t xml:space="preserve"> http://www.childrenssociety.org.uk/what-we-do/policy-and-lobbying/child-poverty/disabled-children-and-poverty-0</w:t>
      </w:r>
    </w:p>
  </w:footnote>
  <w:footnote w:id="138">
    <w:p w:rsidR="00890277" w:rsidRPr="00EE4904" w:rsidRDefault="00890277" w:rsidP="00282E35">
      <w:pPr>
        <w:pStyle w:val="FootnoteText"/>
        <w:rPr>
          <w:rFonts w:asciiTheme="minorHAnsi" w:hAnsiTheme="minorHAnsi"/>
          <w:sz w:val="16"/>
          <w:szCs w:val="16"/>
        </w:rPr>
      </w:pPr>
      <w:r w:rsidRPr="00EE4904">
        <w:rPr>
          <w:rStyle w:val="FootnoteReference"/>
          <w:rFonts w:asciiTheme="minorHAnsi" w:eastAsiaTheme="majorEastAsia" w:hAnsiTheme="minorHAnsi"/>
          <w:sz w:val="16"/>
          <w:szCs w:val="16"/>
        </w:rPr>
        <w:footnoteRef/>
      </w:r>
      <w:r w:rsidRPr="00EE4904">
        <w:rPr>
          <w:rFonts w:asciiTheme="minorHAnsi" w:hAnsiTheme="minorHAnsi"/>
          <w:sz w:val="16"/>
          <w:szCs w:val="16"/>
        </w:rPr>
        <w:t xml:space="preserve"> </w:t>
      </w:r>
      <w:r w:rsidRPr="00EE4904">
        <w:rPr>
          <w:rFonts w:asciiTheme="minorHAnsi" w:hAnsiTheme="minorHAnsi" w:cs="Arial"/>
          <w:sz w:val="16"/>
          <w:szCs w:val="16"/>
        </w:rPr>
        <w:t>2010 HMRC data</w:t>
      </w:r>
    </w:p>
  </w:footnote>
  <w:footnote w:id="139">
    <w:p w:rsidR="00890277" w:rsidRPr="00EE4904" w:rsidRDefault="00890277" w:rsidP="00282E35">
      <w:pPr>
        <w:pStyle w:val="FootnoteText"/>
        <w:rPr>
          <w:rFonts w:asciiTheme="minorHAnsi" w:hAnsiTheme="minorHAnsi" w:cs="Arial"/>
          <w:sz w:val="16"/>
          <w:szCs w:val="16"/>
        </w:rPr>
      </w:pPr>
      <w:r w:rsidRPr="00EE4904">
        <w:rPr>
          <w:rStyle w:val="FootnoteReference"/>
          <w:rFonts w:asciiTheme="minorHAnsi" w:eastAsiaTheme="majorEastAsia" w:hAnsiTheme="minorHAnsi" w:cs="Arial"/>
          <w:sz w:val="16"/>
          <w:szCs w:val="16"/>
        </w:rPr>
        <w:footnoteRef/>
      </w:r>
      <w:r w:rsidRPr="00EE4904">
        <w:rPr>
          <w:rFonts w:asciiTheme="minorHAnsi" w:hAnsiTheme="minorHAnsi" w:cs="Arial"/>
          <w:sz w:val="16"/>
          <w:szCs w:val="16"/>
        </w:rPr>
        <w:t xml:space="preserve"> HMRC data 2010</w:t>
      </w:r>
    </w:p>
  </w:footnote>
  <w:footnote w:id="140">
    <w:p w:rsidR="00890277" w:rsidRPr="00EE4904" w:rsidRDefault="00890277" w:rsidP="00282E35">
      <w:pPr>
        <w:pStyle w:val="FootnoteText"/>
        <w:rPr>
          <w:rFonts w:asciiTheme="minorHAnsi" w:hAnsiTheme="minorHAnsi" w:cs="Arial"/>
          <w:sz w:val="16"/>
          <w:szCs w:val="16"/>
        </w:rPr>
      </w:pPr>
      <w:r w:rsidRPr="00EE4904">
        <w:rPr>
          <w:rStyle w:val="FootnoteReference"/>
          <w:rFonts w:asciiTheme="minorHAnsi" w:eastAsiaTheme="majorEastAsia" w:hAnsiTheme="minorHAnsi" w:cs="Arial"/>
          <w:sz w:val="16"/>
          <w:szCs w:val="16"/>
        </w:rPr>
        <w:footnoteRef/>
      </w:r>
      <w:r w:rsidRPr="00EE4904">
        <w:rPr>
          <w:rFonts w:asciiTheme="minorHAnsi" w:hAnsiTheme="minorHAnsi" w:cs="Arial"/>
          <w:sz w:val="16"/>
          <w:szCs w:val="16"/>
        </w:rPr>
        <w:t xml:space="preserve"> ‘Chance of a lifetime: The impact of bad housing on children’s lives’ (Shelter, 2006): https://england.shelter.org.uk/__data/assets/pdf_file/0016/39202/Chance_of_a_Lifetime.pdf </w:t>
      </w:r>
    </w:p>
  </w:footnote>
  <w:footnote w:id="141">
    <w:p w:rsidR="00890277" w:rsidRPr="00EE4904" w:rsidRDefault="00890277" w:rsidP="00282E35">
      <w:pPr>
        <w:pStyle w:val="FootnoteText"/>
        <w:rPr>
          <w:rFonts w:asciiTheme="minorHAnsi" w:hAnsiTheme="minorHAnsi"/>
          <w:sz w:val="16"/>
          <w:szCs w:val="16"/>
        </w:rPr>
      </w:pPr>
      <w:r w:rsidRPr="00EE4904">
        <w:rPr>
          <w:rStyle w:val="FootnoteReference"/>
          <w:rFonts w:asciiTheme="minorHAnsi" w:eastAsiaTheme="majorEastAsia" w:hAnsiTheme="minorHAnsi"/>
          <w:sz w:val="16"/>
          <w:szCs w:val="16"/>
        </w:rPr>
        <w:footnoteRef/>
      </w:r>
      <w:r w:rsidRPr="00EE4904">
        <w:rPr>
          <w:rFonts w:asciiTheme="minorHAnsi" w:hAnsiTheme="minorHAnsi"/>
          <w:sz w:val="16"/>
          <w:szCs w:val="16"/>
        </w:rPr>
        <w:t xml:space="preserve"> ‘Health Consequences of Poverty for Children’, End Child Poverty: http://www.endchildpoverty.org.uk/files/Health_consequences_of_Poverty_for_children.pdf</w:t>
      </w:r>
    </w:p>
  </w:footnote>
  <w:footnote w:id="142">
    <w:p w:rsidR="00890277" w:rsidRPr="00EE4904" w:rsidRDefault="00890277" w:rsidP="00282E35">
      <w:pPr>
        <w:pStyle w:val="FootnoteText"/>
        <w:rPr>
          <w:rFonts w:asciiTheme="minorHAnsi" w:hAnsiTheme="minorHAnsi"/>
          <w:sz w:val="16"/>
          <w:szCs w:val="16"/>
        </w:rPr>
      </w:pPr>
      <w:r w:rsidRPr="00EE4904">
        <w:rPr>
          <w:rStyle w:val="FootnoteReference"/>
          <w:rFonts w:asciiTheme="minorHAnsi" w:eastAsiaTheme="majorEastAsia" w:hAnsiTheme="minorHAnsi"/>
          <w:sz w:val="16"/>
          <w:szCs w:val="16"/>
        </w:rPr>
        <w:footnoteRef/>
      </w:r>
      <w:r w:rsidRPr="00EE4904">
        <w:rPr>
          <w:rFonts w:asciiTheme="minorHAnsi" w:hAnsiTheme="minorHAnsi"/>
          <w:sz w:val="16"/>
          <w:szCs w:val="16"/>
        </w:rPr>
        <w:t xml:space="preserve"> </w:t>
      </w:r>
      <w:r w:rsidRPr="00EE4904">
        <w:rPr>
          <w:rFonts w:asciiTheme="minorHAnsi" w:hAnsiTheme="minorHAnsi" w:cs="Arial"/>
          <w:sz w:val="16"/>
          <w:szCs w:val="16"/>
        </w:rPr>
        <w:t>Labour Force Survey (Household and Labour Market Division) ONS2012</w:t>
      </w:r>
    </w:p>
    <w:p w:rsidR="00890277" w:rsidRPr="00EE4904" w:rsidRDefault="00890277" w:rsidP="00282E35">
      <w:pPr>
        <w:pStyle w:val="FootnoteText"/>
        <w:rPr>
          <w:rFonts w:asciiTheme="minorHAnsi" w:hAnsiTheme="minorHAnsi"/>
          <w:sz w:val="16"/>
          <w:szCs w:val="16"/>
        </w:rPr>
      </w:pPr>
    </w:p>
  </w:footnote>
  <w:footnote w:id="143">
    <w:p w:rsidR="00890277" w:rsidRPr="00EE4904" w:rsidRDefault="00890277" w:rsidP="009A4F1F">
      <w:pPr>
        <w:spacing w:after="0" w:line="240" w:lineRule="auto"/>
        <w:jc w:val="both"/>
        <w:rPr>
          <w:sz w:val="16"/>
          <w:szCs w:val="16"/>
        </w:rPr>
      </w:pPr>
      <w:r w:rsidRPr="00EE4904">
        <w:rPr>
          <w:rStyle w:val="FootnoteReference"/>
          <w:rFonts w:eastAsiaTheme="majorEastAsia"/>
          <w:sz w:val="16"/>
          <w:szCs w:val="16"/>
        </w:rPr>
        <w:footnoteRef/>
      </w:r>
      <w:r w:rsidRPr="00EE4904">
        <w:rPr>
          <w:sz w:val="16"/>
          <w:szCs w:val="16"/>
        </w:rPr>
        <w:t xml:space="preserve"> GLA 2013 Population Projections (Borough Preferred Option)</w:t>
      </w:r>
    </w:p>
    <w:p w:rsidR="00890277" w:rsidRPr="00EE4904" w:rsidRDefault="00890277" w:rsidP="008921BF">
      <w:pPr>
        <w:pStyle w:val="FootnoteText"/>
        <w:rPr>
          <w:rFonts w:asciiTheme="minorHAnsi" w:hAnsiTheme="minorHAnsi"/>
          <w:sz w:val="16"/>
          <w:szCs w:val="16"/>
        </w:rPr>
      </w:pPr>
    </w:p>
  </w:footnote>
  <w:footnote w:id="144">
    <w:p w:rsidR="00890277" w:rsidRPr="00EE4904" w:rsidRDefault="00890277" w:rsidP="008921BF">
      <w:pPr>
        <w:spacing w:after="0" w:line="240" w:lineRule="auto"/>
        <w:ind w:right="-1180"/>
        <w:rPr>
          <w:noProof/>
          <w:sz w:val="16"/>
          <w:szCs w:val="16"/>
        </w:rPr>
      </w:pPr>
      <w:r w:rsidRPr="00EE4904">
        <w:rPr>
          <w:rStyle w:val="FootnoteReference"/>
          <w:sz w:val="16"/>
          <w:szCs w:val="16"/>
        </w:rPr>
        <w:footnoteRef/>
      </w:r>
      <w:r w:rsidRPr="00EE4904">
        <w:rPr>
          <w:sz w:val="16"/>
          <w:szCs w:val="16"/>
        </w:rPr>
        <w:t xml:space="preserve"> </w:t>
      </w:r>
      <w:r w:rsidRPr="00EE4904">
        <w:rPr>
          <w:noProof/>
          <w:sz w:val="16"/>
          <w:szCs w:val="16"/>
        </w:rPr>
        <w:t>Carers UK &amp; University of Leeds, “Valuing Carers 2011: Calculating the Value of Carer's Support,” Carers UK, London, 2011.</w:t>
      </w:r>
    </w:p>
    <w:p w:rsidR="00890277" w:rsidRPr="00EE4904" w:rsidRDefault="00890277" w:rsidP="008921BF">
      <w:pPr>
        <w:pStyle w:val="FootnoteText"/>
        <w:rPr>
          <w:rFonts w:asciiTheme="minorHAnsi" w:hAnsiTheme="minorHAnsi"/>
          <w:sz w:val="16"/>
          <w:szCs w:val="16"/>
        </w:rPr>
      </w:pPr>
    </w:p>
  </w:footnote>
  <w:footnote w:id="145">
    <w:p w:rsidR="00890277" w:rsidRPr="00EE4904" w:rsidRDefault="00890277" w:rsidP="008921BF">
      <w:pPr>
        <w:pStyle w:val="FootnoteText"/>
        <w:rPr>
          <w:rFonts w:asciiTheme="minorHAnsi" w:hAnsiTheme="minorHAnsi"/>
          <w:sz w:val="16"/>
          <w:szCs w:val="16"/>
        </w:rPr>
      </w:pPr>
      <w:r w:rsidRPr="00EE4904">
        <w:rPr>
          <w:rStyle w:val="FootnoteReference"/>
          <w:rFonts w:asciiTheme="minorHAnsi" w:eastAsiaTheme="majorEastAsia" w:hAnsiTheme="minorHAnsi"/>
          <w:sz w:val="16"/>
          <w:szCs w:val="16"/>
        </w:rPr>
        <w:footnoteRef/>
      </w:r>
      <w:r w:rsidRPr="00EE4904">
        <w:rPr>
          <w:rFonts w:asciiTheme="minorHAnsi" w:hAnsiTheme="minorHAnsi"/>
          <w:sz w:val="16"/>
          <w:szCs w:val="16"/>
        </w:rPr>
        <w:t xml:space="preserve"> The Joint Commissioning Panel for Mental Health, 2012</w:t>
      </w:r>
    </w:p>
  </w:footnote>
  <w:footnote w:id="146">
    <w:p w:rsidR="00890277" w:rsidRPr="00EE4904" w:rsidRDefault="00890277" w:rsidP="008921BF">
      <w:pPr>
        <w:pStyle w:val="FootnoteText"/>
        <w:rPr>
          <w:rFonts w:asciiTheme="minorHAnsi" w:hAnsiTheme="minorHAnsi"/>
          <w:sz w:val="16"/>
          <w:szCs w:val="16"/>
        </w:rPr>
      </w:pPr>
      <w:r w:rsidRPr="00EE4904">
        <w:rPr>
          <w:rStyle w:val="FootnoteReference"/>
          <w:rFonts w:asciiTheme="minorHAnsi" w:eastAsiaTheme="majorEastAsia" w:hAnsiTheme="minorHAnsi"/>
          <w:sz w:val="16"/>
          <w:szCs w:val="16"/>
        </w:rPr>
        <w:footnoteRef/>
      </w:r>
      <w:r w:rsidRPr="00EE4904">
        <w:rPr>
          <w:rFonts w:asciiTheme="minorHAnsi" w:hAnsiTheme="minorHAnsi"/>
          <w:sz w:val="16"/>
          <w:szCs w:val="16"/>
        </w:rPr>
        <w:t xml:space="preserve"> </w:t>
      </w:r>
      <w:hyperlink r:id="rId83" w:history="1">
        <w:r w:rsidRPr="00EE4904">
          <w:rPr>
            <w:rStyle w:val="Hyperlink"/>
            <w:rFonts w:asciiTheme="minorHAnsi" w:hAnsiTheme="minorHAnsi"/>
            <w:sz w:val="16"/>
            <w:szCs w:val="16"/>
          </w:rPr>
          <w:t>https://www.gov.uk/government/uploads/system/uploads/attachment_data/file/409816/Document.pdf</w:t>
        </w:r>
      </w:hyperlink>
      <w:r w:rsidRPr="00EE4904">
        <w:rPr>
          <w:rFonts w:asciiTheme="minorHAnsi" w:hAnsiTheme="minorHAnsi"/>
          <w:sz w:val="16"/>
          <w:szCs w:val="16"/>
        </w:rPr>
        <w:t xml:space="preserve"> </w:t>
      </w:r>
    </w:p>
  </w:footnote>
  <w:footnote w:id="147">
    <w:p w:rsidR="00890277" w:rsidRPr="00EE4904" w:rsidRDefault="00890277" w:rsidP="008921BF">
      <w:pPr>
        <w:pStyle w:val="FootnoteText"/>
        <w:rPr>
          <w:rFonts w:asciiTheme="minorHAnsi" w:hAnsiTheme="minorHAnsi"/>
          <w:sz w:val="16"/>
          <w:szCs w:val="16"/>
        </w:rPr>
      </w:pPr>
      <w:r w:rsidRPr="00EE4904">
        <w:rPr>
          <w:rStyle w:val="FootnoteReference"/>
          <w:rFonts w:asciiTheme="minorHAnsi" w:eastAsiaTheme="majorEastAsia" w:hAnsiTheme="minorHAnsi"/>
          <w:sz w:val="16"/>
          <w:szCs w:val="16"/>
        </w:rPr>
        <w:footnoteRef/>
      </w:r>
      <w:r w:rsidRPr="00EE4904">
        <w:rPr>
          <w:rFonts w:asciiTheme="minorHAnsi" w:hAnsiTheme="minorHAnsi"/>
          <w:sz w:val="16"/>
          <w:szCs w:val="16"/>
        </w:rPr>
        <w:t xml:space="preserve"> </w:t>
      </w:r>
      <w:hyperlink r:id="rId84" w:history="1">
        <w:r w:rsidRPr="00EE4904">
          <w:rPr>
            <w:rStyle w:val="Hyperlink"/>
            <w:rFonts w:asciiTheme="minorHAnsi" w:hAnsiTheme="minorHAnsi"/>
            <w:sz w:val="16"/>
            <w:szCs w:val="16"/>
          </w:rPr>
          <w:t>http://www.bris.ac.uk/cipold/</w:t>
        </w:r>
      </w:hyperlink>
      <w:r w:rsidRPr="00EE4904">
        <w:rPr>
          <w:rFonts w:asciiTheme="minorHAnsi" w:hAnsiTheme="minorHAnsi"/>
          <w:sz w:val="16"/>
          <w:szCs w:val="16"/>
        </w:rPr>
        <w:t xml:space="preserve"> </w:t>
      </w:r>
    </w:p>
  </w:footnote>
  <w:footnote w:id="148">
    <w:p w:rsidR="00890277" w:rsidRPr="00EE4904" w:rsidRDefault="00890277" w:rsidP="008921BF">
      <w:pPr>
        <w:pStyle w:val="FootnoteText"/>
        <w:rPr>
          <w:rFonts w:asciiTheme="minorHAnsi" w:hAnsiTheme="minorHAnsi"/>
          <w:sz w:val="16"/>
          <w:szCs w:val="16"/>
        </w:rPr>
      </w:pPr>
      <w:r w:rsidRPr="00EE4904">
        <w:rPr>
          <w:rStyle w:val="FootnoteReference"/>
          <w:rFonts w:asciiTheme="minorHAnsi" w:eastAsiaTheme="majorEastAsia" w:hAnsiTheme="minorHAnsi"/>
          <w:sz w:val="16"/>
          <w:szCs w:val="16"/>
        </w:rPr>
        <w:footnoteRef/>
      </w:r>
      <w:hyperlink r:id="rId85" w:history="1">
        <w:r w:rsidRPr="00EE4904">
          <w:rPr>
            <w:rStyle w:val="Hyperlink"/>
            <w:rFonts w:asciiTheme="minorHAnsi" w:hAnsiTheme="minorHAnsi"/>
            <w:sz w:val="16"/>
            <w:szCs w:val="16"/>
          </w:rPr>
          <w:t>https://www.gov.uk/government/uploads/system/uploads/attachment_data/file/212077/Government_Response_to_the_Confidential_Inquiry_into_Premature_Deaths_of_People_with_Learning_Disabilities_-_full_report.pdf</w:t>
        </w:r>
      </w:hyperlink>
      <w:r w:rsidRPr="00EE4904">
        <w:rPr>
          <w:rFonts w:asciiTheme="minorHAnsi" w:hAnsiTheme="minorHAnsi"/>
          <w:sz w:val="16"/>
          <w:szCs w:val="16"/>
        </w:rPr>
        <w:t xml:space="preserve"> </w:t>
      </w:r>
    </w:p>
  </w:footnote>
  <w:footnote w:id="149">
    <w:p w:rsidR="00890277" w:rsidRPr="00EE4904" w:rsidRDefault="00890277" w:rsidP="008921BF">
      <w:pPr>
        <w:pStyle w:val="FootnoteText"/>
        <w:rPr>
          <w:rFonts w:asciiTheme="minorHAnsi" w:hAnsiTheme="minorHAnsi"/>
          <w:sz w:val="16"/>
          <w:szCs w:val="16"/>
        </w:rPr>
      </w:pPr>
      <w:r w:rsidRPr="00EE4904">
        <w:rPr>
          <w:rStyle w:val="FootnoteReference"/>
          <w:rFonts w:asciiTheme="minorHAnsi" w:eastAsiaTheme="majorEastAsia" w:hAnsiTheme="minorHAnsi"/>
          <w:sz w:val="16"/>
          <w:szCs w:val="16"/>
        </w:rPr>
        <w:footnoteRef/>
      </w:r>
      <w:r w:rsidRPr="00EE4904">
        <w:rPr>
          <w:rFonts w:asciiTheme="minorHAnsi" w:hAnsiTheme="minorHAnsi"/>
          <w:sz w:val="16"/>
          <w:szCs w:val="16"/>
        </w:rPr>
        <w:t xml:space="preserve"> Rachel Wells PPT http://www.communitybarnet.org.uk/data/files/Rachel_Wells_-_Social_Isolation_and_Public_Health.pdf</w:t>
      </w:r>
    </w:p>
  </w:footnote>
  <w:footnote w:id="150">
    <w:p w:rsidR="00890277" w:rsidRPr="005A6060" w:rsidRDefault="00890277" w:rsidP="00FE340F">
      <w:pPr>
        <w:pStyle w:val="FootnoteText"/>
        <w:rPr>
          <w:rFonts w:asciiTheme="minorHAnsi" w:hAnsiTheme="minorHAnsi"/>
          <w:sz w:val="16"/>
          <w:szCs w:val="16"/>
        </w:rPr>
      </w:pPr>
      <w:r w:rsidRPr="005A6060">
        <w:rPr>
          <w:rStyle w:val="FootnoteReference"/>
          <w:rFonts w:asciiTheme="minorHAnsi" w:hAnsiTheme="minorHAnsi"/>
          <w:sz w:val="16"/>
          <w:szCs w:val="16"/>
        </w:rPr>
        <w:footnoteRef/>
      </w:r>
      <w:r w:rsidRPr="005A6060">
        <w:rPr>
          <w:rFonts w:asciiTheme="minorHAnsi" w:hAnsiTheme="minorHAnsi"/>
          <w:sz w:val="16"/>
          <w:szCs w:val="16"/>
        </w:rPr>
        <w:t xml:space="preserve"> Source: Published MPS crime stats (SAroot\data\crime_stats_mps_published_toFeb2014.xlsx)</w:t>
      </w:r>
    </w:p>
  </w:footnote>
  <w:footnote w:id="151">
    <w:p w:rsidR="00890277" w:rsidRPr="005A6060" w:rsidRDefault="00890277" w:rsidP="00FE340F">
      <w:pPr>
        <w:pStyle w:val="FootnoteText"/>
        <w:rPr>
          <w:rFonts w:asciiTheme="minorHAnsi" w:hAnsiTheme="minorHAnsi"/>
          <w:sz w:val="16"/>
          <w:szCs w:val="16"/>
        </w:rPr>
      </w:pPr>
      <w:r w:rsidRPr="005A6060">
        <w:rPr>
          <w:rStyle w:val="FootnoteReference"/>
          <w:rFonts w:asciiTheme="minorHAnsi" w:hAnsiTheme="minorHAnsi"/>
          <w:sz w:val="16"/>
          <w:szCs w:val="16"/>
        </w:rPr>
        <w:footnoteRef/>
      </w:r>
      <w:r w:rsidRPr="005A6060">
        <w:rPr>
          <w:rFonts w:asciiTheme="minorHAnsi" w:hAnsiTheme="minorHAnsi"/>
          <w:sz w:val="16"/>
          <w:szCs w:val="16"/>
        </w:rPr>
        <w:t xml:space="preserve"> Source: MPS DOI performance stats (SAroot\data\sx_dash_to25Feb2014.pdf)</w:t>
      </w:r>
    </w:p>
  </w:footnote>
  <w:footnote w:id="152">
    <w:p w:rsidR="00890277" w:rsidRPr="00EE4904" w:rsidRDefault="00890277" w:rsidP="00FE340F">
      <w:pPr>
        <w:pStyle w:val="FootnoteText"/>
        <w:rPr>
          <w:rFonts w:asciiTheme="minorHAnsi" w:hAnsiTheme="minorHAnsi"/>
          <w:sz w:val="16"/>
          <w:szCs w:val="16"/>
        </w:rPr>
      </w:pPr>
      <w:r w:rsidRPr="005A6060">
        <w:rPr>
          <w:rStyle w:val="FootnoteReference"/>
          <w:rFonts w:asciiTheme="minorHAnsi" w:hAnsiTheme="minorHAnsi"/>
          <w:sz w:val="16"/>
          <w:szCs w:val="16"/>
        </w:rPr>
        <w:footnoteRef/>
      </w:r>
      <w:r w:rsidRPr="005A6060">
        <w:rPr>
          <w:rFonts w:asciiTheme="minorHAnsi" w:hAnsiTheme="minorHAnsi"/>
          <w:sz w:val="16"/>
          <w:szCs w:val="16"/>
        </w:rPr>
        <w:t xml:space="preserve"> M</w:t>
      </w:r>
      <w:r w:rsidRPr="005A6060">
        <w:rPr>
          <w:rFonts w:asciiTheme="minorHAnsi" w:hAnsiTheme="minorHAnsi" w:cs="Arial"/>
          <w:sz w:val="16"/>
          <w:szCs w:val="16"/>
        </w:rPr>
        <w:t>ade up of key agencies Barnet Council, the Metropolitan Police, Fire Service, the Probation Service, Public Health</w:t>
      </w:r>
    </w:p>
  </w:footnote>
  <w:footnote w:id="153">
    <w:p w:rsidR="00890277" w:rsidRPr="00EE4904" w:rsidRDefault="00890277" w:rsidP="00FE340F">
      <w:pPr>
        <w:pStyle w:val="FootnoteText"/>
        <w:rPr>
          <w:rFonts w:asciiTheme="minorHAnsi" w:hAnsiTheme="minorHAnsi"/>
          <w:color w:val="595959" w:themeColor="text1" w:themeTint="A6"/>
          <w:sz w:val="16"/>
          <w:szCs w:val="16"/>
        </w:rPr>
      </w:pPr>
      <w:r w:rsidRPr="00EE4904">
        <w:rPr>
          <w:rFonts w:asciiTheme="minorHAnsi" w:hAnsiTheme="minorHAnsi"/>
          <w:b/>
          <w:color w:val="595959" w:themeColor="text1" w:themeTint="A6"/>
          <w:sz w:val="16"/>
          <w:szCs w:val="16"/>
        </w:rPr>
        <w:footnoteRef/>
      </w:r>
      <w:r w:rsidRPr="00EE4904">
        <w:rPr>
          <w:rFonts w:asciiTheme="minorHAnsi" w:hAnsiTheme="minorHAnsi"/>
          <w:color w:val="595959" w:themeColor="text1" w:themeTint="A6"/>
          <w:sz w:val="16"/>
          <w:szCs w:val="16"/>
        </w:rPr>
        <w:t xml:space="preserve"> </w:t>
      </w:r>
      <w:hyperlink r:id="rId86" w:history="1">
        <w:r w:rsidRPr="00EE4904">
          <w:rPr>
            <w:rStyle w:val="Hyperlink"/>
            <w:rFonts w:asciiTheme="minorHAnsi" w:hAnsiTheme="minorHAnsi"/>
            <w:color w:val="595959" w:themeColor="text1" w:themeTint="A6"/>
            <w:sz w:val="16"/>
            <w:szCs w:val="16"/>
          </w:rPr>
          <w:t>https://www.gov.uk/government/uploads/system/uploads/attachment_data/file/118042/IOM-phase2-costs-multipliers.pdf</w:t>
        </w:r>
      </w:hyperlink>
    </w:p>
    <w:p w:rsidR="00890277" w:rsidRPr="00EE4904" w:rsidRDefault="00890277" w:rsidP="00FE340F">
      <w:pPr>
        <w:pStyle w:val="FootnoteText"/>
        <w:rPr>
          <w:rFonts w:asciiTheme="minorHAnsi" w:hAnsiTheme="minorHAnsi"/>
          <w:color w:val="595959" w:themeColor="text1" w:themeTint="A6"/>
          <w:sz w:val="16"/>
          <w:szCs w:val="16"/>
        </w:rPr>
      </w:pPr>
    </w:p>
  </w:footnote>
  <w:footnote w:id="154">
    <w:p w:rsidR="00890277" w:rsidRPr="00EE4904" w:rsidRDefault="00890277" w:rsidP="00FE340F">
      <w:pPr>
        <w:pStyle w:val="FootnoteText"/>
        <w:rPr>
          <w:rFonts w:asciiTheme="minorHAnsi" w:hAnsiTheme="minorHAnsi"/>
          <w:color w:val="595959" w:themeColor="text1" w:themeTint="A6"/>
          <w:sz w:val="16"/>
          <w:szCs w:val="16"/>
        </w:rPr>
      </w:pPr>
      <w:r w:rsidRPr="00EE4904">
        <w:rPr>
          <w:rFonts w:asciiTheme="minorHAnsi" w:hAnsiTheme="minorHAnsi"/>
          <w:b/>
          <w:color w:val="595959" w:themeColor="text1" w:themeTint="A6"/>
          <w:sz w:val="16"/>
          <w:szCs w:val="16"/>
        </w:rPr>
        <w:footnoteRef/>
      </w:r>
      <w:r w:rsidRPr="00EE4904">
        <w:rPr>
          <w:rFonts w:asciiTheme="minorHAnsi" w:hAnsiTheme="minorHAnsi"/>
          <w:color w:val="595959" w:themeColor="text1" w:themeTint="A6"/>
          <w:sz w:val="16"/>
          <w:szCs w:val="16"/>
        </w:rPr>
        <w:t xml:space="preserve"> SAroot\data\Crime Data to Feb14 PROTECT.xls</w:t>
      </w:r>
    </w:p>
  </w:footnote>
  <w:footnote w:id="155">
    <w:p w:rsidR="00890277" w:rsidRPr="00EE4904" w:rsidRDefault="00890277" w:rsidP="00FE340F">
      <w:pPr>
        <w:pStyle w:val="FootnoteText"/>
        <w:rPr>
          <w:rFonts w:asciiTheme="minorHAnsi" w:hAnsiTheme="minorHAnsi"/>
          <w:color w:val="595959" w:themeColor="text1" w:themeTint="A6"/>
          <w:sz w:val="16"/>
          <w:szCs w:val="16"/>
        </w:rPr>
      </w:pPr>
      <w:r w:rsidRPr="00EE4904">
        <w:rPr>
          <w:rFonts w:asciiTheme="minorHAnsi" w:hAnsiTheme="minorHAnsi"/>
          <w:b/>
          <w:color w:val="595959" w:themeColor="text1" w:themeTint="A6"/>
          <w:sz w:val="16"/>
          <w:szCs w:val="16"/>
        </w:rPr>
        <w:footnoteRef/>
      </w:r>
      <w:r w:rsidRPr="00EE4904">
        <w:rPr>
          <w:rFonts w:asciiTheme="minorHAnsi" w:hAnsiTheme="minorHAnsi"/>
          <w:b/>
          <w:color w:val="595959" w:themeColor="text1" w:themeTint="A6"/>
          <w:sz w:val="16"/>
          <w:szCs w:val="16"/>
        </w:rPr>
        <w:t xml:space="preserve"> </w:t>
      </w:r>
      <w:r w:rsidRPr="00EE4904">
        <w:rPr>
          <w:rFonts w:asciiTheme="minorHAnsi" w:hAnsiTheme="minorHAnsi"/>
          <w:color w:val="595959" w:themeColor="text1" w:themeTint="A6"/>
          <w:sz w:val="16"/>
          <w:szCs w:val="16"/>
        </w:rPr>
        <w:t>Source: SAroot\data\crime_stats_mps_published_toFeb2014.xlsx</w:t>
      </w:r>
    </w:p>
  </w:footnote>
  <w:footnote w:id="156">
    <w:p w:rsidR="00890277" w:rsidRPr="00EE4904" w:rsidRDefault="00890277" w:rsidP="00FE340F">
      <w:pPr>
        <w:pStyle w:val="FootnoteText"/>
        <w:rPr>
          <w:rFonts w:asciiTheme="minorHAnsi" w:hAnsiTheme="minorHAnsi"/>
          <w:color w:val="595959" w:themeColor="text1" w:themeTint="A6"/>
          <w:sz w:val="16"/>
          <w:szCs w:val="16"/>
        </w:rPr>
      </w:pPr>
      <w:r w:rsidRPr="00EE4904">
        <w:rPr>
          <w:rFonts w:asciiTheme="minorHAnsi" w:hAnsiTheme="minorHAnsi"/>
          <w:b/>
          <w:color w:val="595959" w:themeColor="text1" w:themeTint="A6"/>
          <w:sz w:val="16"/>
          <w:szCs w:val="16"/>
        </w:rPr>
        <w:footnoteRef/>
      </w:r>
      <w:r w:rsidRPr="00EE4904">
        <w:rPr>
          <w:rFonts w:asciiTheme="minorHAnsi" w:hAnsiTheme="minorHAnsi"/>
          <w:color w:val="595959" w:themeColor="text1" w:themeTint="A6"/>
          <w:sz w:val="16"/>
          <w:szCs w:val="16"/>
        </w:rPr>
        <w:t xml:space="preserve"> Source: SAroot\data\mpsBarnet12monthsWardTNOstats.xls</w:t>
      </w:r>
    </w:p>
    <w:p w:rsidR="00890277" w:rsidRPr="00EE4904" w:rsidRDefault="00890277" w:rsidP="00FE340F">
      <w:pPr>
        <w:pStyle w:val="FootnoteText"/>
        <w:rPr>
          <w:rFonts w:asciiTheme="minorHAnsi" w:hAnsiTheme="minorHAnsi"/>
          <w:color w:val="595959" w:themeColor="text1" w:themeTint="A6"/>
          <w:sz w:val="16"/>
          <w:szCs w:val="16"/>
        </w:rPr>
      </w:pPr>
    </w:p>
  </w:footnote>
  <w:footnote w:id="157">
    <w:p w:rsidR="00890277" w:rsidRPr="00EE4904" w:rsidRDefault="00890277" w:rsidP="00FE340F">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w:t>
      </w:r>
      <w:r w:rsidRPr="00EE4904">
        <w:rPr>
          <w:rFonts w:asciiTheme="minorHAnsi" w:hAnsiTheme="minorHAnsi"/>
          <w:color w:val="595959" w:themeColor="text1" w:themeTint="A6"/>
          <w:sz w:val="16"/>
          <w:szCs w:val="16"/>
        </w:rPr>
        <w:t>Source: Published MPS crime stats (SAroot\data\crime_stats_mps_published_toFeb2014.xlsx)</w:t>
      </w:r>
    </w:p>
  </w:footnote>
  <w:footnote w:id="158">
    <w:p w:rsidR="00890277" w:rsidRPr="00EE4904" w:rsidRDefault="00890277" w:rsidP="00FE340F">
      <w:pPr>
        <w:pStyle w:val="EndnoteText"/>
        <w:rPr>
          <w:color w:val="595959" w:themeColor="text1" w:themeTint="A6"/>
          <w:sz w:val="16"/>
          <w:szCs w:val="16"/>
        </w:rPr>
      </w:pPr>
      <w:r w:rsidRPr="00EE4904">
        <w:rPr>
          <w:rStyle w:val="FootnoteReference"/>
          <w:sz w:val="16"/>
          <w:szCs w:val="16"/>
        </w:rPr>
        <w:footnoteRef/>
      </w:r>
      <w:r w:rsidRPr="00EE4904">
        <w:rPr>
          <w:sz w:val="16"/>
          <w:szCs w:val="16"/>
        </w:rPr>
        <w:t xml:space="preserve"> </w:t>
      </w:r>
      <w:proofErr w:type="spellStart"/>
      <w:r w:rsidRPr="00EE4904">
        <w:rPr>
          <w:color w:val="595959" w:themeColor="text1" w:themeTint="A6"/>
          <w:sz w:val="16"/>
          <w:szCs w:val="16"/>
        </w:rPr>
        <w:t>Flatley</w:t>
      </w:r>
      <w:proofErr w:type="spellEnd"/>
      <w:r w:rsidRPr="00EE4904">
        <w:rPr>
          <w:color w:val="595959" w:themeColor="text1" w:themeTint="A6"/>
          <w:sz w:val="16"/>
          <w:szCs w:val="16"/>
        </w:rPr>
        <w:t>, Kershaw, Smith, Chaplin and Moon (2010) BCS - Crime in England and Wales 2009/10</w:t>
      </w:r>
    </w:p>
    <w:p w:rsidR="00890277" w:rsidRPr="00EE4904" w:rsidRDefault="00890277" w:rsidP="00FE340F">
      <w:pPr>
        <w:pStyle w:val="FootnoteText"/>
        <w:rPr>
          <w:rFonts w:asciiTheme="minorHAnsi" w:hAnsiTheme="minorHAnsi"/>
          <w:sz w:val="16"/>
          <w:szCs w:val="16"/>
        </w:rPr>
      </w:pPr>
    </w:p>
  </w:footnote>
  <w:footnote w:id="159">
    <w:p w:rsidR="00890277" w:rsidRPr="009C062F" w:rsidRDefault="00890277" w:rsidP="00FE340F">
      <w:pPr>
        <w:pStyle w:val="FootnoteText"/>
        <w:rPr>
          <w:rFonts w:asciiTheme="minorHAnsi" w:hAnsiTheme="minorHAnsi"/>
          <w:sz w:val="16"/>
          <w:szCs w:val="16"/>
        </w:rPr>
      </w:pPr>
      <w:r w:rsidRPr="00EE4904">
        <w:rPr>
          <w:rStyle w:val="FootnoteReference"/>
          <w:rFonts w:asciiTheme="minorHAnsi" w:eastAsiaTheme="majorEastAsia" w:hAnsiTheme="minorHAnsi"/>
          <w:sz w:val="16"/>
          <w:szCs w:val="16"/>
        </w:rPr>
        <w:footnoteRef/>
      </w:r>
      <w:r w:rsidRPr="00EE4904">
        <w:rPr>
          <w:rFonts w:asciiTheme="minorHAnsi" w:hAnsiTheme="minorHAnsi"/>
          <w:sz w:val="16"/>
          <w:szCs w:val="16"/>
        </w:rPr>
        <w:t xml:space="preserve"> </w:t>
      </w:r>
      <w:proofErr w:type="spellStart"/>
      <w:r w:rsidRPr="009C062F">
        <w:rPr>
          <w:rFonts w:asciiTheme="minorHAnsi" w:hAnsiTheme="minorHAnsi"/>
          <w:sz w:val="16"/>
          <w:szCs w:val="16"/>
        </w:rPr>
        <w:t>Flatley</w:t>
      </w:r>
      <w:proofErr w:type="spellEnd"/>
      <w:r w:rsidRPr="009C062F">
        <w:rPr>
          <w:rFonts w:asciiTheme="minorHAnsi" w:hAnsiTheme="minorHAnsi"/>
          <w:sz w:val="16"/>
          <w:szCs w:val="16"/>
        </w:rPr>
        <w:t>, Kershaw, Smith, Chaplin and Moon (2010) BCS - Crime in England and Wales 2009/10</w:t>
      </w:r>
    </w:p>
  </w:footnote>
  <w:footnote w:id="160">
    <w:p w:rsidR="00890277" w:rsidRPr="00EE4904" w:rsidRDefault="00890277" w:rsidP="009C062F">
      <w:pPr>
        <w:pStyle w:val="FootnoteText"/>
        <w:rPr>
          <w:rFonts w:asciiTheme="minorHAnsi" w:hAnsiTheme="minorHAnsi"/>
          <w:sz w:val="16"/>
          <w:szCs w:val="16"/>
        </w:rPr>
      </w:pPr>
      <w:r w:rsidRPr="009C062F">
        <w:rPr>
          <w:rStyle w:val="FootnoteReference"/>
          <w:rFonts w:asciiTheme="minorHAnsi" w:eastAsiaTheme="majorEastAsia" w:hAnsiTheme="minorHAnsi"/>
          <w:sz w:val="16"/>
          <w:szCs w:val="16"/>
        </w:rPr>
        <w:footnoteRef/>
      </w:r>
      <w:r w:rsidRPr="009C062F">
        <w:rPr>
          <w:rFonts w:asciiTheme="minorHAnsi" w:hAnsiTheme="minorHAnsi"/>
          <w:sz w:val="16"/>
          <w:szCs w:val="16"/>
        </w:rPr>
        <w:t xml:space="preserve"> See ‘DV Looking at Underreporting’ in section 4 of this document for the assessment of this issue (page 45)</w:t>
      </w:r>
    </w:p>
  </w:footnote>
  <w:footnote w:id="161">
    <w:p w:rsidR="00890277" w:rsidRPr="00EE4904" w:rsidRDefault="00890277" w:rsidP="00A70814">
      <w:pPr>
        <w:pStyle w:val="FootnoteText"/>
        <w:rPr>
          <w:rFonts w:asciiTheme="minorHAnsi" w:hAnsiTheme="minorHAnsi" w:cs="Arial"/>
          <w:sz w:val="16"/>
          <w:szCs w:val="16"/>
        </w:rPr>
      </w:pPr>
      <w:r w:rsidRPr="00EE4904">
        <w:rPr>
          <w:rStyle w:val="FootnoteReference"/>
          <w:rFonts w:asciiTheme="minorHAnsi" w:hAnsiTheme="minorHAnsi" w:cs="Arial"/>
          <w:sz w:val="16"/>
          <w:szCs w:val="16"/>
        </w:rPr>
        <w:footnoteRef/>
      </w:r>
      <w:r w:rsidRPr="00EE4904">
        <w:rPr>
          <w:rFonts w:asciiTheme="minorHAnsi" w:hAnsiTheme="minorHAnsi" w:cs="Arial"/>
          <w:sz w:val="16"/>
          <w:szCs w:val="16"/>
        </w:rPr>
        <w:t xml:space="preserve"> </w:t>
      </w:r>
      <w:proofErr w:type="gramStart"/>
      <w:r w:rsidRPr="00EE4904">
        <w:rPr>
          <w:rFonts w:asciiTheme="minorHAnsi" w:hAnsiTheme="minorHAnsi" w:cs="Arial"/>
          <w:sz w:val="16"/>
          <w:szCs w:val="16"/>
        </w:rPr>
        <w:t>Metropolitan Police.</w:t>
      </w:r>
      <w:proofErr w:type="gramEnd"/>
      <w:r w:rsidRPr="00EE4904">
        <w:rPr>
          <w:rFonts w:asciiTheme="minorHAnsi" w:hAnsiTheme="minorHAnsi" w:cs="Arial"/>
          <w:sz w:val="16"/>
          <w:szCs w:val="16"/>
        </w:rPr>
        <w:t xml:space="preserve"> </w:t>
      </w:r>
      <w:hyperlink r:id="rId87" w:history="1">
        <w:r w:rsidRPr="00EE4904">
          <w:rPr>
            <w:rStyle w:val="Hyperlink"/>
            <w:rFonts w:asciiTheme="minorHAnsi" w:hAnsiTheme="minorHAnsi" w:cs="Arial"/>
            <w:sz w:val="16"/>
            <w:szCs w:val="16"/>
          </w:rPr>
          <w:t>Crime Figures for London</w:t>
        </w:r>
      </w:hyperlink>
    </w:p>
  </w:footnote>
  <w:footnote w:id="162">
    <w:p w:rsidR="00890277" w:rsidRPr="00EE4904" w:rsidRDefault="00890277" w:rsidP="00A70814">
      <w:pPr>
        <w:pStyle w:val="FootnoteText"/>
        <w:rPr>
          <w:rFonts w:asciiTheme="minorHAnsi" w:hAnsiTheme="minorHAnsi" w:cs="Arial"/>
          <w:sz w:val="16"/>
          <w:szCs w:val="16"/>
        </w:rPr>
      </w:pPr>
      <w:r w:rsidRPr="00EE4904">
        <w:rPr>
          <w:rStyle w:val="FootnoteReference"/>
          <w:rFonts w:asciiTheme="minorHAnsi" w:hAnsiTheme="minorHAnsi" w:cs="Arial"/>
          <w:sz w:val="16"/>
          <w:szCs w:val="16"/>
        </w:rPr>
        <w:footnoteRef/>
      </w:r>
      <w:r w:rsidRPr="00EE4904">
        <w:rPr>
          <w:rFonts w:asciiTheme="minorHAnsi" w:hAnsiTheme="minorHAnsi" w:cs="Arial"/>
          <w:sz w:val="16"/>
          <w:szCs w:val="16"/>
        </w:rPr>
        <w:t xml:space="preserve"> </w:t>
      </w:r>
      <w:proofErr w:type="gramStart"/>
      <w:r w:rsidRPr="00EE4904">
        <w:rPr>
          <w:rFonts w:asciiTheme="minorHAnsi" w:hAnsiTheme="minorHAnsi" w:cs="Arial"/>
          <w:sz w:val="16"/>
          <w:szCs w:val="16"/>
        </w:rPr>
        <w:t>WHO (2014) Female genital mutilation.</w:t>
      </w:r>
      <w:proofErr w:type="gramEnd"/>
      <w:r w:rsidRPr="00EE4904">
        <w:rPr>
          <w:rFonts w:asciiTheme="minorHAnsi" w:hAnsiTheme="minorHAnsi" w:cs="Arial"/>
          <w:sz w:val="16"/>
          <w:szCs w:val="16"/>
        </w:rPr>
        <w:t xml:space="preserve"> </w:t>
      </w:r>
      <w:hyperlink r:id="rId88" w:history="1">
        <w:r w:rsidRPr="00EE4904">
          <w:rPr>
            <w:rStyle w:val="Hyperlink"/>
            <w:rFonts w:asciiTheme="minorHAnsi" w:hAnsiTheme="minorHAnsi" w:cs="Arial"/>
            <w:sz w:val="16"/>
            <w:szCs w:val="16"/>
          </w:rPr>
          <w:t>Fact sheet No. 241</w:t>
        </w:r>
      </w:hyperlink>
      <w:r w:rsidRPr="00EE4904">
        <w:rPr>
          <w:rFonts w:asciiTheme="minorHAnsi" w:hAnsiTheme="minorHAnsi" w:cs="Arial"/>
          <w:sz w:val="16"/>
          <w:szCs w:val="16"/>
        </w:rPr>
        <w:t xml:space="preserve">. </w:t>
      </w:r>
      <w:proofErr w:type="gramStart"/>
      <w:r w:rsidRPr="00EE4904">
        <w:rPr>
          <w:rFonts w:asciiTheme="minorHAnsi" w:hAnsiTheme="minorHAnsi" w:cs="Arial"/>
          <w:sz w:val="16"/>
          <w:szCs w:val="16"/>
        </w:rPr>
        <w:t>Updated February 2014.</w:t>
      </w:r>
      <w:proofErr w:type="gramEnd"/>
      <w:r w:rsidRPr="00EE4904">
        <w:rPr>
          <w:rFonts w:asciiTheme="minorHAnsi" w:hAnsiTheme="minorHAnsi" w:cs="Arial"/>
          <w:sz w:val="16"/>
          <w:szCs w:val="16"/>
        </w:rPr>
        <w:t xml:space="preserve"> </w:t>
      </w:r>
    </w:p>
  </w:footnote>
  <w:footnote w:id="163">
    <w:p w:rsidR="00890277" w:rsidRPr="00EE4904" w:rsidRDefault="00890277" w:rsidP="00A70814">
      <w:pPr>
        <w:pStyle w:val="FootnoteText"/>
        <w:rPr>
          <w:rStyle w:val="Hyperlink"/>
          <w:rFonts w:asciiTheme="minorHAnsi" w:hAnsiTheme="minorHAnsi" w:cs="Arial"/>
          <w:sz w:val="16"/>
          <w:szCs w:val="16"/>
        </w:rPr>
      </w:pPr>
      <w:r w:rsidRPr="00EE4904">
        <w:rPr>
          <w:rStyle w:val="FootnoteReference"/>
          <w:rFonts w:asciiTheme="minorHAnsi" w:hAnsiTheme="minorHAnsi" w:cs="Arial"/>
          <w:sz w:val="16"/>
          <w:szCs w:val="16"/>
        </w:rPr>
        <w:footnoteRef/>
      </w:r>
      <w:r w:rsidRPr="00EE4904">
        <w:rPr>
          <w:rFonts w:asciiTheme="minorHAnsi" w:hAnsiTheme="minorHAnsi" w:cs="Arial"/>
          <w:sz w:val="16"/>
          <w:szCs w:val="16"/>
        </w:rPr>
        <w:t xml:space="preserve">United Nations Population Fund (UNFPA) (2014) </w:t>
      </w:r>
      <w:r w:rsidRPr="00EE4904">
        <w:rPr>
          <w:rFonts w:asciiTheme="minorHAnsi" w:hAnsiTheme="minorHAnsi" w:cs="Arial"/>
          <w:sz w:val="16"/>
          <w:szCs w:val="16"/>
        </w:rPr>
        <w:fldChar w:fldCharType="begin"/>
      </w:r>
      <w:r w:rsidRPr="00EE4904">
        <w:rPr>
          <w:rFonts w:asciiTheme="minorHAnsi" w:hAnsiTheme="minorHAnsi" w:cs="Arial"/>
          <w:sz w:val="16"/>
          <w:szCs w:val="16"/>
        </w:rPr>
        <w:instrText xml:space="preserve"> HYPERLINK "http://www.unfpa.org/sites/default/files/pub-pdf/FGMC-humanrights.pdf" </w:instrText>
      </w:r>
      <w:r w:rsidRPr="00EE4904">
        <w:rPr>
          <w:rFonts w:asciiTheme="minorHAnsi" w:hAnsiTheme="minorHAnsi" w:cs="Arial"/>
          <w:sz w:val="16"/>
          <w:szCs w:val="16"/>
        </w:rPr>
        <w:fldChar w:fldCharType="separate"/>
      </w:r>
      <w:r w:rsidRPr="00EE4904">
        <w:rPr>
          <w:rStyle w:val="Hyperlink"/>
          <w:rFonts w:asciiTheme="minorHAnsi" w:hAnsiTheme="minorHAnsi" w:cs="Arial"/>
          <w:sz w:val="16"/>
          <w:szCs w:val="16"/>
        </w:rPr>
        <w:t>Implementation of the International and Regional Human Rights Framework</w:t>
      </w:r>
    </w:p>
    <w:p w:rsidR="00890277" w:rsidRPr="00EE4904" w:rsidRDefault="00890277" w:rsidP="00A70814">
      <w:pPr>
        <w:pStyle w:val="FootnoteText"/>
        <w:rPr>
          <w:rFonts w:asciiTheme="minorHAnsi" w:hAnsiTheme="minorHAnsi"/>
          <w:sz w:val="16"/>
          <w:szCs w:val="16"/>
        </w:rPr>
      </w:pPr>
      <w:proofErr w:type="gramStart"/>
      <w:r w:rsidRPr="00EE4904">
        <w:rPr>
          <w:rStyle w:val="Hyperlink"/>
          <w:rFonts w:asciiTheme="minorHAnsi" w:hAnsiTheme="minorHAnsi" w:cs="Arial"/>
          <w:sz w:val="16"/>
          <w:szCs w:val="16"/>
        </w:rPr>
        <w:t>fo</w:t>
      </w:r>
      <w:proofErr w:type="gramEnd"/>
      <w:r w:rsidRPr="00EE4904">
        <w:rPr>
          <w:rStyle w:val="Hyperlink"/>
          <w:rFonts w:asciiTheme="minorHAnsi" w:hAnsiTheme="minorHAnsi" w:cs="Arial"/>
          <w:sz w:val="16"/>
          <w:szCs w:val="16"/>
        </w:rPr>
        <w:t>r the Elimination of Female Genital Mutilation</w:t>
      </w:r>
      <w:r w:rsidRPr="00EE4904">
        <w:rPr>
          <w:rFonts w:asciiTheme="minorHAnsi" w:hAnsiTheme="minorHAnsi" w:cs="Arial"/>
          <w:sz w:val="16"/>
          <w:szCs w:val="16"/>
        </w:rPr>
        <w:fldChar w:fldCharType="end"/>
      </w:r>
      <w:r w:rsidRPr="00EE4904">
        <w:rPr>
          <w:rFonts w:asciiTheme="minorHAnsi" w:hAnsiTheme="minorHAnsi" w:cs="Arial"/>
          <w:sz w:val="16"/>
          <w:szCs w:val="16"/>
        </w:rPr>
        <w:t>. New York.</w:t>
      </w:r>
      <w:r w:rsidRPr="00EE4904">
        <w:rPr>
          <w:rFonts w:asciiTheme="minorHAnsi" w:hAnsiTheme="minorHAnsi"/>
          <w:sz w:val="16"/>
          <w:szCs w:val="16"/>
        </w:rPr>
        <w:t xml:space="preserve"> </w:t>
      </w:r>
    </w:p>
  </w:footnote>
  <w:footnote w:id="164">
    <w:p w:rsidR="00890277" w:rsidRPr="00EE4904" w:rsidRDefault="00890277" w:rsidP="00A67211">
      <w:pPr>
        <w:pStyle w:val="FootnoteText"/>
        <w:rPr>
          <w:rFonts w:asciiTheme="minorHAnsi" w:hAnsiTheme="minorHAnsi"/>
          <w:sz w:val="16"/>
          <w:szCs w:val="16"/>
        </w:rPr>
      </w:pPr>
      <w:r w:rsidRPr="00EE4904">
        <w:rPr>
          <w:rStyle w:val="FootnoteReference"/>
          <w:rFonts w:asciiTheme="minorHAnsi" w:hAnsiTheme="minorHAnsi"/>
          <w:sz w:val="16"/>
          <w:szCs w:val="16"/>
        </w:rPr>
        <w:footnoteRef/>
      </w:r>
      <w:r w:rsidRPr="00EE4904">
        <w:rPr>
          <w:rFonts w:asciiTheme="minorHAnsi" w:hAnsiTheme="minorHAnsi"/>
          <w:sz w:val="16"/>
          <w:szCs w:val="16"/>
        </w:rPr>
        <w:t xml:space="preserve"> Data in this section has been compiled from the Charities Commission’s register of charities who state that they operate in Barnet, as of February 2015, combined with Charities Commission data on VCS organisations </w:t>
      </w:r>
      <w:proofErr w:type="gramStart"/>
      <w:r w:rsidRPr="00EE4904">
        <w:rPr>
          <w:rFonts w:asciiTheme="minorHAnsi" w:hAnsiTheme="minorHAnsi"/>
          <w:sz w:val="16"/>
          <w:szCs w:val="16"/>
        </w:rPr>
        <w:t>who</w:t>
      </w:r>
      <w:proofErr w:type="gramEnd"/>
      <w:r w:rsidRPr="00EE4904">
        <w:rPr>
          <w:rFonts w:asciiTheme="minorHAnsi" w:hAnsiTheme="minorHAnsi"/>
          <w:sz w:val="16"/>
          <w:szCs w:val="16"/>
        </w:rPr>
        <w:t xml:space="preserve"> have contracts with Barnet Council to provide services, either directly to the Council or to residents.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0277" w:rsidRDefault="0089027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A2F8E"/>
    <w:multiLevelType w:val="multilevel"/>
    <w:tmpl w:val="70F2900C"/>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862"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
    <w:nsid w:val="01FE1098"/>
    <w:multiLevelType w:val="hybridMultilevel"/>
    <w:tmpl w:val="B0CAB5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2330C42"/>
    <w:multiLevelType w:val="multilevel"/>
    <w:tmpl w:val="4E627710"/>
    <w:lvl w:ilvl="0">
      <w:start w:val="7"/>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
    <w:nsid w:val="05553EA1"/>
    <w:multiLevelType w:val="hybridMultilevel"/>
    <w:tmpl w:val="E67A8D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05AF3C57"/>
    <w:multiLevelType w:val="hybridMultilevel"/>
    <w:tmpl w:val="1E90DC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05EE1D1A"/>
    <w:multiLevelType w:val="multilevel"/>
    <w:tmpl w:val="E9E20AEA"/>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b/>
      </w:rPr>
    </w:lvl>
    <w:lvl w:ilvl="2">
      <w:start w:val="1"/>
      <w:numFmt w:val="decimal"/>
      <w:lvlText w:val="%1.%2.%3"/>
      <w:lvlJc w:val="left"/>
      <w:pPr>
        <w:ind w:left="720" w:hanging="720"/>
      </w:pPr>
      <w:rPr>
        <w:rFonts w:hint="default"/>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6">
    <w:nsid w:val="05FE021E"/>
    <w:multiLevelType w:val="hybridMultilevel"/>
    <w:tmpl w:val="E550E6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09E668F5"/>
    <w:multiLevelType w:val="hybridMultilevel"/>
    <w:tmpl w:val="7F5453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0B7B0C47"/>
    <w:multiLevelType w:val="hybridMultilevel"/>
    <w:tmpl w:val="3F7A94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0C781800"/>
    <w:multiLevelType w:val="hybridMultilevel"/>
    <w:tmpl w:val="DB70FE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0D93625D"/>
    <w:multiLevelType w:val="hybridMultilevel"/>
    <w:tmpl w:val="AD7AAA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0FC65C93"/>
    <w:multiLevelType w:val="hybridMultilevel"/>
    <w:tmpl w:val="63D2D3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0FE31960"/>
    <w:multiLevelType w:val="hybridMultilevel"/>
    <w:tmpl w:val="47563B8E"/>
    <w:lvl w:ilvl="0" w:tplc="8BA23B78">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10925384"/>
    <w:multiLevelType w:val="hybridMultilevel"/>
    <w:tmpl w:val="6622B48A"/>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110B7B92"/>
    <w:multiLevelType w:val="hybridMultilevel"/>
    <w:tmpl w:val="7A0C84E8"/>
    <w:lvl w:ilvl="0" w:tplc="31CCE4B6">
      <w:numFmt w:val="bullet"/>
      <w:lvlText w:val="•"/>
      <w:lvlJc w:val="left"/>
      <w:pPr>
        <w:ind w:left="1800" w:hanging="360"/>
      </w:pPr>
      <w:rPr>
        <w:rFonts w:ascii="Arial" w:eastAsia="SymbolMT" w:hAnsi="Arial" w:cs="Arial" w:hint="default"/>
      </w:rPr>
    </w:lvl>
    <w:lvl w:ilvl="1" w:tplc="08090003">
      <w:start w:val="1"/>
      <w:numFmt w:val="bullet"/>
      <w:lvlText w:val="o"/>
      <w:lvlJc w:val="left"/>
      <w:pPr>
        <w:ind w:left="2520" w:hanging="360"/>
      </w:pPr>
      <w:rPr>
        <w:rFonts w:ascii="Courier New" w:hAnsi="Courier New" w:cs="Courier New" w:hint="default"/>
      </w:rPr>
    </w:lvl>
    <w:lvl w:ilvl="2" w:tplc="4080DDA4">
      <w:numFmt w:val="bullet"/>
      <w:lvlText w:val=""/>
      <w:lvlJc w:val="left"/>
      <w:pPr>
        <w:ind w:left="3240" w:hanging="360"/>
      </w:pPr>
      <w:rPr>
        <w:rFonts w:ascii="Symbol" w:eastAsia="Calibri" w:hAnsi="Symbol" w:cs="Arial"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5">
    <w:nsid w:val="12B85CEC"/>
    <w:multiLevelType w:val="hybridMultilevel"/>
    <w:tmpl w:val="15FCD8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13380C66"/>
    <w:multiLevelType w:val="hybridMultilevel"/>
    <w:tmpl w:val="99887F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13F4350B"/>
    <w:multiLevelType w:val="hybridMultilevel"/>
    <w:tmpl w:val="354C08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14890001"/>
    <w:multiLevelType w:val="hybridMultilevel"/>
    <w:tmpl w:val="A500A2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14F64808"/>
    <w:multiLevelType w:val="hybridMultilevel"/>
    <w:tmpl w:val="796A7760"/>
    <w:lvl w:ilvl="0" w:tplc="24CC174A">
      <w:start w:val="1"/>
      <w:numFmt w:val="bullet"/>
      <w:lvlText w:val=""/>
      <w:lvlJc w:val="left"/>
      <w:pPr>
        <w:ind w:left="720" w:hanging="360"/>
      </w:pPr>
      <w:rPr>
        <w:rFonts w:ascii="Symbol" w:hAnsi="Symbol" w:hint="default"/>
        <w:color w:val="auto"/>
        <w:sz w:val="22"/>
        <w:szCs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151A4D05"/>
    <w:multiLevelType w:val="hybridMultilevel"/>
    <w:tmpl w:val="69E63BF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1">
    <w:nsid w:val="15A33C92"/>
    <w:multiLevelType w:val="hybridMultilevel"/>
    <w:tmpl w:val="DDE8C9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15CA2D48"/>
    <w:multiLevelType w:val="hybridMultilevel"/>
    <w:tmpl w:val="A7747A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16AB4B00"/>
    <w:multiLevelType w:val="hybridMultilevel"/>
    <w:tmpl w:val="20F6E4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16FC69B1"/>
    <w:multiLevelType w:val="hybridMultilevel"/>
    <w:tmpl w:val="D45C6A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17B82639"/>
    <w:multiLevelType w:val="hybridMultilevel"/>
    <w:tmpl w:val="4860E0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187D2B22"/>
    <w:multiLevelType w:val="multilevel"/>
    <w:tmpl w:val="70341600"/>
    <w:lvl w:ilvl="0">
      <w:start w:val="5"/>
      <w:numFmt w:val="decimal"/>
      <w:lvlText w:val="%1"/>
      <w:lvlJc w:val="left"/>
      <w:pPr>
        <w:ind w:left="432" w:hanging="432"/>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5117"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7">
    <w:nsid w:val="18884061"/>
    <w:multiLevelType w:val="hybridMultilevel"/>
    <w:tmpl w:val="0AA6FC9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nsid w:val="19312C16"/>
    <w:multiLevelType w:val="hybridMultilevel"/>
    <w:tmpl w:val="06263C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nsid w:val="19325883"/>
    <w:multiLevelType w:val="hybridMultilevel"/>
    <w:tmpl w:val="E67E168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nsid w:val="1A350BAF"/>
    <w:multiLevelType w:val="hybridMultilevel"/>
    <w:tmpl w:val="BD7CC6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nsid w:val="1A4E5C53"/>
    <w:multiLevelType w:val="hybridMultilevel"/>
    <w:tmpl w:val="3A9853A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nsid w:val="1A7C42EA"/>
    <w:multiLevelType w:val="hybridMultilevel"/>
    <w:tmpl w:val="201883A8"/>
    <w:lvl w:ilvl="0" w:tplc="F4CCFD7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nsid w:val="1C580C56"/>
    <w:multiLevelType w:val="hybridMultilevel"/>
    <w:tmpl w:val="E244E6B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nsid w:val="1C8008F5"/>
    <w:multiLevelType w:val="hybridMultilevel"/>
    <w:tmpl w:val="9F503A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nsid w:val="1C965B89"/>
    <w:multiLevelType w:val="hybridMultilevel"/>
    <w:tmpl w:val="C2C21EA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nsid w:val="1CF342C0"/>
    <w:multiLevelType w:val="hybridMultilevel"/>
    <w:tmpl w:val="0D523E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nsid w:val="1D016B1A"/>
    <w:multiLevelType w:val="hybridMultilevel"/>
    <w:tmpl w:val="4628C4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nsid w:val="1EB947C4"/>
    <w:multiLevelType w:val="hybridMultilevel"/>
    <w:tmpl w:val="F13C4B0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nsid w:val="1ED74E04"/>
    <w:multiLevelType w:val="hybridMultilevel"/>
    <w:tmpl w:val="89EEEBF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0">
    <w:nsid w:val="1F2B64F8"/>
    <w:multiLevelType w:val="hybridMultilevel"/>
    <w:tmpl w:val="B3265F1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nsid w:val="1FAA74BE"/>
    <w:multiLevelType w:val="hybridMultilevel"/>
    <w:tmpl w:val="C3FE6C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nsid w:val="20ED5449"/>
    <w:multiLevelType w:val="hybridMultilevel"/>
    <w:tmpl w:val="757EC76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nsid w:val="210F0622"/>
    <w:multiLevelType w:val="hybridMultilevel"/>
    <w:tmpl w:val="5BC865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nsid w:val="22752630"/>
    <w:multiLevelType w:val="hybridMultilevel"/>
    <w:tmpl w:val="642ECC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nsid w:val="26BC246A"/>
    <w:multiLevelType w:val="hybridMultilevel"/>
    <w:tmpl w:val="84FA0A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nsid w:val="26FD6613"/>
    <w:multiLevelType w:val="hybridMultilevel"/>
    <w:tmpl w:val="8DACA640"/>
    <w:lvl w:ilvl="0" w:tplc="08090001">
      <w:start w:val="1"/>
      <w:numFmt w:val="bullet"/>
      <w:lvlText w:val=""/>
      <w:lvlJc w:val="left"/>
      <w:pPr>
        <w:ind w:left="765" w:hanging="360"/>
      </w:pPr>
      <w:rPr>
        <w:rFonts w:ascii="Symbol" w:hAnsi="Symbo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47">
    <w:nsid w:val="272F64B9"/>
    <w:multiLevelType w:val="hybridMultilevel"/>
    <w:tmpl w:val="A428FB7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8">
    <w:nsid w:val="2893463C"/>
    <w:multiLevelType w:val="hybridMultilevel"/>
    <w:tmpl w:val="5606976A"/>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49">
    <w:nsid w:val="28BD11C8"/>
    <w:multiLevelType w:val="hybridMultilevel"/>
    <w:tmpl w:val="CB3668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nsid w:val="28C30585"/>
    <w:multiLevelType w:val="hybridMultilevel"/>
    <w:tmpl w:val="BDE8EE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nsid w:val="2C964005"/>
    <w:multiLevelType w:val="hybridMultilevel"/>
    <w:tmpl w:val="9DA0AC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nsid w:val="2CD10C38"/>
    <w:multiLevelType w:val="hybridMultilevel"/>
    <w:tmpl w:val="DB807F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nsid w:val="2CDA66B6"/>
    <w:multiLevelType w:val="hybridMultilevel"/>
    <w:tmpl w:val="224C13C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4">
    <w:nsid w:val="2CE0486E"/>
    <w:multiLevelType w:val="hybridMultilevel"/>
    <w:tmpl w:val="BD74B2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nsid w:val="2EC5070D"/>
    <w:multiLevelType w:val="hybridMultilevel"/>
    <w:tmpl w:val="B96E443A"/>
    <w:lvl w:ilvl="0" w:tplc="8BA23B78">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nsid w:val="2ECC7F2D"/>
    <w:multiLevelType w:val="hybridMultilevel"/>
    <w:tmpl w:val="5ADC1E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nsid w:val="2F3B302C"/>
    <w:multiLevelType w:val="hybridMultilevel"/>
    <w:tmpl w:val="7F66DD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nsid w:val="3099075A"/>
    <w:multiLevelType w:val="hybridMultilevel"/>
    <w:tmpl w:val="6DBE7A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nsid w:val="328550D8"/>
    <w:multiLevelType w:val="hybridMultilevel"/>
    <w:tmpl w:val="8B9C82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nsid w:val="33475F32"/>
    <w:multiLevelType w:val="hybridMultilevel"/>
    <w:tmpl w:val="A306A984"/>
    <w:lvl w:ilvl="0" w:tplc="6CCEABA0">
      <w:start w:val="1"/>
      <w:numFmt w:val="decimal"/>
      <w:lvlText w:val="%1."/>
      <w:lvlJc w:val="left"/>
      <w:pPr>
        <w:ind w:left="720" w:hanging="360"/>
      </w:pPr>
      <w:rPr>
        <w:rFonts w:eastAsiaTheme="majorEastAsia" w:hint="default"/>
        <w:color w:val="365F91" w:themeColor="accent1" w:themeShade="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
    <w:nsid w:val="346E274A"/>
    <w:multiLevelType w:val="hybridMultilevel"/>
    <w:tmpl w:val="E7B6AE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nsid w:val="35D44642"/>
    <w:multiLevelType w:val="hybridMultilevel"/>
    <w:tmpl w:val="4C0E3F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nsid w:val="35DF5B36"/>
    <w:multiLevelType w:val="hybridMultilevel"/>
    <w:tmpl w:val="E85003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nsid w:val="36E1189C"/>
    <w:multiLevelType w:val="hybridMultilevel"/>
    <w:tmpl w:val="7FC65C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nsid w:val="3706269C"/>
    <w:multiLevelType w:val="hybridMultilevel"/>
    <w:tmpl w:val="E6782C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nsid w:val="377B34C7"/>
    <w:multiLevelType w:val="hybridMultilevel"/>
    <w:tmpl w:val="3C9A2C7C"/>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nsid w:val="379B6A5D"/>
    <w:multiLevelType w:val="hybridMultilevel"/>
    <w:tmpl w:val="73ECAB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nsid w:val="397B5281"/>
    <w:multiLevelType w:val="multilevel"/>
    <w:tmpl w:val="2062BCAA"/>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b/>
      </w:rPr>
    </w:lvl>
    <w:lvl w:ilvl="2">
      <w:start w:val="1"/>
      <w:numFmt w:val="decimal"/>
      <w:lvlText w:val="%1.%2.%3"/>
      <w:lvlJc w:val="left"/>
      <w:pPr>
        <w:ind w:left="720" w:hanging="720"/>
      </w:pPr>
      <w:rPr>
        <w:rFonts w:hint="default"/>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69">
    <w:nsid w:val="3B601235"/>
    <w:multiLevelType w:val="hybridMultilevel"/>
    <w:tmpl w:val="40EE34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nsid w:val="3C5F4F6E"/>
    <w:multiLevelType w:val="hybridMultilevel"/>
    <w:tmpl w:val="EF1EDF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nsid w:val="3C5F5C00"/>
    <w:multiLevelType w:val="hybridMultilevel"/>
    <w:tmpl w:val="702479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nsid w:val="3EAD2E08"/>
    <w:multiLevelType w:val="hybridMultilevel"/>
    <w:tmpl w:val="3E8838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nsid w:val="3F9447AD"/>
    <w:multiLevelType w:val="hybridMultilevel"/>
    <w:tmpl w:val="008066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nsid w:val="3FCB0770"/>
    <w:multiLevelType w:val="hybridMultilevel"/>
    <w:tmpl w:val="095418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nsid w:val="40140E55"/>
    <w:multiLevelType w:val="hybridMultilevel"/>
    <w:tmpl w:val="3FD2A50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6">
    <w:nsid w:val="412E38CF"/>
    <w:multiLevelType w:val="hybridMultilevel"/>
    <w:tmpl w:val="35CC62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nsid w:val="425F0907"/>
    <w:multiLevelType w:val="hybridMultilevel"/>
    <w:tmpl w:val="FFC49E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nsid w:val="42C3646E"/>
    <w:multiLevelType w:val="hybridMultilevel"/>
    <w:tmpl w:val="2788E2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nsid w:val="42D5231B"/>
    <w:multiLevelType w:val="hybridMultilevel"/>
    <w:tmpl w:val="EDA435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nsid w:val="43A66A7E"/>
    <w:multiLevelType w:val="hybridMultilevel"/>
    <w:tmpl w:val="7BCE21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
    <w:nsid w:val="44954BEF"/>
    <w:multiLevelType w:val="hybridMultilevel"/>
    <w:tmpl w:val="8F9E368A"/>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82">
    <w:nsid w:val="452D0260"/>
    <w:multiLevelType w:val="hybridMultilevel"/>
    <w:tmpl w:val="A40C02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nsid w:val="49725242"/>
    <w:multiLevelType w:val="hybridMultilevel"/>
    <w:tmpl w:val="F8800C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nsid w:val="4A683057"/>
    <w:multiLevelType w:val="hybridMultilevel"/>
    <w:tmpl w:val="81DEA0CA"/>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85">
    <w:nsid w:val="4B704525"/>
    <w:multiLevelType w:val="hybridMultilevel"/>
    <w:tmpl w:val="C6FA131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
    <w:nsid w:val="4DD35611"/>
    <w:multiLevelType w:val="hybridMultilevel"/>
    <w:tmpl w:val="855466B4"/>
    <w:lvl w:ilvl="0" w:tplc="9CBC3D98">
      <w:start w:val="73"/>
      <w:numFmt w:val="bullet"/>
      <w:lvlText w:val="-"/>
      <w:lvlJc w:val="left"/>
      <w:pPr>
        <w:ind w:left="420" w:hanging="360"/>
      </w:pPr>
      <w:rPr>
        <w:rFonts w:ascii="Arial" w:eastAsiaTheme="minorHAnsi" w:hAnsi="Arial" w:cs="Arial" w:hint="default"/>
      </w:rPr>
    </w:lvl>
    <w:lvl w:ilvl="1" w:tplc="08090003" w:tentative="1">
      <w:start w:val="1"/>
      <w:numFmt w:val="bullet"/>
      <w:lvlText w:val="o"/>
      <w:lvlJc w:val="left"/>
      <w:pPr>
        <w:ind w:left="1140" w:hanging="360"/>
      </w:pPr>
      <w:rPr>
        <w:rFonts w:ascii="Courier New" w:hAnsi="Courier New" w:cs="Courier New" w:hint="default"/>
      </w:rPr>
    </w:lvl>
    <w:lvl w:ilvl="2" w:tplc="08090005" w:tentative="1">
      <w:start w:val="1"/>
      <w:numFmt w:val="bullet"/>
      <w:lvlText w:val=""/>
      <w:lvlJc w:val="left"/>
      <w:pPr>
        <w:ind w:left="1860" w:hanging="360"/>
      </w:pPr>
      <w:rPr>
        <w:rFonts w:ascii="Wingdings" w:hAnsi="Wingdings" w:hint="default"/>
      </w:rPr>
    </w:lvl>
    <w:lvl w:ilvl="3" w:tplc="08090001" w:tentative="1">
      <w:start w:val="1"/>
      <w:numFmt w:val="bullet"/>
      <w:lvlText w:val=""/>
      <w:lvlJc w:val="left"/>
      <w:pPr>
        <w:ind w:left="2580" w:hanging="360"/>
      </w:pPr>
      <w:rPr>
        <w:rFonts w:ascii="Symbol" w:hAnsi="Symbol" w:hint="default"/>
      </w:rPr>
    </w:lvl>
    <w:lvl w:ilvl="4" w:tplc="08090003" w:tentative="1">
      <w:start w:val="1"/>
      <w:numFmt w:val="bullet"/>
      <w:lvlText w:val="o"/>
      <w:lvlJc w:val="left"/>
      <w:pPr>
        <w:ind w:left="3300" w:hanging="360"/>
      </w:pPr>
      <w:rPr>
        <w:rFonts w:ascii="Courier New" w:hAnsi="Courier New" w:cs="Courier New" w:hint="default"/>
      </w:rPr>
    </w:lvl>
    <w:lvl w:ilvl="5" w:tplc="08090005" w:tentative="1">
      <w:start w:val="1"/>
      <w:numFmt w:val="bullet"/>
      <w:lvlText w:val=""/>
      <w:lvlJc w:val="left"/>
      <w:pPr>
        <w:ind w:left="4020" w:hanging="360"/>
      </w:pPr>
      <w:rPr>
        <w:rFonts w:ascii="Wingdings" w:hAnsi="Wingdings" w:hint="default"/>
      </w:rPr>
    </w:lvl>
    <w:lvl w:ilvl="6" w:tplc="08090001" w:tentative="1">
      <w:start w:val="1"/>
      <w:numFmt w:val="bullet"/>
      <w:lvlText w:val=""/>
      <w:lvlJc w:val="left"/>
      <w:pPr>
        <w:ind w:left="4740" w:hanging="360"/>
      </w:pPr>
      <w:rPr>
        <w:rFonts w:ascii="Symbol" w:hAnsi="Symbol" w:hint="default"/>
      </w:rPr>
    </w:lvl>
    <w:lvl w:ilvl="7" w:tplc="08090003" w:tentative="1">
      <w:start w:val="1"/>
      <w:numFmt w:val="bullet"/>
      <w:lvlText w:val="o"/>
      <w:lvlJc w:val="left"/>
      <w:pPr>
        <w:ind w:left="5460" w:hanging="360"/>
      </w:pPr>
      <w:rPr>
        <w:rFonts w:ascii="Courier New" w:hAnsi="Courier New" w:cs="Courier New" w:hint="default"/>
      </w:rPr>
    </w:lvl>
    <w:lvl w:ilvl="8" w:tplc="08090005" w:tentative="1">
      <w:start w:val="1"/>
      <w:numFmt w:val="bullet"/>
      <w:lvlText w:val=""/>
      <w:lvlJc w:val="left"/>
      <w:pPr>
        <w:ind w:left="6180" w:hanging="360"/>
      </w:pPr>
      <w:rPr>
        <w:rFonts w:ascii="Wingdings" w:hAnsi="Wingdings" w:hint="default"/>
      </w:rPr>
    </w:lvl>
  </w:abstractNum>
  <w:abstractNum w:abstractNumId="87">
    <w:nsid w:val="4E9E52C8"/>
    <w:multiLevelType w:val="hybridMultilevel"/>
    <w:tmpl w:val="09EAC0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nsid w:val="4F605633"/>
    <w:multiLevelType w:val="hybridMultilevel"/>
    <w:tmpl w:val="44D62C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
    <w:nsid w:val="517B1FDD"/>
    <w:multiLevelType w:val="hybridMultilevel"/>
    <w:tmpl w:val="43EE90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nsid w:val="533D0599"/>
    <w:multiLevelType w:val="hybridMultilevel"/>
    <w:tmpl w:val="CFD22C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nsid w:val="56D564B6"/>
    <w:multiLevelType w:val="hybridMultilevel"/>
    <w:tmpl w:val="D6762D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nsid w:val="590432D0"/>
    <w:multiLevelType w:val="hybridMultilevel"/>
    <w:tmpl w:val="6312298C"/>
    <w:lvl w:ilvl="0" w:tplc="08090001">
      <w:start w:val="1"/>
      <w:numFmt w:val="bullet"/>
      <w:lvlText w:val=""/>
      <w:lvlJc w:val="left"/>
      <w:pPr>
        <w:ind w:left="795" w:hanging="360"/>
      </w:pPr>
      <w:rPr>
        <w:rFonts w:ascii="Symbol" w:hAnsi="Symbol" w:hint="default"/>
      </w:rPr>
    </w:lvl>
    <w:lvl w:ilvl="1" w:tplc="08090003" w:tentative="1">
      <w:start w:val="1"/>
      <w:numFmt w:val="bullet"/>
      <w:lvlText w:val="o"/>
      <w:lvlJc w:val="left"/>
      <w:pPr>
        <w:ind w:left="1515" w:hanging="360"/>
      </w:pPr>
      <w:rPr>
        <w:rFonts w:ascii="Courier New" w:hAnsi="Courier New" w:cs="Courier New" w:hint="default"/>
      </w:rPr>
    </w:lvl>
    <w:lvl w:ilvl="2" w:tplc="08090005" w:tentative="1">
      <w:start w:val="1"/>
      <w:numFmt w:val="bullet"/>
      <w:lvlText w:val=""/>
      <w:lvlJc w:val="left"/>
      <w:pPr>
        <w:ind w:left="2235" w:hanging="360"/>
      </w:pPr>
      <w:rPr>
        <w:rFonts w:ascii="Wingdings" w:hAnsi="Wingdings" w:hint="default"/>
      </w:rPr>
    </w:lvl>
    <w:lvl w:ilvl="3" w:tplc="08090001" w:tentative="1">
      <w:start w:val="1"/>
      <w:numFmt w:val="bullet"/>
      <w:lvlText w:val=""/>
      <w:lvlJc w:val="left"/>
      <w:pPr>
        <w:ind w:left="2955" w:hanging="360"/>
      </w:pPr>
      <w:rPr>
        <w:rFonts w:ascii="Symbol" w:hAnsi="Symbol" w:hint="default"/>
      </w:rPr>
    </w:lvl>
    <w:lvl w:ilvl="4" w:tplc="08090003" w:tentative="1">
      <w:start w:val="1"/>
      <w:numFmt w:val="bullet"/>
      <w:lvlText w:val="o"/>
      <w:lvlJc w:val="left"/>
      <w:pPr>
        <w:ind w:left="3675" w:hanging="360"/>
      </w:pPr>
      <w:rPr>
        <w:rFonts w:ascii="Courier New" w:hAnsi="Courier New" w:cs="Courier New" w:hint="default"/>
      </w:rPr>
    </w:lvl>
    <w:lvl w:ilvl="5" w:tplc="08090005" w:tentative="1">
      <w:start w:val="1"/>
      <w:numFmt w:val="bullet"/>
      <w:lvlText w:val=""/>
      <w:lvlJc w:val="left"/>
      <w:pPr>
        <w:ind w:left="4395" w:hanging="360"/>
      </w:pPr>
      <w:rPr>
        <w:rFonts w:ascii="Wingdings" w:hAnsi="Wingdings" w:hint="default"/>
      </w:rPr>
    </w:lvl>
    <w:lvl w:ilvl="6" w:tplc="08090001" w:tentative="1">
      <w:start w:val="1"/>
      <w:numFmt w:val="bullet"/>
      <w:lvlText w:val=""/>
      <w:lvlJc w:val="left"/>
      <w:pPr>
        <w:ind w:left="5115" w:hanging="360"/>
      </w:pPr>
      <w:rPr>
        <w:rFonts w:ascii="Symbol" w:hAnsi="Symbol" w:hint="default"/>
      </w:rPr>
    </w:lvl>
    <w:lvl w:ilvl="7" w:tplc="08090003" w:tentative="1">
      <w:start w:val="1"/>
      <w:numFmt w:val="bullet"/>
      <w:lvlText w:val="o"/>
      <w:lvlJc w:val="left"/>
      <w:pPr>
        <w:ind w:left="5835" w:hanging="360"/>
      </w:pPr>
      <w:rPr>
        <w:rFonts w:ascii="Courier New" w:hAnsi="Courier New" w:cs="Courier New" w:hint="default"/>
      </w:rPr>
    </w:lvl>
    <w:lvl w:ilvl="8" w:tplc="08090005" w:tentative="1">
      <w:start w:val="1"/>
      <w:numFmt w:val="bullet"/>
      <w:lvlText w:val=""/>
      <w:lvlJc w:val="left"/>
      <w:pPr>
        <w:ind w:left="6555" w:hanging="360"/>
      </w:pPr>
      <w:rPr>
        <w:rFonts w:ascii="Wingdings" w:hAnsi="Wingdings" w:hint="default"/>
      </w:rPr>
    </w:lvl>
  </w:abstractNum>
  <w:abstractNum w:abstractNumId="93">
    <w:nsid w:val="5A9C5324"/>
    <w:multiLevelType w:val="hybridMultilevel"/>
    <w:tmpl w:val="A78ACC3C"/>
    <w:lvl w:ilvl="0" w:tplc="8BA23B78">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nsid w:val="5B2A3419"/>
    <w:multiLevelType w:val="multilevel"/>
    <w:tmpl w:val="5AD4F210"/>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b/>
      </w:rPr>
    </w:lvl>
    <w:lvl w:ilvl="2">
      <w:start w:val="1"/>
      <w:numFmt w:val="decimal"/>
      <w:lvlText w:val="%1.%2.%3"/>
      <w:lvlJc w:val="left"/>
      <w:pPr>
        <w:ind w:left="720" w:hanging="720"/>
      </w:pPr>
      <w:rPr>
        <w:rFonts w:hint="default"/>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95">
    <w:nsid w:val="5B57663F"/>
    <w:multiLevelType w:val="hybridMultilevel"/>
    <w:tmpl w:val="A89CFE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nsid w:val="5EDA257D"/>
    <w:multiLevelType w:val="hybridMultilevel"/>
    <w:tmpl w:val="A942E1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nsid w:val="605A1A61"/>
    <w:multiLevelType w:val="hybridMultilevel"/>
    <w:tmpl w:val="43743FB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1">
      <w:start w:val="1"/>
      <w:numFmt w:val="bullet"/>
      <w:lvlText w:val=""/>
      <w:lvlJc w:val="left"/>
      <w:pPr>
        <w:ind w:left="2160" w:hanging="360"/>
      </w:pPr>
      <w:rPr>
        <w:rFonts w:ascii="Symbol" w:hAnsi="Symbol"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nsid w:val="60ED38EF"/>
    <w:multiLevelType w:val="hybridMultilevel"/>
    <w:tmpl w:val="FAD8F4F2"/>
    <w:lvl w:ilvl="0" w:tplc="08090001">
      <w:start w:val="1"/>
      <w:numFmt w:val="bullet"/>
      <w:lvlText w:val=""/>
      <w:lvlJc w:val="left"/>
      <w:pPr>
        <w:ind w:left="720" w:hanging="360"/>
      </w:pPr>
      <w:rPr>
        <w:rFonts w:ascii="Symbol" w:hAnsi="Symbol" w:hint="default"/>
      </w:rPr>
    </w:lvl>
    <w:lvl w:ilvl="1" w:tplc="B3EE309A">
      <w:numFmt w:val="bullet"/>
      <w:lvlText w:val="-"/>
      <w:lvlJc w:val="left"/>
      <w:pPr>
        <w:ind w:left="1440" w:hanging="360"/>
      </w:pPr>
      <w:rPr>
        <w:rFonts w:ascii="Foundry Form Sans" w:eastAsiaTheme="minorHAnsi" w:hAnsi="Foundry Form Sans" w:cs="Foundry Form San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nsid w:val="616F3D84"/>
    <w:multiLevelType w:val="hybridMultilevel"/>
    <w:tmpl w:val="48987A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0">
    <w:nsid w:val="61BA7975"/>
    <w:multiLevelType w:val="hybridMultilevel"/>
    <w:tmpl w:val="B3E037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nsid w:val="657B6003"/>
    <w:multiLevelType w:val="hybridMultilevel"/>
    <w:tmpl w:val="526425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
    <w:nsid w:val="66785DF8"/>
    <w:multiLevelType w:val="hybridMultilevel"/>
    <w:tmpl w:val="6644D2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3">
    <w:nsid w:val="69413B19"/>
    <w:multiLevelType w:val="hybridMultilevel"/>
    <w:tmpl w:val="82CEBEE2"/>
    <w:lvl w:ilvl="0" w:tplc="3E861106">
      <w:start w:val="1"/>
      <w:numFmt w:val="bullet"/>
      <w:pStyle w:val="Bodybullets"/>
      <w:lvlText w:val=""/>
      <w:lvlJc w:val="left"/>
      <w:pPr>
        <w:tabs>
          <w:tab w:val="num" w:pos="170"/>
        </w:tabs>
        <w:ind w:left="170" w:hanging="170"/>
      </w:pPr>
      <w:rPr>
        <w:rFonts w:ascii="Symbol" w:hAnsi="Symbol" w:hint="default"/>
        <w:color w:val="009C9A"/>
      </w:rPr>
    </w:lvl>
    <w:lvl w:ilvl="1" w:tplc="04090003">
      <w:start w:val="1"/>
      <w:numFmt w:val="bullet"/>
      <w:lvlText w:val="o"/>
      <w:lvlJc w:val="left"/>
      <w:pPr>
        <w:ind w:left="1156" w:hanging="360"/>
      </w:pPr>
      <w:rPr>
        <w:rFonts w:ascii="Courier New" w:hAnsi="Courier New" w:hint="default"/>
      </w:rPr>
    </w:lvl>
    <w:lvl w:ilvl="2" w:tplc="04090005" w:tentative="1">
      <w:start w:val="1"/>
      <w:numFmt w:val="bullet"/>
      <w:lvlText w:val=""/>
      <w:lvlJc w:val="left"/>
      <w:pPr>
        <w:ind w:left="1876" w:hanging="360"/>
      </w:pPr>
      <w:rPr>
        <w:rFonts w:ascii="Symbol" w:hAnsi="Symbol"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hint="default"/>
      </w:rPr>
    </w:lvl>
    <w:lvl w:ilvl="5" w:tplc="04090005" w:tentative="1">
      <w:start w:val="1"/>
      <w:numFmt w:val="bullet"/>
      <w:lvlText w:val=""/>
      <w:lvlJc w:val="left"/>
      <w:pPr>
        <w:ind w:left="4036" w:hanging="360"/>
      </w:pPr>
      <w:rPr>
        <w:rFonts w:ascii="Symbol" w:hAnsi="Symbol"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hint="default"/>
      </w:rPr>
    </w:lvl>
    <w:lvl w:ilvl="8" w:tplc="04090005" w:tentative="1">
      <w:start w:val="1"/>
      <w:numFmt w:val="bullet"/>
      <w:lvlText w:val=""/>
      <w:lvlJc w:val="left"/>
      <w:pPr>
        <w:ind w:left="6196" w:hanging="360"/>
      </w:pPr>
      <w:rPr>
        <w:rFonts w:ascii="Symbol" w:hAnsi="Symbol" w:hint="default"/>
      </w:rPr>
    </w:lvl>
  </w:abstractNum>
  <w:abstractNum w:abstractNumId="104">
    <w:nsid w:val="6A324E30"/>
    <w:multiLevelType w:val="hybridMultilevel"/>
    <w:tmpl w:val="8EF001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5">
    <w:nsid w:val="6AEE0D66"/>
    <w:multiLevelType w:val="hybridMultilevel"/>
    <w:tmpl w:val="A09061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nsid w:val="6B026D99"/>
    <w:multiLevelType w:val="hybridMultilevel"/>
    <w:tmpl w:val="C30070B0"/>
    <w:lvl w:ilvl="0" w:tplc="08090001">
      <w:start w:val="1"/>
      <w:numFmt w:val="bullet"/>
      <w:lvlText w:val=""/>
      <w:lvlJc w:val="left"/>
      <w:pPr>
        <w:ind w:left="765" w:hanging="360"/>
      </w:pPr>
      <w:rPr>
        <w:rFonts w:ascii="Symbol" w:hAnsi="Symbo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107">
    <w:nsid w:val="6B916E96"/>
    <w:multiLevelType w:val="hybridMultilevel"/>
    <w:tmpl w:val="6F1E50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
    <w:nsid w:val="6BBC4A2D"/>
    <w:multiLevelType w:val="hybridMultilevel"/>
    <w:tmpl w:val="B65EDB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9">
    <w:nsid w:val="6C48549E"/>
    <w:multiLevelType w:val="hybridMultilevel"/>
    <w:tmpl w:val="076AE12E"/>
    <w:lvl w:ilvl="0" w:tplc="08090001">
      <w:start w:val="1"/>
      <w:numFmt w:val="bullet"/>
      <w:lvlText w:val=""/>
      <w:lvlJc w:val="left"/>
      <w:pPr>
        <w:ind w:left="774" w:hanging="360"/>
      </w:pPr>
      <w:rPr>
        <w:rFonts w:ascii="Symbol" w:hAnsi="Symbol" w:hint="default"/>
      </w:rPr>
    </w:lvl>
    <w:lvl w:ilvl="1" w:tplc="08090003" w:tentative="1">
      <w:start w:val="1"/>
      <w:numFmt w:val="bullet"/>
      <w:lvlText w:val="o"/>
      <w:lvlJc w:val="left"/>
      <w:pPr>
        <w:ind w:left="1494" w:hanging="360"/>
      </w:pPr>
      <w:rPr>
        <w:rFonts w:ascii="Courier New" w:hAnsi="Courier New" w:cs="Courier New" w:hint="default"/>
      </w:rPr>
    </w:lvl>
    <w:lvl w:ilvl="2" w:tplc="08090005" w:tentative="1">
      <w:start w:val="1"/>
      <w:numFmt w:val="bullet"/>
      <w:lvlText w:val=""/>
      <w:lvlJc w:val="left"/>
      <w:pPr>
        <w:ind w:left="2214" w:hanging="360"/>
      </w:pPr>
      <w:rPr>
        <w:rFonts w:ascii="Wingdings" w:hAnsi="Wingdings" w:hint="default"/>
      </w:rPr>
    </w:lvl>
    <w:lvl w:ilvl="3" w:tplc="08090001" w:tentative="1">
      <w:start w:val="1"/>
      <w:numFmt w:val="bullet"/>
      <w:lvlText w:val=""/>
      <w:lvlJc w:val="left"/>
      <w:pPr>
        <w:ind w:left="2934" w:hanging="360"/>
      </w:pPr>
      <w:rPr>
        <w:rFonts w:ascii="Symbol" w:hAnsi="Symbol" w:hint="default"/>
      </w:rPr>
    </w:lvl>
    <w:lvl w:ilvl="4" w:tplc="08090003" w:tentative="1">
      <w:start w:val="1"/>
      <w:numFmt w:val="bullet"/>
      <w:lvlText w:val="o"/>
      <w:lvlJc w:val="left"/>
      <w:pPr>
        <w:ind w:left="3654" w:hanging="360"/>
      </w:pPr>
      <w:rPr>
        <w:rFonts w:ascii="Courier New" w:hAnsi="Courier New" w:cs="Courier New" w:hint="default"/>
      </w:rPr>
    </w:lvl>
    <w:lvl w:ilvl="5" w:tplc="08090005" w:tentative="1">
      <w:start w:val="1"/>
      <w:numFmt w:val="bullet"/>
      <w:lvlText w:val=""/>
      <w:lvlJc w:val="left"/>
      <w:pPr>
        <w:ind w:left="4374" w:hanging="360"/>
      </w:pPr>
      <w:rPr>
        <w:rFonts w:ascii="Wingdings" w:hAnsi="Wingdings" w:hint="default"/>
      </w:rPr>
    </w:lvl>
    <w:lvl w:ilvl="6" w:tplc="08090001" w:tentative="1">
      <w:start w:val="1"/>
      <w:numFmt w:val="bullet"/>
      <w:lvlText w:val=""/>
      <w:lvlJc w:val="left"/>
      <w:pPr>
        <w:ind w:left="5094" w:hanging="360"/>
      </w:pPr>
      <w:rPr>
        <w:rFonts w:ascii="Symbol" w:hAnsi="Symbol" w:hint="default"/>
      </w:rPr>
    </w:lvl>
    <w:lvl w:ilvl="7" w:tplc="08090003" w:tentative="1">
      <w:start w:val="1"/>
      <w:numFmt w:val="bullet"/>
      <w:lvlText w:val="o"/>
      <w:lvlJc w:val="left"/>
      <w:pPr>
        <w:ind w:left="5814" w:hanging="360"/>
      </w:pPr>
      <w:rPr>
        <w:rFonts w:ascii="Courier New" w:hAnsi="Courier New" w:cs="Courier New" w:hint="default"/>
      </w:rPr>
    </w:lvl>
    <w:lvl w:ilvl="8" w:tplc="08090005" w:tentative="1">
      <w:start w:val="1"/>
      <w:numFmt w:val="bullet"/>
      <w:lvlText w:val=""/>
      <w:lvlJc w:val="left"/>
      <w:pPr>
        <w:ind w:left="6534" w:hanging="360"/>
      </w:pPr>
      <w:rPr>
        <w:rFonts w:ascii="Wingdings" w:hAnsi="Wingdings" w:hint="default"/>
      </w:rPr>
    </w:lvl>
  </w:abstractNum>
  <w:abstractNum w:abstractNumId="110">
    <w:nsid w:val="6D594DBE"/>
    <w:multiLevelType w:val="hybridMultilevel"/>
    <w:tmpl w:val="689208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1">
    <w:nsid w:val="6E297500"/>
    <w:multiLevelType w:val="hybridMultilevel"/>
    <w:tmpl w:val="27CAB7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nsid w:val="6E5D251C"/>
    <w:multiLevelType w:val="hybridMultilevel"/>
    <w:tmpl w:val="A1049E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3">
    <w:nsid w:val="6E81269D"/>
    <w:multiLevelType w:val="multilevel"/>
    <w:tmpl w:val="EE003DEC"/>
    <w:lvl w:ilvl="0">
      <w:start w:val="9"/>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4">
    <w:nsid w:val="6F9A33A7"/>
    <w:multiLevelType w:val="hybridMultilevel"/>
    <w:tmpl w:val="B596DB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
    <w:nsid w:val="6FE44F5D"/>
    <w:multiLevelType w:val="hybridMultilevel"/>
    <w:tmpl w:val="BA861796"/>
    <w:lvl w:ilvl="0" w:tplc="08090001">
      <w:start w:val="1"/>
      <w:numFmt w:val="bullet"/>
      <w:lvlText w:val=""/>
      <w:lvlJc w:val="left"/>
      <w:pPr>
        <w:ind w:left="720" w:hanging="360"/>
      </w:pPr>
      <w:rPr>
        <w:rFonts w:ascii="Symbol" w:hAnsi="Symbol" w:hint="default"/>
      </w:rPr>
    </w:lvl>
    <w:lvl w:ilvl="1" w:tplc="04090005">
      <w:start w:val="1"/>
      <w:numFmt w:val="bullet"/>
      <w:lvlText w:val=""/>
      <w:lvlJc w:val="left"/>
      <w:pPr>
        <w:ind w:left="1440" w:hanging="360"/>
      </w:pPr>
      <w:rPr>
        <w:rFonts w:ascii="Wingdings" w:hAnsi="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6">
    <w:nsid w:val="701E0754"/>
    <w:multiLevelType w:val="hybridMultilevel"/>
    <w:tmpl w:val="86BEB2D4"/>
    <w:lvl w:ilvl="0" w:tplc="08090001">
      <w:start w:val="1"/>
      <w:numFmt w:val="bullet"/>
      <w:lvlText w:val=""/>
      <w:lvlJc w:val="left"/>
      <w:pPr>
        <w:ind w:left="774" w:hanging="360"/>
      </w:pPr>
      <w:rPr>
        <w:rFonts w:ascii="Symbol" w:hAnsi="Symbol" w:hint="default"/>
      </w:rPr>
    </w:lvl>
    <w:lvl w:ilvl="1" w:tplc="08090003" w:tentative="1">
      <w:start w:val="1"/>
      <w:numFmt w:val="bullet"/>
      <w:lvlText w:val="o"/>
      <w:lvlJc w:val="left"/>
      <w:pPr>
        <w:ind w:left="1494" w:hanging="360"/>
      </w:pPr>
      <w:rPr>
        <w:rFonts w:ascii="Courier New" w:hAnsi="Courier New" w:cs="Courier New" w:hint="default"/>
      </w:rPr>
    </w:lvl>
    <w:lvl w:ilvl="2" w:tplc="08090005" w:tentative="1">
      <w:start w:val="1"/>
      <w:numFmt w:val="bullet"/>
      <w:lvlText w:val=""/>
      <w:lvlJc w:val="left"/>
      <w:pPr>
        <w:ind w:left="2214" w:hanging="360"/>
      </w:pPr>
      <w:rPr>
        <w:rFonts w:ascii="Wingdings" w:hAnsi="Wingdings" w:hint="default"/>
      </w:rPr>
    </w:lvl>
    <w:lvl w:ilvl="3" w:tplc="08090001" w:tentative="1">
      <w:start w:val="1"/>
      <w:numFmt w:val="bullet"/>
      <w:lvlText w:val=""/>
      <w:lvlJc w:val="left"/>
      <w:pPr>
        <w:ind w:left="2934" w:hanging="360"/>
      </w:pPr>
      <w:rPr>
        <w:rFonts w:ascii="Symbol" w:hAnsi="Symbol" w:hint="default"/>
      </w:rPr>
    </w:lvl>
    <w:lvl w:ilvl="4" w:tplc="08090003" w:tentative="1">
      <w:start w:val="1"/>
      <w:numFmt w:val="bullet"/>
      <w:lvlText w:val="o"/>
      <w:lvlJc w:val="left"/>
      <w:pPr>
        <w:ind w:left="3654" w:hanging="360"/>
      </w:pPr>
      <w:rPr>
        <w:rFonts w:ascii="Courier New" w:hAnsi="Courier New" w:cs="Courier New" w:hint="default"/>
      </w:rPr>
    </w:lvl>
    <w:lvl w:ilvl="5" w:tplc="08090005" w:tentative="1">
      <w:start w:val="1"/>
      <w:numFmt w:val="bullet"/>
      <w:lvlText w:val=""/>
      <w:lvlJc w:val="left"/>
      <w:pPr>
        <w:ind w:left="4374" w:hanging="360"/>
      </w:pPr>
      <w:rPr>
        <w:rFonts w:ascii="Wingdings" w:hAnsi="Wingdings" w:hint="default"/>
      </w:rPr>
    </w:lvl>
    <w:lvl w:ilvl="6" w:tplc="08090001" w:tentative="1">
      <w:start w:val="1"/>
      <w:numFmt w:val="bullet"/>
      <w:lvlText w:val=""/>
      <w:lvlJc w:val="left"/>
      <w:pPr>
        <w:ind w:left="5094" w:hanging="360"/>
      </w:pPr>
      <w:rPr>
        <w:rFonts w:ascii="Symbol" w:hAnsi="Symbol" w:hint="default"/>
      </w:rPr>
    </w:lvl>
    <w:lvl w:ilvl="7" w:tplc="08090003" w:tentative="1">
      <w:start w:val="1"/>
      <w:numFmt w:val="bullet"/>
      <w:lvlText w:val="o"/>
      <w:lvlJc w:val="left"/>
      <w:pPr>
        <w:ind w:left="5814" w:hanging="360"/>
      </w:pPr>
      <w:rPr>
        <w:rFonts w:ascii="Courier New" w:hAnsi="Courier New" w:cs="Courier New" w:hint="default"/>
      </w:rPr>
    </w:lvl>
    <w:lvl w:ilvl="8" w:tplc="08090005" w:tentative="1">
      <w:start w:val="1"/>
      <w:numFmt w:val="bullet"/>
      <w:lvlText w:val=""/>
      <w:lvlJc w:val="left"/>
      <w:pPr>
        <w:ind w:left="6534" w:hanging="360"/>
      </w:pPr>
      <w:rPr>
        <w:rFonts w:ascii="Wingdings" w:hAnsi="Wingdings" w:hint="default"/>
      </w:rPr>
    </w:lvl>
  </w:abstractNum>
  <w:abstractNum w:abstractNumId="117">
    <w:nsid w:val="70F660F1"/>
    <w:multiLevelType w:val="hybridMultilevel"/>
    <w:tmpl w:val="B262D704"/>
    <w:lvl w:ilvl="0" w:tplc="08090001">
      <w:start w:val="1"/>
      <w:numFmt w:val="bullet"/>
      <w:lvlText w:val=""/>
      <w:lvlJc w:val="left"/>
      <w:pPr>
        <w:ind w:left="720" w:hanging="360"/>
      </w:pPr>
      <w:rPr>
        <w:rFonts w:ascii="Symbol" w:hAnsi="Symbol" w:hint="default"/>
      </w:rPr>
    </w:lvl>
    <w:lvl w:ilvl="1" w:tplc="0809000F">
      <w:start w:val="1"/>
      <w:numFmt w:val="decimal"/>
      <w:lvlText w:val="%2."/>
      <w:lvlJc w:val="left"/>
      <w:pPr>
        <w:ind w:left="1440" w:hanging="360"/>
      </w:pPr>
      <w:rPr>
        <w:rFont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8">
    <w:nsid w:val="74105928"/>
    <w:multiLevelType w:val="hybridMultilevel"/>
    <w:tmpl w:val="B8ECC7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9">
    <w:nsid w:val="74507F9D"/>
    <w:multiLevelType w:val="hybridMultilevel"/>
    <w:tmpl w:val="030C3B98"/>
    <w:lvl w:ilvl="0" w:tplc="0809000F">
      <w:start w:val="1"/>
      <w:numFmt w:val="decimal"/>
      <w:lvlText w:val="%1."/>
      <w:lvlJc w:val="left"/>
      <w:pPr>
        <w:ind w:left="709" w:hanging="360"/>
      </w:pPr>
    </w:lvl>
    <w:lvl w:ilvl="1" w:tplc="08090019" w:tentative="1">
      <w:start w:val="1"/>
      <w:numFmt w:val="lowerLetter"/>
      <w:lvlText w:val="%2."/>
      <w:lvlJc w:val="left"/>
      <w:pPr>
        <w:ind w:left="1429" w:hanging="360"/>
      </w:pPr>
    </w:lvl>
    <w:lvl w:ilvl="2" w:tplc="0809001B" w:tentative="1">
      <w:start w:val="1"/>
      <w:numFmt w:val="lowerRoman"/>
      <w:lvlText w:val="%3."/>
      <w:lvlJc w:val="right"/>
      <w:pPr>
        <w:ind w:left="2149" w:hanging="180"/>
      </w:pPr>
    </w:lvl>
    <w:lvl w:ilvl="3" w:tplc="0809000F" w:tentative="1">
      <w:start w:val="1"/>
      <w:numFmt w:val="decimal"/>
      <w:lvlText w:val="%4."/>
      <w:lvlJc w:val="left"/>
      <w:pPr>
        <w:ind w:left="2869" w:hanging="360"/>
      </w:pPr>
    </w:lvl>
    <w:lvl w:ilvl="4" w:tplc="08090019" w:tentative="1">
      <w:start w:val="1"/>
      <w:numFmt w:val="lowerLetter"/>
      <w:lvlText w:val="%5."/>
      <w:lvlJc w:val="left"/>
      <w:pPr>
        <w:ind w:left="3589" w:hanging="360"/>
      </w:pPr>
    </w:lvl>
    <w:lvl w:ilvl="5" w:tplc="0809001B" w:tentative="1">
      <w:start w:val="1"/>
      <w:numFmt w:val="lowerRoman"/>
      <w:lvlText w:val="%6."/>
      <w:lvlJc w:val="right"/>
      <w:pPr>
        <w:ind w:left="4309" w:hanging="180"/>
      </w:pPr>
    </w:lvl>
    <w:lvl w:ilvl="6" w:tplc="0809000F" w:tentative="1">
      <w:start w:val="1"/>
      <w:numFmt w:val="decimal"/>
      <w:lvlText w:val="%7."/>
      <w:lvlJc w:val="left"/>
      <w:pPr>
        <w:ind w:left="5029" w:hanging="360"/>
      </w:pPr>
    </w:lvl>
    <w:lvl w:ilvl="7" w:tplc="08090019" w:tentative="1">
      <w:start w:val="1"/>
      <w:numFmt w:val="lowerLetter"/>
      <w:lvlText w:val="%8."/>
      <w:lvlJc w:val="left"/>
      <w:pPr>
        <w:ind w:left="5749" w:hanging="360"/>
      </w:pPr>
    </w:lvl>
    <w:lvl w:ilvl="8" w:tplc="0809001B" w:tentative="1">
      <w:start w:val="1"/>
      <w:numFmt w:val="lowerRoman"/>
      <w:lvlText w:val="%9."/>
      <w:lvlJc w:val="right"/>
      <w:pPr>
        <w:ind w:left="6469" w:hanging="180"/>
      </w:pPr>
    </w:lvl>
  </w:abstractNum>
  <w:abstractNum w:abstractNumId="120">
    <w:nsid w:val="7492647A"/>
    <w:multiLevelType w:val="hybridMultilevel"/>
    <w:tmpl w:val="5C385C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1">
    <w:nsid w:val="7556359E"/>
    <w:multiLevelType w:val="multilevel"/>
    <w:tmpl w:val="61487B38"/>
    <w:lvl w:ilvl="0">
      <w:start w:val="1"/>
      <w:numFmt w:val="bullet"/>
      <w:lvlText w:val=""/>
      <w:lvlJc w:val="left"/>
      <w:pPr>
        <w:ind w:left="432" w:hanging="432"/>
      </w:pPr>
      <w:rPr>
        <w:rFonts w:ascii="Symbol" w:hAnsi="Symbol" w:hint="default"/>
      </w:rPr>
    </w:lvl>
    <w:lvl w:ilvl="1">
      <w:start w:val="1"/>
      <w:numFmt w:val="decimal"/>
      <w:lvlText w:val="%1.%2"/>
      <w:lvlJc w:val="left"/>
      <w:pPr>
        <w:ind w:left="576" w:hanging="576"/>
      </w:pPr>
      <w:rPr>
        <w:rFonts w:hint="default"/>
      </w:rPr>
    </w:lvl>
    <w:lvl w:ilvl="2">
      <w:start w:val="1"/>
      <w:numFmt w:val="decimal"/>
      <w:lvlText w:val="%1.%2.%3"/>
      <w:lvlJc w:val="left"/>
      <w:pPr>
        <w:ind w:left="862"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2">
    <w:nsid w:val="75B733F6"/>
    <w:multiLevelType w:val="hybridMultilevel"/>
    <w:tmpl w:val="68ACEA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3">
    <w:nsid w:val="75DC534E"/>
    <w:multiLevelType w:val="hybridMultilevel"/>
    <w:tmpl w:val="2294D3C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24">
    <w:nsid w:val="761E2A9D"/>
    <w:multiLevelType w:val="hybridMultilevel"/>
    <w:tmpl w:val="F86626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5">
    <w:nsid w:val="770E3252"/>
    <w:multiLevelType w:val="hybridMultilevel"/>
    <w:tmpl w:val="626C32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6">
    <w:nsid w:val="77DB5A74"/>
    <w:multiLevelType w:val="hybridMultilevel"/>
    <w:tmpl w:val="C14E86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7">
    <w:nsid w:val="78564D3F"/>
    <w:multiLevelType w:val="hybridMultilevel"/>
    <w:tmpl w:val="8CF87EB2"/>
    <w:lvl w:ilvl="0" w:tplc="08090001">
      <w:start w:val="1"/>
      <w:numFmt w:val="bullet"/>
      <w:lvlText w:val=""/>
      <w:lvlJc w:val="left"/>
      <w:pPr>
        <w:ind w:left="709" w:hanging="360"/>
      </w:pPr>
      <w:rPr>
        <w:rFonts w:ascii="Symbol" w:hAnsi="Symbol" w:hint="default"/>
      </w:rPr>
    </w:lvl>
    <w:lvl w:ilvl="1" w:tplc="08090003" w:tentative="1">
      <w:start w:val="1"/>
      <w:numFmt w:val="bullet"/>
      <w:lvlText w:val="o"/>
      <w:lvlJc w:val="left"/>
      <w:pPr>
        <w:ind w:left="1429" w:hanging="360"/>
      </w:pPr>
      <w:rPr>
        <w:rFonts w:ascii="Courier New" w:hAnsi="Courier New" w:cs="Courier New" w:hint="default"/>
      </w:rPr>
    </w:lvl>
    <w:lvl w:ilvl="2" w:tplc="08090005" w:tentative="1">
      <w:start w:val="1"/>
      <w:numFmt w:val="bullet"/>
      <w:lvlText w:val=""/>
      <w:lvlJc w:val="left"/>
      <w:pPr>
        <w:ind w:left="2149" w:hanging="360"/>
      </w:pPr>
      <w:rPr>
        <w:rFonts w:ascii="Wingdings" w:hAnsi="Wingdings" w:hint="default"/>
      </w:rPr>
    </w:lvl>
    <w:lvl w:ilvl="3" w:tplc="08090001" w:tentative="1">
      <w:start w:val="1"/>
      <w:numFmt w:val="bullet"/>
      <w:lvlText w:val=""/>
      <w:lvlJc w:val="left"/>
      <w:pPr>
        <w:ind w:left="2869" w:hanging="360"/>
      </w:pPr>
      <w:rPr>
        <w:rFonts w:ascii="Symbol" w:hAnsi="Symbol" w:hint="default"/>
      </w:rPr>
    </w:lvl>
    <w:lvl w:ilvl="4" w:tplc="08090003" w:tentative="1">
      <w:start w:val="1"/>
      <w:numFmt w:val="bullet"/>
      <w:lvlText w:val="o"/>
      <w:lvlJc w:val="left"/>
      <w:pPr>
        <w:ind w:left="3589" w:hanging="360"/>
      </w:pPr>
      <w:rPr>
        <w:rFonts w:ascii="Courier New" w:hAnsi="Courier New" w:cs="Courier New" w:hint="default"/>
      </w:rPr>
    </w:lvl>
    <w:lvl w:ilvl="5" w:tplc="08090005" w:tentative="1">
      <w:start w:val="1"/>
      <w:numFmt w:val="bullet"/>
      <w:lvlText w:val=""/>
      <w:lvlJc w:val="left"/>
      <w:pPr>
        <w:ind w:left="4309" w:hanging="360"/>
      </w:pPr>
      <w:rPr>
        <w:rFonts w:ascii="Wingdings" w:hAnsi="Wingdings" w:hint="default"/>
      </w:rPr>
    </w:lvl>
    <w:lvl w:ilvl="6" w:tplc="08090001" w:tentative="1">
      <w:start w:val="1"/>
      <w:numFmt w:val="bullet"/>
      <w:lvlText w:val=""/>
      <w:lvlJc w:val="left"/>
      <w:pPr>
        <w:ind w:left="5029" w:hanging="360"/>
      </w:pPr>
      <w:rPr>
        <w:rFonts w:ascii="Symbol" w:hAnsi="Symbol" w:hint="default"/>
      </w:rPr>
    </w:lvl>
    <w:lvl w:ilvl="7" w:tplc="08090003" w:tentative="1">
      <w:start w:val="1"/>
      <w:numFmt w:val="bullet"/>
      <w:lvlText w:val="o"/>
      <w:lvlJc w:val="left"/>
      <w:pPr>
        <w:ind w:left="5749" w:hanging="360"/>
      </w:pPr>
      <w:rPr>
        <w:rFonts w:ascii="Courier New" w:hAnsi="Courier New" w:cs="Courier New" w:hint="default"/>
      </w:rPr>
    </w:lvl>
    <w:lvl w:ilvl="8" w:tplc="08090005" w:tentative="1">
      <w:start w:val="1"/>
      <w:numFmt w:val="bullet"/>
      <w:lvlText w:val=""/>
      <w:lvlJc w:val="left"/>
      <w:pPr>
        <w:ind w:left="6469" w:hanging="360"/>
      </w:pPr>
      <w:rPr>
        <w:rFonts w:ascii="Wingdings" w:hAnsi="Wingdings" w:hint="default"/>
      </w:rPr>
    </w:lvl>
  </w:abstractNum>
  <w:abstractNum w:abstractNumId="128">
    <w:nsid w:val="78A77EB0"/>
    <w:multiLevelType w:val="hybridMultilevel"/>
    <w:tmpl w:val="014AC0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9">
    <w:nsid w:val="79A3409B"/>
    <w:multiLevelType w:val="hybridMultilevel"/>
    <w:tmpl w:val="51B4E3A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0">
    <w:nsid w:val="7A3D5385"/>
    <w:multiLevelType w:val="hybridMultilevel"/>
    <w:tmpl w:val="B1F231AE"/>
    <w:lvl w:ilvl="0" w:tplc="04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1">
    <w:nsid w:val="7E067DE8"/>
    <w:multiLevelType w:val="hybridMultilevel"/>
    <w:tmpl w:val="A4EA13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2">
    <w:nsid w:val="7E7E08E4"/>
    <w:multiLevelType w:val="multilevel"/>
    <w:tmpl w:val="E938A84C"/>
    <w:lvl w:ilvl="0">
      <w:start w:val="1"/>
      <w:numFmt w:val="decimal"/>
      <w:pStyle w:val="ChapterheaderBase"/>
      <w:lvlText w:val="%1."/>
      <w:lvlJc w:val="left"/>
      <w:pPr>
        <w:tabs>
          <w:tab w:val="num" w:pos="720"/>
        </w:tabs>
        <w:ind w:left="720" w:hanging="720"/>
      </w:pPr>
      <w:rPr>
        <w:rFonts w:hint="default"/>
      </w:rPr>
    </w:lvl>
    <w:lvl w:ilvl="1">
      <w:start w:val="1"/>
      <w:numFmt w:val="decimal"/>
      <w:pStyle w:val="BodyheaderBase"/>
      <w:lvlText w:val="%1.%2."/>
      <w:lvlJc w:val="left"/>
      <w:pPr>
        <w:tabs>
          <w:tab w:val="num" w:pos="720"/>
        </w:tabs>
        <w:ind w:left="720" w:hanging="720"/>
      </w:pPr>
      <w:rPr>
        <w:rFonts w:hint="default"/>
      </w:rPr>
    </w:lvl>
    <w:lvl w:ilvl="2">
      <w:start w:val="1"/>
      <w:numFmt w:val="decimal"/>
      <w:pStyle w:val="BodyheadersubBase"/>
      <w:lvlText w:val="%1.%2.%3"/>
      <w:lvlJc w:val="left"/>
      <w:pPr>
        <w:tabs>
          <w:tab w:val="num" w:pos="720"/>
        </w:tabs>
        <w:ind w:left="720" w:hanging="72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33">
    <w:nsid w:val="7F123413"/>
    <w:multiLevelType w:val="hybridMultilevel"/>
    <w:tmpl w:val="1264D4C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4">
    <w:nsid w:val="7F2D33DF"/>
    <w:multiLevelType w:val="hybridMultilevel"/>
    <w:tmpl w:val="7FC2D288"/>
    <w:lvl w:ilvl="0" w:tplc="08090001">
      <w:start w:val="1"/>
      <w:numFmt w:val="bullet"/>
      <w:lvlText w:val=""/>
      <w:lvlJc w:val="left"/>
      <w:pPr>
        <w:ind w:left="1713" w:hanging="360"/>
      </w:pPr>
      <w:rPr>
        <w:rFonts w:ascii="Symbol" w:hAnsi="Symbol" w:hint="default"/>
      </w:rPr>
    </w:lvl>
    <w:lvl w:ilvl="1" w:tplc="08090003" w:tentative="1">
      <w:start w:val="1"/>
      <w:numFmt w:val="bullet"/>
      <w:lvlText w:val="o"/>
      <w:lvlJc w:val="left"/>
      <w:pPr>
        <w:ind w:left="2433" w:hanging="360"/>
      </w:pPr>
      <w:rPr>
        <w:rFonts w:ascii="Courier New" w:hAnsi="Courier New" w:cs="Courier New" w:hint="default"/>
      </w:rPr>
    </w:lvl>
    <w:lvl w:ilvl="2" w:tplc="08090005" w:tentative="1">
      <w:start w:val="1"/>
      <w:numFmt w:val="bullet"/>
      <w:lvlText w:val=""/>
      <w:lvlJc w:val="left"/>
      <w:pPr>
        <w:ind w:left="3153" w:hanging="360"/>
      </w:pPr>
      <w:rPr>
        <w:rFonts w:ascii="Wingdings" w:hAnsi="Wingdings" w:hint="default"/>
      </w:rPr>
    </w:lvl>
    <w:lvl w:ilvl="3" w:tplc="08090001" w:tentative="1">
      <w:start w:val="1"/>
      <w:numFmt w:val="bullet"/>
      <w:lvlText w:val=""/>
      <w:lvlJc w:val="left"/>
      <w:pPr>
        <w:ind w:left="3873" w:hanging="360"/>
      </w:pPr>
      <w:rPr>
        <w:rFonts w:ascii="Symbol" w:hAnsi="Symbol" w:hint="default"/>
      </w:rPr>
    </w:lvl>
    <w:lvl w:ilvl="4" w:tplc="08090003" w:tentative="1">
      <w:start w:val="1"/>
      <w:numFmt w:val="bullet"/>
      <w:lvlText w:val="o"/>
      <w:lvlJc w:val="left"/>
      <w:pPr>
        <w:ind w:left="4593" w:hanging="360"/>
      </w:pPr>
      <w:rPr>
        <w:rFonts w:ascii="Courier New" w:hAnsi="Courier New" w:cs="Courier New" w:hint="default"/>
      </w:rPr>
    </w:lvl>
    <w:lvl w:ilvl="5" w:tplc="08090005" w:tentative="1">
      <w:start w:val="1"/>
      <w:numFmt w:val="bullet"/>
      <w:lvlText w:val=""/>
      <w:lvlJc w:val="left"/>
      <w:pPr>
        <w:ind w:left="5313" w:hanging="360"/>
      </w:pPr>
      <w:rPr>
        <w:rFonts w:ascii="Wingdings" w:hAnsi="Wingdings" w:hint="default"/>
      </w:rPr>
    </w:lvl>
    <w:lvl w:ilvl="6" w:tplc="08090001" w:tentative="1">
      <w:start w:val="1"/>
      <w:numFmt w:val="bullet"/>
      <w:lvlText w:val=""/>
      <w:lvlJc w:val="left"/>
      <w:pPr>
        <w:ind w:left="6033" w:hanging="360"/>
      </w:pPr>
      <w:rPr>
        <w:rFonts w:ascii="Symbol" w:hAnsi="Symbol" w:hint="default"/>
      </w:rPr>
    </w:lvl>
    <w:lvl w:ilvl="7" w:tplc="08090003" w:tentative="1">
      <w:start w:val="1"/>
      <w:numFmt w:val="bullet"/>
      <w:lvlText w:val="o"/>
      <w:lvlJc w:val="left"/>
      <w:pPr>
        <w:ind w:left="6753" w:hanging="360"/>
      </w:pPr>
      <w:rPr>
        <w:rFonts w:ascii="Courier New" w:hAnsi="Courier New" w:cs="Courier New" w:hint="default"/>
      </w:rPr>
    </w:lvl>
    <w:lvl w:ilvl="8" w:tplc="08090005" w:tentative="1">
      <w:start w:val="1"/>
      <w:numFmt w:val="bullet"/>
      <w:lvlText w:val=""/>
      <w:lvlJc w:val="left"/>
      <w:pPr>
        <w:ind w:left="7473" w:hanging="360"/>
      </w:pPr>
      <w:rPr>
        <w:rFonts w:ascii="Wingdings" w:hAnsi="Wingdings" w:hint="default"/>
      </w:rPr>
    </w:lvl>
  </w:abstractNum>
  <w:num w:numId="1">
    <w:abstractNumId w:val="19"/>
  </w:num>
  <w:num w:numId="2">
    <w:abstractNumId w:val="32"/>
  </w:num>
  <w:num w:numId="3">
    <w:abstractNumId w:val="49"/>
  </w:num>
  <w:num w:numId="4">
    <w:abstractNumId w:val="118"/>
  </w:num>
  <w:num w:numId="5">
    <w:abstractNumId w:val="105"/>
  </w:num>
  <w:num w:numId="6">
    <w:abstractNumId w:val="45"/>
  </w:num>
  <w:num w:numId="7">
    <w:abstractNumId w:val="90"/>
  </w:num>
  <w:num w:numId="8">
    <w:abstractNumId w:val="96"/>
  </w:num>
  <w:num w:numId="9">
    <w:abstractNumId w:val="41"/>
  </w:num>
  <w:num w:numId="10">
    <w:abstractNumId w:val="83"/>
  </w:num>
  <w:num w:numId="11">
    <w:abstractNumId w:val="35"/>
  </w:num>
  <w:num w:numId="12">
    <w:abstractNumId w:val="80"/>
  </w:num>
  <w:num w:numId="13">
    <w:abstractNumId w:val="54"/>
  </w:num>
  <w:num w:numId="14">
    <w:abstractNumId w:val="24"/>
  </w:num>
  <w:num w:numId="15">
    <w:abstractNumId w:val="91"/>
  </w:num>
  <w:num w:numId="16">
    <w:abstractNumId w:val="67"/>
  </w:num>
  <w:num w:numId="17">
    <w:abstractNumId w:val="34"/>
  </w:num>
  <w:num w:numId="18">
    <w:abstractNumId w:val="100"/>
  </w:num>
  <w:num w:numId="19">
    <w:abstractNumId w:val="10"/>
  </w:num>
  <w:num w:numId="20">
    <w:abstractNumId w:val="30"/>
  </w:num>
  <w:num w:numId="21">
    <w:abstractNumId w:val="106"/>
  </w:num>
  <w:num w:numId="22">
    <w:abstractNumId w:val="97"/>
  </w:num>
  <w:num w:numId="23">
    <w:abstractNumId w:val="98"/>
  </w:num>
  <w:num w:numId="24">
    <w:abstractNumId w:val="78"/>
  </w:num>
  <w:num w:numId="25">
    <w:abstractNumId w:val="128"/>
  </w:num>
  <w:num w:numId="26">
    <w:abstractNumId w:val="5"/>
  </w:num>
  <w:num w:numId="27">
    <w:abstractNumId w:val="65"/>
  </w:num>
  <w:num w:numId="28">
    <w:abstractNumId w:val="62"/>
  </w:num>
  <w:num w:numId="29">
    <w:abstractNumId w:val="16"/>
  </w:num>
  <w:num w:numId="30">
    <w:abstractNumId w:val="9"/>
  </w:num>
  <w:num w:numId="31">
    <w:abstractNumId w:val="3"/>
  </w:num>
  <w:num w:numId="32">
    <w:abstractNumId w:val="120"/>
  </w:num>
  <w:num w:numId="33">
    <w:abstractNumId w:val="102"/>
  </w:num>
  <w:num w:numId="34">
    <w:abstractNumId w:val="59"/>
  </w:num>
  <w:num w:numId="35">
    <w:abstractNumId w:val="26"/>
  </w:num>
  <w:num w:numId="36">
    <w:abstractNumId w:val="63"/>
  </w:num>
  <w:num w:numId="37">
    <w:abstractNumId w:val="107"/>
  </w:num>
  <w:num w:numId="38">
    <w:abstractNumId w:val="18"/>
  </w:num>
  <w:num w:numId="39">
    <w:abstractNumId w:val="53"/>
  </w:num>
  <w:num w:numId="40">
    <w:abstractNumId w:val="104"/>
  </w:num>
  <w:num w:numId="41">
    <w:abstractNumId w:val="84"/>
  </w:num>
  <w:num w:numId="42">
    <w:abstractNumId w:val="25"/>
  </w:num>
  <w:num w:numId="43">
    <w:abstractNumId w:val="61"/>
  </w:num>
  <w:num w:numId="44">
    <w:abstractNumId w:val="44"/>
  </w:num>
  <w:num w:numId="45">
    <w:abstractNumId w:val="123"/>
  </w:num>
  <w:num w:numId="46">
    <w:abstractNumId w:val="108"/>
  </w:num>
  <w:num w:numId="47">
    <w:abstractNumId w:val="79"/>
  </w:num>
  <w:num w:numId="48">
    <w:abstractNumId w:val="14"/>
  </w:num>
  <w:num w:numId="49">
    <w:abstractNumId w:val="48"/>
  </w:num>
  <w:num w:numId="50">
    <w:abstractNumId w:val="134"/>
  </w:num>
  <w:num w:numId="51">
    <w:abstractNumId w:val="109"/>
  </w:num>
  <w:num w:numId="52">
    <w:abstractNumId w:val="46"/>
  </w:num>
  <w:num w:numId="53">
    <w:abstractNumId w:val="112"/>
  </w:num>
  <w:num w:numId="54">
    <w:abstractNumId w:val="6"/>
  </w:num>
  <w:num w:numId="55">
    <w:abstractNumId w:val="124"/>
  </w:num>
  <w:num w:numId="56">
    <w:abstractNumId w:val="116"/>
  </w:num>
  <w:num w:numId="57">
    <w:abstractNumId w:val="52"/>
  </w:num>
  <w:num w:numId="58">
    <w:abstractNumId w:val="1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17"/>
  </w:num>
  <w:num w:numId="60">
    <w:abstractNumId w:val="33"/>
  </w:num>
  <w:num w:numId="61">
    <w:abstractNumId w:val="12"/>
  </w:num>
  <w:num w:numId="62">
    <w:abstractNumId w:val="31"/>
  </w:num>
  <w:num w:numId="63">
    <w:abstractNumId w:val="82"/>
  </w:num>
  <w:num w:numId="64">
    <w:abstractNumId w:val="75"/>
  </w:num>
  <w:num w:numId="65">
    <w:abstractNumId w:val="99"/>
  </w:num>
  <w:num w:numId="66">
    <w:abstractNumId w:val="69"/>
  </w:num>
  <w:num w:numId="67">
    <w:abstractNumId w:val="72"/>
  </w:num>
  <w:num w:numId="68">
    <w:abstractNumId w:val="42"/>
  </w:num>
  <w:num w:numId="69">
    <w:abstractNumId w:val="39"/>
  </w:num>
  <w:num w:numId="70">
    <w:abstractNumId w:val="17"/>
  </w:num>
  <w:num w:numId="71">
    <w:abstractNumId w:val="114"/>
  </w:num>
  <w:num w:numId="72">
    <w:abstractNumId w:val="1"/>
  </w:num>
  <w:num w:numId="73">
    <w:abstractNumId w:val="8"/>
  </w:num>
  <w:num w:numId="74">
    <w:abstractNumId w:val="15"/>
  </w:num>
  <w:num w:numId="75">
    <w:abstractNumId w:val="70"/>
  </w:num>
  <w:num w:numId="76">
    <w:abstractNumId w:val="73"/>
  </w:num>
  <w:num w:numId="77">
    <w:abstractNumId w:val="36"/>
  </w:num>
  <w:num w:numId="78">
    <w:abstractNumId w:val="122"/>
  </w:num>
  <w:num w:numId="79">
    <w:abstractNumId w:val="56"/>
  </w:num>
  <w:num w:numId="80">
    <w:abstractNumId w:val="125"/>
  </w:num>
  <w:num w:numId="81">
    <w:abstractNumId w:val="77"/>
  </w:num>
  <w:num w:numId="82">
    <w:abstractNumId w:val="88"/>
  </w:num>
  <w:num w:numId="83">
    <w:abstractNumId w:val="87"/>
  </w:num>
  <w:num w:numId="84">
    <w:abstractNumId w:val="95"/>
  </w:num>
  <w:num w:numId="85">
    <w:abstractNumId w:val="22"/>
  </w:num>
  <w:num w:numId="86">
    <w:abstractNumId w:val="2"/>
  </w:num>
  <w:num w:numId="87">
    <w:abstractNumId w:val="20"/>
  </w:num>
  <w:num w:numId="88">
    <w:abstractNumId w:val="21"/>
  </w:num>
  <w:num w:numId="89">
    <w:abstractNumId w:val="132"/>
  </w:num>
  <w:num w:numId="90">
    <w:abstractNumId w:val="43"/>
  </w:num>
  <w:num w:numId="91">
    <w:abstractNumId w:val="103"/>
  </w:num>
  <w:num w:numId="92">
    <w:abstractNumId w:val="133"/>
  </w:num>
  <w:num w:numId="93">
    <w:abstractNumId w:val="101"/>
  </w:num>
  <w:num w:numId="94">
    <w:abstractNumId w:val="58"/>
  </w:num>
  <w:num w:numId="95">
    <w:abstractNumId w:val="57"/>
  </w:num>
  <w:num w:numId="96">
    <w:abstractNumId w:val="86"/>
  </w:num>
  <w:num w:numId="97">
    <w:abstractNumId w:val="74"/>
  </w:num>
  <w:num w:numId="98">
    <w:abstractNumId w:val="66"/>
  </w:num>
  <w:num w:numId="99">
    <w:abstractNumId w:val="38"/>
  </w:num>
  <w:num w:numId="100">
    <w:abstractNumId w:val="111"/>
  </w:num>
  <w:num w:numId="101">
    <w:abstractNumId w:val="71"/>
  </w:num>
  <w:num w:numId="102">
    <w:abstractNumId w:val="50"/>
  </w:num>
  <w:num w:numId="103">
    <w:abstractNumId w:val="131"/>
  </w:num>
  <w:num w:numId="104">
    <w:abstractNumId w:val="28"/>
  </w:num>
  <w:num w:numId="105">
    <w:abstractNumId w:val="11"/>
  </w:num>
  <w:num w:numId="106">
    <w:abstractNumId w:val="4"/>
  </w:num>
  <w:num w:numId="107">
    <w:abstractNumId w:val="127"/>
  </w:num>
  <w:num w:numId="108">
    <w:abstractNumId w:val="119"/>
  </w:num>
  <w:num w:numId="109">
    <w:abstractNumId w:val="64"/>
  </w:num>
  <w:num w:numId="110">
    <w:abstractNumId w:val="110"/>
  </w:num>
  <w:num w:numId="111">
    <w:abstractNumId w:val="27"/>
  </w:num>
  <w:num w:numId="112">
    <w:abstractNumId w:val="0"/>
  </w:num>
  <w:num w:numId="113">
    <w:abstractNumId w:val="92"/>
  </w:num>
  <w:num w:numId="114">
    <w:abstractNumId w:val="37"/>
  </w:num>
  <w:num w:numId="115">
    <w:abstractNumId w:val="126"/>
  </w:num>
  <w:num w:numId="116">
    <w:abstractNumId w:val="29"/>
  </w:num>
  <w:num w:numId="117">
    <w:abstractNumId w:val="85"/>
  </w:num>
  <w:num w:numId="118">
    <w:abstractNumId w:val="7"/>
  </w:num>
  <w:num w:numId="119">
    <w:abstractNumId w:val="89"/>
  </w:num>
  <w:num w:numId="120">
    <w:abstractNumId w:val="51"/>
  </w:num>
  <w:num w:numId="121">
    <w:abstractNumId w:val="76"/>
  </w:num>
  <w:num w:numId="122">
    <w:abstractNumId w:val="40"/>
  </w:num>
  <w:num w:numId="123">
    <w:abstractNumId w:val="115"/>
  </w:num>
  <w:num w:numId="124">
    <w:abstractNumId w:val="130"/>
  </w:num>
  <w:num w:numId="125">
    <w:abstractNumId w:val="113"/>
  </w:num>
  <w:num w:numId="126">
    <w:abstractNumId w:val="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81"/>
  </w:num>
  <w:num w:numId="128">
    <w:abstractNumId w:val="47"/>
  </w:num>
  <w:num w:numId="129">
    <w:abstractNumId w:val="60"/>
  </w:num>
  <w:num w:numId="13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121"/>
  </w:num>
  <w:num w:numId="132">
    <w:abstractNumId w:val="68"/>
  </w:num>
  <w:num w:numId="133">
    <w:abstractNumId w:val="0"/>
    <w:lvlOverride w:ilvl="0">
      <w:startOverride w:val="1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0"/>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abstractNumId w:val="55"/>
  </w:num>
  <w:num w:numId="136">
    <w:abstractNumId w:val="93"/>
  </w:num>
  <w:num w:numId="137">
    <w:abstractNumId w:val="23"/>
  </w:num>
  <w:num w:numId="138">
    <w:abstractNumId w:val="94"/>
  </w:num>
  <w:num w:numId="139">
    <w:abstractNumId w:val="0"/>
    <w:lvlOverride w:ilvl="0">
      <w:startOverride w:val="3"/>
    </w:lvlOverride>
    <w:lvlOverride w:ilvl="1">
      <w:startOverride w:val="1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0"/>
  </w:num>
  <w:num w:numId="141">
    <w:abstractNumId w:val="13"/>
  </w:num>
  <w:num w:numId="142">
    <w:abstractNumId w:val="0"/>
  </w:num>
  <w:num w:numId="143">
    <w:abstractNumId w:val="0"/>
  </w:num>
  <w:num w:numId="14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hideSpellingErrors/>
  <w:hideGrammaticalErrors/>
  <w:proofState w:spelling="clean" w:grammar="clean"/>
  <w:defaultTabStop w:val="720"/>
  <w:characterSpacingControl w:val="doNotCompress"/>
  <w:hdrShapeDefaults>
    <o:shapedefaults v:ext="edit" spidmax="3072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B55F6"/>
    <w:rsid w:val="00000D17"/>
    <w:rsid w:val="00000FEC"/>
    <w:rsid w:val="00003444"/>
    <w:rsid w:val="00003F37"/>
    <w:rsid w:val="000054EB"/>
    <w:rsid w:val="00005CC7"/>
    <w:rsid w:val="00007BA9"/>
    <w:rsid w:val="000120BC"/>
    <w:rsid w:val="00013079"/>
    <w:rsid w:val="000140A8"/>
    <w:rsid w:val="00015557"/>
    <w:rsid w:val="0001780F"/>
    <w:rsid w:val="00017CB9"/>
    <w:rsid w:val="000209CA"/>
    <w:rsid w:val="00023D4C"/>
    <w:rsid w:val="00025CFA"/>
    <w:rsid w:val="00025F93"/>
    <w:rsid w:val="0002624E"/>
    <w:rsid w:val="00026DD4"/>
    <w:rsid w:val="00026FE9"/>
    <w:rsid w:val="0002735D"/>
    <w:rsid w:val="000277D0"/>
    <w:rsid w:val="0003069C"/>
    <w:rsid w:val="00030700"/>
    <w:rsid w:val="00031B92"/>
    <w:rsid w:val="00032A25"/>
    <w:rsid w:val="0003491D"/>
    <w:rsid w:val="00034F70"/>
    <w:rsid w:val="00036C5C"/>
    <w:rsid w:val="00036F35"/>
    <w:rsid w:val="00037414"/>
    <w:rsid w:val="00037E31"/>
    <w:rsid w:val="00040678"/>
    <w:rsid w:val="00041E32"/>
    <w:rsid w:val="000435A3"/>
    <w:rsid w:val="00043F2C"/>
    <w:rsid w:val="00045C81"/>
    <w:rsid w:val="00046B75"/>
    <w:rsid w:val="00047215"/>
    <w:rsid w:val="00050CC2"/>
    <w:rsid w:val="00051679"/>
    <w:rsid w:val="00051E1D"/>
    <w:rsid w:val="000548B9"/>
    <w:rsid w:val="00055A04"/>
    <w:rsid w:val="00057900"/>
    <w:rsid w:val="00061EDF"/>
    <w:rsid w:val="00062973"/>
    <w:rsid w:val="00063420"/>
    <w:rsid w:val="000637B3"/>
    <w:rsid w:val="00064A7A"/>
    <w:rsid w:val="00066701"/>
    <w:rsid w:val="000670B1"/>
    <w:rsid w:val="000700A6"/>
    <w:rsid w:val="00070E7C"/>
    <w:rsid w:val="0007124D"/>
    <w:rsid w:val="0007148C"/>
    <w:rsid w:val="00071A13"/>
    <w:rsid w:val="00073D06"/>
    <w:rsid w:val="00074345"/>
    <w:rsid w:val="0007749D"/>
    <w:rsid w:val="00084B72"/>
    <w:rsid w:val="00084F53"/>
    <w:rsid w:val="000860E5"/>
    <w:rsid w:val="00086723"/>
    <w:rsid w:val="00092C43"/>
    <w:rsid w:val="00093568"/>
    <w:rsid w:val="000938EF"/>
    <w:rsid w:val="00095D44"/>
    <w:rsid w:val="000972D4"/>
    <w:rsid w:val="000A02D3"/>
    <w:rsid w:val="000A16C1"/>
    <w:rsid w:val="000A46F0"/>
    <w:rsid w:val="000A5D78"/>
    <w:rsid w:val="000A79B3"/>
    <w:rsid w:val="000B14D6"/>
    <w:rsid w:val="000B17BD"/>
    <w:rsid w:val="000C02C2"/>
    <w:rsid w:val="000C1D81"/>
    <w:rsid w:val="000D1243"/>
    <w:rsid w:val="000D5E03"/>
    <w:rsid w:val="000D6FBF"/>
    <w:rsid w:val="000E4024"/>
    <w:rsid w:val="000E5E05"/>
    <w:rsid w:val="000E6D42"/>
    <w:rsid w:val="000F407B"/>
    <w:rsid w:val="000F5209"/>
    <w:rsid w:val="000F6A6C"/>
    <w:rsid w:val="00100168"/>
    <w:rsid w:val="0010087E"/>
    <w:rsid w:val="001014F1"/>
    <w:rsid w:val="00101AA8"/>
    <w:rsid w:val="00104028"/>
    <w:rsid w:val="001040CD"/>
    <w:rsid w:val="00105442"/>
    <w:rsid w:val="001062E5"/>
    <w:rsid w:val="00107721"/>
    <w:rsid w:val="00112096"/>
    <w:rsid w:val="00114196"/>
    <w:rsid w:val="001162CD"/>
    <w:rsid w:val="001221C6"/>
    <w:rsid w:val="00124BAC"/>
    <w:rsid w:val="00125074"/>
    <w:rsid w:val="00127697"/>
    <w:rsid w:val="00131F48"/>
    <w:rsid w:val="00132305"/>
    <w:rsid w:val="00134830"/>
    <w:rsid w:val="00140AF6"/>
    <w:rsid w:val="0014142A"/>
    <w:rsid w:val="00142795"/>
    <w:rsid w:val="00144313"/>
    <w:rsid w:val="00144797"/>
    <w:rsid w:val="00146202"/>
    <w:rsid w:val="00150C03"/>
    <w:rsid w:val="00153867"/>
    <w:rsid w:val="001544C0"/>
    <w:rsid w:val="00155CF1"/>
    <w:rsid w:val="00157EE9"/>
    <w:rsid w:val="0016088D"/>
    <w:rsid w:val="00161389"/>
    <w:rsid w:val="00163911"/>
    <w:rsid w:val="0016513E"/>
    <w:rsid w:val="001663C2"/>
    <w:rsid w:val="0016677A"/>
    <w:rsid w:val="001671F2"/>
    <w:rsid w:val="00167332"/>
    <w:rsid w:val="00171749"/>
    <w:rsid w:val="001720DA"/>
    <w:rsid w:val="00174811"/>
    <w:rsid w:val="00177243"/>
    <w:rsid w:val="00183641"/>
    <w:rsid w:val="001843E9"/>
    <w:rsid w:val="00186FDC"/>
    <w:rsid w:val="001901BE"/>
    <w:rsid w:val="00191AD7"/>
    <w:rsid w:val="00192295"/>
    <w:rsid w:val="00193E83"/>
    <w:rsid w:val="001951B1"/>
    <w:rsid w:val="001956B3"/>
    <w:rsid w:val="00195901"/>
    <w:rsid w:val="001A159E"/>
    <w:rsid w:val="001A382C"/>
    <w:rsid w:val="001A3F75"/>
    <w:rsid w:val="001A6E00"/>
    <w:rsid w:val="001B066B"/>
    <w:rsid w:val="001B3157"/>
    <w:rsid w:val="001B4C0F"/>
    <w:rsid w:val="001B5FB3"/>
    <w:rsid w:val="001B64A0"/>
    <w:rsid w:val="001B66F2"/>
    <w:rsid w:val="001C0151"/>
    <w:rsid w:val="001C042A"/>
    <w:rsid w:val="001C2805"/>
    <w:rsid w:val="001C5387"/>
    <w:rsid w:val="001C74D0"/>
    <w:rsid w:val="001D16C6"/>
    <w:rsid w:val="001D2C1F"/>
    <w:rsid w:val="001D337F"/>
    <w:rsid w:val="001D33E4"/>
    <w:rsid w:val="001D4284"/>
    <w:rsid w:val="001D45AD"/>
    <w:rsid w:val="001D6901"/>
    <w:rsid w:val="001E105C"/>
    <w:rsid w:val="001E4B03"/>
    <w:rsid w:val="001E6E62"/>
    <w:rsid w:val="001F001E"/>
    <w:rsid w:val="001F4A87"/>
    <w:rsid w:val="001F5B11"/>
    <w:rsid w:val="00200E28"/>
    <w:rsid w:val="002024EC"/>
    <w:rsid w:val="00204256"/>
    <w:rsid w:val="002110F5"/>
    <w:rsid w:val="00211C74"/>
    <w:rsid w:val="0021245A"/>
    <w:rsid w:val="00222797"/>
    <w:rsid w:val="002250AE"/>
    <w:rsid w:val="00226F8B"/>
    <w:rsid w:val="00227445"/>
    <w:rsid w:val="00231A76"/>
    <w:rsid w:val="002428A8"/>
    <w:rsid w:val="00243125"/>
    <w:rsid w:val="00243D65"/>
    <w:rsid w:val="002508E7"/>
    <w:rsid w:val="00252C9D"/>
    <w:rsid w:val="00253740"/>
    <w:rsid w:val="00257964"/>
    <w:rsid w:val="0026239B"/>
    <w:rsid w:val="002627BD"/>
    <w:rsid w:val="00262BC4"/>
    <w:rsid w:val="002644D8"/>
    <w:rsid w:val="00265D3D"/>
    <w:rsid w:val="00266108"/>
    <w:rsid w:val="00267895"/>
    <w:rsid w:val="00270AEE"/>
    <w:rsid w:val="002713BD"/>
    <w:rsid w:val="00273688"/>
    <w:rsid w:val="00276500"/>
    <w:rsid w:val="00277EBD"/>
    <w:rsid w:val="00281639"/>
    <w:rsid w:val="0028189F"/>
    <w:rsid w:val="00282E35"/>
    <w:rsid w:val="00283B63"/>
    <w:rsid w:val="00283C7B"/>
    <w:rsid w:val="00284FC4"/>
    <w:rsid w:val="002855EA"/>
    <w:rsid w:val="00285D1D"/>
    <w:rsid w:val="00292ACC"/>
    <w:rsid w:val="00292F3E"/>
    <w:rsid w:val="00297710"/>
    <w:rsid w:val="00297992"/>
    <w:rsid w:val="002A0226"/>
    <w:rsid w:val="002A2EDA"/>
    <w:rsid w:val="002A6B01"/>
    <w:rsid w:val="002A6B7D"/>
    <w:rsid w:val="002A6F71"/>
    <w:rsid w:val="002B0793"/>
    <w:rsid w:val="002B07BE"/>
    <w:rsid w:val="002B49BE"/>
    <w:rsid w:val="002B6423"/>
    <w:rsid w:val="002C1311"/>
    <w:rsid w:val="002C1CFF"/>
    <w:rsid w:val="002C28E2"/>
    <w:rsid w:val="002C408A"/>
    <w:rsid w:val="002C5964"/>
    <w:rsid w:val="002C617C"/>
    <w:rsid w:val="002C7C5E"/>
    <w:rsid w:val="002D13A0"/>
    <w:rsid w:val="002D3D60"/>
    <w:rsid w:val="002D4909"/>
    <w:rsid w:val="002D51D8"/>
    <w:rsid w:val="002D5694"/>
    <w:rsid w:val="002D7CD5"/>
    <w:rsid w:val="002E124C"/>
    <w:rsid w:val="002E169A"/>
    <w:rsid w:val="002E331A"/>
    <w:rsid w:val="002E41FC"/>
    <w:rsid w:val="002E4285"/>
    <w:rsid w:val="002E55E9"/>
    <w:rsid w:val="002E56E8"/>
    <w:rsid w:val="002E627D"/>
    <w:rsid w:val="002E7946"/>
    <w:rsid w:val="002F7F8E"/>
    <w:rsid w:val="00302B4F"/>
    <w:rsid w:val="00303E06"/>
    <w:rsid w:val="0030425D"/>
    <w:rsid w:val="003052CE"/>
    <w:rsid w:val="003062FC"/>
    <w:rsid w:val="00306732"/>
    <w:rsid w:val="00306D95"/>
    <w:rsid w:val="003100EF"/>
    <w:rsid w:val="00311580"/>
    <w:rsid w:val="00312AC2"/>
    <w:rsid w:val="00313E64"/>
    <w:rsid w:val="00316FA6"/>
    <w:rsid w:val="00322425"/>
    <w:rsid w:val="00322608"/>
    <w:rsid w:val="003273D7"/>
    <w:rsid w:val="0033043C"/>
    <w:rsid w:val="00334899"/>
    <w:rsid w:val="00336C80"/>
    <w:rsid w:val="00337B26"/>
    <w:rsid w:val="0034017B"/>
    <w:rsid w:val="00344E3C"/>
    <w:rsid w:val="003450E1"/>
    <w:rsid w:val="00345370"/>
    <w:rsid w:val="00346E9F"/>
    <w:rsid w:val="003473BD"/>
    <w:rsid w:val="00353911"/>
    <w:rsid w:val="00364315"/>
    <w:rsid w:val="003653CD"/>
    <w:rsid w:val="00365638"/>
    <w:rsid w:val="00366247"/>
    <w:rsid w:val="003677A2"/>
    <w:rsid w:val="0037057E"/>
    <w:rsid w:val="0037150F"/>
    <w:rsid w:val="00371EF3"/>
    <w:rsid w:val="00374BA8"/>
    <w:rsid w:val="00375A88"/>
    <w:rsid w:val="00376AD0"/>
    <w:rsid w:val="003776E4"/>
    <w:rsid w:val="0038028A"/>
    <w:rsid w:val="00382694"/>
    <w:rsid w:val="00382F63"/>
    <w:rsid w:val="003900B4"/>
    <w:rsid w:val="0039364F"/>
    <w:rsid w:val="003949A0"/>
    <w:rsid w:val="00396B09"/>
    <w:rsid w:val="00397DB7"/>
    <w:rsid w:val="003A10C4"/>
    <w:rsid w:val="003A7075"/>
    <w:rsid w:val="003A7CA4"/>
    <w:rsid w:val="003B0038"/>
    <w:rsid w:val="003B1994"/>
    <w:rsid w:val="003B1CBD"/>
    <w:rsid w:val="003B1DBB"/>
    <w:rsid w:val="003B20F1"/>
    <w:rsid w:val="003B29D2"/>
    <w:rsid w:val="003C329C"/>
    <w:rsid w:val="003C374F"/>
    <w:rsid w:val="003C7077"/>
    <w:rsid w:val="003D0B88"/>
    <w:rsid w:val="003E2489"/>
    <w:rsid w:val="003E341E"/>
    <w:rsid w:val="003E3848"/>
    <w:rsid w:val="003E7AE6"/>
    <w:rsid w:val="003E7F83"/>
    <w:rsid w:val="003F0003"/>
    <w:rsid w:val="003F0709"/>
    <w:rsid w:val="003F1A94"/>
    <w:rsid w:val="003F1F0E"/>
    <w:rsid w:val="003F22BD"/>
    <w:rsid w:val="003F4798"/>
    <w:rsid w:val="003F6B04"/>
    <w:rsid w:val="003F715A"/>
    <w:rsid w:val="003F7D8A"/>
    <w:rsid w:val="00400804"/>
    <w:rsid w:val="00402705"/>
    <w:rsid w:val="00404154"/>
    <w:rsid w:val="00404481"/>
    <w:rsid w:val="00404711"/>
    <w:rsid w:val="004065E7"/>
    <w:rsid w:val="00406A27"/>
    <w:rsid w:val="00406DDA"/>
    <w:rsid w:val="004109D4"/>
    <w:rsid w:val="00411CE9"/>
    <w:rsid w:val="00412908"/>
    <w:rsid w:val="004153BB"/>
    <w:rsid w:val="00415719"/>
    <w:rsid w:val="004216D8"/>
    <w:rsid w:val="004270E0"/>
    <w:rsid w:val="00427649"/>
    <w:rsid w:val="004316CA"/>
    <w:rsid w:val="00432D22"/>
    <w:rsid w:val="00433844"/>
    <w:rsid w:val="00434AEA"/>
    <w:rsid w:val="0043501D"/>
    <w:rsid w:val="0043734D"/>
    <w:rsid w:val="00443058"/>
    <w:rsid w:val="00444D28"/>
    <w:rsid w:val="00446D56"/>
    <w:rsid w:val="0045022A"/>
    <w:rsid w:val="00450B70"/>
    <w:rsid w:val="00451DEB"/>
    <w:rsid w:val="00452DF1"/>
    <w:rsid w:val="004549FF"/>
    <w:rsid w:val="00454E56"/>
    <w:rsid w:val="00455CC9"/>
    <w:rsid w:val="004573C9"/>
    <w:rsid w:val="0046067C"/>
    <w:rsid w:val="00461B87"/>
    <w:rsid w:val="00461FF0"/>
    <w:rsid w:val="00465B82"/>
    <w:rsid w:val="00466D60"/>
    <w:rsid w:val="0046705A"/>
    <w:rsid w:val="00471ECA"/>
    <w:rsid w:val="00473D1B"/>
    <w:rsid w:val="0047504A"/>
    <w:rsid w:val="004764BE"/>
    <w:rsid w:val="0047721F"/>
    <w:rsid w:val="00482CEE"/>
    <w:rsid w:val="0048787C"/>
    <w:rsid w:val="00487CD4"/>
    <w:rsid w:val="00490B63"/>
    <w:rsid w:val="00494413"/>
    <w:rsid w:val="00495A5A"/>
    <w:rsid w:val="00497899"/>
    <w:rsid w:val="00497914"/>
    <w:rsid w:val="00497C62"/>
    <w:rsid w:val="004A0B08"/>
    <w:rsid w:val="004A170C"/>
    <w:rsid w:val="004A2747"/>
    <w:rsid w:val="004A3714"/>
    <w:rsid w:val="004A416F"/>
    <w:rsid w:val="004A66BD"/>
    <w:rsid w:val="004A7EA5"/>
    <w:rsid w:val="004B193A"/>
    <w:rsid w:val="004B1EA7"/>
    <w:rsid w:val="004B243C"/>
    <w:rsid w:val="004B351A"/>
    <w:rsid w:val="004B405E"/>
    <w:rsid w:val="004B4BD8"/>
    <w:rsid w:val="004B55F6"/>
    <w:rsid w:val="004B73BA"/>
    <w:rsid w:val="004C1136"/>
    <w:rsid w:val="004C1DC9"/>
    <w:rsid w:val="004C5FCB"/>
    <w:rsid w:val="004C6C72"/>
    <w:rsid w:val="004D3D2F"/>
    <w:rsid w:val="004D5EDB"/>
    <w:rsid w:val="004D68A7"/>
    <w:rsid w:val="004E1833"/>
    <w:rsid w:val="004E1EF2"/>
    <w:rsid w:val="004E3595"/>
    <w:rsid w:val="004E363B"/>
    <w:rsid w:val="004E4C7B"/>
    <w:rsid w:val="004E63DB"/>
    <w:rsid w:val="004E667A"/>
    <w:rsid w:val="004E6D32"/>
    <w:rsid w:val="004E7E79"/>
    <w:rsid w:val="004F1B96"/>
    <w:rsid w:val="00501EAD"/>
    <w:rsid w:val="00502967"/>
    <w:rsid w:val="00502A08"/>
    <w:rsid w:val="0050388B"/>
    <w:rsid w:val="00503E8F"/>
    <w:rsid w:val="0050457E"/>
    <w:rsid w:val="005067E0"/>
    <w:rsid w:val="005074D1"/>
    <w:rsid w:val="00511EF9"/>
    <w:rsid w:val="00511F5B"/>
    <w:rsid w:val="00512A6F"/>
    <w:rsid w:val="005168BE"/>
    <w:rsid w:val="00520852"/>
    <w:rsid w:val="00520DDE"/>
    <w:rsid w:val="00521936"/>
    <w:rsid w:val="005221AD"/>
    <w:rsid w:val="0052742E"/>
    <w:rsid w:val="00530589"/>
    <w:rsid w:val="00530E8E"/>
    <w:rsid w:val="00531452"/>
    <w:rsid w:val="005315F2"/>
    <w:rsid w:val="005316DB"/>
    <w:rsid w:val="00531AE2"/>
    <w:rsid w:val="005320EB"/>
    <w:rsid w:val="00532AC0"/>
    <w:rsid w:val="00533D2A"/>
    <w:rsid w:val="00534DF3"/>
    <w:rsid w:val="005350A4"/>
    <w:rsid w:val="00536B4A"/>
    <w:rsid w:val="0053701F"/>
    <w:rsid w:val="00541859"/>
    <w:rsid w:val="00544922"/>
    <w:rsid w:val="0054496B"/>
    <w:rsid w:val="00545CCC"/>
    <w:rsid w:val="00546324"/>
    <w:rsid w:val="00551944"/>
    <w:rsid w:val="00552D40"/>
    <w:rsid w:val="00553CB8"/>
    <w:rsid w:val="0056126F"/>
    <w:rsid w:val="00561566"/>
    <w:rsid w:val="00564A6F"/>
    <w:rsid w:val="00570675"/>
    <w:rsid w:val="00575D63"/>
    <w:rsid w:val="00576943"/>
    <w:rsid w:val="00581143"/>
    <w:rsid w:val="00581FFD"/>
    <w:rsid w:val="00584EB7"/>
    <w:rsid w:val="0058714F"/>
    <w:rsid w:val="005904A7"/>
    <w:rsid w:val="00592A7B"/>
    <w:rsid w:val="005935BA"/>
    <w:rsid w:val="005935F0"/>
    <w:rsid w:val="0059388D"/>
    <w:rsid w:val="005950E7"/>
    <w:rsid w:val="005953AE"/>
    <w:rsid w:val="005954CC"/>
    <w:rsid w:val="0059714C"/>
    <w:rsid w:val="005A5CD4"/>
    <w:rsid w:val="005A6060"/>
    <w:rsid w:val="005A64CB"/>
    <w:rsid w:val="005B688D"/>
    <w:rsid w:val="005B68B4"/>
    <w:rsid w:val="005B74D4"/>
    <w:rsid w:val="005B76FC"/>
    <w:rsid w:val="005B7E64"/>
    <w:rsid w:val="005C0290"/>
    <w:rsid w:val="005C07F0"/>
    <w:rsid w:val="005C268B"/>
    <w:rsid w:val="005C3D2F"/>
    <w:rsid w:val="005C538D"/>
    <w:rsid w:val="005C5A73"/>
    <w:rsid w:val="005C69AD"/>
    <w:rsid w:val="005C7EBE"/>
    <w:rsid w:val="005D23D2"/>
    <w:rsid w:val="005D31F4"/>
    <w:rsid w:val="005D5A86"/>
    <w:rsid w:val="005D7B8E"/>
    <w:rsid w:val="005E05B0"/>
    <w:rsid w:val="005E125A"/>
    <w:rsid w:val="005E1EE0"/>
    <w:rsid w:val="005E2372"/>
    <w:rsid w:val="005E2C32"/>
    <w:rsid w:val="005E2C88"/>
    <w:rsid w:val="005E3203"/>
    <w:rsid w:val="005E38B7"/>
    <w:rsid w:val="005E3985"/>
    <w:rsid w:val="005E3D38"/>
    <w:rsid w:val="005E4DA3"/>
    <w:rsid w:val="005E58A9"/>
    <w:rsid w:val="005E5977"/>
    <w:rsid w:val="005E6FB6"/>
    <w:rsid w:val="005E71B5"/>
    <w:rsid w:val="005E77C1"/>
    <w:rsid w:val="005F333F"/>
    <w:rsid w:val="005F72D5"/>
    <w:rsid w:val="00600654"/>
    <w:rsid w:val="006014B8"/>
    <w:rsid w:val="00601EB6"/>
    <w:rsid w:val="00602F5C"/>
    <w:rsid w:val="00604787"/>
    <w:rsid w:val="00604BDC"/>
    <w:rsid w:val="00606793"/>
    <w:rsid w:val="0061446F"/>
    <w:rsid w:val="00616DA5"/>
    <w:rsid w:val="00617BF2"/>
    <w:rsid w:val="0062157A"/>
    <w:rsid w:val="00625416"/>
    <w:rsid w:val="00631226"/>
    <w:rsid w:val="00631A30"/>
    <w:rsid w:val="00632D96"/>
    <w:rsid w:val="00636C38"/>
    <w:rsid w:val="00641048"/>
    <w:rsid w:val="006413CD"/>
    <w:rsid w:val="006427B4"/>
    <w:rsid w:val="006450D9"/>
    <w:rsid w:val="00646045"/>
    <w:rsid w:val="006502B4"/>
    <w:rsid w:val="0065343E"/>
    <w:rsid w:val="00653E89"/>
    <w:rsid w:val="0065763E"/>
    <w:rsid w:val="006615EA"/>
    <w:rsid w:val="00663B1B"/>
    <w:rsid w:val="00663BB4"/>
    <w:rsid w:val="0066403A"/>
    <w:rsid w:val="0066707B"/>
    <w:rsid w:val="00667093"/>
    <w:rsid w:val="006716E1"/>
    <w:rsid w:val="00671875"/>
    <w:rsid w:val="006730C1"/>
    <w:rsid w:val="00682084"/>
    <w:rsid w:val="00682DF5"/>
    <w:rsid w:val="0068422B"/>
    <w:rsid w:val="00686402"/>
    <w:rsid w:val="006902F9"/>
    <w:rsid w:val="006914DA"/>
    <w:rsid w:val="00693437"/>
    <w:rsid w:val="00696A08"/>
    <w:rsid w:val="006A075A"/>
    <w:rsid w:val="006A33E2"/>
    <w:rsid w:val="006A3AF4"/>
    <w:rsid w:val="006B204D"/>
    <w:rsid w:val="006B6599"/>
    <w:rsid w:val="006B6601"/>
    <w:rsid w:val="006B7C98"/>
    <w:rsid w:val="006C0C70"/>
    <w:rsid w:val="006C163E"/>
    <w:rsid w:val="006C1BF9"/>
    <w:rsid w:val="006C1C01"/>
    <w:rsid w:val="006C358A"/>
    <w:rsid w:val="006C3988"/>
    <w:rsid w:val="006D0377"/>
    <w:rsid w:val="006D0719"/>
    <w:rsid w:val="006D0C81"/>
    <w:rsid w:val="006D1263"/>
    <w:rsid w:val="006D4989"/>
    <w:rsid w:val="006D51D4"/>
    <w:rsid w:val="006E007C"/>
    <w:rsid w:val="006E1793"/>
    <w:rsid w:val="006E2E26"/>
    <w:rsid w:val="006E3B0C"/>
    <w:rsid w:val="006E75F2"/>
    <w:rsid w:val="006F0753"/>
    <w:rsid w:val="006F159E"/>
    <w:rsid w:val="006F1DE7"/>
    <w:rsid w:val="006F4B48"/>
    <w:rsid w:val="006F5641"/>
    <w:rsid w:val="006F597E"/>
    <w:rsid w:val="006F653A"/>
    <w:rsid w:val="006F6664"/>
    <w:rsid w:val="00701475"/>
    <w:rsid w:val="00701B4C"/>
    <w:rsid w:val="00702B67"/>
    <w:rsid w:val="00703DD7"/>
    <w:rsid w:val="00704CAE"/>
    <w:rsid w:val="00705232"/>
    <w:rsid w:val="00711078"/>
    <w:rsid w:val="0071389D"/>
    <w:rsid w:val="007146DD"/>
    <w:rsid w:val="00714980"/>
    <w:rsid w:val="00722784"/>
    <w:rsid w:val="007251D1"/>
    <w:rsid w:val="0072521B"/>
    <w:rsid w:val="00726F79"/>
    <w:rsid w:val="00727326"/>
    <w:rsid w:val="0073193C"/>
    <w:rsid w:val="007359DD"/>
    <w:rsid w:val="0073623A"/>
    <w:rsid w:val="00736645"/>
    <w:rsid w:val="007374CD"/>
    <w:rsid w:val="007375D0"/>
    <w:rsid w:val="00737B0C"/>
    <w:rsid w:val="007422BE"/>
    <w:rsid w:val="00750848"/>
    <w:rsid w:val="007547D4"/>
    <w:rsid w:val="00754C41"/>
    <w:rsid w:val="00761EA8"/>
    <w:rsid w:val="00765A7E"/>
    <w:rsid w:val="00765B21"/>
    <w:rsid w:val="0076680B"/>
    <w:rsid w:val="00771E42"/>
    <w:rsid w:val="00773114"/>
    <w:rsid w:val="00773603"/>
    <w:rsid w:val="0077460B"/>
    <w:rsid w:val="00775137"/>
    <w:rsid w:val="00776D93"/>
    <w:rsid w:val="007861E0"/>
    <w:rsid w:val="00787EC4"/>
    <w:rsid w:val="0079113B"/>
    <w:rsid w:val="00796BD3"/>
    <w:rsid w:val="007A2FB7"/>
    <w:rsid w:val="007A2FFA"/>
    <w:rsid w:val="007A3C3B"/>
    <w:rsid w:val="007A405D"/>
    <w:rsid w:val="007A4661"/>
    <w:rsid w:val="007A5EB4"/>
    <w:rsid w:val="007B1745"/>
    <w:rsid w:val="007B308D"/>
    <w:rsid w:val="007B3A9F"/>
    <w:rsid w:val="007B3F12"/>
    <w:rsid w:val="007B4DA9"/>
    <w:rsid w:val="007B61FB"/>
    <w:rsid w:val="007B7FBD"/>
    <w:rsid w:val="007C0E24"/>
    <w:rsid w:val="007C14D0"/>
    <w:rsid w:val="007C3336"/>
    <w:rsid w:val="007C33B8"/>
    <w:rsid w:val="007D1057"/>
    <w:rsid w:val="007D2CA3"/>
    <w:rsid w:val="007D3494"/>
    <w:rsid w:val="007D389C"/>
    <w:rsid w:val="007D6D39"/>
    <w:rsid w:val="007E1D86"/>
    <w:rsid w:val="007E1E28"/>
    <w:rsid w:val="007E51C3"/>
    <w:rsid w:val="007E7781"/>
    <w:rsid w:val="007E799F"/>
    <w:rsid w:val="007E7C9D"/>
    <w:rsid w:val="007F1441"/>
    <w:rsid w:val="007F2301"/>
    <w:rsid w:val="007F4DD3"/>
    <w:rsid w:val="007F5DF5"/>
    <w:rsid w:val="00800AB9"/>
    <w:rsid w:val="00800C9C"/>
    <w:rsid w:val="0080222F"/>
    <w:rsid w:val="00802565"/>
    <w:rsid w:val="00804E63"/>
    <w:rsid w:val="008103BF"/>
    <w:rsid w:val="00810681"/>
    <w:rsid w:val="00813B6F"/>
    <w:rsid w:val="008148C5"/>
    <w:rsid w:val="00814C8E"/>
    <w:rsid w:val="008167F8"/>
    <w:rsid w:val="00817299"/>
    <w:rsid w:val="0083129D"/>
    <w:rsid w:val="008314B3"/>
    <w:rsid w:val="00831C90"/>
    <w:rsid w:val="008329A6"/>
    <w:rsid w:val="008342A7"/>
    <w:rsid w:val="008422FC"/>
    <w:rsid w:val="008432C0"/>
    <w:rsid w:val="008446BA"/>
    <w:rsid w:val="0084710E"/>
    <w:rsid w:val="008554B4"/>
    <w:rsid w:val="0085684E"/>
    <w:rsid w:val="00862C48"/>
    <w:rsid w:val="008712AB"/>
    <w:rsid w:val="00871FF9"/>
    <w:rsid w:val="00872569"/>
    <w:rsid w:val="0087277E"/>
    <w:rsid w:val="008736E6"/>
    <w:rsid w:val="00873EB4"/>
    <w:rsid w:val="00873FF7"/>
    <w:rsid w:val="008759FA"/>
    <w:rsid w:val="008765CF"/>
    <w:rsid w:val="00877CF7"/>
    <w:rsid w:val="00881CC4"/>
    <w:rsid w:val="00882C82"/>
    <w:rsid w:val="00884348"/>
    <w:rsid w:val="00886D1E"/>
    <w:rsid w:val="00890277"/>
    <w:rsid w:val="00890338"/>
    <w:rsid w:val="008921BF"/>
    <w:rsid w:val="0089593A"/>
    <w:rsid w:val="00895BDD"/>
    <w:rsid w:val="0089726A"/>
    <w:rsid w:val="00897DBB"/>
    <w:rsid w:val="008A1A30"/>
    <w:rsid w:val="008B2E1E"/>
    <w:rsid w:val="008C1FF3"/>
    <w:rsid w:val="008C28AE"/>
    <w:rsid w:val="008C40AE"/>
    <w:rsid w:val="008C4D07"/>
    <w:rsid w:val="008C6237"/>
    <w:rsid w:val="008C6861"/>
    <w:rsid w:val="008C6DD8"/>
    <w:rsid w:val="008D03F7"/>
    <w:rsid w:val="008D0F81"/>
    <w:rsid w:val="008D2D57"/>
    <w:rsid w:val="008D3DEB"/>
    <w:rsid w:val="008D4AA9"/>
    <w:rsid w:val="008E07E1"/>
    <w:rsid w:val="008E1EE0"/>
    <w:rsid w:val="008E4076"/>
    <w:rsid w:val="008E6E66"/>
    <w:rsid w:val="008E78C2"/>
    <w:rsid w:val="008F023C"/>
    <w:rsid w:val="008F211E"/>
    <w:rsid w:val="008F330D"/>
    <w:rsid w:val="009013A8"/>
    <w:rsid w:val="009014F2"/>
    <w:rsid w:val="00902D7D"/>
    <w:rsid w:val="0090514B"/>
    <w:rsid w:val="00906531"/>
    <w:rsid w:val="00907F9D"/>
    <w:rsid w:val="00913414"/>
    <w:rsid w:val="00914FC4"/>
    <w:rsid w:val="00916DD6"/>
    <w:rsid w:val="00917F0C"/>
    <w:rsid w:val="0092477D"/>
    <w:rsid w:val="00924C39"/>
    <w:rsid w:val="00924C8D"/>
    <w:rsid w:val="009313DF"/>
    <w:rsid w:val="009316E4"/>
    <w:rsid w:val="00932E7A"/>
    <w:rsid w:val="00933389"/>
    <w:rsid w:val="009359E8"/>
    <w:rsid w:val="0093761C"/>
    <w:rsid w:val="00937EC1"/>
    <w:rsid w:val="00940047"/>
    <w:rsid w:val="009420D0"/>
    <w:rsid w:val="00942170"/>
    <w:rsid w:val="00943DC2"/>
    <w:rsid w:val="009463C1"/>
    <w:rsid w:val="0095127F"/>
    <w:rsid w:val="00951665"/>
    <w:rsid w:val="0095362E"/>
    <w:rsid w:val="00953A31"/>
    <w:rsid w:val="00953BC4"/>
    <w:rsid w:val="0095610E"/>
    <w:rsid w:val="009561A9"/>
    <w:rsid w:val="00967E76"/>
    <w:rsid w:val="00971563"/>
    <w:rsid w:val="009733F4"/>
    <w:rsid w:val="00976629"/>
    <w:rsid w:val="00980717"/>
    <w:rsid w:val="00980B8F"/>
    <w:rsid w:val="0098419A"/>
    <w:rsid w:val="00984E00"/>
    <w:rsid w:val="009850F5"/>
    <w:rsid w:val="0098762D"/>
    <w:rsid w:val="00990B74"/>
    <w:rsid w:val="009922CA"/>
    <w:rsid w:val="009955C7"/>
    <w:rsid w:val="00995B68"/>
    <w:rsid w:val="00997782"/>
    <w:rsid w:val="009A1235"/>
    <w:rsid w:val="009A4098"/>
    <w:rsid w:val="009A4DF2"/>
    <w:rsid w:val="009A4F1F"/>
    <w:rsid w:val="009A574B"/>
    <w:rsid w:val="009B3D37"/>
    <w:rsid w:val="009B4734"/>
    <w:rsid w:val="009B495D"/>
    <w:rsid w:val="009B5BFD"/>
    <w:rsid w:val="009C062F"/>
    <w:rsid w:val="009C09F2"/>
    <w:rsid w:val="009C1254"/>
    <w:rsid w:val="009C19B1"/>
    <w:rsid w:val="009C2759"/>
    <w:rsid w:val="009C2F03"/>
    <w:rsid w:val="009C3BC0"/>
    <w:rsid w:val="009C3E07"/>
    <w:rsid w:val="009C63DF"/>
    <w:rsid w:val="009C6FC6"/>
    <w:rsid w:val="009D0CE9"/>
    <w:rsid w:val="009D2215"/>
    <w:rsid w:val="009D281C"/>
    <w:rsid w:val="009D333E"/>
    <w:rsid w:val="009D5B8A"/>
    <w:rsid w:val="009D7125"/>
    <w:rsid w:val="009E1DCF"/>
    <w:rsid w:val="009E321E"/>
    <w:rsid w:val="009E54D0"/>
    <w:rsid w:val="009E5732"/>
    <w:rsid w:val="009F0C63"/>
    <w:rsid w:val="009F2959"/>
    <w:rsid w:val="009F34BC"/>
    <w:rsid w:val="009F5630"/>
    <w:rsid w:val="009F567A"/>
    <w:rsid w:val="009F7BF0"/>
    <w:rsid w:val="00A022A4"/>
    <w:rsid w:val="00A0319F"/>
    <w:rsid w:val="00A055A4"/>
    <w:rsid w:val="00A07ABC"/>
    <w:rsid w:val="00A20169"/>
    <w:rsid w:val="00A24B77"/>
    <w:rsid w:val="00A24BBA"/>
    <w:rsid w:val="00A25580"/>
    <w:rsid w:val="00A2567B"/>
    <w:rsid w:val="00A308ED"/>
    <w:rsid w:val="00A32B8C"/>
    <w:rsid w:val="00A334DB"/>
    <w:rsid w:val="00A34129"/>
    <w:rsid w:val="00A3615D"/>
    <w:rsid w:val="00A36464"/>
    <w:rsid w:val="00A36990"/>
    <w:rsid w:val="00A37A07"/>
    <w:rsid w:val="00A40139"/>
    <w:rsid w:val="00A405C6"/>
    <w:rsid w:val="00A4188D"/>
    <w:rsid w:val="00A4199A"/>
    <w:rsid w:val="00A41BD3"/>
    <w:rsid w:val="00A424FD"/>
    <w:rsid w:val="00A47855"/>
    <w:rsid w:val="00A5007A"/>
    <w:rsid w:val="00A527C9"/>
    <w:rsid w:val="00A5307B"/>
    <w:rsid w:val="00A56118"/>
    <w:rsid w:val="00A579A4"/>
    <w:rsid w:val="00A57E2E"/>
    <w:rsid w:val="00A60E70"/>
    <w:rsid w:val="00A6207C"/>
    <w:rsid w:val="00A624D9"/>
    <w:rsid w:val="00A629E8"/>
    <w:rsid w:val="00A638BF"/>
    <w:rsid w:val="00A6472B"/>
    <w:rsid w:val="00A65556"/>
    <w:rsid w:val="00A67211"/>
    <w:rsid w:val="00A70814"/>
    <w:rsid w:val="00A71EA1"/>
    <w:rsid w:val="00A7297B"/>
    <w:rsid w:val="00A75619"/>
    <w:rsid w:val="00A75F32"/>
    <w:rsid w:val="00A77999"/>
    <w:rsid w:val="00A81F29"/>
    <w:rsid w:val="00A835D0"/>
    <w:rsid w:val="00A84DD9"/>
    <w:rsid w:val="00A91941"/>
    <w:rsid w:val="00A927D5"/>
    <w:rsid w:val="00A945E2"/>
    <w:rsid w:val="00A94C66"/>
    <w:rsid w:val="00A955C7"/>
    <w:rsid w:val="00A96A8B"/>
    <w:rsid w:val="00A9706E"/>
    <w:rsid w:val="00A97371"/>
    <w:rsid w:val="00A975D3"/>
    <w:rsid w:val="00AA058C"/>
    <w:rsid w:val="00AA0B9B"/>
    <w:rsid w:val="00AA1D29"/>
    <w:rsid w:val="00AA4C76"/>
    <w:rsid w:val="00AA68C4"/>
    <w:rsid w:val="00AA79D3"/>
    <w:rsid w:val="00AB1779"/>
    <w:rsid w:val="00AB5623"/>
    <w:rsid w:val="00AB7AFD"/>
    <w:rsid w:val="00AC416B"/>
    <w:rsid w:val="00AC664C"/>
    <w:rsid w:val="00AD225E"/>
    <w:rsid w:val="00AD76F0"/>
    <w:rsid w:val="00AD7789"/>
    <w:rsid w:val="00AE37E9"/>
    <w:rsid w:val="00AE62F2"/>
    <w:rsid w:val="00AF0CC4"/>
    <w:rsid w:val="00AF1AA2"/>
    <w:rsid w:val="00AF310C"/>
    <w:rsid w:val="00AF3EF0"/>
    <w:rsid w:val="00AF4718"/>
    <w:rsid w:val="00AF479C"/>
    <w:rsid w:val="00B0108C"/>
    <w:rsid w:val="00B02702"/>
    <w:rsid w:val="00B02918"/>
    <w:rsid w:val="00B03C5A"/>
    <w:rsid w:val="00B050A1"/>
    <w:rsid w:val="00B06B54"/>
    <w:rsid w:val="00B10992"/>
    <w:rsid w:val="00B10D31"/>
    <w:rsid w:val="00B13D9B"/>
    <w:rsid w:val="00B14363"/>
    <w:rsid w:val="00B1588F"/>
    <w:rsid w:val="00B1650A"/>
    <w:rsid w:val="00B165F1"/>
    <w:rsid w:val="00B16C7B"/>
    <w:rsid w:val="00B217DD"/>
    <w:rsid w:val="00B21F35"/>
    <w:rsid w:val="00B22A2D"/>
    <w:rsid w:val="00B23230"/>
    <w:rsid w:val="00B23FEA"/>
    <w:rsid w:val="00B25AF2"/>
    <w:rsid w:val="00B262D2"/>
    <w:rsid w:val="00B278BC"/>
    <w:rsid w:val="00B37020"/>
    <w:rsid w:val="00B37333"/>
    <w:rsid w:val="00B37FE5"/>
    <w:rsid w:val="00B41273"/>
    <w:rsid w:val="00B42512"/>
    <w:rsid w:val="00B43D82"/>
    <w:rsid w:val="00B45B7D"/>
    <w:rsid w:val="00B45FF3"/>
    <w:rsid w:val="00B50CB1"/>
    <w:rsid w:val="00B51EF0"/>
    <w:rsid w:val="00B52EAB"/>
    <w:rsid w:val="00B53AE6"/>
    <w:rsid w:val="00B53D15"/>
    <w:rsid w:val="00B56FAA"/>
    <w:rsid w:val="00B60632"/>
    <w:rsid w:val="00B63D63"/>
    <w:rsid w:val="00B641C3"/>
    <w:rsid w:val="00B661A4"/>
    <w:rsid w:val="00B6628E"/>
    <w:rsid w:val="00B66764"/>
    <w:rsid w:val="00B703D3"/>
    <w:rsid w:val="00B7090B"/>
    <w:rsid w:val="00B72401"/>
    <w:rsid w:val="00B749D2"/>
    <w:rsid w:val="00B74C11"/>
    <w:rsid w:val="00B76284"/>
    <w:rsid w:val="00B83560"/>
    <w:rsid w:val="00B856E0"/>
    <w:rsid w:val="00B87887"/>
    <w:rsid w:val="00B90E15"/>
    <w:rsid w:val="00B90E68"/>
    <w:rsid w:val="00B95666"/>
    <w:rsid w:val="00B971F8"/>
    <w:rsid w:val="00BA0521"/>
    <w:rsid w:val="00BA34F3"/>
    <w:rsid w:val="00BA39ED"/>
    <w:rsid w:val="00BA4975"/>
    <w:rsid w:val="00BA5C30"/>
    <w:rsid w:val="00BA64A1"/>
    <w:rsid w:val="00BA6B4A"/>
    <w:rsid w:val="00BB01CA"/>
    <w:rsid w:val="00BB4794"/>
    <w:rsid w:val="00BB4F9B"/>
    <w:rsid w:val="00BB7DB8"/>
    <w:rsid w:val="00BC27A1"/>
    <w:rsid w:val="00BC4152"/>
    <w:rsid w:val="00BC5F76"/>
    <w:rsid w:val="00BC70CF"/>
    <w:rsid w:val="00BC7432"/>
    <w:rsid w:val="00BD0630"/>
    <w:rsid w:val="00BD5F8F"/>
    <w:rsid w:val="00BD6728"/>
    <w:rsid w:val="00BD695A"/>
    <w:rsid w:val="00BD78CB"/>
    <w:rsid w:val="00BD7C73"/>
    <w:rsid w:val="00BE00D8"/>
    <w:rsid w:val="00BE0A84"/>
    <w:rsid w:val="00BE1078"/>
    <w:rsid w:val="00BE204B"/>
    <w:rsid w:val="00BE52B7"/>
    <w:rsid w:val="00BE62D0"/>
    <w:rsid w:val="00BE7968"/>
    <w:rsid w:val="00BE7D00"/>
    <w:rsid w:val="00BE7EEC"/>
    <w:rsid w:val="00BF063D"/>
    <w:rsid w:val="00BF0A76"/>
    <w:rsid w:val="00BF0B4F"/>
    <w:rsid w:val="00BF5B1B"/>
    <w:rsid w:val="00BF62B8"/>
    <w:rsid w:val="00BF7AEA"/>
    <w:rsid w:val="00C016C9"/>
    <w:rsid w:val="00C0242C"/>
    <w:rsid w:val="00C026E1"/>
    <w:rsid w:val="00C03DFA"/>
    <w:rsid w:val="00C040B5"/>
    <w:rsid w:val="00C0521F"/>
    <w:rsid w:val="00C123D1"/>
    <w:rsid w:val="00C124B6"/>
    <w:rsid w:val="00C126AF"/>
    <w:rsid w:val="00C12DE3"/>
    <w:rsid w:val="00C2103F"/>
    <w:rsid w:val="00C21B7A"/>
    <w:rsid w:val="00C22DA2"/>
    <w:rsid w:val="00C236E5"/>
    <w:rsid w:val="00C245F6"/>
    <w:rsid w:val="00C250FB"/>
    <w:rsid w:val="00C2537B"/>
    <w:rsid w:val="00C25AB1"/>
    <w:rsid w:val="00C25C3A"/>
    <w:rsid w:val="00C26B97"/>
    <w:rsid w:val="00C26DFF"/>
    <w:rsid w:val="00C304BC"/>
    <w:rsid w:val="00C329D1"/>
    <w:rsid w:val="00C335C9"/>
    <w:rsid w:val="00C33EEC"/>
    <w:rsid w:val="00C3424C"/>
    <w:rsid w:val="00C347D2"/>
    <w:rsid w:val="00C351C6"/>
    <w:rsid w:val="00C358FB"/>
    <w:rsid w:val="00C35D6A"/>
    <w:rsid w:val="00C36797"/>
    <w:rsid w:val="00C36864"/>
    <w:rsid w:val="00C42730"/>
    <w:rsid w:val="00C43210"/>
    <w:rsid w:val="00C50055"/>
    <w:rsid w:val="00C5019F"/>
    <w:rsid w:val="00C501B2"/>
    <w:rsid w:val="00C51760"/>
    <w:rsid w:val="00C51918"/>
    <w:rsid w:val="00C52374"/>
    <w:rsid w:val="00C5241D"/>
    <w:rsid w:val="00C52CEE"/>
    <w:rsid w:val="00C52D55"/>
    <w:rsid w:val="00C562F7"/>
    <w:rsid w:val="00C569E4"/>
    <w:rsid w:val="00C57A4F"/>
    <w:rsid w:val="00C62B19"/>
    <w:rsid w:val="00C62F17"/>
    <w:rsid w:val="00C63154"/>
    <w:rsid w:val="00C63A76"/>
    <w:rsid w:val="00C64F06"/>
    <w:rsid w:val="00C65AF9"/>
    <w:rsid w:val="00C66668"/>
    <w:rsid w:val="00C674C2"/>
    <w:rsid w:val="00C7039F"/>
    <w:rsid w:val="00C749F9"/>
    <w:rsid w:val="00C74BD4"/>
    <w:rsid w:val="00C75A98"/>
    <w:rsid w:val="00C7745E"/>
    <w:rsid w:val="00C80C19"/>
    <w:rsid w:val="00C84916"/>
    <w:rsid w:val="00C85220"/>
    <w:rsid w:val="00C86D72"/>
    <w:rsid w:val="00C871EB"/>
    <w:rsid w:val="00C873E4"/>
    <w:rsid w:val="00C91AB8"/>
    <w:rsid w:val="00C923C2"/>
    <w:rsid w:val="00C92B35"/>
    <w:rsid w:val="00C94053"/>
    <w:rsid w:val="00C9452D"/>
    <w:rsid w:val="00C9657E"/>
    <w:rsid w:val="00C97D65"/>
    <w:rsid w:val="00CA0069"/>
    <w:rsid w:val="00CA2B31"/>
    <w:rsid w:val="00CA418B"/>
    <w:rsid w:val="00CA4794"/>
    <w:rsid w:val="00CA571B"/>
    <w:rsid w:val="00CA78D3"/>
    <w:rsid w:val="00CB3B4F"/>
    <w:rsid w:val="00CB4A87"/>
    <w:rsid w:val="00CB4D4A"/>
    <w:rsid w:val="00CB5962"/>
    <w:rsid w:val="00CB67F3"/>
    <w:rsid w:val="00CB73E5"/>
    <w:rsid w:val="00CC0A3F"/>
    <w:rsid w:val="00CC38B2"/>
    <w:rsid w:val="00CC5B16"/>
    <w:rsid w:val="00CC5F80"/>
    <w:rsid w:val="00CC6359"/>
    <w:rsid w:val="00CD0B65"/>
    <w:rsid w:val="00CD0C5F"/>
    <w:rsid w:val="00CD0CFD"/>
    <w:rsid w:val="00CD1E0A"/>
    <w:rsid w:val="00CD383E"/>
    <w:rsid w:val="00CD4D99"/>
    <w:rsid w:val="00CE19A3"/>
    <w:rsid w:val="00CE24E1"/>
    <w:rsid w:val="00CE2AAF"/>
    <w:rsid w:val="00CE427B"/>
    <w:rsid w:val="00CE4FC1"/>
    <w:rsid w:val="00CE70C2"/>
    <w:rsid w:val="00CF0321"/>
    <w:rsid w:val="00CF03B6"/>
    <w:rsid w:val="00CF04EB"/>
    <w:rsid w:val="00CF501E"/>
    <w:rsid w:val="00D00F6E"/>
    <w:rsid w:val="00D039C0"/>
    <w:rsid w:val="00D03B21"/>
    <w:rsid w:val="00D03C0B"/>
    <w:rsid w:val="00D04E67"/>
    <w:rsid w:val="00D0554E"/>
    <w:rsid w:val="00D06CCE"/>
    <w:rsid w:val="00D10156"/>
    <w:rsid w:val="00D10210"/>
    <w:rsid w:val="00D1340A"/>
    <w:rsid w:val="00D156CF"/>
    <w:rsid w:val="00D1706E"/>
    <w:rsid w:val="00D17897"/>
    <w:rsid w:val="00D25705"/>
    <w:rsid w:val="00D3163B"/>
    <w:rsid w:val="00D32CA5"/>
    <w:rsid w:val="00D33B54"/>
    <w:rsid w:val="00D34307"/>
    <w:rsid w:val="00D3707F"/>
    <w:rsid w:val="00D41DFD"/>
    <w:rsid w:val="00D42D3B"/>
    <w:rsid w:val="00D53599"/>
    <w:rsid w:val="00D618D6"/>
    <w:rsid w:val="00D63CE8"/>
    <w:rsid w:val="00D64B02"/>
    <w:rsid w:val="00D66DCB"/>
    <w:rsid w:val="00D70C1E"/>
    <w:rsid w:val="00D71CDA"/>
    <w:rsid w:val="00D71D43"/>
    <w:rsid w:val="00D7687B"/>
    <w:rsid w:val="00D83F7E"/>
    <w:rsid w:val="00D865E1"/>
    <w:rsid w:val="00D90455"/>
    <w:rsid w:val="00D90974"/>
    <w:rsid w:val="00D91816"/>
    <w:rsid w:val="00D93357"/>
    <w:rsid w:val="00D93787"/>
    <w:rsid w:val="00DA3C26"/>
    <w:rsid w:val="00DA3EA8"/>
    <w:rsid w:val="00DA4176"/>
    <w:rsid w:val="00DA6D81"/>
    <w:rsid w:val="00DA77AA"/>
    <w:rsid w:val="00DB0001"/>
    <w:rsid w:val="00DB13FC"/>
    <w:rsid w:val="00DB3F90"/>
    <w:rsid w:val="00DB49F1"/>
    <w:rsid w:val="00DB4CAC"/>
    <w:rsid w:val="00DB5076"/>
    <w:rsid w:val="00DB652C"/>
    <w:rsid w:val="00DC6042"/>
    <w:rsid w:val="00DC63D2"/>
    <w:rsid w:val="00DC7CC4"/>
    <w:rsid w:val="00DC7D06"/>
    <w:rsid w:val="00DD0718"/>
    <w:rsid w:val="00DD3056"/>
    <w:rsid w:val="00DD3A76"/>
    <w:rsid w:val="00DD3E00"/>
    <w:rsid w:val="00DD4168"/>
    <w:rsid w:val="00DD6C7E"/>
    <w:rsid w:val="00DD778F"/>
    <w:rsid w:val="00DD7B93"/>
    <w:rsid w:val="00DE4D39"/>
    <w:rsid w:val="00DF0147"/>
    <w:rsid w:val="00DF3097"/>
    <w:rsid w:val="00DF36B4"/>
    <w:rsid w:val="00DF4120"/>
    <w:rsid w:val="00DF49C2"/>
    <w:rsid w:val="00DF7747"/>
    <w:rsid w:val="00DF774D"/>
    <w:rsid w:val="00DF7A4D"/>
    <w:rsid w:val="00E0199E"/>
    <w:rsid w:val="00E02712"/>
    <w:rsid w:val="00E04DAC"/>
    <w:rsid w:val="00E07236"/>
    <w:rsid w:val="00E07D18"/>
    <w:rsid w:val="00E10745"/>
    <w:rsid w:val="00E12104"/>
    <w:rsid w:val="00E158EB"/>
    <w:rsid w:val="00E16328"/>
    <w:rsid w:val="00E16D75"/>
    <w:rsid w:val="00E2007A"/>
    <w:rsid w:val="00E21B7B"/>
    <w:rsid w:val="00E22FE5"/>
    <w:rsid w:val="00E2406F"/>
    <w:rsid w:val="00E259D2"/>
    <w:rsid w:val="00E25E36"/>
    <w:rsid w:val="00E25EEA"/>
    <w:rsid w:val="00E266B1"/>
    <w:rsid w:val="00E32014"/>
    <w:rsid w:val="00E32763"/>
    <w:rsid w:val="00E32B2F"/>
    <w:rsid w:val="00E3346A"/>
    <w:rsid w:val="00E33715"/>
    <w:rsid w:val="00E34B89"/>
    <w:rsid w:val="00E350E1"/>
    <w:rsid w:val="00E374FD"/>
    <w:rsid w:val="00E4008A"/>
    <w:rsid w:val="00E41269"/>
    <w:rsid w:val="00E41FB6"/>
    <w:rsid w:val="00E43707"/>
    <w:rsid w:val="00E46DC5"/>
    <w:rsid w:val="00E50C61"/>
    <w:rsid w:val="00E5179B"/>
    <w:rsid w:val="00E51FE8"/>
    <w:rsid w:val="00E553C0"/>
    <w:rsid w:val="00E57656"/>
    <w:rsid w:val="00E61B93"/>
    <w:rsid w:val="00E62FBC"/>
    <w:rsid w:val="00E636BD"/>
    <w:rsid w:val="00E650A3"/>
    <w:rsid w:val="00E670CA"/>
    <w:rsid w:val="00E67A78"/>
    <w:rsid w:val="00E67ABC"/>
    <w:rsid w:val="00E717FB"/>
    <w:rsid w:val="00E7332E"/>
    <w:rsid w:val="00E738E5"/>
    <w:rsid w:val="00E74A92"/>
    <w:rsid w:val="00E812FB"/>
    <w:rsid w:val="00E90AEF"/>
    <w:rsid w:val="00E916D1"/>
    <w:rsid w:val="00E92885"/>
    <w:rsid w:val="00E92FC0"/>
    <w:rsid w:val="00E9613B"/>
    <w:rsid w:val="00E97243"/>
    <w:rsid w:val="00EA43B8"/>
    <w:rsid w:val="00EA4AAE"/>
    <w:rsid w:val="00EA4BFF"/>
    <w:rsid w:val="00EA5799"/>
    <w:rsid w:val="00EA5875"/>
    <w:rsid w:val="00EA7693"/>
    <w:rsid w:val="00EB2F59"/>
    <w:rsid w:val="00EB6FBA"/>
    <w:rsid w:val="00EC2AB9"/>
    <w:rsid w:val="00EC5145"/>
    <w:rsid w:val="00ED208F"/>
    <w:rsid w:val="00ED3A85"/>
    <w:rsid w:val="00ED54ED"/>
    <w:rsid w:val="00ED7FD6"/>
    <w:rsid w:val="00EE0923"/>
    <w:rsid w:val="00EE28E2"/>
    <w:rsid w:val="00EE39D5"/>
    <w:rsid w:val="00EE4904"/>
    <w:rsid w:val="00EE5987"/>
    <w:rsid w:val="00EE5E7E"/>
    <w:rsid w:val="00EE5FE2"/>
    <w:rsid w:val="00EE6358"/>
    <w:rsid w:val="00EE72CE"/>
    <w:rsid w:val="00EE744D"/>
    <w:rsid w:val="00EE7538"/>
    <w:rsid w:val="00EF02F6"/>
    <w:rsid w:val="00EF14DD"/>
    <w:rsid w:val="00EF3DB8"/>
    <w:rsid w:val="00EF4308"/>
    <w:rsid w:val="00EF4B54"/>
    <w:rsid w:val="00EF5775"/>
    <w:rsid w:val="00EF7A4E"/>
    <w:rsid w:val="00F000A3"/>
    <w:rsid w:val="00F01DFE"/>
    <w:rsid w:val="00F05E38"/>
    <w:rsid w:val="00F079D8"/>
    <w:rsid w:val="00F10021"/>
    <w:rsid w:val="00F141E5"/>
    <w:rsid w:val="00F16C54"/>
    <w:rsid w:val="00F1713B"/>
    <w:rsid w:val="00F17B90"/>
    <w:rsid w:val="00F23F57"/>
    <w:rsid w:val="00F2565C"/>
    <w:rsid w:val="00F27429"/>
    <w:rsid w:val="00F33EC1"/>
    <w:rsid w:val="00F3400C"/>
    <w:rsid w:val="00F34E87"/>
    <w:rsid w:val="00F3583D"/>
    <w:rsid w:val="00F3757A"/>
    <w:rsid w:val="00F40443"/>
    <w:rsid w:val="00F45891"/>
    <w:rsid w:val="00F514E9"/>
    <w:rsid w:val="00F53967"/>
    <w:rsid w:val="00F56A08"/>
    <w:rsid w:val="00F57419"/>
    <w:rsid w:val="00F61A32"/>
    <w:rsid w:val="00F636A5"/>
    <w:rsid w:val="00F64F07"/>
    <w:rsid w:val="00F65590"/>
    <w:rsid w:val="00F65AC5"/>
    <w:rsid w:val="00F663F1"/>
    <w:rsid w:val="00F67C59"/>
    <w:rsid w:val="00F71046"/>
    <w:rsid w:val="00F724E1"/>
    <w:rsid w:val="00F76510"/>
    <w:rsid w:val="00F77087"/>
    <w:rsid w:val="00F77511"/>
    <w:rsid w:val="00F806C0"/>
    <w:rsid w:val="00F81106"/>
    <w:rsid w:val="00F85DA4"/>
    <w:rsid w:val="00F86B7F"/>
    <w:rsid w:val="00F872C9"/>
    <w:rsid w:val="00F911DF"/>
    <w:rsid w:val="00F9212D"/>
    <w:rsid w:val="00F92444"/>
    <w:rsid w:val="00F96B0C"/>
    <w:rsid w:val="00FA1DE2"/>
    <w:rsid w:val="00FA3F4A"/>
    <w:rsid w:val="00FA693D"/>
    <w:rsid w:val="00FA74D7"/>
    <w:rsid w:val="00FA7E03"/>
    <w:rsid w:val="00FA7FDD"/>
    <w:rsid w:val="00FB1BA7"/>
    <w:rsid w:val="00FB4BB6"/>
    <w:rsid w:val="00FB6462"/>
    <w:rsid w:val="00FB67A0"/>
    <w:rsid w:val="00FB7364"/>
    <w:rsid w:val="00FB7950"/>
    <w:rsid w:val="00FC020F"/>
    <w:rsid w:val="00FC239D"/>
    <w:rsid w:val="00FC78D2"/>
    <w:rsid w:val="00FD1D5F"/>
    <w:rsid w:val="00FD3CDD"/>
    <w:rsid w:val="00FD418F"/>
    <w:rsid w:val="00FD6322"/>
    <w:rsid w:val="00FD7A1F"/>
    <w:rsid w:val="00FE1D24"/>
    <w:rsid w:val="00FE1F4E"/>
    <w:rsid w:val="00FE340F"/>
    <w:rsid w:val="00FE7085"/>
    <w:rsid w:val="00FF0746"/>
    <w:rsid w:val="00FF0EC7"/>
    <w:rsid w:val="00FF3051"/>
    <w:rsid w:val="00FF319C"/>
    <w:rsid w:val="00FF386C"/>
    <w:rsid w:val="00FF38EA"/>
    <w:rsid w:val="00FF4559"/>
    <w:rsid w:val="00FF5204"/>
    <w:rsid w:val="00FF586D"/>
    <w:rsid w:val="00FF7EF3"/>
  </w:rsids>
  <m:mathPr>
    <m:mathFont m:val="Cambria Math"/>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3072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277D0"/>
  </w:style>
  <w:style w:type="paragraph" w:styleId="Heading1">
    <w:name w:val="heading 1"/>
    <w:basedOn w:val="Normal"/>
    <w:next w:val="Normal"/>
    <w:link w:val="Heading1Char"/>
    <w:uiPriority w:val="9"/>
    <w:qFormat/>
    <w:rsid w:val="00701B4C"/>
    <w:pPr>
      <w:keepNext/>
      <w:keepLines/>
      <w:numPr>
        <w:numId w:val="112"/>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9420D0"/>
    <w:pPr>
      <w:keepNext/>
      <w:keepLines/>
      <w:numPr>
        <w:ilvl w:val="1"/>
        <w:numId w:val="112"/>
      </w:numPr>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4A66BD"/>
    <w:pPr>
      <w:keepNext/>
      <w:keepLines/>
      <w:numPr>
        <w:ilvl w:val="2"/>
        <w:numId w:val="112"/>
      </w:numPr>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533D2A"/>
    <w:pPr>
      <w:keepNext/>
      <w:keepLines/>
      <w:numPr>
        <w:ilvl w:val="3"/>
        <w:numId w:val="112"/>
      </w:numPr>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6A33E2"/>
    <w:pPr>
      <w:keepNext/>
      <w:keepLines/>
      <w:numPr>
        <w:ilvl w:val="4"/>
        <w:numId w:val="112"/>
      </w:numPr>
      <w:spacing w:before="200" w:after="0"/>
      <w:outlineLvl w:val="4"/>
    </w:pPr>
    <w:rPr>
      <w:rFonts w:asciiTheme="majorHAnsi" w:eastAsiaTheme="majorEastAsia" w:hAnsiTheme="majorHAnsi" w:cstheme="majorBidi"/>
      <w:b/>
      <w:i/>
      <w:color w:val="4F81BD" w:themeColor="accent1"/>
    </w:rPr>
  </w:style>
  <w:style w:type="paragraph" w:styleId="Heading6">
    <w:name w:val="heading 6"/>
    <w:basedOn w:val="Normal"/>
    <w:next w:val="Normal"/>
    <w:link w:val="Heading6Char"/>
    <w:uiPriority w:val="9"/>
    <w:semiHidden/>
    <w:unhideWhenUsed/>
    <w:qFormat/>
    <w:rsid w:val="00533D2A"/>
    <w:pPr>
      <w:keepNext/>
      <w:keepLines/>
      <w:numPr>
        <w:ilvl w:val="5"/>
        <w:numId w:val="112"/>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533D2A"/>
    <w:pPr>
      <w:keepNext/>
      <w:keepLines/>
      <w:numPr>
        <w:ilvl w:val="6"/>
        <w:numId w:val="112"/>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533D2A"/>
    <w:pPr>
      <w:keepNext/>
      <w:keepLines/>
      <w:numPr>
        <w:ilvl w:val="7"/>
        <w:numId w:val="112"/>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533D2A"/>
    <w:pPr>
      <w:keepNext/>
      <w:keepLines/>
      <w:numPr>
        <w:ilvl w:val="8"/>
        <w:numId w:val="112"/>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List Bullet2"/>
    <w:basedOn w:val="Normal"/>
    <w:link w:val="ListParagraphChar"/>
    <w:uiPriority w:val="34"/>
    <w:qFormat/>
    <w:rsid w:val="004B55F6"/>
    <w:pPr>
      <w:ind w:left="720"/>
      <w:contextualSpacing/>
    </w:pPr>
  </w:style>
  <w:style w:type="paragraph" w:styleId="BalloonText">
    <w:name w:val="Balloon Text"/>
    <w:basedOn w:val="Normal"/>
    <w:link w:val="BalloonTextChar"/>
    <w:uiPriority w:val="99"/>
    <w:semiHidden/>
    <w:unhideWhenUsed/>
    <w:rsid w:val="00F7651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76510"/>
    <w:rPr>
      <w:rFonts w:ascii="Tahoma" w:hAnsi="Tahoma" w:cs="Tahoma"/>
      <w:sz w:val="16"/>
      <w:szCs w:val="16"/>
    </w:rPr>
  </w:style>
  <w:style w:type="paragraph" w:styleId="FootnoteText">
    <w:name w:val="footnote text"/>
    <w:basedOn w:val="Normal"/>
    <w:link w:val="FootnoteTextChar"/>
    <w:uiPriority w:val="99"/>
    <w:unhideWhenUsed/>
    <w:rsid w:val="006C358A"/>
    <w:pPr>
      <w:spacing w:after="0" w:line="240" w:lineRule="auto"/>
    </w:pPr>
    <w:rPr>
      <w:rFonts w:ascii="Arial" w:eastAsia="Times New Roman" w:hAnsi="Arial" w:cs="Times New Roman"/>
      <w:sz w:val="20"/>
      <w:szCs w:val="20"/>
    </w:rPr>
  </w:style>
  <w:style w:type="character" w:customStyle="1" w:styleId="FootnoteTextChar">
    <w:name w:val="Footnote Text Char"/>
    <w:basedOn w:val="DefaultParagraphFont"/>
    <w:link w:val="FootnoteText"/>
    <w:uiPriority w:val="99"/>
    <w:rsid w:val="006C358A"/>
    <w:rPr>
      <w:rFonts w:ascii="Arial" w:eastAsia="Times New Roman" w:hAnsi="Arial" w:cs="Times New Roman"/>
      <w:sz w:val="20"/>
      <w:szCs w:val="20"/>
    </w:rPr>
  </w:style>
  <w:style w:type="character" w:styleId="FootnoteReference">
    <w:name w:val="footnote reference"/>
    <w:basedOn w:val="DefaultParagraphFont"/>
    <w:uiPriority w:val="99"/>
    <w:unhideWhenUsed/>
    <w:rsid w:val="006C358A"/>
    <w:rPr>
      <w:vertAlign w:val="superscript"/>
    </w:rPr>
  </w:style>
  <w:style w:type="paragraph" w:styleId="NormalWeb">
    <w:name w:val="Normal (Web)"/>
    <w:basedOn w:val="Normal"/>
    <w:uiPriority w:val="99"/>
    <w:unhideWhenUsed/>
    <w:rsid w:val="006C358A"/>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6C358A"/>
    <w:rPr>
      <w:color w:val="0000FF" w:themeColor="hyperlink"/>
      <w:u w:val="single"/>
    </w:rPr>
  </w:style>
  <w:style w:type="table" w:customStyle="1" w:styleId="LightShading1">
    <w:name w:val="Light Shading1"/>
    <w:basedOn w:val="TableNormal"/>
    <w:uiPriority w:val="60"/>
    <w:rsid w:val="002C5964"/>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TableGrid">
    <w:name w:val="Table Grid"/>
    <w:basedOn w:val="TableNormal"/>
    <w:uiPriority w:val="59"/>
    <w:rsid w:val="002C596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basedOn w:val="DefaultParagraphFont"/>
    <w:link w:val="Heading2"/>
    <w:uiPriority w:val="9"/>
    <w:rsid w:val="009420D0"/>
    <w:rPr>
      <w:rFonts w:asciiTheme="majorHAnsi" w:eastAsiaTheme="majorEastAsia" w:hAnsiTheme="majorHAnsi" w:cstheme="majorBidi"/>
      <w:b/>
      <w:bCs/>
      <w:color w:val="4F81BD" w:themeColor="accent1"/>
      <w:sz w:val="26"/>
      <w:szCs w:val="26"/>
    </w:rPr>
  </w:style>
  <w:style w:type="character" w:customStyle="1" w:styleId="Heading1Char">
    <w:name w:val="Heading 1 Char"/>
    <w:basedOn w:val="DefaultParagraphFont"/>
    <w:link w:val="Heading1"/>
    <w:uiPriority w:val="9"/>
    <w:rsid w:val="00701B4C"/>
    <w:rPr>
      <w:rFonts w:asciiTheme="majorHAnsi" w:eastAsiaTheme="majorEastAsia" w:hAnsiTheme="majorHAnsi" w:cstheme="majorBidi"/>
      <w:b/>
      <w:bCs/>
      <w:color w:val="365F91" w:themeColor="accent1" w:themeShade="BF"/>
      <w:sz w:val="28"/>
      <w:szCs w:val="28"/>
    </w:rPr>
  </w:style>
  <w:style w:type="paragraph" w:customStyle="1" w:styleId="Default">
    <w:name w:val="Default"/>
    <w:rsid w:val="00CA78D3"/>
    <w:pPr>
      <w:autoSpaceDE w:val="0"/>
      <w:autoSpaceDN w:val="0"/>
      <w:adjustRightInd w:val="0"/>
      <w:spacing w:after="0" w:line="240" w:lineRule="auto"/>
    </w:pPr>
    <w:rPr>
      <w:rFonts w:ascii="Calibri" w:hAnsi="Calibri" w:cs="Calibri"/>
      <w:color w:val="000000"/>
      <w:sz w:val="24"/>
      <w:szCs w:val="24"/>
    </w:rPr>
  </w:style>
  <w:style w:type="character" w:customStyle="1" w:styleId="Heading3Char">
    <w:name w:val="Heading 3 Char"/>
    <w:basedOn w:val="DefaultParagraphFont"/>
    <w:link w:val="Heading3"/>
    <w:uiPriority w:val="9"/>
    <w:rsid w:val="004A66BD"/>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533D2A"/>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6A33E2"/>
    <w:rPr>
      <w:rFonts w:asciiTheme="majorHAnsi" w:eastAsiaTheme="majorEastAsia" w:hAnsiTheme="majorHAnsi" w:cstheme="majorBidi"/>
      <w:b/>
      <w:i/>
      <w:color w:val="4F81BD" w:themeColor="accent1"/>
    </w:rPr>
  </w:style>
  <w:style w:type="character" w:customStyle="1" w:styleId="Heading6Char">
    <w:name w:val="Heading 6 Char"/>
    <w:basedOn w:val="DefaultParagraphFont"/>
    <w:link w:val="Heading6"/>
    <w:uiPriority w:val="9"/>
    <w:semiHidden/>
    <w:rsid w:val="00533D2A"/>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533D2A"/>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533D2A"/>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533D2A"/>
    <w:rPr>
      <w:rFonts w:asciiTheme="majorHAnsi" w:eastAsiaTheme="majorEastAsia" w:hAnsiTheme="majorHAnsi" w:cstheme="majorBidi"/>
      <w:i/>
      <w:iCs/>
      <w:color w:val="404040" w:themeColor="text1" w:themeTint="BF"/>
      <w:sz w:val="20"/>
      <w:szCs w:val="20"/>
    </w:rPr>
  </w:style>
  <w:style w:type="character" w:customStyle="1" w:styleId="apple-converted-space">
    <w:name w:val="apple-converted-space"/>
    <w:basedOn w:val="DefaultParagraphFont"/>
    <w:rsid w:val="00E5179B"/>
  </w:style>
  <w:style w:type="character" w:customStyle="1" w:styleId="tgc">
    <w:name w:val="_tgc"/>
    <w:basedOn w:val="DefaultParagraphFont"/>
    <w:rsid w:val="004549FF"/>
  </w:style>
  <w:style w:type="character" w:styleId="Strong">
    <w:name w:val="Strong"/>
    <w:basedOn w:val="DefaultParagraphFont"/>
    <w:uiPriority w:val="22"/>
    <w:qFormat/>
    <w:rsid w:val="00553CB8"/>
    <w:rPr>
      <w:b/>
      <w:bCs/>
    </w:rPr>
  </w:style>
  <w:style w:type="paragraph" w:styleId="Header">
    <w:name w:val="header"/>
    <w:basedOn w:val="Normal"/>
    <w:link w:val="HeaderChar"/>
    <w:uiPriority w:val="99"/>
    <w:unhideWhenUsed/>
    <w:rsid w:val="009F0C63"/>
    <w:pPr>
      <w:tabs>
        <w:tab w:val="center" w:pos="4513"/>
        <w:tab w:val="right" w:pos="9026"/>
      </w:tabs>
      <w:spacing w:after="0" w:line="240" w:lineRule="auto"/>
    </w:pPr>
  </w:style>
  <w:style w:type="character" w:customStyle="1" w:styleId="HeaderChar">
    <w:name w:val="Header Char"/>
    <w:basedOn w:val="DefaultParagraphFont"/>
    <w:link w:val="Header"/>
    <w:uiPriority w:val="99"/>
    <w:rsid w:val="009F0C63"/>
  </w:style>
  <w:style w:type="paragraph" w:styleId="Footer">
    <w:name w:val="footer"/>
    <w:basedOn w:val="Normal"/>
    <w:link w:val="FooterChar"/>
    <w:uiPriority w:val="99"/>
    <w:unhideWhenUsed/>
    <w:rsid w:val="009F0C63"/>
    <w:pPr>
      <w:tabs>
        <w:tab w:val="center" w:pos="4513"/>
        <w:tab w:val="right" w:pos="9026"/>
      </w:tabs>
      <w:spacing w:after="0" w:line="240" w:lineRule="auto"/>
    </w:pPr>
  </w:style>
  <w:style w:type="character" w:customStyle="1" w:styleId="FooterChar">
    <w:name w:val="Footer Char"/>
    <w:basedOn w:val="DefaultParagraphFont"/>
    <w:link w:val="Footer"/>
    <w:uiPriority w:val="99"/>
    <w:rsid w:val="009F0C63"/>
  </w:style>
  <w:style w:type="character" w:styleId="CommentReference">
    <w:name w:val="annotation reference"/>
    <w:basedOn w:val="DefaultParagraphFont"/>
    <w:uiPriority w:val="99"/>
    <w:semiHidden/>
    <w:unhideWhenUsed/>
    <w:rsid w:val="00F514E9"/>
    <w:rPr>
      <w:sz w:val="16"/>
      <w:szCs w:val="16"/>
    </w:rPr>
  </w:style>
  <w:style w:type="paragraph" w:styleId="CommentText">
    <w:name w:val="annotation text"/>
    <w:basedOn w:val="Normal"/>
    <w:link w:val="CommentTextChar"/>
    <w:uiPriority w:val="99"/>
    <w:unhideWhenUsed/>
    <w:rsid w:val="00F514E9"/>
    <w:pPr>
      <w:spacing w:line="240" w:lineRule="auto"/>
    </w:pPr>
    <w:rPr>
      <w:sz w:val="20"/>
      <w:szCs w:val="20"/>
    </w:rPr>
  </w:style>
  <w:style w:type="character" w:customStyle="1" w:styleId="CommentTextChar">
    <w:name w:val="Comment Text Char"/>
    <w:basedOn w:val="DefaultParagraphFont"/>
    <w:link w:val="CommentText"/>
    <w:uiPriority w:val="99"/>
    <w:rsid w:val="00F514E9"/>
    <w:rPr>
      <w:sz w:val="20"/>
      <w:szCs w:val="20"/>
    </w:rPr>
  </w:style>
  <w:style w:type="paragraph" w:styleId="CommentSubject">
    <w:name w:val="annotation subject"/>
    <w:basedOn w:val="CommentText"/>
    <w:next w:val="CommentText"/>
    <w:link w:val="CommentSubjectChar"/>
    <w:uiPriority w:val="99"/>
    <w:semiHidden/>
    <w:unhideWhenUsed/>
    <w:rsid w:val="00F514E9"/>
    <w:rPr>
      <w:b/>
      <w:bCs/>
    </w:rPr>
  </w:style>
  <w:style w:type="character" w:customStyle="1" w:styleId="CommentSubjectChar">
    <w:name w:val="Comment Subject Char"/>
    <w:basedOn w:val="CommentTextChar"/>
    <w:link w:val="CommentSubject"/>
    <w:uiPriority w:val="99"/>
    <w:semiHidden/>
    <w:rsid w:val="00F514E9"/>
    <w:rPr>
      <w:b/>
      <w:bCs/>
      <w:sz w:val="20"/>
      <w:szCs w:val="20"/>
    </w:rPr>
  </w:style>
  <w:style w:type="paragraph" w:styleId="EndnoteText">
    <w:name w:val="endnote text"/>
    <w:basedOn w:val="Normal"/>
    <w:link w:val="EndnoteTextChar"/>
    <w:uiPriority w:val="99"/>
    <w:semiHidden/>
    <w:unhideWhenUsed/>
    <w:rsid w:val="00B90E68"/>
    <w:pPr>
      <w:spacing w:after="0" w:line="240" w:lineRule="auto"/>
    </w:pPr>
    <w:rPr>
      <w:sz w:val="20"/>
      <w:szCs w:val="20"/>
    </w:rPr>
  </w:style>
  <w:style w:type="character" w:customStyle="1" w:styleId="EndnoteTextChar">
    <w:name w:val="Endnote Text Char"/>
    <w:basedOn w:val="DefaultParagraphFont"/>
    <w:link w:val="EndnoteText"/>
    <w:uiPriority w:val="99"/>
    <w:semiHidden/>
    <w:rsid w:val="00B90E68"/>
    <w:rPr>
      <w:sz w:val="20"/>
      <w:szCs w:val="20"/>
    </w:rPr>
  </w:style>
  <w:style w:type="character" w:styleId="EndnoteReference">
    <w:name w:val="endnote reference"/>
    <w:basedOn w:val="DefaultParagraphFont"/>
    <w:uiPriority w:val="99"/>
    <w:semiHidden/>
    <w:unhideWhenUsed/>
    <w:rsid w:val="00B90E68"/>
    <w:rPr>
      <w:vertAlign w:val="superscript"/>
    </w:rPr>
  </w:style>
  <w:style w:type="character" w:styleId="FollowedHyperlink">
    <w:name w:val="FollowedHyperlink"/>
    <w:basedOn w:val="DefaultParagraphFont"/>
    <w:uiPriority w:val="99"/>
    <w:semiHidden/>
    <w:unhideWhenUsed/>
    <w:rsid w:val="00B90E68"/>
    <w:rPr>
      <w:color w:val="800080" w:themeColor="followedHyperlink"/>
      <w:u w:val="single"/>
    </w:rPr>
  </w:style>
  <w:style w:type="paragraph" w:styleId="NoSpacing">
    <w:name w:val="No Spacing"/>
    <w:link w:val="NoSpacingChar"/>
    <w:uiPriority w:val="1"/>
    <w:qFormat/>
    <w:rsid w:val="00B90E68"/>
    <w:pPr>
      <w:spacing w:after="0" w:line="240" w:lineRule="auto"/>
    </w:pPr>
    <w:rPr>
      <w:rFonts w:cs="Arial"/>
      <w:sz w:val="24"/>
      <w:szCs w:val="24"/>
    </w:rPr>
  </w:style>
  <w:style w:type="character" w:customStyle="1" w:styleId="result-categories-label1">
    <w:name w:val="result-categories-label1"/>
    <w:rsid w:val="00667093"/>
    <w:rPr>
      <w:b/>
      <w:bCs/>
    </w:rPr>
  </w:style>
  <w:style w:type="character" w:customStyle="1" w:styleId="screenread1">
    <w:name w:val="screenread1"/>
    <w:rsid w:val="00667093"/>
    <w:rPr>
      <w:strike w:val="0"/>
      <w:dstrike w:val="0"/>
      <w:u w:val="none"/>
      <w:effect w:val="none"/>
    </w:rPr>
  </w:style>
  <w:style w:type="paragraph" w:styleId="Caption">
    <w:name w:val="caption"/>
    <w:basedOn w:val="Normal"/>
    <w:next w:val="Normal"/>
    <w:uiPriority w:val="35"/>
    <w:unhideWhenUsed/>
    <w:qFormat/>
    <w:rsid w:val="003900B4"/>
    <w:pPr>
      <w:spacing w:after="60" w:line="240" w:lineRule="auto"/>
      <w:jc w:val="both"/>
    </w:pPr>
    <w:rPr>
      <w:b/>
      <w:bCs/>
      <w:szCs w:val="18"/>
    </w:rPr>
  </w:style>
  <w:style w:type="paragraph" w:styleId="Bibliography">
    <w:name w:val="Bibliography"/>
    <w:basedOn w:val="Normal"/>
    <w:next w:val="Normal"/>
    <w:uiPriority w:val="37"/>
    <w:unhideWhenUsed/>
    <w:rsid w:val="00667093"/>
    <w:pPr>
      <w:jc w:val="both"/>
    </w:pPr>
  </w:style>
  <w:style w:type="table" w:styleId="MediumGrid1-Accent5">
    <w:name w:val="Medium Grid 1 Accent 5"/>
    <w:basedOn w:val="TableNormal"/>
    <w:uiPriority w:val="67"/>
    <w:rsid w:val="00667093"/>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Shading1-Accent1">
    <w:name w:val="Medium Shading 1 Accent 1"/>
    <w:basedOn w:val="TableNormal"/>
    <w:uiPriority w:val="63"/>
    <w:rsid w:val="00667093"/>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667093"/>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667093"/>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667093"/>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Grid1-Accent2">
    <w:name w:val="Medium Grid 1 Accent 2"/>
    <w:basedOn w:val="TableNormal"/>
    <w:uiPriority w:val="67"/>
    <w:rsid w:val="00667093"/>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paragraph" w:styleId="TOCHeading">
    <w:name w:val="TOC Heading"/>
    <w:basedOn w:val="Heading1"/>
    <w:next w:val="Normal"/>
    <w:uiPriority w:val="39"/>
    <w:semiHidden/>
    <w:unhideWhenUsed/>
    <w:qFormat/>
    <w:rsid w:val="00667093"/>
    <w:pPr>
      <w:numPr>
        <w:numId w:val="0"/>
      </w:numPr>
      <w:jc w:val="both"/>
      <w:outlineLvl w:val="9"/>
    </w:pPr>
    <w:rPr>
      <w:lang w:val="en-US" w:eastAsia="ja-JP"/>
    </w:rPr>
  </w:style>
  <w:style w:type="paragraph" w:styleId="TOC1">
    <w:name w:val="toc 1"/>
    <w:basedOn w:val="Normal"/>
    <w:next w:val="Normal"/>
    <w:autoRedefine/>
    <w:uiPriority w:val="39"/>
    <w:unhideWhenUsed/>
    <w:qFormat/>
    <w:rsid w:val="00667093"/>
    <w:pPr>
      <w:spacing w:before="120" w:after="120"/>
      <w:jc w:val="both"/>
    </w:pPr>
    <w:rPr>
      <w:b/>
      <w:bCs/>
      <w:caps/>
      <w:sz w:val="20"/>
      <w:szCs w:val="20"/>
    </w:rPr>
  </w:style>
  <w:style w:type="paragraph" w:styleId="TOC2">
    <w:name w:val="toc 2"/>
    <w:basedOn w:val="Normal"/>
    <w:next w:val="Normal"/>
    <w:autoRedefine/>
    <w:uiPriority w:val="39"/>
    <w:unhideWhenUsed/>
    <w:qFormat/>
    <w:rsid w:val="00667093"/>
    <w:pPr>
      <w:tabs>
        <w:tab w:val="left" w:pos="880"/>
        <w:tab w:val="right" w:leader="dot" w:pos="9016"/>
      </w:tabs>
      <w:spacing w:after="0" w:line="240" w:lineRule="auto"/>
      <w:ind w:left="221"/>
      <w:jc w:val="both"/>
    </w:pPr>
    <w:rPr>
      <w:smallCaps/>
      <w:sz w:val="20"/>
      <w:szCs w:val="20"/>
    </w:rPr>
  </w:style>
  <w:style w:type="paragraph" w:styleId="TOC3">
    <w:name w:val="toc 3"/>
    <w:basedOn w:val="Normal"/>
    <w:next w:val="Normal"/>
    <w:autoRedefine/>
    <w:uiPriority w:val="39"/>
    <w:unhideWhenUsed/>
    <w:qFormat/>
    <w:rsid w:val="00667093"/>
    <w:pPr>
      <w:spacing w:after="0"/>
      <w:ind w:left="440"/>
      <w:jc w:val="both"/>
    </w:pPr>
    <w:rPr>
      <w:i/>
      <w:iCs/>
      <w:sz w:val="20"/>
      <w:szCs w:val="20"/>
    </w:rPr>
  </w:style>
  <w:style w:type="paragraph" w:styleId="TOC4">
    <w:name w:val="toc 4"/>
    <w:basedOn w:val="Normal"/>
    <w:next w:val="Normal"/>
    <w:autoRedefine/>
    <w:uiPriority w:val="39"/>
    <w:unhideWhenUsed/>
    <w:rsid w:val="00667093"/>
    <w:pPr>
      <w:spacing w:after="0"/>
      <w:ind w:left="660"/>
      <w:jc w:val="both"/>
    </w:pPr>
    <w:rPr>
      <w:sz w:val="18"/>
      <w:szCs w:val="18"/>
    </w:rPr>
  </w:style>
  <w:style w:type="paragraph" w:styleId="TOC5">
    <w:name w:val="toc 5"/>
    <w:basedOn w:val="Normal"/>
    <w:next w:val="Normal"/>
    <w:autoRedefine/>
    <w:uiPriority w:val="39"/>
    <w:unhideWhenUsed/>
    <w:rsid w:val="00667093"/>
    <w:pPr>
      <w:spacing w:after="0"/>
      <w:ind w:left="880"/>
      <w:jc w:val="both"/>
    </w:pPr>
    <w:rPr>
      <w:sz w:val="18"/>
      <w:szCs w:val="18"/>
    </w:rPr>
  </w:style>
  <w:style w:type="paragraph" w:styleId="TOC6">
    <w:name w:val="toc 6"/>
    <w:basedOn w:val="Normal"/>
    <w:next w:val="Normal"/>
    <w:autoRedefine/>
    <w:uiPriority w:val="39"/>
    <w:unhideWhenUsed/>
    <w:rsid w:val="00667093"/>
    <w:pPr>
      <w:spacing w:after="0"/>
      <w:ind w:left="1100"/>
      <w:jc w:val="both"/>
    </w:pPr>
    <w:rPr>
      <w:sz w:val="18"/>
      <w:szCs w:val="18"/>
    </w:rPr>
  </w:style>
  <w:style w:type="paragraph" w:styleId="TOC7">
    <w:name w:val="toc 7"/>
    <w:basedOn w:val="Normal"/>
    <w:next w:val="Normal"/>
    <w:autoRedefine/>
    <w:uiPriority w:val="39"/>
    <w:unhideWhenUsed/>
    <w:rsid w:val="00667093"/>
    <w:pPr>
      <w:spacing w:after="0"/>
      <w:ind w:left="1320"/>
      <w:jc w:val="both"/>
    </w:pPr>
    <w:rPr>
      <w:sz w:val="18"/>
      <w:szCs w:val="18"/>
    </w:rPr>
  </w:style>
  <w:style w:type="paragraph" w:styleId="TOC8">
    <w:name w:val="toc 8"/>
    <w:basedOn w:val="Normal"/>
    <w:next w:val="Normal"/>
    <w:autoRedefine/>
    <w:uiPriority w:val="39"/>
    <w:unhideWhenUsed/>
    <w:rsid w:val="00667093"/>
    <w:pPr>
      <w:spacing w:after="0"/>
      <w:ind w:left="1540"/>
      <w:jc w:val="both"/>
    </w:pPr>
    <w:rPr>
      <w:sz w:val="18"/>
      <w:szCs w:val="18"/>
    </w:rPr>
  </w:style>
  <w:style w:type="paragraph" w:styleId="TOC9">
    <w:name w:val="toc 9"/>
    <w:basedOn w:val="Normal"/>
    <w:next w:val="Normal"/>
    <w:autoRedefine/>
    <w:uiPriority w:val="39"/>
    <w:unhideWhenUsed/>
    <w:rsid w:val="00667093"/>
    <w:pPr>
      <w:spacing w:after="0"/>
      <w:ind w:left="1760"/>
      <w:jc w:val="both"/>
    </w:pPr>
    <w:rPr>
      <w:sz w:val="18"/>
      <w:szCs w:val="18"/>
    </w:rPr>
  </w:style>
  <w:style w:type="paragraph" w:styleId="Title">
    <w:name w:val="Title"/>
    <w:basedOn w:val="Normal"/>
    <w:next w:val="Normal"/>
    <w:link w:val="TitleChar"/>
    <w:uiPriority w:val="10"/>
    <w:qFormat/>
    <w:rsid w:val="00667093"/>
    <w:pPr>
      <w:pBdr>
        <w:bottom w:val="single" w:sz="8" w:space="4" w:color="4F81BD" w:themeColor="accent1"/>
      </w:pBdr>
      <w:spacing w:after="300" w:line="240" w:lineRule="auto"/>
      <w:contextualSpacing/>
      <w:jc w:val="both"/>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667093"/>
    <w:rPr>
      <w:rFonts w:asciiTheme="majorHAnsi" w:eastAsiaTheme="majorEastAsia" w:hAnsiTheme="majorHAnsi" w:cstheme="majorBidi"/>
      <w:color w:val="17365D" w:themeColor="text2" w:themeShade="BF"/>
      <w:spacing w:val="5"/>
      <w:kern w:val="28"/>
      <w:sz w:val="52"/>
      <w:szCs w:val="52"/>
    </w:rPr>
  </w:style>
  <w:style w:type="table" w:styleId="LightShading-Accent2">
    <w:name w:val="Light Shading Accent 2"/>
    <w:basedOn w:val="TableNormal"/>
    <w:uiPriority w:val="60"/>
    <w:rsid w:val="00667093"/>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MediumShading2-Accent4">
    <w:name w:val="Medium Shading 2 Accent 4"/>
    <w:basedOn w:val="TableNormal"/>
    <w:uiPriority w:val="64"/>
    <w:rsid w:val="00667093"/>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667093"/>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2-Accent4">
    <w:name w:val="Medium List 2 Accent 4"/>
    <w:basedOn w:val="TableNormal"/>
    <w:uiPriority w:val="66"/>
    <w:rsid w:val="00667093"/>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Accent4">
    <w:name w:val="Medium Grid 1 Accent 4"/>
    <w:basedOn w:val="TableNormal"/>
    <w:uiPriority w:val="67"/>
    <w:rsid w:val="00667093"/>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Shading2-Accent3">
    <w:name w:val="Medium Shading 2 Accent 3"/>
    <w:basedOn w:val="TableNormal"/>
    <w:uiPriority w:val="64"/>
    <w:rsid w:val="00667093"/>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DarkList-Accent4">
    <w:name w:val="Dark List Accent 4"/>
    <w:basedOn w:val="TableNormal"/>
    <w:uiPriority w:val="70"/>
    <w:rsid w:val="00667093"/>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character" w:customStyle="1" w:styleId="A6">
    <w:name w:val="A6"/>
    <w:basedOn w:val="DefaultParagraphFont"/>
    <w:uiPriority w:val="99"/>
    <w:rsid w:val="00667093"/>
    <w:rPr>
      <w:rFonts w:ascii="Helvetica 45 Light" w:hAnsi="Helvetica 45 Light" w:hint="default"/>
      <w:color w:val="000000"/>
    </w:rPr>
  </w:style>
  <w:style w:type="character" w:customStyle="1" w:styleId="CommentSubjectChar1">
    <w:name w:val="Comment Subject Char1"/>
    <w:basedOn w:val="CommentTextChar"/>
    <w:uiPriority w:val="99"/>
    <w:semiHidden/>
    <w:rsid w:val="00667093"/>
    <w:rPr>
      <w:rFonts w:ascii="Calibri" w:hAnsi="Calibri" w:cs="Times New Roman"/>
      <w:b/>
      <w:bCs/>
      <w:sz w:val="20"/>
      <w:szCs w:val="20"/>
    </w:rPr>
  </w:style>
  <w:style w:type="paragraph" w:customStyle="1" w:styleId="JSNAHeading1">
    <w:name w:val="JSNA Heading 1"/>
    <w:basedOn w:val="Heading1"/>
    <w:link w:val="JSNAHeading1Char"/>
    <w:rsid w:val="007E799F"/>
    <w:pPr>
      <w:keepNext w:val="0"/>
      <w:keepLines w:val="0"/>
      <w:numPr>
        <w:numId w:val="0"/>
      </w:numPr>
      <w:contextualSpacing/>
    </w:pPr>
  </w:style>
  <w:style w:type="paragraph" w:customStyle="1" w:styleId="JSNAHeading2">
    <w:name w:val="JSNA Heading 2"/>
    <w:basedOn w:val="Heading2"/>
    <w:link w:val="JSNAHeading2Char"/>
    <w:qFormat/>
    <w:rsid w:val="007E799F"/>
    <w:pPr>
      <w:keepNext w:val="0"/>
      <w:keepLines w:val="0"/>
      <w:numPr>
        <w:ilvl w:val="0"/>
        <w:numId w:val="0"/>
      </w:numPr>
    </w:pPr>
  </w:style>
  <w:style w:type="character" w:customStyle="1" w:styleId="JSNAHeading1Char">
    <w:name w:val="JSNA Heading 1 Char"/>
    <w:basedOn w:val="Heading1Char"/>
    <w:link w:val="JSNAHeading1"/>
    <w:rsid w:val="007E799F"/>
    <w:rPr>
      <w:rFonts w:asciiTheme="majorHAnsi" w:eastAsiaTheme="majorEastAsia" w:hAnsiTheme="majorHAnsi" w:cstheme="majorBidi"/>
      <w:b/>
      <w:bCs/>
      <w:color w:val="365F91" w:themeColor="accent1" w:themeShade="BF"/>
      <w:sz w:val="28"/>
      <w:szCs w:val="28"/>
    </w:rPr>
  </w:style>
  <w:style w:type="paragraph" w:customStyle="1" w:styleId="JSNAHeading3">
    <w:name w:val="JSNA Heading 3"/>
    <w:basedOn w:val="Heading3"/>
    <w:link w:val="JSNAHeading3Char"/>
    <w:qFormat/>
    <w:rsid w:val="007E799F"/>
    <w:pPr>
      <w:keepNext w:val="0"/>
      <w:keepLines w:val="0"/>
      <w:numPr>
        <w:ilvl w:val="0"/>
        <w:numId w:val="0"/>
      </w:numPr>
      <w:spacing w:line="271" w:lineRule="auto"/>
    </w:pPr>
  </w:style>
  <w:style w:type="character" w:customStyle="1" w:styleId="JSNAHeading2Char">
    <w:name w:val="JSNA Heading 2 Char"/>
    <w:basedOn w:val="Heading2Char"/>
    <w:link w:val="JSNAHeading2"/>
    <w:rsid w:val="007E799F"/>
    <w:rPr>
      <w:rFonts w:asciiTheme="majorHAnsi" w:eastAsiaTheme="majorEastAsia" w:hAnsiTheme="majorHAnsi" w:cstheme="majorBidi"/>
      <w:b/>
      <w:bCs/>
      <w:color w:val="4F81BD" w:themeColor="accent1"/>
      <w:sz w:val="26"/>
      <w:szCs w:val="26"/>
    </w:rPr>
  </w:style>
  <w:style w:type="character" w:customStyle="1" w:styleId="JSNAHeading3Char">
    <w:name w:val="JSNA Heading 3 Char"/>
    <w:basedOn w:val="Heading3Char"/>
    <w:link w:val="JSNAHeading3"/>
    <w:rsid w:val="007E799F"/>
    <w:rPr>
      <w:rFonts w:asciiTheme="majorHAnsi" w:eastAsiaTheme="majorEastAsia" w:hAnsiTheme="majorHAnsi" w:cstheme="majorBidi"/>
      <w:b/>
      <w:bCs/>
      <w:color w:val="4F81BD" w:themeColor="accent1"/>
    </w:rPr>
  </w:style>
  <w:style w:type="paragraph" w:customStyle="1" w:styleId="AppendixSectionHeading">
    <w:name w:val="AppendixSectionHeading"/>
    <w:basedOn w:val="Normal"/>
    <w:link w:val="AppendixSectionHeadingChar"/>
    <w:rsid w:val="007E799F"/>
    <w:pPr>
      <w:spacing w:after="160" w:line="259" w:lineRule="auto"/>
    </w:pPr>
    <w:rPr>
      <w:rFonts w:ascii="Calibri" w:eastAsia="MS Mincho" w:hAnsi="Calibri" w:cs="Times New Roman"/>
      <w:color w:val="808080"/>
      <w:sz w:val="52"/>
      <w:szCs w:val="52"/>
    </w:rPr>
  </w:style>
  <w:style w:type="character" w:customStyle="1" w:styleId="AppendixSectionHeadingChar">
    <w:name w:val="AppendixSectionHeading Char"/>
    <w:link w:val="AppendixSectionHeading"/>
    <w:locked/>
    <w:rsid w:val="007E799F"/>
    <w:rPr>
      <w:rFonts w:ascii="Calibri" w:eastAsia="MS Mincho" w:hAnsi="Calibri" w:cs="Times New Roman"/>
      <w:color w:val="808080"/>
      <w:sz w:val="52"/>
      <w:szCs w:val="52"/>
    </w:rPr>
  </w:style>
  <w:style w:type="character" w:customStyle="1" w:styleId="ListParagraphChar">
    <w:name w:val="List Paragraph Char"/>
    <w:aliases w:val="List Bullet2 Char"/>
    <w:link w:val="ListParagraph"/>
    <w:uiPriority w:val="34"/>
    <w:locked/>
    <w:rsid w:val="00502967"/>
  </w:style>
  <w:style w:type="table" w:styleId="MediumGrid3-Accent3">
    <w:name w:val="Medium Grid 3 Accent 3"/>
    <w:basedOn w:val="TableNormal"/>
    <w:uiPriority w:val="69"/>
    <w:rsid w:val="00A334DB"/>
    <w:pPr>
      <w:spacing w:after="0" w:line="240" w:lineRule="auto"/>
    </w:pPr>
    <w:rPr>
      <w:rFonts w:ascii="Cambria" w:eastAsia="MS Mincho" w:hAnsi="Cambria" w:cs="Times New Roman"/>
      <w:sz w:val="20"/>
      <w:szCs w:val="20"/>
      <w:lang w:val="en-US"/>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LightList-Accent1">
    <w:name w:val="Light List Accent 1"/>
    <w:basedOn w:val="TableNormal"/>
    <w:uiPriority w:val="61"/>
    <w:rsid w:val="00E10745"/>
    <w:pPr>
      <w:spacing w:after="0" w:line="240" w:lineRule="auto"/>
    </w:pPr>
    <w:rPr>
      <w:rFonts w:eastAsiaTheme="minorEastAsia"/>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Grid">
    <w:name w:val="Light Grid"/>
    <w:basedOn w:val="TableNormal"/>
    <w:uiPriority w:val="62"/>
    <w:rsid w:val="00E10745"/>
    <w:pPr>
      <w:spacing w:after="0" w:line="240" w:lineRule="auto"/>
    </w:pPr>
    <w:rPr>
      <w:rFonts w:eastAsiaTheme="minorEastAsia"/>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MediumShading1-Accent5">
    <w:name w:val="Medium Shading 1 Accent 5"/>
    <w:basedOn w:val="TableNormal"/>
    <w:uiPriority w:val="63"/>
    <w:rsid w:val="00E10745"/>
    <w:pPr>
      <w:spacing w:after="0" w:line="240" w:lineRule="auto"/>
    </w:pPr>
    <w:rPr>
      <w:rFonts w:eastAsiaTheme="minorEastAsia"/>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ColorfulList">
    <w:name w:val="Colorful List"/>
    <w:basedOn w:val="TableNormal"/>
    <w:uiPriority w:val="72"/>
    <w:rsid w:val="00E10745"/>
    <w:pPr>
      <w:spacing w:after="0" w:line="240" w:lineRule="auto"/>
    </w:pPr>
    <w:rPr>
      <w:rFonts w:eastAsiaTheme="minorEastAsia"/>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LightList">
    <w:name w:val="Light List"/>
    <w:basedOn w:val="TableNormal"/>
    <w:uiPriority w:val="61"/>
    <w:rsid w:val="00E10745"/>
    <w:pPr>
      <w:spacing w:after="0" w:line="240" w:lineRule="auto"/>
    </w:pPr>
    <w:rPr>
      <w:rFonts w:eastAsiaTheme="minorEastAsia"/>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BodyheaderBase">
    <w:name w:val="Body header (Base)"/>
    <w:basedOn w:val="Normal"/>
    <w:rsid w:val="00E10745"/>
    <w:pPr>
      <w:numPr>
        <w:ilvl w:val="1"/>
        <w:numId w:val="89"/>
      </w:numPr>
      <w:spacing w:before="50" w:after="40" w:line="288" w:lineRule="auto"/>
    </w:pPr>
    <w:rPr>
      <w:rFonts w:ascii="Arial" w:eastAsia="MS Mincho" w:hAnsi="Arial" w:cs="Arial"/>
      <w:b/>
      <w:color w:val="009C9A"/>
      <w:sz w:val="26"/>
      <w:szCs w:val="26"/>
      <w:lang w:val="en-US"/>
    </w:rPr>
  </w:style>
  <w:style w:type="paragraph" w:customStyle="1" w:styleId="ChapterheaderBase">
    <w:name w:val="Chapter header (Base)"/>
    <w:rsid w:val="00E10745"/>
    <w:pPr>
      <w:numPr>
        <w:numId w:val="89"/>
      </w:numPr>
      <w:spacing w:before="180" w:after="90" w:line="240" w:lineRule="auto"/>
    </w:pPr>
    <w:rPr>
      <w:rFonts w:ascii="Georgia" w:eastAsia="MS Mincho" w:hAnsi="Georgia" w:cs="CenturySchoolbook"/>
      <w:b/>
      <w:bCs/>
      <w:color w:val="00988E"/>
      <w:spacing w:val="-30"/>
      <w:sz w:val="40"/>
      <w:szCs w:val="48"/>
      <w:lang w:eastAsia="ja-JP"/>
    </w:rPr>
  </w:style>
  <w:style w:type="paragraph" w:customStyle="1" w:styleId="BodyheadersubBase">
    <w:name w:val="Body header sub (Base)"/>
    <w:basedOn w:val="BodyheaderBase"/>
    <w:rsid w:val="00E10745"/>
    <w:pPr>
      <w:numPr>
        <w:ilvl w:val="2"/>
      </w:numPr>
    </w:pPr>
    <w:rPr>
      <w:color w:val="3A3D41"/>
      <w:sz w:val="24"/>
    </w:rPr>
  </w:style>
  <w:style w:type="table" w:styleId="LightList-Accent3">
    <w:name w:val="Light List Accent 3"/>
    <w:basedOn w:val="TableNormal"/>
    <w:uiPriority w:val="61"/>
    <w:rsid w:val="00E10745"/>
    <w:pPr>
      <w:spacing w:after="0" w:line="240" w:lineRule="auto"/>
    </w:pPr>
    <w:rPr>
      <w:rFonts w:eastAsiaTheme="minorEastAsia"/>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character" w:customStyle="1" w:styleId="st1">
    <w:name w:val="st1"/>
    <w:basedOn w:val="DefaultParagraphFont"/>
    <w:rsid w:val="00E10745"/>
  </w:style>
  <w:style w:type="paragraph" w:customStyle="1" w:styleId="Body">
    <w:name w:val="Body"/>
    <w:rsid w:val="00E10745"/>
    <w:pPr>
      <w:spacing w:before="80" w:after="80" w:line="288" w:lineRule="auto"/>
    </w:pPr>
    <w:rPr>
      <w:rFonts w:ascii="Arial" w:eastAsia="MS Mincho" w:hAnsi="Arial" w:cs="Arial"/>
      <w:color w:val="000000"/>
      <w:lang w:val="en-US"/>
    </w:rPr>
  </w:style>
  <w:style w:type="character" w:customStyle="1" w:styleId="Note">
    <w:name w:val="Note"/>
    <w:basedOn w:val="DefaultParagraphFont"/>
    <w:uiPriority w:val="1"/>
    <w:rsid w:val="00E10745"/>
    <w:rPr>
      <w:i w:val="0"/>
      <w:iCs/>
      <w:sz w:val="18"/>
      <w:szCs w:val="18"/>
      <w:lang w:val="en-GB"/>
    </w:rPr>
  </w:style>
  <w:style w:type="paragraph" w:customStyle="1" w:styleId="Bodybullets">
    <w:name w:val="Body bullets"/>
    <w:basedOn w:val="Body"/>
    <w:rsid w:val="00E10745"/>
    <w:pPr>
      <w:numPr>
        <w:numId w:val="91"/>
      </w:numPr>
    </w:pPr>
  </w:style>
  <w:style w:type="character" w:styleId="Emphasis">
    <w:name w:val="Emphasis"/>
    <w:uiPriority w:val="20"/>
    <w:qFormat/>
    <w:rsid w:val="00E10745"/>
    <w:rPr>
      <w:b/>
      <w:bCs/>
      <w:i/>
      <w:iCs/>
      <w:spacing w:val="10"/>
      <w:bdr w:val="none" w:sz="0" w:space="0" w:color="auto"/>
      <w:shd w:val="clear" w:color="auto" w:fill="auto"/>
    </w:rPr>
  </w:style>
  <w:style w:type="table" w:styleId="LightList-Accent5">
    <w:name w:val="Light List Accent 5"/>
    <w:basedOn w:val="TableNormal"/>
    <w:uiPriority w:val="61"/>
    <w:rsid w:val="00E10745"/>
    <w:pPr>
      <w:spacing w:after="0" w:line="240" w:lineRule="auto"/>
      <w:jc w:val="both"/>
    </w:pPr>
    <w:rPr>
      <w:rFonts w:eastAsiaTheme="minorEastAsia"/>
      <w:sz w:val="20"/>
      <w:szCs w:val="20"/>
      <w:lang w:eastAsia="en-GB"/>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MediumGrid3-Accent5">
    <w:name w:val="Medium Grid 3 Accent 5"/>
    <w:basedOn w:val="TableNormal"/>
    <w:uiPriority w:val="69"/>
    <w:rsid w:val="00E10745"/>
    <w:pPr>
      <w:spacing w:after="0" w:line="240" w:lineRule="auto"/>
      <w:jc w:val="both"/>
    </w:pPr>
    <w:rPr>
      <w:rFonts w:eastAsiaTheme="minorEastAsia"/>
      <w:sz w:val="20"/>
      <w:szCs w:val="20"/>
      <w:lang w:eastAsia="en-GB"/>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paragraph" w:styleId="Subtitle">
    <w:name w:val="Subtitle"/>
    <w:basedOn w:val="Normal"/>
    <w:next w:val="Normal"/>
    <w:link w:val="SubtitleChar"/>
    <w:uiPriority w:val="11"/>
    <w:qFormat/>
    <w:rsid w:val="00E1074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E10745"/>
    <w:rPr>
      <w:rFonts w:asciiTheme="majorHAnsi" w:eastAsiaTheme="majorEastAsia" w:hAnsiTheme="majorHAnsi" w:cstheme="majorBidi"/>
      <w:i/>
      <w:iCs/>
      <w:spacing w:val="13"/>
      <w:sz w:val="24"/>
      <w:szCs w:val="24"/>
    </w:rPr>
  </w:style>
  <w:style w:type="paragraph" w:styleId="Quote">
    <w:name w:val="Quote"/>
    <w:basedOn w:val="Normal"/>
    <w:next w:val="Normal"/>
    <w:link w:val="QuoteChar"/>
    <w:uiPriority w:val="29"/>
    <w:qFormat/>
    <w:rsid w:val="00E10745"/>
    <w:pPr>
      <w:spacing w:before="200" w:after="0"/>
      <w:ind w:left="360" w:right="360"/>
    </w:pPr>
    <w:rPr>
      <w:rFonts w:eastAsiaTheme="minorEastAsia"/>
      <w:i/>
      <w:iCs/>
    </w:rPr>
  </w:style>
  <w:style w:type="character" w:customStyle="1" w:styleId="QuoteChar">
    <w:name w:val="Quote Char"/>
    <w:basedOn w:val="DefaultParagraphFont"/>
    <w:link w:val="Quote"/>
    <w:uiPriority w:val="29"/>
    <w:rsid w:val="00E10745"/>
    <w:rPr>
      <w:rFonts w:eastAsiaTheme="minorEastAsia"/>
      <w:i/>
      <w:iCs/>
    </w:rPr>
  </w:style>
  <w:style w:type="paragraph" w:styleId="IntenseQuote">
    <w:name w:val="Intense Quote"/>
    <w:basedOn w:val="Normal"/>
    <w:next w:val="Normal"/>
    <w:link w:val="IntenseQuoteChar"/>
    <w:uiPriority w:val="30"/>
    <w:qFormat/>
    <w:rsid w:val="00E1074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E10745"/>
    <w:rPr>
      <w:rFonts w:eastAsiaTheme="minorEastAsia"/>
      <w:b/>
      <w:bCs/>
      <w:i/>
      <w:iCs/>
    </w:rPr>
  </w:style>
  <w:style w:type="character" w:styleId="SubtleEmphasis">
    <w:name w:val="Subtle Emphasis"/>
    <w:uiPriority w:val="19"/>
    <w:qFormat/>
    <w:rsid w:val="00E10745"/>
    <w:rPr>
      <w:i/>
      <w:iCs/>
    </w:rPr>
  </w:style>
  <w:style w:type="character" w:styleId="IntenseEmphasis">
    <w:name w:val="Intense Emphasis"/>
    <w:uiPriority w:val="21"/>
    <w:qFormat/>
    <w:rsid w:val="00E10745"/>
    <w:rPr>
      <w:b/>
      <w:bCs/>
    </w:rPr>
  </w:style>
  <w:style w:type="character" w:styleId="SubtleReference">
    <w:name w:val="Subtle Reference"/>
    <w:uiPriority w:val="31"/>
    <w:qFormat/>
    <w:rsid w:val="00E10745"/>
    <w:rPr>
      <w:smallCaps/>
    </w:rPr>
  </w:style>
  <w:style w:type="character" w:styleId="IntenseReference">
    <w:name w:val="Intense Reference"/>
    <w:uiPriority w:val="32"/>
    <w:qFormat/>
    <w:rsid w:val="00E10745"/>
    <w:rPr>
      <w:smallCaps/>
      <w:spacing w:val="5"/>
      <w:u w:val="single"/>
    </w:rPr>
  </w:style>
  <w:style w:type="character" w:styleId="BookTitle">
    <w:name w:val="Book Title"/>
    <w:uiPriority w:val="33"/>
    <w:qFormat/>
    <w:rsid w:val="00E10745"/>
    <w:rPr>
      <w:i/>
      <w:iCs/>
      <w:smallCaps/>
      <w:spacing w:val="5"/>
    </w:rPr>
  </w:style>
  <w:style w:type="paragraph" w:styleId="Revision">
    <w:name w:val="Revision"/>
    <w:hidden/>
    <w:uiPriority w:val="99"/>
    <w:semiHidden/>
    <w:rsid w:val="00E10745"/>
    <w:pPr>
      <w:spacing w:after="0" w:line="240" w:lineRule="auto"/>
    </w:pPr>
    <w:rPr>
      <w:rFonts w:eastAsiaTheme="minorEastAsia"/>
    </w:rPr>
  </w:style>
  <w:style w:type="character" w:customStyle="1" w:styleId="NoSpacingChar">
    <w:name w:val="No Spacing Char"/>
    <w:basedOn w:val="DefaultParagraphFont"/>
    <w:link w:val="NoSpacing"/>
    <w:uiPriority w:val="1"/>
    <w:rsid w:val="0037150F"/>
    <w:rPr>
      <w:rFonts w:cs="Arial"/>
      <w:sz w:val="24"/>
      <w:szCs w:val="24"/>
    </w:rPr>
  </w:style>
  <w:style w:type="paragraph" w:styleId="TableofFigures">
    <w:name w:val="table of figures"/>
    <w:basedOn w:val="Normal"/>
    <w:next w:val="Normal"/>
    <w:uiPriority w:val="99"/>
    <w:unhideWhenUsed/>
    <w:rsid w:val="00B03C5A"/>
    <w:pPr>
      <w:spacing w:after="0"/>
    </w:pPr>
  </w:style>
  <w:style w:type="table" w:customStyle="1" w:styleId="TableGrid1">
    <w:name w:val="Table Grid1"/>
    <w:basedOn w:val="TableNormal"/>
    <w:next w:val="TableGrid"/>
    <w:uiPriority w:val="59"/>
    <w:rsid w:val="00F9212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277D0"/>
  </w:style>
  <w:style w:type="paragraph" w:styleId="Heading1">
    <w:name w:val="heading 1"/>
    <w:basedOn w:val="Normal"/>
    <w:next w:val="Normal"/>
    <w:link w:val="Heading1Char"/>
    <w:uiPriority w:val="9"/>
    <w:qFormat/>
    <w:rsid w:val="00701B4C"/>
    <w:pPr>
      <w:keepNext/>
      <w:keepLines/>
      <w:numPr>
        <w:numId w:val="112"/>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9420D0"/>
    <w:pPr>
      <w:keepNext/>
      <w:keepLines/>
      <w:numPr>
        <w:ilvl w:val="1"/>
        <w:numId w:val="112"/>
      </w:numPr>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4A66BD"/>
    <w:pPr>
      <w:keepNext/>
      <w:keepLines/>
      <w:numPr>
        <w:ilvl w:val="2"/>
        <w:numId w:val="112"/>
      </w:numPr>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533D2A"/>
    <w:pPr>
      <w:keepNext/>
      <w:keepLines/>
      <w:numPr>
        <w:ilvl w:val="3"/>
        <w:numId w:val="112"/>
      </w:numPr>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6A33E2"/>
    <w:pPr>
      <w:keepNext/>
      <w:keepLines/>
      <w:numPr>
        <w:ilvl w:val="4"/>
        <w:numId w:val="112"/>
      </w:numPr>
      <w:spacing w:before="200" w:after="0"/>
      <w:outlineLvl w:val="4"/>
    </w:pPr>
    <w:rPr>
      <w:rFonts w:asciiTheme="majorHAnsi" w:eastAsiaTheme="majorEastAsia" w:hAnsiTheme="majorHAnsi" w:cstheme="majorBidi"/>
      <w:b/>
      <w:i/>
      <w:color w:val="4F81BD" w:themeColor="accent1"/>
    </w:rPr>
  </w:style>
  <w:style w:type="paragraph" w:styleId="Heading6">
    <w:name w:val="heading 6"/>
    <w:basedOn w:val="Normal"/>
    <w:next w:val="Normal"/>
    <w:link w:val="Heading6Char"/>
    <w:uiPriority w:val="9"/>
    <w:semiHidden/>
    <w:unhideWhenUsed/>
    <w:qFormat/>
    <w:rsid w:val="00533D2A"/>
    <w:pPr>
      <w:keepNext/>
      <w:keepLines/>
      <w:numPr>
        <w:ilvl w:val="5"/>
        <w:numId w:val="112"/>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533D2A"/>
    <w:pPr>
      <w:keepNext/>
      <w:keepLines/>
      <w:numPr>
        <w:ilvl w:val="6"/>
        <w:numId w:val="112"/>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533D2A"/>
    <w:pPr>
      <w:keepNext/>
      <w:keepLines/>
      <w:numPr>
        <w:ilvl w:val="7"/>
        <w:numId w:val="112"/>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533D2A"/>
    <w:pPr>
      <w:keepNext/>
      <w:keepLines/>
      <w:numPr>
        <w:ilvl w:val="8"/>
        <w:numId w:val="112"/>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List Bullet2"/>
    <w:basedOn w:val="Normal"/>
    <w:link w:val="ListParagraphChar"/>
    <w:uiPriority w:val="34"/>
    <w:qFormat/>
    <w:rsid w:val="004B55F6"/>
    <w:pPr>
      <w:ind w:left="720"/>
      <w:contextualSpacing/>
    </w:pPr>
  </w:style>
  <w:style w:type="paragraph" w:styleId="BalloonText">
    <w:name w:val="Balloon Text"/>
    <w:basedOn w:val="Normal"/>
    <w:link w:val="BalloonTextChar"/>
    <w:uiPriority w:val="99"/>
    <w:semiHidden/>
    <w:unhideWhenUsed/>
    <w:rsid w:val="00F7651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76510"/>
    <w:rPr>
      <w:rFonts w:ascii="Tahoma" w:hAnsi="Tahoma" w:cs="Tahoma"/>
      <w:sz w:val="16"/>
      <w:szCs w:val="16"/>
    </w:rPr>
  </w:style>
  <w:style w:type="paragraph" w:styleId="FootnoteText">
    <w:name w:val="footnote text"/>
    <w:basedOn w:val="Normal"/>
    <w:link w:val="FootnoteTextChar"/>
    <w:uiPriority w:val="99"/>
    <w:unhideWhenUsed/>
    <w:rsid w:val="006C358A"/>
    <w:pPr>
      <w:spacing w:after="0" w:line="240" w:lineRule="auto"/>
    </w:pPr>
    <w:rPr>
      <w:rFonts w:ascii="Arial" w:eastAsia="Times New Roman" w:hAnsi="Arial" w:cs="Times New Roman"/>
      <w:sz w:val="20"/>
      <w:szCs w:val="20"/>
    </w:rPr>
  </w:style>
  <w:style w:type="character" w:customStyle="1" w:styleId="FootnoteTextChar">
    <w:name w:val="Footnote Text Char"/>
    <w:basedOn w:val="DefaultParagraphFont"/>
    <w:link w:val="FootnoteText"/>
    <w:uiPriority w:val="99"/>
    <w:rsid w:val="006C358A"/>
    <w:rPr>
      <w:rFonts w:ascii="Arial" w:eastAsia="Times New Roman" w:hAnsi="Arial" w:cs="Times New Roman"/>
      <w:sz w:val="20"/>
      <w:szCs w:val="20"/>
    </w:rPr>
  </w:style>
  <w:style w:type="character" w:styleId="FootnoteReference">
    <w:name w:val="footnote reference"/>
    <w:basedOn w:val="DefaultParagraphFont"/>
    <w:uiPriority w:val="99"/>
    <w:unhideWhenUsed/>
    <w:rsid w:val="006C358A"/>
    <w:rPr>
      <w:vertAlign w:val="superscript"/>
    </w:rPr>
  </w:style>
  <w:style w:type="paragraph" w:styleId="NormalWeb">
    <w:name w:val="Normal (Web)"/>
    <w:basedOn w:val="Normal"/>
    <w:uiPriority w:val="99"/>
    <w:unhideWhenUsed/>
    <w:rsid w:val="006C358A"/>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6C358A"/>
    <w:rPr>
      <w:color w:val="0000FF" w:themeColor="hyperlink"/>
      <w:u w:val="single"/>
    </w:rPr>
  </w:style>
  <w:style w:type="table" w:customStyle="1" w:styleId="LightShading1">
    <w:name w:val="Light Shading1"/>
    <w:basedOn w:val="TableNormal"/>
    <w:uiPriority w:val="60"/>
    <w:rsid w:val="002C5964"/>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TableGrid">
    <w:name w:val="Table Grid"/>
    <w:basedOn w:val="TableNormal"/>
    <w:uiPriority w:val="59"/>
    <w:rsid w:val="002C596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basedOn w:val="DefaultParagraphFont"/>
    <w:link w:val="Heading2"/>
    <w:uiPriority w:val="9"/>
    <w:rsid w:val="009420D0"/>
    <w:rPr>
      <w:rFonts w:asciiTheme="majorHAnsi" w:eastAsiaTheme="majorEastAsia" w:hAnsiTheme="majorHAnsi" w:cstheme="majorBidi"/>
      <w:b/>
      <w:bCs/>
      <w:color w:val="4F81BD" w:themeColor="accent1"/>
      <w:sz w:val="26"/>
      <w:szCs w:val="26"/>
    </w:rPr>
  </w:style>
  <w:style w:type="character" w:customStyle="1" w:styleId="Heading1Char">
    <w:name w:val="Heading 1 Char"/>
    <w:basedOn w:val="DefaultParagraphFont"/>
    <w:link w:val="Heading1"/>
    <w:uiPriority w:val="9"/>
    <w:rsid w:val="00701B4C"/>
    <w:rPr>
      <w:rFonts w:asciiTheme="majorHAnsi" w:eastAsiaTheme="majorEastAsia" w:hAnsiTheme="majorHAnsi" w:cstheme="majorBidi"/>
      <w:b/>
      <w:bCs/>
      <w:color w:val="365F91" w:themeColor="accent1" w:themeShade="BF"/>
      <w:sz w:val="28"/>
      <w:szCs w:val="28"/>
    </w:rPr>
  </w:style>
  <w:style w:type="paragraph" w:customStyle="1" w:styleId="Default">
    <w:name w:val="Default"/>
    <w:rsid w:val="00CA78D3"/>
    <w:pPr>
      <w:autoSpaceDE w:val="0"/>
      <w:autoSpaceDN w:val="0"/>
      <w:adjustRightInd w:val="0"/>
      <w:spacing w:after="0" w:line="240" w:lineRule="auto"/>
    </w:pPr>
    <w:rPr>
      <w:rFonts w:ascii="Calibri" w:hAnsi="Calibri" w:cs="Calibri"/>
      <w:color w:val="000000"/>
      <w:sz w:val="24"/>
      <w:szCs w:val="24"/>
    </w:rPr>
  </w:style>
  <w:style w:type="character" w:customStyle="1" w:styleId="Heading3Char">
    <w:name w:val="Heading 3 Char"/>
    <w:basedOn w:val="DefaultParagraphFont"/>
    <w:link w:val="Heading3"/>
    <w:uiPriority w:val="9"/>
    <w:rsid w:val="004A66BD"/>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533D2A"/>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6A33E2"/>
    <w:rPr>
      <w:rFonts w:asciiTheme="majorHAnsi" w:eastAsiaTheme="majorEastAsia" w:hAnsiTheme="majorHAnsi" w:cstheme="majorBidi"/>
      <w:b/>
      <w:i/>
      <w:color w:val="4F81BD" w:themeColor="accent1"/>
    </w:rPr>
  </w:style>
  <w:style w:type="character" w:customStyle="1" w:styleId="Heading6Char">
    <w:name w:val="Heading 6 Char"/>
    <w:basedOn w:val="DefaultParagraphFont"/>
    <w:link w:val="Heading6"/>
    <w:uiPriority w:val="9"/>
    <w:semiHidden/>
    <w:rsid w:val="00533D2A"/>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533D2A"/>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533D2A"/>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533D2A"/>
    <w:rPr>
      <w:rFonts w:asciiTheme="majorHAnsi" w:eastAsiaTheme="majorEastAsia" w:hAnsiTheme="majorHAnsi" w:cstheme="majorBidi"/>
      <w:i/>
      <w:iCs/>
      <w:color w:val="404040" w:themeColor="text1" w:themeTint="BF"/>
      <w:sz w:val="20"/>
      <w:szCs w:val="20"/>
    </w:rPr>
  </w:style>
  <w:style w:type="character" w:customStyle="1" w:styleId="apple-converted-space">
    <w:name w:val="apple-converted-space"/>
    <w:basedOn w:val="DefaultParagraphFont"/>
    <w:rsid w:val="00E5179B"/>
  </w:style>
  <w:style w:type="character" w:customStyle="1" w:styleId="tgc">
    <w:name w:val="_tgc"/>
    <w:basedOn w:val="DefaultParagraphFont"/>
    <w:rsid w:val="004549FF"/>
  </w:style>
  <w:style w:type="character" w:styleId="Strong">
    <w:name w:val="Strong"/>
    <w:basedOn w:val="DefaultParagraphFont"/>
    <w:uiPriority w:val="22"/>
    <w:qFormat/>
    <w:rsid w:val="00553CB8"/>
    <w:rPr>
      <w:b/>
      <w:bCs/>
    </w:rPr>
  </w:style>
  <w:style w:type="paragraph" w:styleId="Header">
    <w:name w:val="header"/>
    <w:basedOn w:val="Normal"/>
    <w:link w:val="HeaderChar"/>
    <w:uiPriority w:val="99"/>
    <w:unhideWhenUsed/>
    <w:rsid w:val="009F0C63"/>
    <w:pPr>
      <w:tabs>
        <w:tab w:val="center" w:pos="4513"/>
        <w:tab w:val="right" w:pos="9026"/>
      </w:tabs>
      <w:spacing w:after="0" w:line="240" w:lineRule="auto"/>
    </w:pPr>
  </w:style>
  <w:style w:type="character" w:customStyle="1" w:styleId="HeaderChar">
    <w:name w:val="Header Char"/>
    <w:basedOn w:val="DefaultParagraphFont"/>
    <w:link w:val="Header"/>
    <w:uiPriority w:val="99"/>
    <w:rsid w:val="009F0C63"/>
  </w:style>
  <w:style w:type="paragraph" w:styleId="Footer">
    <w:name w:val="footer"/>
    <w:basedOn w:val="Normal"/>
    <w:link w:val="FooterChar"/>
    <w:uiPriority w:val="99"/>
    <w:unhideWhenUsed/>
    <w:rsid w:val="009F0C63"/>
    <w:pPr>
      <w:tabs>
        <w:tab w:val="center" w:pos="4513"/>
        <w:tab w:val="right" w:pos="9026"/>
      </w:tabs>
      <w:spacing w:after="0" w:line="240" w:lineRule="auto"/>
    </w:pPr>
  </w:style>
  <w:style w:type="character" w:customStyle="1" w:styleId="FooterChar">
    <w:name w:val="Footer Char"/>
    <w:basedOn w:val="DefaultParagraphFont"/>
    <w:link w:val="Footer"/>
    <w:uiPriority w:val="99"/>
    <w:rsid w:val="009F0C63"/>
  </w:style>
  <w:style w:type="character" w:styleId="CommentReference">
    <w:name w:val="annotation reference"/>
    <w:basedOn w:val="DefaultParagraphFont"/>
    <w:uiPriority w:val="99"/>
    <w:semiHidden/>
    <w:unhideWhenUsed/>
    <w:rsid w:val="00F514E9"/>
    <w:rPr>
      <w:sz w:val="16"/>
      <w:szCs w:val="16"/>
    </w:rPr>
  </w:style>
  <w:style w:type="paragraph" w:styleId="CommentText">
    <w:name w:val="annotation text"/>
    <w:basedOn w:val="Normal"/>
    <w:link w:val="CommentTextChar"/>
    <w:uiPriority w:val="99"/>
    <w:unhideWhenUsed/>
    <w:rsid w:val="00F514E9"/>
    <w:pPr>
      <w:spacing w:line="240" w:lineRule="auto"/>
    </w:pPr>
    <w:rPr>
      <w:sz w:val="20"/>
      <w:szCs w:val="20"/>
    </w:rPr>
  </w:style>
  <w:style w:type="character" w:customStyle="1" w:styleId="CommentTextChar">
    <w:name w:val="Comment Text Char"/>
    <w:basedOn w:val="DefaultParagraphFont"/>
    <w:link w:val="CommentText"/>
    <w:uiPriority w:val="99"/>
    <w:rsid w:val="00F514E9"/>
    <w:rPr>
      <w:sz w:val="20"/>
      <w:szCs w:val="20"/>
    </w:rPr>
  </w:style>
  <w:style w:type="paragraph" w:styleId="CommentSubject">
    <w:name w:val="annotation subject"/>
    <w:basedOn w:val="CommentText"/>
    <w:next w:val="CommentText"/>
    <w:link w:val="CommentSubjectChar"/>
    <w:uiPriority w:val="99"/>
    <w:semiHidden/>
    <w:unhideWhenUsed/>
    <w:rsid w:val="00F514E9"/>
    <w:rPr>
      <w:b/>
      <w:bCs/>
    </w:rPr>
  </w:style>
  <w:style w:type="character" w:customStyle="1" w:styleId="CommentSubjectChar">
    <w:name w:val="Comment Subject Char"/>
    <w:basedOn w:val="CommentTextChar"/>
    <w:link w:val="CommentSubject"/>
    <w:uiPriority w:val="99"/>
    <w:semiHidden/>
    <w:rsid w:val="00F514E9"/>
    <w:rPr>
      <w:b/>
      <w:bCs/>
      <w:sz w:val="20"/>
      <w:szCs w:val="20"/>
    </w:rPr>
  </w:style>
  <w:style w:type="paragraph" w:styleId="EndnoteText">
    <w:name w:val="endnote text"/>
    <w:basedOn w:val="Normal"/>
    <w:link w:val="EndnoteTextChar"/>
    <w:uiPriority w:val="99"/>
    <w:semiHidden/>
    <w:unhideWhenUsed/>
    <w:rsid w:val="00B90E68"/>
    <w:pPr>
      <w:spacing w:after="0" w:line="240" w:lineRule="auto"/>
    </w:pPr>
    <w:rPr>
      <w:sz w:val="20"/>
      <w:szCs w:val="20"/>
    </w:rPr>
  </w:style>
  <w:style w:type="character" w:customStyle="1" w:styleId="EndnoteTextChar">
    <w:name w:val="Endnote Text Char"/>
    <w:basedOn w:val="DefaultParagraphFont"/>
    <w:link w:val="EndnoteText"/>
    <w:uiPriority w:val="99"/>
    <w:semiHidden/>
    <w:rsid w:val="00B90E68"/>
    <w:rPr>
      <w:sz w:val="20"/>
      <w:szCs w:val="20"/>
    </w:rPr>
  </w:style>
  <w:style w:type="character" w:styleId="EndnoteReference">
    <w:name w:val="endnote reference"/>
    <w:basedOn w:val="DefaultParagraphFont"/>
    <w:uiPriority w:val="99"/>
    <w:semiHidden/>
    <w:unhideWhenUsed/>
    <w:rsid w:val="00B90E68"/>
    <w:rPr>
      <w:vertAlign w:val="superscript"/>
    </w:rPr>
  </w:style>
  <w:style w:type="character" w:styleId="FollowedHyperlink">
    <w:name w:val="FollowedHyperlink"/>
    <w:basedOn w:val="DefaultParagraphFont"/>
    <w:uiPriority w:val="99"/>
    <w:semiHidden/>
    <w:unhideWhenUsed/>
    <w:rsid w:val="00B90E68"/>
    <w:rPr>
      <w:color w:val="800080" w:themeColor="followedHyperlink"/>
      <w:u w:val="single"/>
    </w:rPr>
  </w:style>
  <w:style w:type="paragraph" w:styleId="NoSpacing">
    <w:name w:val="No Spacing"/>
    <w:link w:val="NoSpacingChar"/>
    <w:uiPriority w:val="1"/>
    <w:qFormat/>
    <w:rsid w:val="00B90E68"/>
    <w:pPr>
      <w:spacing w:after="0" w:line="240" w:lineRule="auto"/>
    </w:pPr>
    <w:rPr>
      <w:rFonts w:cs="Arial"/>
      <w:sz w:val="24"/>
      <w:szCs w:val="24"/>
    </w:rPr>
  </w:style>
  <w:style w:type="character" w:customStyle="1" w:styleId="result-categories-label1">
    <w:name w:val="result-categories-label1"/>
    <w:rsid w:val="00667093"/>
    <w:rPr>
      <w:b/>
      <w:bCs/>
    </w:rPr>
  </w:style>
  <w:style w:type="character" w:customStyle="1" w:styleId="screenread1">
    <w:name w:val="screenread1"/>
    <w:rsid w:val="00667093"/>
    <w:rPr>
      <w:strike w:val="0"/>
      <w:dstrike w:val="0"/>
      <w:u w:val="none"/>
      <w:effect w:val="none"/>
    </w:rPr>
  </w:style>
  <w:style w:type="paragraph" w:styleId="Caption">
    <w:name w:val="caption"/>
    <w:basedOn w:val="Normal"/>
    <w:next w:val="Normal"/>
    <w:uiPriority w:val="35"/>
    <w:unhideWhenUsed/>
    <w:qFormat/>
    <w:rsid w:val="003900B4"/>
    <w:pPr>
      <w:spacing w:after="60" w:line="240" w:lineRule="auto"/>
      <w:jc w:val="both"/>
    </w:pPr>
    <w:rPr>
      <w:b/>
      <w:bCs/>
      <w:szCs w:val="18"/>
    </w:rPr>
  </w:style>
  <w:style w:type="paragraph" w:styleId="Bibliography">
    <w:name w:val="Bibliography"/>
    <w:basedOn w:val="Normal"/>
    <w:next w:val="Normal"/>
    <w:uiPriority w:val="37"/>
    <w:unhideWhenUsed/>
    <w:rsid w:val="00667093"/>
    <w:pPr>
      <w:jc w:val="both"/>
    </w:pPr>
  </w:style>
  <w:style w:type="table" w:styleId="MediumGrid1-Accent5">
    <w:name w:val="Medium Grid 1 Accent 5"/>
    <w:basedOn w:val="TableNormal"/>
    <w:uiPriority w:val="67"/>
    <w:rsid w:val="00667093"/>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Shading1-Accent1">
    <w:name w:val="Medium Shading 1 Accent 1"/>
    <w:basedOn w:val="TableNormal"/>
    <w:uiPriority w:val="63"/>
    <w:rsid w:val="00667093"/>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667093"/>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667093"/>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667093"/>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Grid1-Accent2">
    <w:name w:val="Medium Grid 1 Accent 2"/>
    <w:basedOn w:val="TableNormal"/>
    <w:uiPriority w:val="67"/>
    <w:rsid w:val="00667093"/>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paragraph" w:styleId="TOCHeading">
    <w:name w:val="TOC Heading"/>
    <w:basedOn w:val="Heading1"/>
    <w:next w:val="Normal"/>
    <w:uiPriority w:val="39"/>
    <w:semiHidden/>
    <w:unhideWhenUsed/>
    <w:qFormat/>
    <w:rsid w:val="00667093"/>
    <w:pPr>
      <w:numPr>
        <w:numId w:val="0"/>
      </w:numPr>
      <w:jc w:val="both"/>
      <w:outlineLvl w:val="9"/>
    </w:pPr>
    <w:rPr>
      <w:lang w:val="en-US" w:eastAsia="ja-JP"/>
    </w:rPr>
  </w:style>
  <w:style w:type="paragraph" w:styleId="TOC1">
    <w:name w:val="toc 1"/>
    <w:basedOn w:val="Normal"/>
    <w:next w:val="Normal"/>
    <w:autoRedefine/>
    <w:uiPriority w:val="39"/>
    <w:unhideWhenUsed/>
    <w:qFormat/>
    <w:rsid w:val="00667093"/>
    <w:pPr>
      <w:spacing w:before="120" w:after="120"/>
      <w:jc w:val="both"/>
    </w:pPr>
    <w:rPr>
      <w:b/>
      <w:bCs/>
      <w:caps/>
      <w:sz w:val="20"/>
      <w:szCs w:val="20"/>
    </w:rPr>
  </w:style>
  <w:style w:type="paragraph" w:styleId="TOC2">
    <w:name w:val="toc 2"/>
    <w:basedOn w:val="Normal"/>
    <w:next w:val="Normal"/>
    <w:autoRedefine/>
    <w:uiPriority w:val="39"/>
    <w:unhideWhenUsed/>
    <w:qFormat/>
    <w:rsid w:val="00667093"/>
    <w:pPr>
      <w:tabs>
        <w:tab w:val="left" w:pos="880"/>
        <w:tab w:val="right" w:leader="dot" w:pos="9016"/>
      </w:tabs>
      <w:spacing w:after="0" w:line="240" w:lineRule="auto"/>
      <w:ind w:left="221"/>
      <w:jc w:val="both"/>
    </w:pPr>
    <w:rPr>
      <w:smallCaps/>
      <w:sz w:val="20"/>
      <w:szCs w:val="20"/>
    </w:rPr>
  </w:style>
  <w:style w:type="paragraph" w:styleId="TOC3">
    <w:name w:val="toc 3"/>
    <w:basedOn w:val="Normal"/>
    <w:next w:val="Normal"/>
    <w:autoRedefine/>
    <w:uiPriority w:val="39"/>
    <w:unhideWhenUsed/>
    <w:qFormat/>
    <w:rsid w:val="00667093"/>
    <w:pPr>
      <w:spacing w:after="0"/>
      <w:ind w:left="440"/>
      <w:jc w:val="both"/>
    </w:pPr>
    <w:rPr>
      <w:i/>
      <w:iCs/>
      <w:sz w:val="20"/>
      <w:szCs w:val="20"/>
    </w:rPr>
  </w:style>
  <w:style w:type="paragraph" w:styleId="TOC4">
    <w:name w:val="toc 4"/>
    <w:basedOn w:val="Normal"/>
    <w:next w:val="Normal"/>
    <w:autoRedefine/>
    <w:uiPriority w:val="39"/>
    <w:unhideWhenUsed/>
    <w:rsid w:val="00667093"/>
    <w:pPr>
      <w:spacing w:after="0"/>
      <w:ind w:left="660"/>
      <w:jc w:val="both"/>
    </w:pPr>
    <w:rPr>
      <w:sz w:val="18"/>
      <w:szCs w:val="18"/>
    </w:rPr>
  </w:style>
  <w:style w:type="paragraph" w:styleId="TOC5">
    <w:name w:val="toc 5"/>
    <w:basedOn w:val="Normal"/>
    <w:next w:val="Normal"/>
    <w:autoRedefine/>
    <w:uiPriority w:val="39"/>
    <w:unhideWhenUsed/>
    <w:rsid w:val="00667093"/>
    <w:pPr>
      <w:spacing w:after="0"/>
      <w:ind w:left="880"/>
      <w:jc w:val="both"/>
    </w:pPr>
    <w:rPr>
      <w:sz w:val="18"/>
      <w:szCs w:val="18"/>
    </w:rPr>
  </w:style>
  <w:style w:type="paragraph" w:styleId="TOC6">
    <w:name w:val="toc 6"/>
    <w:basedOn w:val="Normal"/>
    <w:next w:val="Normal"/>
    <w:autoRedefine/>
    <w:uiPriority w:val="39"/>
    <w:unhideWhenUsed/>
    <w:rsid w:val="00667093"/>
    <w:pPr>
      <w:spacing w:after="0"/>
      <w:ind w:left="1100"/>
      <w:jc w:val="both"/>
    </w:pPr>
    <w:rPr>
      <w:sz w:val="18"/>
      <w:szCs w:val="18"/>
    </w:rPr>
  </w:style>
  <w:style w:type="paragraph" w:styleId="TOC7">
    <w:name w:val="toc 7"/>
    <w:basedOn w:val="Normal"/>
    <w:next w:val="Normal"/>
    <w:autoRedefine/>
    <w:uiPriority w:val="39"/>
    <w:unhideWhenUsed/>
    <w:rsid w:val="00667093"/>
    <w:pPr>
      <w:spacing w:after="0"/>
      <w:ind w:left="1320"/>
      <w:jc w:val="both"/>
    </w:pPr>
    <w:rPr>
      <w:sz w:val="18"/>
      <w:szCs w:val="18"/>
    </w:rPr>
  </w:style>
  <w:style w:type="paragraph" w:styleId="TOC8">
    <w:name w:val="toc 8"/>
    <w:basedOn w:val="Normal"/>
    <w:next w:val="Normal"/>
    <w:autoRedefine/>
    <w:uiPriority w:val="39"/>
    <w:unhideWhenUsed/>
    <w:rsid w:val="00667093"/>
    <w:pPr>
      <w:spacing w:after="0"/>
      <w:ind w:left="1540"/>
      <w:jc w:val="both"/>
    </w:pPr>
    <w:rPr>
      <w:sz w:val="18"/>
      <w:szCs w:val="18"/>
    </w:rPr>
  </w:style>
  <w:style w:type="paragraph" w:styleId="TOC9">
    <w:name w:val="toc 9"/>
    <w:basedOn w:val="Normal"/>
    <w:next w:val="Normal"/>
    <w:autoRedefine/>
    <w:uiPriority w:val="39"/>
    <w:unhideWhenUsed/>
    <w:rsid w:val="00667093"/>
    <w:pPr>
      <w:spacing w:after="0"/>
      <w:ind w:left="1760"/>
      <w:jc w:val="both"/>
    </w:pPr>
    <w:rPr>
      <w:sz w:val="18"/>
      <w:szCs w:val="18"/>
    </w:rPr>
  </w:style>
  <w:style w:type="paragraph" w:styleId="Title">
    <w:name w:val="Title"/>
    <w:basedOn w:val="Normal"/>
    <w:next w:val="Normal"/>
    <w:link w:val="TitleChar"/>
    <w:uiPriority w:val="10"/>
    <w:qFormat/>
    <w:rsid w:val="00667093"/>
    <w:pPr>
      <w:pBdr>
        <w:bottom w:val="single" w:sz="8" w:space="4" w:color="4F81BD" w:themeColor="accent1"/>
      </w:pBdr>
      <w:spacing w:after="300" w:line="240" w:lineRule="auto"/>
      <w:contextualSpacing/>
      <w:jc w:val="both"/>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667093"/>
    <w:rPr>
      <w:rFonts w:asciiTheme="majorHAnsi" w:eastAsiaTheme="majorEastAsia" w:hAnsiTheme="majorHAnsi" w:cstheme="majorBidi"/>
      <w:color w:val="17365D" w:themeColor="text2" w:themeShade="BF"/>
      <w:spacing w:val="5"/>
      <w:kern w:val="28"/>
      <w:sz w:val="52"/>
      <w:szCs w:val="52"/>
    </w:rPr>
  </w:style>
  <w:style w:type="table" w:styleId="LightShading-Accent2">
    <w:name w:val="Light Shading Accent 2"/>
    <w:basedOn w:val="TableNormal"/>
    <w:uiPriority w:val="60"/>
    <w:rsid w:val="00667093"/>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MediumShading2-Accent4">
    <w:name w:val="Medium Shading 2 Accent 4"/>
    <w:basedOn w:val="TableNormal"/>
    <w:uiPriority w:val="64"/>
    <w:rsid w:val="00667093"/>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667093"/>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2-Accent4">
    <w:name w:val="Medium List 2 Accent 4"/>
    <w:basedOn w:val="TableNormal"/>
    <w:uiPriority w:val="66"/>
    <w:rsid w:val="00667093"/>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Accent4">
    <w:name w:val="Medium Grid 1 Accent 4"/>
    <w:basedOn w:val="TableNormal"/>
    <w:uiPriority w:val="67"/>
    <w:rsid w:val="00667093"/>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Shading2-Accent3">
    <w:name w:val="Medium Shading 2 Accent 3"/>
    <w:basedOn w:val="TableNormal"/>
    <w:uiPriority w:val="64"/>
    <w:rsid w:val="00667093"/>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DarkList-Accent4">
    <w:name w:val="Dark List Accent 4"/>
    <w:basedOn w:val="TableNormal"/>
    <w:uiPriority w:val="70"/>
    <w:rsid w:val="00667093"/>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character" w:customStyle="1" w:styleId="A6">
    <w:name w:val="A6"/>
    <w:basedOn w:val="DefaultParagraphFont"/>
    <w:uiPriority w:val="99"/>
    <w:rsid w:val="00667093"/>
    <w:rPr>
      <w:rFonts w:ascii="Helvetica 45 Light" w:hAnsi="Helvetica 45 Light" w:hint="default"/>
      <w:color w:val="000000"/>
    </w:rPr>
  </w:style>
  <w:style w:type="character" w:customStyle="1" w:styleId="CommentSubjectChar1">
    <w:name w:val="Comment Subject Char1"/>
    <w:basedOn w:val="CommentTextChar"/>
    <w:uiPriority w:val="99"/>
    <w:semiHidden/>
    <w:rsid w:val="00667093"/>
    <w:rPr>
      <w:rFonts w:ascii="Calibri" w:hAnsi="Calibri" w:cs="Times New Roman"/>
      <w:b/>
      <w:bCs/>
      <w:sz w:val="20"/>
      <w:szCs w:val="20"/>
    </w:rPr>
  </w:style>
  <w:style w:type="paragraph" w:customStyle="1" w:styleId="JSNAHeading1">
    <w:name w:val="JSNA Heading 1"/>
    <w:basedOn w:val="Heading1"/>
    <w:link w:val="JSNAHeading1Char"/>
    <w:rsid w:val="007E799F"/>
    <w:pPr>
      <w:keepNext w:val="0"/>
      <w:keepLines w:val="0"/>
      <w:numPr>
        <w:numId w:val="0"/>
      </w:numPr>
      <w:contextualSpacing/>
    </w:pPr>
  </w:style>
  <w:style w:type="paragraph" w:customStyle="1" w:styleId="JSNAHeading2">
    <w:name w:val="JSNA Heading 2"/>
    <w:basedOn w:val="Heading2"/>
    <w:link w:val="JSNAHeading2Char"/>
    <w:qFormat/>
    <w:rsid w:val="007E799F"/>
    <w:pPr>
      <w:keepNext w:val="0"/>
      <w:keepLines w:val="0"/>
      <w:numPr>
        <w:ilvl w:val="0"/>
        <w:numId w:val="0"/>
      </w:numPr>
    </w:pPr>
  </w:style>
  <w:style w:type="character" w:customStyle="1" w:styleId="JSNAHeading1Char">
    <w:name w:val="JSNA Heading 1 Char"/>
    <w:basedOn w:val="Heading1Char"/>
    <w:link w:val="JSNAHeading1"/>
    <w:rsid w:val="007E799F"/>
    <w:rPr>
      <w:rFonts w:asciiTheme="majorHAnsi" w:eastAsiaTheme="majorEastAsia" w:hAnsiTheme="majorHAnsi" w:cstheme="majorBidi"/>
      <w:b/>
      <w:bCs/>
      <w:color w:val="365F91" w:themeColor="accent1" w:themeShade="BF"/>
      <w:sz w:val="28"/>
      <w:szCs w:val="28"/>
    </w:rPr>
  </w:style>
  <w:style w:type="paragraph" w:customStyle="1" w:styleId="JSNAHeading3">
    <w:name w:val="JSNA Heading 3"/>
    <w:basedOn w:val="Heading3"/>
    <w:link w:val="JSNAHeading3Char"/>
    <w:qFormat/>
    <w:rsid w:val="007E799F"/>
    <w:pPr>
      <w:keepNext w:val="0"/>
      <w:keepLines w:val="0"/>
      <w:numPr>
        <w:ilvl w:val="0"/>
        <w:numId w:val="0"/>
      </w:numPr>
      <w:spacing w:line="271" w:lineRule="auto"/>
    </w:pPr>
  </w:style>
  <w:style w:type="character" w:customStyle="1" w:styleId="JSNAHeading2Char">
    <w:name w:val="JSNA Heading 2 Char"/>
    <w:basedOn w:val="Heading2Char"/>
    <w:link w:val="JSNAHeading2"/>
    <w:rsid w:val="007E799F"/>
    <w:rPr>
      <w:rFonts w:asciiTheme="majorHAnsi" w:eastAsiaTheme="majorEastAsia" w:hAnsiTheme="majorHAnsi" w:cstheme="majorBidi"/>
      <w:b/>
      <w:bCs/>
      <w:color w:val="4F81BD" w:themeColor="accent1"/>
      <w:sz w:val="26"/>
      <w:szCs w:val="26"/>
    </w:rPr>
  </w:style>
  <w:style w:type="character" w:customStyle="1" w:styleId="JSNAHeading3Char">
    <w:name w:val="JSNA Heading 3 Char"/>
    <w:basedOn w:val="Heading3Char"/>
    <w:link w:val="JSNAHeading3"/>
    <w:rsid w:val="007E799F"/>
    <w:rPr>
      <w:rFonts w:asciiTheme="majorHAnsi" w:eastAsiaTheme="majorEastAsia" w:hAnsiTheme="majorHAnsi" w:cstheme="majorBidi"/>
      <w:b/>
      <w:bCs/>
      <w:color w:val="4F81BD" w:themeColor="accent1"/>
    </w:rPr>
  </w:style>
  <w:style w:type="paragraph" w:customStyle="1" w:styleId="AppendixSectionHeading">
    <w:name w:val="AppendixSectionHeading"/>
    <w:basedOn w:val="Normal"/>
    <w:link w:val="AppendixSectionHeadingChar"/>
    <w:rsid w:val="007E799F"/>
    <w:pPr>
      <w:spacing w:after="160" w:line="259" w:lineRule="auto"/>
    </w:pPr>
    <w:rPr>
      <w:rFonts w:ascii="Calibri" w:eastAsia="MS Mincho" w:hAnsi="Calibri" w:cs="Times New Roman"/>
      <w:color w:val="808080"/>
      <w:sz w:val="52"/>
      <w:szCs w:val="52"/>
    </w:rPr>
  </w:style>
  <w:style w:type="character" w:customStyle="1" w:styleId="AppendixSectionHeadingChar">
    <w:name w:val="AppendixSectionHeading Char"/>
    <w:link w:val="AppendixSectionHeading"/>
    <w:locked/>
    <w:rsid w:val="007E799F"/>
    <w:rPr>
      <w:rFonts w:ascii="Calibri" w:eastAsia="MS Mincho" w:hAnsi="Calibri" w:cs="Times New Roman"/>
      <w:color w:val="808080"/>
      <w:sz w:val="52"/>
      <w:szCs w:val="52"/>
    </w:rPr>
  </w:style>
  <w:style w:type="character" w:customStyle="1" w:styleId="ListParagraphChar">
    <w:name w:val="List Paragraph Char"/>
    <w:aliases w:val="List Bullet2 Char"/>
    <w:link w:val="ListParagraph"/>
    <w:uiPriority w:val="34"/>
    <w:locked/>
    <w:rsid w:val="00502967"/>
  </w:style>
  <w:style w:type="table" w:styleId="MediumGrid3-Accent3">
    <w:name w:val="Medium Grid 3 Accent 3"/>
    <w:basedOn w:val="TableNormal"/>
    <w:uiPriority w:val="69"/>
    <w:rsid w:val="00A334DB"/>
    <w:pPr>
      <w:spacing w:after="0" w:line="240" w:lineRule="auto"/>
    </w:pPr>
    <w:rPr>
      <w:rFonts w:ascii="Cambria" w:eastAsia="MS Mincho" w:hAnsi="Cambria" w:cs="Times New Roman"/>
      <w:sz w:val="20"/>
      <w:szCs w:val="20"/>
      <w:lang w:val="en-US"/>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LightList-Accent1">
    <w:name w:val="Light List Accent 1"/>
    <w:basedOn w:val="TableNormal"/>
    <w:uiPriority w:val="61"/>
    <w:rsid w:val="00E10745"/>
    <w:pPr>
      <w:spacing w:after="0" w:line="240" w:lineRule="auto"/>
    </w:pPr>
    <w:rPr>
      <w:rFonts w:eastAsiaTheme="minorEastAsia"/>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Grid">
    <w:name w:val="Light Grid"/>
    <w:basedOn w:val="TableNormal"/>
    <w:uiPriority w:val="62"/>
    <w:rsid w:val="00E10745"/>
    <w:pPr>
      <w:spacing w:after="0" w:line="240" w:lineRule="auto"/>
    </w:pPr>
    <w:rPr>
      <w:rFonts w:eastAsiaTheme="minorEastAsia"/>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MediumShading1-Accent5">
    <w:name w:val="Medium Shading 1 Accent 5"/>
    <w:basedOn w:val="TableNormal"/>
    <w:uiPriority w:val="63"/>
    <w:rsid w:val="00E10745"/>
    <w:pPr>
      <w:spacing w:after="0" w:line="240" w:lineRule="auto"/>
    </w:pPr>
    <w:rPr>
      <w:rFonts w:eastAsiaTheme="minorEastAsia"/>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ColorfulList">
    <w:name w:val="Colorful List"/>
    <w:basedOn w:val="TableNormal"/>
    <w:uiPriority w:val="72"/>
    <w:rsid w:val="00E10745"/>
    <w:pPr>
      <w:spacing w:after="0" w:line="240" w:lineRule="auto"/>
    </w:pPr>
    <w:rPr>
      <w:rFonts w:eastAsiaTheme="minorEastAsia"/>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LightList">
    <w:name w:val="Light List"/>
    <w:basedOn w:val="TableNormal"/>
    <w:uiPriority w:val="61"/>
    <w:rsid w:val="00E10745"/>
    <w:pPr>
      <w:spacing w:after="0" w:line="240" w:lineRule="auto"/>
    </w:pPr>
    <w:rPr>
      <w:rFonts w:eastAsiaTheme="minorEastAsia"/>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BodyheaderBase">
    <w:name w:val="Body header (Base)"/>
    <w:basedOn w:val="Normal"/>
    <w:rsid w:val="00E10745"/>
    <w:pPr>
      <w:numPr>
        <w:ilvl w:val="1"/>
        <w:numId w:val="89"/>
      </w:numPr>
      <w:spacing w:before="50" w:after="40" w:line="288" w:lineRule="auto"/>
    </w:pPr>
    <w:rPr>
      <w:rFonts w:ascii="Arial" w:eastAsia="MS Mincho" w:hAnsi="Arial" w:cs="Arial"/>
      <w:b/>
      <w:color w:val="009C9A"/>
      <w:sz w:val="26"/>
      <w:szCs w:val="26"/>
      <w:lang w:val="en-US"/>
    </w:rPr>
  </w:style>
  <w:style w:type="paragraph" w:customStyle="1" w:styleId="ChapterheaderBase">
    <w:name w:val="Chapter header (Base)"/>
    <w:rsid w:val="00E10745"/>
    <w:pPr>
      <w:numPr>
        <w:numId w:val="89"/>
      </w:numPr>
      <w:spacing w:before="180" w:after="90" w:line="240" w:lineRule="auto"/>
    </w:pPr>
    <w:rPr>
      <w:rFonts w:ascii="Georgia" w:eastAsia="MS Mincho" w:hAnsi="Georgia" w:cs="CenturySchoolbook"/>
      <w:b/>
      <w:bCs/>
      <w:color w:val="00988E"/>
      <w:spacing w:val="-30"/>
      <w:sz w:val="40"/>
      <w:szCs w:val="48"/>
      <w:lang w:eastAsia="ja-JP"/>
    </w:rPr>
  </w:style>
  <w:style w:type="paragraph" w:customStyle="1" w:styleId="BodyheadersubBase">
    <w:name w:val="Body header sub (Base)"/>
    <w:basedOn w:val="BodyheaderBase"/>
    <w:rsid w:val="00E10745"/>
    <w:pPr>
      <w:numPr>
        <w:ilvl w:val="2"/>
      </w:numPr>
    </w:pPr>
    <w:rPr>
      <w:color w:val="3A3D41"/>
      <w:sz w:val="24"/>
    </w:rPr>
  </w:style>
  <w:style w:type="table" w:styleId="LightList-Accent3">
    <w:name w:val="Light List Accent 3"/>
    <w:basedOn w:val="TableNormal"/>
    <w:uiPriority w:val="61"/>
    <w:rsid w:val="00E10745"/>
    <w:pPr>
      <w:spacing w:after="0" w:line="240" w:lineRule="auto"/>
    </w:pPr>
    <w:rPr>
      <w:rFonts w:eastAsiaTheme="minorEastAsia"/>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character" w:customStyle="1" w:styleId="st1">
    <w:name w:val="st1"/>
    <w:basedOn w:val="DefaultParagraphFont"/>
    <w:rsid w:val="00E10745"/>
  </w:style>
  <w:style w:type="paragraph" w:customStyle="1" w:styleId="Body">
    <w:name w:val="Body"/>
    <w:rsid w:val="00E10745"/>
    <w:pPr>
      <w:spacing w:before="80" w:after="80" w:line="288" w:lineRule="auto"/>
    </w:pPr>
    <w:rPr>
      <w:rFonts w:ascii="Arial" w:eastAsia="MS Mincho" w:hAnsi="Arial" w:cs="Arial"/>
      <w:color w:val="000000"/>
      <w:lang w:val="en-US"/>
    </w:rPr>
  </w:style>
  <w:style w:type="character" w:customStyle="1" w:styleId="Note">
    <w:name w:val="Note"/>
    <w:basedOn w:val="DefaultParagraphFont"/>
    <w:uiPriority w:val="1"/>
    <w:rsid w:val="00E10745"/>
    <w:rPr>
      <w:i w:val="0"/>
      <w:iCs/>
      <w:sz w:val="18"/>
      <w:szCs w:val="18"/>
      <w:lang w:val="en-GB"/>
    </w:rPr>
  </w:style>
  <w:style w:type="paragraph" w:customStyle="1" w:styleId="Bodybullets">
    <w:name w:val="Body bullets"/>
    <w:basedOn w:val="Body"/>
    <w:rsid w:val="00E10745"/>
    <w:pPr>
      <w:numPr>
        <w:numId w:val="91"/>
      </w:numPr>
    </w:pPr>
  </w:style>
  <w:style w:type="character" w:styleId="Emphasis">
    <w:name w:val="Emphasis"/>
    <w:uiPriority w:val="20"/>
    <w:qFormat/>
    <w:rsid w:val="00E10745"/>
    <w:rPr>
      <w:b/>
      <w:bCs/>
      <w:i/>
      <w:iCs/>
      <w:spacing w:val="10"/>
      <w:bdr w:val="none" w:sz="0" w:space="0" w:color="auto"/>
      <w:shd w:val="clear" w:color="auto" w:fill="auto"/>
    </w:rPr>
  </w:style>
  <w:style w:type="table" w:styleId="LightList-Accent5">
    <w:name w:val="Light List Accent 5"/>
    <w:basedOn w:val="TableNormal"/>
    <w:uiPriority w:val="61"/>
    <w:rsid w:val="00E10745"/>
    <w:pPr>
      <w:spacing w:after="0" w:line="240" w:lineRule="auto"/>
      <w:jc w:val="both"/>
    </w:pPr>
    <w:rPr>
      <w:rFonts w:eastAsiaTheme="minorEastAsia"/>
      <w:sz w:val="20"/>
      <w:szCs w:val="20"/>
      <w:lang w:eastAsia="en-GB"/>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MediumGrid3-Accent5">
    <w:name w:val="Medium Grid 3 Accent 5"/>
    <w:basedOn w:val="TableNormal"/>
    <w:uiPriority w:val="69"/>
    <w:rsid w:val="00E10745"/>
    <w:pPr>
      <w:spacing w:after="0" w:line="240" w:lineRule="auto"/>
      <w:jc w:val="both"/>
    </w:pPr>
    <w:rPr>
      <w:rFonts w:eastAsiaTheme="minorEastAsia"/>
      <w:sz w:val="20"/>
      <w:szCs w:val="20"/>
      <w:lang w:eastAsia="en-GB"/>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paragraph" w:styleId="Subtitle">
    <w:name w:val="Subtitle"/>
    <w:basedOn w:val="Normal"/>
    <w:next w:val="Normal"/>
    <w:link w:val="SubtitleChar"/>
    <w:uiPriority w:val="11"/>
    <w:qFormat/>
    <w:rsid w:val="00E1074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E10745"/>
    <w:rPr>
      <w:rFonts w:asciiTheme="majorHAnsi" w:eastAsiaTheme="majorEastAsia" w:hAnsiTheme="majorHAnsi" w:cstheme="majorBidi"/>
      <w:i/>
      <w:iCs/>
      <w:spacing w:val="13"/>
      <w:sz w:val="24"/>
      <w:szCs w:val="24"/>
    </w:rPr>
  </w:style>
  <w:style w:type="paragraph" w:styleId="Quote">
    <w:name w:val="Quote"/>
    <w:basedOn w:val="Normal"/>
    <w:next w:val="Normal"/>
    <w:link w:val="QuoteChar"/>
    <w:uiPriority w:val="29"/>
    <w:qFormat/>
    <w:rsid w:val="00E10745"/>
    <w:pPr>
      <w:spacing w:before="200" w:after="0"/>
      <w:ind w:left="360" w:right="360"/>
    </w:pPr>
    <w:rPr>
      <w:rFonts w:eastAsiaTheme="minorEastAsia"/>
      <w:i/>
      <w:iCs/>
    </w:rPr>
  </w:style>
  <w:style w:type="character" w:customStyle="1" w:styleId="QuoteChar">
    <w:name w:val="Quote Char"/>
    <w:basedOn w:val="DefaultParagraphFont"/>
    <w:link w:val="Quote"/>
    <w:uiPriority w:val="29"/>
    <w:rsid w:val="00E10745"/>
    <w:rPr>
      <w:rFonts w:eastAsiaTheme="minorEastAsia"/>
      <w:i/>
      <w:iCs/>
    </w:rPr>
  </w:style>
  <w:style w:type="paragraph" w:styleId="IntenseQuote">
    <w:name w:val="Intense Quote"/>
    <w:basedOn w:val="Normal"/>
    <w:next w:val="Normal"/>
    <w:link w:val="IntenseQuoteChar"/>
    <w:uiPriority w:val="30"/>
    <w:qFormat/>
    <w:rsid w:val="00E1074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E10745"/>
    <w:rPr>
      <w:rFonts w:eastAsiaTheme="minorEastAsia"/>
      <w:b/>
      <w:bCs/>
      <w:i/>
      <w:iCs/>
    </w:rPr>
  </w:style>
  <w:style w:type="character" w:styleId="SubtleEmphasis">
    <w:name w:val="Subtle Emphasis"/>
    <w:uiPriority w:val="19"/>
    <w:qFormat/>
    <w:rsid w:val="00E10745"/>
    <w:rPr>
      <w:i/>
      <w:iCs/>
    </w:rPr>
  </w:style>
  <w:style w:type="character" w:styleId="IntenseEmphasis">
    <w:name w:val="Intense Emphasis"/>
    <w:uiPriority w:val="21"/>
    <w:qFormat/>
    <w:rsid w:val="00E10745"/>
    <w:rPr>
      <w:b/>
      <w:bCs/>
    </w:rPr>
  </w:style>
  <w:style w:type="character" w:styleId="SubtleReference">
    <w:name w:val="Subtle Reference"/>
    <w:uiPriority w:val="31"/>
    <w:qFormat/>
    <w:rsid w:val="00E10745"/>
    <w:rPr>
      <w:smallCaps/>
    </w:rPr>
  </w:style>
  <w:style w:type="character" w:styleId="IntenseReference">
    <w:name w:val="Intense Reference"/>
    <w:uiPriority w:val="32"/>
    <w:qFormat/>
    <w:rsid w:val="00E10745"/>
    <w:rPr>
      <w:smallCaps/>
      <w:spacing w:val="5"/>
      <w:u w:val="single"/>
    </w:rPr>
  </w:style>
  <w:style w:type="character" w:styleId="BookTitle">
    <w:name w:val="Book Title"/>
    <w:uiPriority w:val="33"/>
    <w:qFormat/>
    <w:rsid w:val="00E10745"/>
    <w:rPr>
      <w:i/>
      <w:iCs/>
      <w:smallCaps/>
      <w:spacing w:val="5"/>
    </w:rPr>
  </w:style>
  <w:style w:type="paragraph" w:styleId="Revision">
    <w:name w:val="Revision"/>
    <w:hidden/>
    <w:uiPriority w:val="99"/>
    <w:semiHidden/>
    <w:rsid w:val="00E10745"/>
    <w:pPr>
      <w:spacing w:after="0" w:line="240" w:lineRule="auto"/>
    </w:pPr>
    <w:rPr>
      <w:rFonts w:eastAsiaTheme="minorEastAsia"/>
    </w:rPr>
  </w:style>
  <w:style w:type="character" w:customStyle="1" w:styleId="NoSpacingChar">
    <w:name w:val="No Spacing Char"/>
    <w:basedOn w:val="DefaultParagraphFont"/>
    <w:link w:val="NoSpacing"/>
    <w:uiPriority w:val="1"/>
    <w:rsid w:val="0037150F"/>
    <w:rPr>
      <w:rFonts w:cs="Arial"/>
      <w:sz w:val="24"/>
      <w:szCs w:val="24"/>
    </w:rPr>
  </w:style>
  <w:style w:type="paragraph" w:styleId="TableofFigures">
    <w:name w:val="table of figures"/>
    <w:basedOn w:val="Normal"/>
    <w:next w:val="Normal"/>
    <w:uiPriority w:val="99"/>
    <w:unhideWhenUsed/>
    <w:rsid w:val="00B03C5A"/>
    <w:pPr>
      <w:spacing w:after="0"/>
    </w:pPr>
  </w:style>
  <w:style w:type="table" w:customStyle="1" w:styleId="TableGrid1">
    <w:name w:val="Table Grid1"/>
    <w:basedOn w:val="TableNormal"/>
    <w:next w:val="TableGrid"/>
    <w:uiPriority w:val="59"/>
    <w:rsid w:val="00F9212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19847">
      <w:bodyDiv w:val="1"/>
      <w:marLeft w:val="0"/>
      <w:marRight w:val="0"/>
      <w:marTop w:val="0"/>
      <w:marBottom w:val="0"/>
      <w:divBdr>
        <w:top w:val="none" w:sz="0" w:space="0" w:color="auto"/>
        <w:left w:val="none" w:sz="0" w:space="0" w:color="auto"/>
        <w:bottom w:val="none" w:sz="0" w:space="0" w:color="auto"/>
        <w:right w:val="none" w:sz="0" w:space="0" w:color="auto"/>
      </w:divBdr>
    </w:div>
    <w:div w:id="31003367">
      <w:bodyDiv w:val="1"/>
      <w:marLeft w:val="0"/>
      <w:marRight w:val="0"/>
      <w:marTop w:val="0"/>
      <w:marBottom w:val="0"/>
      <w:divBdr>
        <w:top w:val="none" w:sz="0" w:space="0" w:color="auto"/>
        <w:left w:val="none" w:sz="0" w:space="0" w:color="auto"/>
        <w:bottom w:val="none" w:sz="0" w:space="0" w:color="auto"/>
        <w:right w:val="none" w:sz="0" w:space="0" w:color="auto"/>
      </w:divBdr>
    </w:div>
    <w:div w:id="37094643">
      <w:bodyDiv w:val="1"/>
      <w:marLeft w:val="0"/>
      <w:marRight w:val="0"/>
      <w:marTop w:val="0"/>
      <w:marBottom w:val="0"/>
      <w:divBdr>
        <w:top w:val="none" w:sz="0" w:space="0" w:color="auto"/>
        <w:left w:val="none" w:sz="0" w:space="0" w:color="auto"/>
        <w:bottom w:val="none" w:sz="0" w:space="0" w:color="auto"/>
        <w:right w:val="none" w:sz="0" w:space="0" w:color="auto"/>
      </w:divBdr>
    </w:div>
    <w:div w:id="67198023">
      <w:bodyDiv w:val="1"/>
      <w:marLeft w:val="0"/>
      <w:marRight w:val="0"/>
      <w:marTop w:val="0"/>
      <w:marBottom w:val="0"/>
      <w:divBdr>
        <w:top w:val="none" w:sz="0" w:space="0" w:color="auto"/>
        <w:left w:val="none" w:sz="0" w:space="0" w:color="auto"/>
        <w:bottom w:val="none" w:sz="0" w:space="0" w:color="auto"/>
        <w:right w:val="none" w:sz="0" w:space="0" w:color="auto"/>
      </w:divBdr>
    </w:div>
    <w:div w:id="75640564">
      <w:bodyDiv w:val="1"/>
      <w:marLeft w:val="0"/>
      <w:marRight w:val="0"/>
      <w:marTop w:val="0"/>
      <w:marBottom w:val="0"/>
      <w:divBdr>
        <w:top w:val="none" w:sz="0" w:space="0" w:color="auto"/>
        <w:left w:val="none" w:sz="0" w:space="0" w:color="auto"/>
        <w:bottom w:val="none" w:sz="0" w:space="0" w:color="auto"/>
        <w:right w:val="none" w:sz="0" w:space="0" w:color="auto"/>
      </w:divBdr>
    </w:div>
    <w:div w:id="82188753">
      <w:bodyDiv w:val="1"/>
      <w:marLeft w:val="0"/>
      <w:marRight w:val="0"/>
      <w:marTop w:val="0"/>
      <w:marBottom w:val="0"/>
      <w:divBdr>
        <w:top w:val="none" w:sz="0" w:space="0" w:color="auto"/>
        <w:left w:val="none" w:sz="0" w:space="0" w:color="auto"/>
        <w:bottom w:val="none" w:sz="0" w:space="0" w:color="auto"/>
        <w:right w:val="none" w:sz="0" w:space="0" w:color="auto"/>
      </w:divBdr>
    </w:div>
    <w:div w:id="132142566">
      <w:bodyDiv w:val="1"/>
      <w:marLeft w:val="0"/>
      <w:marRight w:val="0"/>
      <w:marTop w:val="0"/>
      <w:marBottom w:val="0"/>
      <w:divBdr>
        <w:top w:val="none" w:sz="0" w:space="0" w:color="auto"/>
        <w:left w:val="none" w:sz="0" w:space="0" w:color="auto"/>
        <w:bottom w:val="none" w:sz="0" w:space="0" w:color="auto"/>
        <w:right w:val="none" w:sz="0" w:space="0" w:color="auto"/>
      </w:divBdr>
    </w:div>
    <w:div w:id="139426605">
      <w:bodyDiv w:val="1"/>
      <w:marLeft w:val="0"/>
      <w:marRight w:val="0"/>
      <w:marTop w:val="0"/>
      <w:marBottom w:val="0"/>
      <w:divBdr>
        <w:top w:val="none" w:sz="0" w:space="0" w:color="auto"/>
        <w:left w:val="none" w:sz="0" w:space="0" w:color="auto"/>
        <w:bottom w:val="none" w:sz="0" w:space="0" w:color="auto"/>
        <w:right w:val="none" w:sz="0" w:space="0" w:color="auto"/>
      </w:divBdr>
    </w:div>
    <w:div w:id="158809496">
      <w:bodyDiv w:val="1"/>
      <w:marLeft w:val="0"/>
      <w:marRight w:val="0"/>
      <w:marTop w:val="0"/>
      <w:marBottom w:val="0"/>
      <w:divBdr>
        <w:top w:val="none" w:sz="0" w:space="0" w:color="auto"/>
        <w:left w:val="none" w:sz="0" w:space="0" w:color="auto"/>
        <w:bottom w:val="none" w:sz="0" w:space="0" w:color="auto"/>
        <w:right w:val="none" w:sz="0" w:space="0" w:color="auto"/>
      </w:divBdr>
    </w:div>
    <w:div w:id="160892382">
      <w:bodyDiv w:val="1"/>
      <w:marLeft w:val="0"/>
      <w:marRight w:val="0"/>
      <w:marTop w:val="0"/>
      <w:marBottom w:val="0"/>
      <w:divBdr>
        <w:top w:val="none" w:sz="0" w:space="0" w:color="auto"/>
        <w:left w:val="none" w:sz="0" w:space="0" w:color="auto"/>
        <w:bottom w:val="none" w:sz="0" w:space="0" w:color="auto"/>
        <w:right w:val="none" w:sz="0" w:space="0" w:color="auto"/>
      </w:divBdr>
    </w:div>
    <w:div w:id="166989211">
      <w:bodyDiv w:val="1"/>
      <w:marLeft w:val="0"/>
      <w:marRight w:val="0"/>
      <w:marTop w:val="0"/>
      <w:marBottom w:val="0"/>
      <w:divBdr>
        <w:top w:val="none" w:sz="0" w:space="0" w:color="auto"/>
        <w:left w:val="none" w:sz="0" w:space="0" w:color="auto"/>
        <w:bottom w:val="none" w:sz="0" w:space="0" w:color="auto"/>
        <w:right w:val="none" w:sz="0" w:space="0" w:color="auto"/>
      </w:divBdr>
    </w:div>
    <w:div w:id="235017172">
      <w:bodyDiv w:val="1"/>
      <w:marLeft w:val="0"/>
      <w:marRight w:val="0"/>
      <w:marTop w:val="0"/>
      <w:marBottom w:val="0"/>
      <w:divBdr>
        <w:top w:val="none" w:sz="0" w:space="0" w:color="auto"/>
        <w:left w:val="none" w:sz="0" w:space="0" w:color="auto"/>
        <w:bottom w:val="none" w:sz="0" w:space="0" w:color="auto"/>
        <w:right w:val="none" w:sz="0" w:space="0" w:color="auto"/>
      </w:divBdr>
    </w:div>
    <w:div w:id="240532367">
      <w:bodyDiv w:val="1"/>
      <w:marLeft w:val="0"/>
      <w:marRight w:val="0"/>
      <w:marTop w:val="0"/>
      <w:marBottom w:val="0"/>
      <w:divBdr>
        <w:top w:val="none" w:sz="0" w:space="0" w:color="auto"/>
        <w:left w:val="none" w:sz="0" w:space="0" w:color="auto"/>
        <w:bottom w:val="none" w:sz="0" w:space="0" w:color="auto"/>
        <w:right w:val="none" w:sz="0" w:space="0" w:color="auto"/>
      </w:divBdr>
    </w:div>
    <w:div w:id="252399535">
      <w:bodyDiv w:val="1"/>
      <w:marLeft w:val="0"/>
      <w:marRight w:val="0"/>
      <w:marTop w:val="0"/>
      <w:marBottom w:val="0"/>
      <w:divBdr>
        <w:top w:val="none" w:sz="0" w:space="0" w:color="auto"/>
        <w:left w:val="none" w:sz="0" w:space="0" w:color="auto"/>
        <w:bottom w:val="none" w:sz="0" w:space="0" w:color="auto"/>
        <w:right w:val="none" w:sz="0" w:space="0" w:color="auto"/>
      </w:divBdr>
    </w:div>
    <w:div w:id="264391327">
      <w:bodyDiv w:val="1"/>
      <w:marLeft w:val="0"/>
      <w:marRight w:val="0"/>
      <w:marTop w:val="0"/>
      <w:marBottom w:val="0"/>
      <w:divBdr>
        <w:top w:val="none" w:sz="0" w:space="0" w:color="auto"/>
        <w:left w:val="none" w:sz="0" w:space="0" w:color="auto"/>
        <w:bottom w:val="none" w:sz="0" w:space="0" w:color="auto"/>
        <w:right w:val="none" w:sz="0" w:space="0" w:color="auto"/>
      </w:divBdr>
    </w:div>
    <w:div w:id="278418663">
      <w:bodyDiv w:val="1"/>
      <w:marLeft w:val="0"/>
      <w:marRight w:val="0"/>
      <w:marTop w:val="0"/>
      <w:marBottom w:val="0"/>
      <w:divBdr>
        <w:top w:val="none" w:sz="0" w:space="0" w:color="auto"/>
        <w:left w:val="none" w:sz="0" w:space="0" w:color="auto"/>
        <w:bottom w:val="none" w:sz="0" w:space="0" w:color="auto"/>
        <w:right w:val="none" w:sz="0" w:space="0" w:color="auto"/>
      </w:divBdr>
    </w:div>
    <w:div w:id="351424069">
      <w:bodyDiv w:val="1"/>
      <w:marLeft w:val="0"/>
      <w:marRight w:val="0"/>
      <w:marTop w:val="0"/>
      <w:marBottom w:val="0"/>
      <w:divBdr>
        <w:top w:val="none" w:sz="0" w:space="0" w:color="auto"/>
        <w:left w:val="none" w:sz="0" w:space="0" w:color="auto"/>
        <w:bottom w:val="none" w:sz="0" w:space="0" w:color="auto"/>
        <w:right w:val="none" w:sz="0" w:space="0" w:color="auto"/>
      </w:divBdr>
    </w:div>
    <w:div w:id="363751197">
      <w:bodyDiv w:val="1"/>
      <w:marLeft w:val="0"/>
      <w:marRight w:val="0"/>
      <w:marTop w:val="0"/>
      <w:marBottom w:val="0"/>
      <w:divBdr>
        <w:top w:val="none" w:sz="0" w:space="0" w:color="auto"/>
        <w:left w:val="none" w:sz="0" w:space="0" w:color="auto"/>
        <w:bottom w:val="none" w:sz="0" w:space="0" w:color="auto"/>
        <w:right w:val="none" w:sz="0" w:space="0" w:color="auto"/>
      </w:divBdr>
    </w:div>
    <w:div w:id="375471078">
      <w:bodyDiv w:val="1"/>
      <w:marLeft w:val="0"/>
      <w:marRight w:val="0"/>
      <w:marTop w:val="0"/>
      <w:marBottom w:val="0"/>
      <w:divBdr>
        <w:top w:val="none" w:sz="0" w:space="0" w:color="auto"/>
        <w:left w:val="none" w:sz="0" w:space="0" w:color="auto"/>
        <w:bottom w:val="none" w:sz="0" w:space="0" w:color="auto"/>
        <w:right w:val="none" w:sz="0" w:space="0" w:color="auto"/>
      </w:divBdr>
    </w:div>
    <w:div w:id="388303388">
      <w:bodyDiv w:val="1"/>
      <w:marLeft w:val="0"/>
      <w:marRight w:val="0"/>
      <w:marTop w:val="0"/>
      <w:marBottom w:val="0"/>
      <w:divBdr>
        <w:top w:val="none" w:sz="0" w:space="0" w:color="auto"/>
        <w:left w:val="none" w:sz="0" w:space="0" w:color="auto"/>
        <w:bottom w:val="none" w:sz="0" w:space="0" w:color="auto"/>
        <w:right w:val="none" w:sz="0" w:space="0" w:color="auto"/>
      </w:divBdr>
    </w:div>
    <w:div w:id="410471339">
      <w:bodyDiv w:val="1"/>
      <w:marLeft w:val="0"/>
      <w:marRight w:val="0"/>
      <w:marTop w:val="0"/>
      <w:marBottom w:val="0"/>
      <w:divBdr>
        <w:top w:val="none" w:sz="0" w:space="0" w:color="auto"/>
        <w:left w:val="none" w:sz="0" w:space="0" w:color="auto"/>
        <w:bottom w:val="none" w:sz="0" w:space="0" w:color="auto"/>
        <w:right w:val="none" w:sz="0" w:space="0" w:color="auto"/>
      </w:divBdr>
    </w:div>
    <w:div w:id="415976112">
      <w:bodyDiv w:val="1"/>
      <w:marLeft w:val="0"/>
      <w:marRight w:val="0"/>
      <w:marTop w:val="0"/>
      <w:marBottom w:val="0"/>
      <w:divBdr>
        <w:top w:val="none" w:sz="0" w:space="0" w:color="auto"/>
        <w:left w:val="none" w:sz="0" w:space="0" w:color="auto"/>
        <w:bottom w:val="none" w:sz="0" w:space="0" w:color="auto"/>
        <w:right w:val="none" w:sz="0" w:space="0" w:color="auto"/>
      </w:divBdr>
    </w:div>
    <w:div w:id="422727130">
      <w:bodyDiv w:val="1"/>
      <w:marLeft w:val="0"/>
      <w:marRight w:val="0"/>
      <w:marTop w:val="0"/>
      <w:marBottom w:val="0"/>
      <w:divBdr>
        <w:top w:val="none" w:sz="0" w:space="0" w:color="auto"/>
        <w:left w:val="none" w:sz="0" w:space="0" w:color="auto"/>
        <w:bottom w:val="none" w:sz="0" w:space="0" w:color="auto"/>
        <w:right w:val="none" w:sz="0" w:space="0" w:color="auto"/>
      </w:divBdr>
    </w:div>
    <w:div w:id="424032679">
      <w:bodyDiv w:val="1"/>
      <w:marLeft w:val="0"/>
      <w:marRight w:val="0"/>
      <w:marTop w:val="0"/>
      <w:marBottom w:val="0"/>
      <w:divBdr>
        <w:top w:val="none" w:sz="0" w:space="0" w:color="auto"/>
        <w:left w:val="none" w:sz="0" w:space="0" w:color="auto"/>
        <w:bottom w:val="none" w:sz="0" w:space="0" w:color="auto"/>
        <w:right w:val="none" w:sz="0" w:space="0" w:color="auto"/>
      </w:divBdr>
    </w:div>
    <w:div w:id="438109806">
      <w:bodyDiv w:val="1"/>
      <w:marLeft w:val="0"/>
      <w:marRight w:val="0"/>
      <w:marTop w:val="0"/>
      <w:marBottom w:val="0"/>
      <w:divBdr>
        <w:top w:val="none" w:sz="0" w:space="0" w:color="auto"/>
        <w:left w:val="none" w:sz="0" w:space="0" w:color="auto"/>
        <w:bottom w:val="none" w:sz="0" w:space="0" w:color="auto"/>
        <w:right w:val="none" w:sz="0" w:space="0" w:color="auto"/>
      </w:divBdr>
      <w:divsChild>
        <w:div w:id="2133400345">
          <w:marLeft w:val="0"/>
          <w:marRight w:val="0"/>
          <w:marTop w:val="0"/>
          <w:marBottom w:val="0"/>
          <w:divBdr>
            <w:top w:val="none" w:sz="0" w:space="0" w:color="auto"/>
            <w:left w:val="none" w:sz="0" w:space="0" w:color="auto"/>
            <w:bottom w:val="none" w:sz="0" w:space="0" w:color="auto"/>
            <w:right w:val="none" w:sz="0" w:space="0" w:color="auto"/>
          </w:divBdr>
        </w:div>
      </w:divsChild>
    </w:div>
    <w:div w:id="480119615">
      <w:bodyDiv w:val="1"/>
      <w:marLeft w:val="0"/>
      <w:marRight w:val="0"/>
      <w:marTop w:val="0"/>
      <w:marBottom w:val="0"/>
      <w:divBdr>
        <w:top w:val="none" w:sz="0" w:space="0" w:color="auto"/>
        <w:left w:val="none" w:sz="0" w:space="0" w:color="auto"/>
        <w:bottom w:val="none" w:sz="0" w:space="0" w:color="auto"/>
        <w:right w:val="none" w:sz="0" w:space="0" w:color="auto"/>
      </w:divBdr>
    </w:div>
    <w:div w:id="489978695">
      <w:bodyDiv w:val="1"/>
      <w:marLeft w:val="0"/>
      <w:marRight w:val="0"/>
      <w:marTop w:val="0"/>
      <w:marBottom w:val="0"/>
      <w:divBdr>
        <w:top w:val="none" w:sz="0" w:space="0" w:color="auto"/>
        <w:left w:val="none" w:sz="0" w:space="0" w:color="auto"/>
        <w:bottom w:val="none" w:sz="0" w:space="0" w:color="auto"/>
        <w:right w:val="none" w:sz="0" w:space="0" w:color="auto"/>
      </w:divBdr>
    </w:div>
    <w:div w:id="512695151">
      <w:bodyDiv w:val="1"/>
      <w:marLeft w:val="0"/>
      <w:marRight w:val="0"/>
      <w:marTop w:val="0"/>
      <w:marBottom w:val="0"/>
      <w:divBdr>
        <w:top w:val="none" w:sz="0" w:space="0" w:color="auto"/>
        <w:left w:val="none" w:sz="0" w:space="0" w:color="auto"/>
        <w:bottom w:val="none" w:sz="0" w:space="0" w:color="auto"/>
        <w:right w:val="none" w:sz="0" w:space="0" w:color="auto"/>
      </w:divBdr>
    </w:div>
    <w:div w:id="530530422">
      <w:bodyDiv w:val="1"/>
      <w:marLeft w:val="0"/>
      <w:marRight w:val="0"/>
      <w:marTop w:val="0"/>
      <w:marBottom w:val="0"/>
      <w:divBdr>
        <w:top w:val="none" w:sz="0" w:space="0" w:color="auto"/>
        <w:left w:val="none" w:sz="0" w:space="0" w:color="auto"/>
        <w:bottom w:val="none" w:sz="0" w:space="0" w:color="auto"/>
        <w:right w:val="none" w:sz="0" w:space="0" w:color="auto"/>
      </w:divBdr>
    </w:div>
    <w:div w:id="544560494">
      <w:bodyDiv w:val="1"/>
      <w:marLeft w:val="0"/>
      <w:marRight w:val="0"/>
      <w:marTop w:val="0"/>
      <w:marBottom w:val="0"/>
      <w:divBdr>
        <w:top w:val="none" w:sz="0" w:space="0" w:color="auto"/>
        <w:left w:val="none" w:sz="0" w:space="0" w:color="auto"/>
        <w:bottom w:val="none" w:sz="0" w:space="0" w:color="auto"/>
        <w:right w:val="none" w:sz="0" w:space="0" w:color="auto"/>
      </w:divBdr>
    </w:div>
    <w:div w:id="577593366">
      <w:bodyDiv w:val="1"/>
      <w:marLeft w:val="0"/>
      <w:marRight w:val="0"/>
      <w:marTop w:val="0"/>
      <w:marBottom w:val="0"/>
      <w:divBdr>
        <w:top w:val="none" w:sz="0" w:space="0" w:color="auto"/>
        <w:left w:val="none" w:sz="0" w:space="0" w:color="auto"/>
        <w:bottom w:val="none" w:sz="0" w:space="0" w:color="auto"/>
        <w:right w:val="none" w:sz="0" w:space="0" w:color="auto"/>
      </w:divBdr>
    </w:div>
    <w:div w:id="588463852">
      <w:bodyDiv w:val="1"/>
      <w:marLeft w:val="0"/>
      <w:marRight w:val="0"/>
      <w:marTop w:val="0"/>
      <w:marBottom w:val="0"/>
      <w:divBdr>
        <w:top w:val="none" w:sz="0" w:space="0" w:color="auto"/>
        <w:left w:val="none" w:sz="0" w:space="0" w:color="auto"/>
        <w:bottom w:val="none" w:sz="0" w:space="0" w:color="auto"/>
        <w:right w:val="none" w:sz="0" w:space="0" w:color="auto"/>
      </w:divBdr>
    </w:div>
    <w:div w:id="610236837">
      <w:bodyDiv w:val="1"/>
      <w:marLeft w:val="0"/>
      <w:marRight w:val="0"/>
      <w:marTop w:val="0"/>
      <w:marBottom w:val="0"/>
      <w:divBdr>
        <w:top w:val="none" w:sz="0" w:space="0" w:color="auto"/>
        <w:left w:val="none" w:sz="0" w:space="0" w:color="auto"/>
        <w:bottom w:val="none" w:sz="0" w:space="0" w:color="auto"/>
        <w:right w:val="none" w:sz="0" w:space="0" w:color="auto"/>
      </w:divBdr>
    </w:div>
    <w:div w:id="625552465">
      <w:bodyDiv w:val="1"/>
      <w:marLeft w:val="0"/>
      <w:marRight w:val="0"/>
      <w:marTop w:val="0"/>
      <w:marBottom w:val="0"/>
      <w:divBdr>
        <w:top w:val="none" w:sz="0" w:space="0" w:color="auto"/>
        <w:left w:val="none" w:sz="0" w:space="0" w:color="auto"/>
        <w:bottom w:val="none" w:sz="0" w:space="0" w:color="auto"/>
        <w:right w:val="none" w:sz="0" w:space="0" w:color="auto"/>
      </w:divBdr>
    </w:div>
    <w:div w:id="636297759">
      <w:bodyDiv w:val="1"/>
      <w:marLeft w:val="0"/>
      <w:marRight w:val="0"/>
      <w:marTop w:val="0"/>
      <w:marBottom w:val="0"/>
      <w:divBdr>
        <w:top w:val="none" w:sz="0" w:space="0" w:color="auto"/>
        <w:left w:val="none" w:sz="0" w:space="0" w:color="auto"/>
        <w:bottom w:val="none" w:sz="0" w:space="0" w:color="auto"/>
        <w:right w:val="none" w:sz="0" w:space="0" w:color="auto"/>
      </w:divBdr>
    </w:div>
    <w:div w:id="638876389">
      <w:bodyDiv w:val="1"/>
      <w:marLeft w:val="0"/>
      <w:marRight w:val="0"/>
      <w:marTop w:val="0"/>
      <w:marBottom w:val="0"/>
      <w:divBdr>
        <w:top w:val="none" w:sz="0" w:space="0" w:color="auto"/>
        <w:left w:val="none" w:sz="0" w:space="0" w:color="auto"/>
        <w:bottom w:val="none" w:sz="0" w:space="0" w:color="auto"/>
        <w:right w:val="none" w:sz="0" w:space="0" w:color="auto"/>
      </w:divBdr>
    </w:div>
    <w:div w:id="644159579">
      <w:bodyDiv w:val="1"/>
      <w:marLeft w:val="0"/>
      <w:marRight w:val="0"/>
      <w:marTop w:val="0"/>
      <w:marBottom w:val="0"/>
      <w:divBdr>
        <w:top w:val="none" w:sz="0" w:space="0" w:color="auto"/>
        <w:left w:val="none" w:sz="0" w:space="0" w:color="auto"/>
        <w:bottom w:val="none" w:sz="0" w:space="0" w:color="auto"/>
        <w:right w:val="none" w:sz="0" w:space="0" w:color="auto"/>
      </w:divBdr>
    </w:div>
    <w:div w:id="645473682">
      <w:bodyDiv w:val="1"/>
      <w:marLeft w:val="0"/>
      <w:marRight w:val="0"/>
      <w:marTop w:val="0"/>
      <w:marBottom w:val="0"/>
      <w:divBdr>
        <w:top w:val="none" w:sz="0" w:space="0" w:color="auto"/>
        <w:left w:val="none" w:sz="0" w:space="0" w:color="auto"/>
        <w:bottom w:val="none" w:sz="0" w:space="0" w:color="auto"/>
        <w:right w:val="none" w:sz="0" w:space="0" w:color="auto"/>
      </w:divBdr>
    </w:div>
    <w:div w:id="710960098">
      <w:bodyDiv w:val="1"/>
      <w:marLeft w:val="0"/>
      <w:marRight w:val="0"/>
      <w:marTop w:val="0"/>
      <w:marBottom w:val="0"/>
      <w:divBdr>
        <w:top w:val="none" w:sz="0" w:space="0" w:color="auto"/>
        <w:left w:val="none" w:sz="0" w:space="0" w:color="auto"/>
        <w:bottom w:val="none" w:sz="0" w:space="0" w:color="auto"/>
        <w:right w:val="none" w:sz="0" w:space="0" w:color="auto"/>
      </w:divBdr>
    </w:div>
    <w:div w:id="718020237">
      <w:bodyDiv w:val="1"/>
      <w:marLeft w:val="0"/>
      <w:marRight w:val="0"/>
      <w:marTop w:val="0"/>
      <w:marBottom w:val="0"/>
      <w:divBdr>
        <w:top w:val="none" w:sz="0" w:space="0" w:color="auto"/>
        <w:left w:val="none" w:sz="0" w:space="0" w:color="auto"/>
        <w:bottom w:val="none" w:sz="0" w:space="0" w:color="auto"/>
        <w:right w:val="none" w:sz="0" w:space="0" w:color="auto"/>
      </w:divBdr>
    </w:div>
    <w:div w:id="726685731">
      <w:bodyDiv w:val="1"/>
      <w:marLeft w:val="0"/>
      <w:marRight w:val="0"/>
      <w:marTop w:val="0"/>
      <w:marBottom w:val="0"/>
      <w:divBdr>
        <w:top w:val="none" w:sz="0" w:space="0" w:color="auto"/>
        <w:left w:val="none" w:sz="0" w:space="0" w:color="auto"/>
        <w:bottom w:val="none" w:sz="0" w:space="0" w:color="auto"/>
        <w:right w:val="none" w:sz="0" w:space="0" w:color="auto"/>
      </w:divBdr>
    </w:div>
    <w:div w:id="761605605">
      <w:bodyDiv w:val="1"/>
      <w:marLeft w:val="0"/>
      <w:marRight w:val="0"/>
      <w:marTop w:val="0"/>
      <w:marBottom w:val="0"/>
      <w:divBdr>
        <w:top w:val="none" w:sz="0" w:space="0" w:color="auto"/>
        <w:left w:val="none" w:sz="0" w:space="0" w:color="auto"/>
        <w:bottom w:val="none" w:sz="0" w:space="0" w:color="auto"/>
        <w:right w:val="none" w:sz="0" w:space="0" w:color="auto"/>
      </w:divBdr>
    </w:div>
    <w:div w:id="849217165">
      <w:bodyDiv w:val="1"/>
      <w:marLeft w:val="0"/>
      <w:marRight w:val="0"/>
      <w:marTop w:val="0"/>
      <w:marBottom w:val="0"/>
      <w:divBdr>
        <w:top w:val="none" w:sz="0" w:space="0" w:color="auto"/>
        <w:left w:val="none" w:sz="0" w:space="0" w:color="auto"/>
        <w:bottom w:val="none" w:sz="0" w:space="0" w:color="auto"/>
        <w:right w:val="none" w:sz="0" w:space="0" w:color="auto"/>
      </w:divBdr>
    </w:div>
    <w:div w:id="867184703">
      <w:bodyDiv w:val="1"/>
      <w:marLeft w:val="0"/>
      <w:marRight w:val="0"/>
      <w:marTop w:val="0"/>
      <w:marBottom w:val="0"/>
      <w:divBdr>
        <w:top w:val="none" w:sz="0" w:space="0" w:color="auto"/>
        <w:left w:val="none" w:sz="0" w:space="0" w:color="auto"/>
        <w:bottom w:val="none" w:sz="0" w:space="0" w:color="auto"/>
        <w:right w:val="none" w:sz="0" w:space="0" w:color="auto"/>
      </w:divBdr>
    </w:div>
    <w:div w:id="874538150">
      <w:bodyDiv w:val="1"/>
      <w:marLeft w:val="0"/>
      <w:marRight w:val="0"/>
      <w:marTop w:val="0"/>
      <w:marBottom w:val="0"/>
      <w:divBdr>
        <w:top w:val="none" w:sz="0" w:space="0" w:color="auto"/>
        <w:left w:val="none" w:sz="0" w:space="0" w:color="auto"/>
        <w:bottom w:val="none" w:sz="0" w:space="0" w:color="auto"/>
        <w:right w:val="none" w:sz="0" w:space="0" w:color="auto"/>
      </w:divBdr>
    </w:div>
    <w:div w:id="890729345">
      <w:bodyDiv w:val="1"/>
      <w:marLeft w:val="0"/>
      <w:marRight w:val="0"/>
      <w:marTop w:val="0"/>
      <w:marBottom w:val="0"/>
      <w:divBdr>
        <w:top w:val="none" w:sz="0" w:space="0" w:color="auto"/>
        <w:left w:val="none" w:sz="0" w:space="0" w:color="auto"/>
        <w:bottom w:val="none" w:sz="0" w:space="0" w:color="auto"/>
        <w:right w:val="none" w:sz="0" w:space="0" w:color="auto"/>
      </w:divBdr>
    </w:div>
    <w:div w:id="934359492">
      <w:bodyDiv w:val="1"/>
      <w:marLeft w:val="0"/>
      <w:marRight w:val="0"/>
      <w:marTop w:val="0"/>
      <w:marBottom w:val="0"/>
      <w:divBdr>
        <w:top w:val="none" w:sz="0" w:space="0" w:color="auto"/>
        <w:left w:val="none" w:sz="0" w:space="0" w:color="auto"/>
        <w:bottom w:val="none" w:sz="0" w:space="0" w:color="auto"/>
        <w:right w:val="none" w:sz="0" w:space="0" w:color="auto"/>
      </w:divBdr>
      <w:divsChild>
        <w:div w:id="425536026">
          <w:marLeft w:val="446"/>
          <w:marRight w:val="0"/>
          <w:marTop w:val="0"/>
          <w:marBottom w:val="0"/>
          <w:divBdr>
            <w:top w:val="none" w:sz="0" w:space="0" w:color="auto"/>
            <w:left w:val="none" w:sz="0" w:space="0" w:color="auto"/>
            <w:bottom w:val="none" w:sz="0" w:space="0" w:color="auto"/>
            <w:right w:val="none" w:sz="0" w:space="0" w:color="auto"/>
          </w:divBdr>
        </w:div>
      </w:divsChild>
    </w:div>
    <w:div w:id="940331892">
      <w:bodyDiv w:val="1"/>
      <w:marLeft w:val="0"/>
      <w:marRight w:val="0"/>
      <w:marTop w:val="0"/>
      <w:marBottom w:val="0"/>
      <w:divBdr>
        <w:top w:val="none" w:sz="0" w:space="0" w:color="auto"/>
        <w:left w:val="none" w:sz="0" w:space="0" w:color="auto"/>
        <w:bottom w:val="none" w:sz="0" w:space="0" w:color="auto"/>
        <w:right w:val="none" w:sz="0" w:space="0" w:color="auto"/>
      </w:divBdr>
    </w:div>
    <w:div w:id="979697783">
      <w:bodyDiv w:val="1"/>
      <w:marLeft w:val="0"/>
      <w:marRight w:val="0"/>
      <w:marTop w:val="0"/>
      <w:marBottom w:val="0"/>
      <w:divBdr>
        <w:top w:val="none" w:sz="0" w:space="0" w:color="auto"/>
        <w:left w:val="none" w:sz="0" w:space="0" w:color="auto"/>
        <w:bottom w:val="none" w:sz="0" w:space="0" w:color="auto"/>
        <w:right w:val="none" w:sz="0" w:space="0" w:color="auto"/>
      </w:divBdr>
    </w:div>
    <w:div w:id="1022173903">
      <w:bodyDiv w:val="1"/>
      <w:marLeft w:val="0"/>
      <w:marRight w:val="0"/>
      <w:marTop w:val="0"/>
      <w:marBottom w:val="0"/>
      <w:divBdr>
        <w:top w:val="none" w:sz="0" w:space="0" w:color="auto"/>
        <w:left w:val="none" w:sz="0" w:space="0" w:color="auto"/>
        <w:bottom w:val="none" w:sz="0" w:space="0" w:color="auto"/>
        <w:right w:val="none" w:sz="0" w:space="0" w:color="auto"/>
      </w:divBdr>
    </w:div>
    <w:div w:id="1074205447">
      <w:bodyDiv w:val="1"/>
      <w:marLeft w:val="0"/>
      <w:marRight w:val="0"/>
      <w:marTop w:val="0"/>
      <w:marBottom w:val="0"/>
      <w:divBdr>
        <w:top w:val="none" w:sz="0" w:space="0" w:color="auto"/>
        <w:left w:val="none" w:sz="0" w:space="0" w:color="auto"/>
        <w:bottom w:val="none" w:sz="0" w:space="0" w:color="auto"/>
        <w:right w:val="none" w:sz="0" w:space="0" w:color="auto"/>
      </w:divBdr>
    </w:div>
    <w:div w:id="1075858844">
      <w:bodyDiv w:val="1"/>
      <w:marLeft w:val="0"/>
      <w:marRight w:val="0"/>
      <w:marTop w:val="0"/>
      <w:marBottom w:val="0"/>
      <w:divBdr>
        <w:top w:val="none" w:sz="0" w:space="0" w:color="auto"/>
        <w:left w:val="none" w:sz="0" w:space="0" w:color="auto"/>
        <w:bottom w:val="none" w:sz="0" w:space="0" w:color="auto"/>
        <w:right w:val="none" w:sz="0" w:space="0" w:color="auto"/>
      </w:divBdr>
    </w:div>
    <w:div w:id="1143700011">
      <w:bodyDiv w:val="1"/>
      <w:marLeft w:val="0"/>
      <w:marRight w:val="0"/>
      <w:marTop w:val="0"/>
      <w:marBottom w:val="0"/>
      <w:divBdr>
        <w:top w:val="none" w:sz="0" w:space="0" w:color="auto"/>
        <w:left w:val="none" w:sz="0" w:space="0" w:color="auto"/>
        <w:bottom w:val="none" w:sz="0" w:space="0" w:color="auto"/>
        <w:right w:val="none" w:sz="0" w:space="0" w:color="auto"/>
      </w:divBdr>
    </w:div>
    <w:div w:id="1218466964">
      <w:bodyDiv w:val="1"/>
      <w:marLeft w:val="0"/>
      <w:marRight w:val="0"/>
      <w:marTop w:val="0"/>
      <w:marBottom w:val="0"/>
      <w:divBdr>
        <w:top w:val="none" w:sz="0" w:space="0" w:color="auto"/>
        <w:left w:val="none" w:sz="0" w:space="0" w:color="auto"/>
        <w:bottom w:val="none" w:sz="0" w:space="0" w:color="auto"/>
        <w:right w:val="none" w:sz="0" w:space="0" w:color="auto"/>
      </w:divBdr>
    </w:div>
    <w:div w:id="1230380722">
      <w:bodyDiv w:val="1"/>
      <w:marLeft w:val="0"/>
      <w:marRight w:val="0"/>
      <w:marTop w:val="0"/>
      <w:marBottom w:val="0"/>
      <w:divBdr>
        <w:top w:val="none" w:sz="0" w:space="0" w:color="auto"/>
        <w:left w:val="none" w:sz="0" w:space="0" w:color="auto"/>
        <w:bottom w:val="none" w:sz="0" w:space="0" w:color="auto"/>
        <w:right w:val="none" w:sz="0" w:space="0" w:color="auto"/>
      </w:divBdr>
    </w:div>
    <w:div w:id="1233852521">
      <w:bodyDiv w:val="1"/>
      <w:marLeft w:val="0"/>
      <w:marRight w:val="0"/>
      <w:marTop w:val="0"/>
      <w:marBottom w:val="0"/>
      <w:divBdr>
        <w:top w:val="none" w:sz="0" w:space="0" w:color="auto"/>
        <w:left w:val="none" w:sz="0" w:space="0" w:color="auto"/>
        <w:bottom w:val="none" w:sz="0" w:space="0" w:color="auto"/>
        <w:right w:val="none" w:sz="0" w:space="0" w:color="auto"/>
      </w:divBdr>
    </w:div>
    <w:div w:id="1240140962">
      <w:bodyDiv w:val="1"/>
      <w:marLeft w:val="0"/>
      <w:marRight w:val="0"/>
      <w:marTop w:val="0"/>
      <w:marBottom w:val="0"/>
      <w:divBdr>
        <w:top w:val="none" w:sz="0" w:space="0" w:color="auto"/>
        <w:left w:val="none" w:sz="0" w:space="0" w:color="auto"/>
        <w:bottom w:val="none" w:sz="0" w:space="0" w:color="auto"/>
        <w:right w:val="none" w:sz="0" w:space="0" w:color="auto"/>
      </w:divBdr>
    </w:div>
    <w:div w:id="1260871126">
      <w:bodyDiv w:val="1"/>
      <w:marLeft w:val="0"/>
      <w:marRight w:val="0"/>
      <w:marTop w:val="0"/>
      <w:marBottom w:val="0"/>
      <w:divBdr>
        <w:top w:val="none" w:sz="0" w:space="0" w:color="auto"/>
        <w:left w:val="none" w:sz="0" w:space="0" w:color="auto"/>
        <w:bottom w:val="none" w:sz="0" w:space="0" w:color="auto"/>
        <w:right w:val="none" w:sz="0" w:space="0" w:color="auto"/>
      </w:divBdr>
    </w:div>
    <w:div w:id="1263949305">
      <w:bodyDiv w:val="1"/>
      <w:marLeft w:val="0"/>
      <w:marRight w:val="0"/>
      <w:marTop w:val="0"/>
      <w:marBottom w:val="0"/>
      <w:divBdr>
        <w:top w:val="none" w:sz="0" w:space="0" w:color="auto"/>
        <w:left w:val="none" w:sz="0" w:space="0" w:color="auto"/>
        <w:bottom w:val="none" w:sz="0" w:space="0" w:color="auto"/>
        <w:right w:val="none" w:sz="0" w:space="0" w:color="auto"/>
      </w:divBdr>
    </w:div>
    <w:div w:id="1275089192">
      <w:bodyDiv w:val="1"/>
      <w:marLeft w:val="0"/>
      <w:marRight w:val="0"/>
      <w:marTop w:val="0"/>
      <w:marBottom w:val="0"/>
      <w:divBdr>
        <w:top w:val="none" w:sz="0" w:space="0" w:color="auto"/>
        <w:left w:val="none" w:sz="0" w:space="0" w:color="auto"/>
        <w:bottom w:val="none" w:sz="0" w:space="0" w:color="auto"/>
        <w:right w:val="none" w:sz="0" w:space="0" w:color="auto"/>
      </w:divBdr>
    </w:div>
    <w:div w:id="1285426343">
      <w:bodyDiv w:val="1"/>
      <w:marLeft w:val="0"/>
      <w:marRight w:val="0"/>
      <w:marTop w:val="0"/>
      <w:marBottom w:val="0"/>
      <w:divBdr>
        <w:top w:val="none" w:sz="0" w:space="0" w:color="auto"/>
        <w:left w:val="none" w:sz="0" w:space="0" w:color="auto"/>
        <w:bottom w:val="none" w:sz="0" w:space="0" w:color="auto"/>
        <w:right w:val="none" w:sz="0" w:space="0" w:color="auto"/>
      </w:divBdr>
    </w:div>
    <w:div w:id="1305232976">
      <w:bodyDiv w:val="1"/>
      <w:marLeft w:val="0"/>
      <w:marRight w:val="0"/>
      <w:marTop w:val="0"/>
      <w:marBottom w:val="0"/>
      <w:divBdr>
        <w:top w:val="none" w:sz="0" w:space="0" w:color="auto"/>
        <w:left w:val="none" w:sz="0" w:space="0" w:color="auto"/>
        <w:bottom w:val="none" w:sz="0" w:space="0" w:color="auto"/>
        <w:right w:val="none" w:sz="0" w:space="0" w:color="auto"/>
      </w:divBdr>
    </w:div>
    <w:div w:id="1326514714">
      <w:bodyDiv w:val="1"/>
      <w:marLeft w:val="0"/>
      <w:marRight w:val="0"/>
      <w:marTop w:val="0"/>
      <w:marBottom w:val="0"/>
      <w:divBdr>
        <w:top w:val="none" w:sz="0" w:space="0" w:color="auto"/>
        <w:left w:val="none" w:sz="0" w:space="0" w:color="auto"/>
        <w:bottom w:val="none" w:sz="0" w:space="0" w:color="auto"/>
        <w:right w:val="none" w:sz="0" w:space="0" w:color="auto"/>
      </w:divBdr>
    </w:div>
    <w:div w:id="1326595311">
      <w:bodyDiv w:val="1"/>
      <w:marLeft w:val="0"/>
      <w:marRight w:val="0"/>
      <w:marTop w:val="0"/>
      <w:marBottom w:val="0"/>
      <w:divBdr>
        <w:top w:val="none" w:sz="0" w:space="0" w:color="auto"/>
        <w:left w:val="none" w:sz="0" w:space="0" w:color="auto"/>
        <w:bottom w:val="none" w:sz="0" w:space="0" w:color="auto"/>
        <w:right w:val="none" w:sz="0" w:space="0" w:color="auto"/>
      </w:divBdr>
    </w:div>
    <w:div w:id="1332758534">
      <w:bodyDiv w:val="1"/>
      <w:marLeft w:val="0"/>
      <w:marRight w:val="0"/>
      <w:marTop w:val="0"/>
      <w:marBottom w:val="0"/>
      <w:divBdr>
        <w:top w:val="none" w:sz="0" w:space="0" w:color="auto"/>
        <w:left w:val="none" w:sz="0" w:space="0" w:color="auto"/>
        <w:bottom w:val="none" w:sz="0" w:space="0" w:color="auto"/>
        <w:right w:val="none" w:sz="0" w:space="0" w:color="auto"/>
      </w:divBdr>
    </w:div>
    <w:div w:id="1333294851">
      <w:bodyDiv w:val="1"/>
      <w:marLeft w:val="0"/>
      <w:marRight w:val="0"/>
      <w:marTop w:val="0"/>
      <w:marBottom w:val="0"/>
      <w:divBdr>
        <w:top w:val="none" w:sz="0" w:space="0" w:color="auto"/>
        <w:left w:val="none" w:sz="0" w:space="0" w:color="auto"/>
        <w:bottom w:val="none" w:sz="0" w:space="0" w:color="auto"/>
        <w:right w:val="none" w:sz="0" w:space="0" w:color="auto"/>
      </w:divBdr>
    </w:div>
    <w:div w:id="1383553043">
      <w:bodyDiv w:val="1"/>
      <w:marLeft w:val="0"/>
      <w:marRight w:val="0"/>
      <w:marTop w:val="0"/>
      <w:marBottom w:val="0"/>
      <w:divBdr>
        <w:top w:val="none" w:sz="0" w:space="0" w:color="auto"/>
        <w:left w:val="none" w:sz="0" w:space="0" w:color="auto"/>
        <w:bottom w:val="none" w:sz="0" w:space="0" w:color="auto"/>
        <w:right w:val="none" w:sz="0" w:space="0" w:color="auto"/>
      </w:divBdr>
    </w:div>
    <w:div w:id="1389064962">
      <w:bodyDiv w:val="1"/>
      <w:marLeft w:val="0"/>
      <w:marRight w:val="0"/>
      <w:marTop w:val="0"/>
      <w:marBottom w:val="0"/>
      <w:divBdr>
        <w:top w:val="none" w:sz="0" w:space="0" w:color="auto"/>
        <w:left w:val="none" w:sz="0" w:space="0" w:color="auto"/>
        <w:bottom w:val="none" w:sz="0" w:space="0" w:color="auto"/>
        <w:right w:val="none" w:sz="0" w:space="0" w:color="auto"/>
      </w:divBdr>
    </w:div>
    <w:div w:id="1403017677">
      <w:bodyDiv w:val="1"/>
      <w:marLeft w:val="0"/>
      <w:marRight w:val="0"/>
      <w:marTop w:val="0"/>
      <w:marBottom w:val="0"/>
      <w:divBdr>
        <w:top w:val="none" w:sz="0" w:space="0" w:color="auto"/>
        <w:left w:val="none" w:sz="0" w:space="0" w:color="auto"/>
        <w:bottom w:val="none" w:sz="0" w:space="0" w:color="auto"/>
        <w:right w:val="none" w:sz="0" w:space="0" w:color="auto"/>
      </w:divBdr>
    </w:div>
    <w:div w:id="1441029960">
      <w:bodyDiv w:val="1"/>
      <w:marLeft w:val="0"/>
      <w:marRight w:val="0"/>
      <w:marTop w:val="0"/>
      <w:marBottom w:val="0"/>
      <w:divBdr>
        <w:top w:val="none" w:sz="0" w:space="0" w:color="auto"/>
        <w:left w:val="none" w:sz="0" w:space="0" w:color="auto"/>
        <w:bottom w:val="none" w:sz="0" w:space="0" w:color="auto"/>
        <w:right w:val="none" w:sz="0" w:space="0" w:color="auto"/>
      </w:divBdr>
    </w:div>
    <w:div w:id="1455632407">
      <w:bodyDiv w:val="1"/>
      <w:marLeft w:val="0"/>
      <w:marRight w:val="0"/>
      <w:marTop w:val="0"/>
      <w:marBottom w:val="0"/>
      <w:divBdr>
        <w:top w:val="none" w:sz="0" w:space="0" w:color="auto"/>
        <w:left w:val="none" w:sz="0" w:space="0" w:color="auto"/>
        <w:bottom w:val="none" w:sz="0" w:space="0" w:color="auto"/>
        <w:right w:val="none" w:sz="0" w:space="0" w:color="auto"/>
      </w:divBdr>
    </w:div>
    <w:div w:id="1462267716">
      <w:bodyDiv w:val="1"/>
      <w:marLeft w:val="0"/>
      <w:marRight w:val="0"/>
      <w:marTop w:val="0"/>
      <w:marBottom w:val="0"/>
      <w:divBdr>
        <w:top w:val="none" w:sz="0" w:space="0" w:color="auto"/>
        <w:left w:val="none" w:sz="0" w:space="0" w:color="auto"/>
        <w:bottom w:val="none" w:sz="0" w:space="0" w:color="auto"/>
        <w:right w:val="none" w:sz="0" w:space="0" w:color="auto"/>
      </w:divBdr>
    </w:div>
    <w:div w:id="1482114940">
      <w:bodyDiv w:val="1"/>
      <w:marLeft w:val="0"/>
      <w:marRight w:val="0"/>
      <w:marTop w:val="0"/>
      <w:marBottom w:val="0"/>
      <w:divBdr>
        <w:top w:val="none" w:sz="0" w:space="0" w:color="auto"/>
        <w:left w:val="none" w:sz="0" w:space="0" w:color="auto"/>
        <w:bottom w:val="none" w:sz="0" w:space="0" w:color="auto"/>
        <w:right w:val="none" w:sz="0" w:space="0" w:color="auto"/>
      </w:divBdr>
    </w:div>
    <w:div w:id="1500274451">
      <w:bodyDiv w:val="1"/>
      <w:marLeft w:val="0"/>
      <w:marRight w:val="0"/>
      <w:marTop w:val="0"/>
      <w:marBottom w:val="0"/>
      <w:divBdr>
        <w:top w:val="none" w:sz="0" w:space="0" w:color="auto"/>
        <w:left w:val="none" w:sz="0" w:space="0" w:color="auto"/>
        <w:bottom w:val="none" w:sz="0" w:space="0" w:color="auto"/>
        <w:right w:val="none" w:sz="0" w:space="0" w:color="auto"/>
      </w:divBdr>
    </w:div>
    <w:div w:id="1532574670">
      <w:bodyDiv w:val="1"/>
      <w:marLeft w:val="0"/>
      <w:marRight w:val="0"/>
      <w:marTop w:val="0"/>
      <w:marBottom w:val="0"/>
      <w:divBdr>
        <w:top w:val="none" w:sz="0" w:space="0" w:color="auto"/>
        <w:left w:val="none" w:sz="0" w:space="0" w:color="auto"/>
        <w:bottom w:val="none" w:sz="0" w:space="0" w:color="auto"/>
        <w:right w:val="none" w:sz="0" w:space="0" w:color="auto"/>
      </w:divBdr>
    </w:div>
    <w:div w:id="1548372323">
      <w:bodyDiv w:val="1"/>
      <w:marLeft w:val="0"/>
      <w:marRight w:val="0"/>
      <w:marTop w:val="0"/>
      <w:marBottom w:val="0"/>
      <w:divBdr>
        <w:top w:val="none" w:sz="0" w:space="0" w:color="auto"/>
        <w:left w:val="none" w:sz="0" w:space="0" w:color="auto"/>
        <w:bottom w:val="none" w:sz="0" w:space="0" w:color="auto"/>
        <w:right w:val="none" w:sz="0" w:space="0" w:color="auto"/>
      </w:divBdr>
    </w:div>
    <w:div w:id="1558473171">
      <w:bodyDiv w:val="1"/>
      <w:marLeft w:val="0"/>
      <w:marRight w:val="0"/>
      <w:marTop w:val="0"/>
      <w:marBottom w:val="0"/>
      <w:divBdr>
        <w:top w:val="none" w:sz="0" w:space="0" w:color="auto"/>
        <w:left w:val="none" w:sz="0" w:space="0" w:color="auto"/>
        <w:bottom w:val="none" w:sz="0" w:space="0" w:color="auto"/>
        <w:right w:val="none" w:sz="0" w:space="0" w:color="auto"/>
      </w:divBdr>
    </w:div>
    <w:div w:id="1582104940">
      <w:bodyDiv w:val="1"/>
      <w:marLeft w:val="0"/>
      <w:marRight w:val="0"/>
      <w:marTop w:val="0"/>
      <w:marBottom w:val="0"/>
      <w:divBdr>
        <w:top w:val="none" w:sz="0" w:space="0" w:color="auto"/>
        <w:left w:val="none" w:sz="0" w:space="0" w:color="auto"/>
        <w:bottom w:val="none" w:sz="0" w:space="0" w:color="auto"/>
        <w:right w:val="none" w:sz="0" w:space="0" w:color="auto"/>
      </w:divBdr>
    </w:div>
    <w:div w:id="1627194859">
      <w:bodyDiv w:val="1"/>
      <w:marLeft w:val="0"/>
      <w:marRight w:val="0"/>
      <w:marTop w:val="0"/>
      <w:marBottom w:val="0"/>
      <w:divBdr>
        <w:top w:val="none" w:sz="0" w:space="0" w:color="auto"/>
        <w:left w:val="none" w:sz="0" w:space="0" w:color="auto"/>
        <w:bottom w:val="none" w:sz="0" w:space="0" w:color="auto"/>
        <w:right w:val="none" w:sz="0" w:space="0" w:color="auto"/>
      </w:divBdr>
    </w:div>
    <w:div w:id="1630629157">
      <w:bodyDiv w:val="1"/>
      <w:marLeft w:val="0"/>
      <w:marRight w:val="0"/>
      <w:marTop w:val="0"/>
      <w:marBottom w:val="0"/>
      <w:divBdr>
        <w:top w:val="none" w:sz="0" w:space="0" w:color="auto"/>
        <w:left w:val="none" w:sz="0" w:space="0" w:color="auto"/>
        <w:bottom w:val="none" w:sz="0" w:space="0" w:color="auto"/>
        <w:right w:val="none" w:sz="0" w:space="0" w:color="auto"/>
      </w:divBdr>
    </w:div>
    <w:div w:id="1648313504">
      <w:bodyDiv w:val="1"/>
      <w:marLeft w:val="0"/>
      <w:marRight w:val="0"/>
      <w:marTop w:val="0"/>
      <w:marBottom w:val="0"/>
      <w:divBdr>
        <w:top w:val="none" w:sz="0" w:space="0" w:color="auto"/>
        <w:left w:val="none" w:sz="0" w:space="0" w:color="auto"/>
        <w:bottom w:val="none" w:sz="0" w:space="0" w:color="auto"/>
        <w:right w:val="none" w:sz="0" w:space="0" w:color="auto"/>
      </w:divBdr>
    </w:div>
    <w:div w:id="1663660443">
      <w:bodyDiv w:val="1"/>
      <w:marLeft w:val="0"/>
      <w:marRight w:val="0"/>
      <w:marTop w:val="0"/>
      <w:marBottom w:val="0"/>
      <w:divBdr>
        <w:top w:val="none" w:sz="0" w:space="0" w:color="auto"/>
        <w:left w:val="none" w:sz="0" w:space="0" w:color="auto"/>
        <w:bottom w:val="none" w:sz="0" w:space="0" w:color="auto"/>
        <w:right w:val="none" w:sz="0" w:space="0" w:color="auto"/>
      </w:divBdr>
    </w:div>
    <w:div w:id="1667439790">
      <w:bodyDiv w:val="1"/>
      <w:marLeft w:val="0"/>
      <w:marRight w:val="0"/>
      <w:marTop w:val="0"/>
      <w:marBottom w:val="0"/>
      <w:divBdr>
        <w:top w:val="none" w:sz="0" w:space="0" w:color="auto"/>
        <w:left w:val="none" w:sz="0" w:space="0" w:color="auto"/>
        <w:bottom w:val="none" w:sz="0" w:space="0" w:color="auto"/>
        <w:right w:val="none" w:sz="0" w:space="0" w:color="auto"/>
      </w:divBdr>
    </w:div>
    <w:div w:id="1682273063">
      <w:bodyDiv w:val="1"/>
      <w:marLeft w:val="0"/>
      <w:marRight w:val="0"/>
      <w:marTop w:val="0"/>
      <w:marBottom w:val="0"/>
      <w:divBdr>
        <w:top w:val="none" w:sz="0" w:space="0" w:color="auto"/>
        <w:left w:val="none" w:sz="0" w:space="0" w:color="auto"/>
        <w:bottom w:val="none" w:sz="0" w:space="0" w:color="auto"/>
        <w:right w:val="none" w:sz="0" w:space="0" w:color="auto"/>
      </w:divBdr>
    </w:div>
    <w:div w:id="1698193852">
      <w:bodyDiv w:val="1"/>
      <w:marLeft w:val="0"/>
      <w:marRight w:val="0"/>
      <w:marTop w:val="0"/>
      <w:marBottom w:val="0"/>
      <w:divBdr>
        <w:top w:val="none" w:sz="0" w:space="0" w:color="auto"/>
        <w:left w:val="none" w:sz="0" w:space="0" w:color="auto"/>
        <w:bottom w:val="none" w:sz="0" w:space="0" w:color="auto"/>
        <w:right w:val="none" w:sz="0" w:space="0" w:color="auto"/>
      </w:divBdr>
    </w:div>
    <w:div w:id="1711147183">
      <w:bodyDiv w:val="1"/>
      <w:marLeft w:val="0"/>
      <w:marRight w:val="0"/>
      <w:marTop w:val="0"/>
      <w:marBottom w:val="0"/>
      <w:divBdr>
        <w:top w:val="none" w:sz="0" w:space="0" w:color="auto"/>
        <w:left w:val="none" w:sz="0" w:space="0" w:color="auto"/>
        <w:bottom w:val="none" w:sz="0" w:space="0" w:color="auto"/>
        <w:right w:val="none" w:sz="0" w:space="0" w:color="auto"/>
      </w:divBdr>
    </w:div>
    <w:div w:id="1716805438">
      <w:bodyDiv w:val="1"/>
      <w:marLeft w:val="0"/>
      <w:marRight w:val="0"/>
      <w:marTop w:val="0"/>
      <w:marBottom w:val="0"/>
      <w:divBdr>
        <w:top w:val="none" w:sz="0" w:space="0" w:color="auto"/>
        <w:left w:val="none" w:sz="0" w:space="0" w:color="auto"/>
        <w:bottom w:val="none" w:sz="0" w:space="0" w:color="auto"/>
        <w:right w:val="none" w:sz="0" w:space="0" w:color="auto"/>
      </w:divBdr>
    </w:div>
    <w:div w:id="1718623788">
      <w:bodyDiv w:val="1"/>
      <w:marLeft w:val="0"/>
      <w:marRight w:val="0"/>
      <w:marTop w:val="0"/>
      <w:marBottom w:val="0"/>
      <w:divBdr>
        <w:top w:val="none" w:sz="0" w:space="0" w:color="auto"/>
        <w:left w:val="none" w:sz="0" w:space="0" w:color="auto"/>
        <w:bottom w:val="none" w:sz="0" w:space="0" w:color="auto"/>
        <w:right w:val="none" w:sz="0" w:space="0" w:color="auto"/>
      </w:divBdr>
    </w:div>
    <w:div w:id="1732538955">
      <w:bodyDiv w:val="1"/>
      <w:marLeft w:val="0"/>
      <w:marRight w:val="0"/>
      <w:marTop w:val="0"/>
      <w:marBottom w:val="0"/>
      <w:divBdr>
        <w:top w:val="none" w:sz="0" w:space="0" w:color="auto"/>
        <w:left w:val="none" w:sz="0" w:space="0" w:color="auto"/>
        <w:bottom w:val="none" w:sz="0" w:space="0" w:color="auto"/>
        <w:right w:val="none" w:sz="0" w:space="0" w:color="auto"/>
      </w:divBdr>
    </w:div>
    <w:div w:id="1765766583">
      <w:bodyDiv w:val="1"/>
      <w:marLeft w:val="0"/>
      <w:marRight w:val="0"/>
      <w:marTop w:val="0"/>
      <w:marBottom w:val="0"/>
      <w:divBdr>
        <w:top w:val="none" w:sz="0" w:space="0" w:color="auto"/>
        <w:left w:val="none" w:sz="0" w:space="0" w:color="auto"/>
        <w:bottom w:val="none" w:sz="0" w:space="0" w:color="auto"/>
        <w:right w:val="none" w:sz="0" w:space="0" w:color="auto"/>
      </w:divBdr>
    </w:div>
    <w:div w:id="1770003373">
      <w:bodyDiv w:val="1"/>
      <w:marLeft w:val="0"/>
      <w:marRight w:val="0"/>
      <w:marTop w:val="0"/>
      <w:marBottom w:val="0"/>
      <w:divBdr>
        <w:top w:val="none" w:sz="0" w:space="0" w:color="auto"/>
        <w:left w:val="none" w:sz="0" w:space="0" w:color="auto"/>
        <w:bottom w:val="none" w:sz="0" w:space="0" w:color="auto"/>
        <w:right w:val="none" w:sz="0" w:space="0" w:color="auto"/>
      </w:divBdr>
    </w:div>
    <w:div w:id="1814634334">
      <w:bodyDiv w:val="1"/>
      <w:marLeft w:val="0"/>
      <w:marRight w:val="0"/>
      <w:marTop w:val="0"/>
      <w:marBottom w:val="0"/>
      <w:divBdr>
        <w:top w:val="none" w:sz="0" w:space="0" w:color="auto"/>
        <w:left w:val="none" w:sz="0" w:space="0" w:color="auto"/>
        <w:bottom w:val="none" w:sz="0" w:space="0" w:color="auto"/>
        <w:right w:val="none" w:sz="0" w:space="0" w:color="auto"/>
      </w:divBdr>
    </w:div>
    <w:div w:id="1857034147">
      <w:bodyDiv w:val="1"/>
      <w:marLeft w:val="0"/>
      <w:marRight w:val="0"/>
      <w:marTop w:val="0"/>
      <w:marBottom w:val="0"/>
      <w:divBdr>
        <w:top w:val="none" w:sz="0" w:space="0" w:color="auto"/>
        <w:left w:val="none" w:sz="0" w:space="0" w:color="auto"/>
        <w:bottom w:val="none" w:sz="0" w:space="0" w:color="auto"/>
        <w:right w:val="none" w:sz="0" w:space="0" w:color="auto"/>
      </w:divBdr>
    </w:div>
    <w:div w:id="1928804102">
      <w:bodyDiv w:val="1"/>
      <w:marLeft w:val="0"/>
      <w:marRight w:val="0"/>
      <w:marTop w:val="0"/>
      <w:marBottom w:val="0"/>
      <w:divBdr>
        <w:top w:val="none" w:sz="0" w:space="0" w:color="auto"/>
        <w:left w:val="none" w:sz="0" w:space="0" w:color="auto"/>
        <w:bottom w:val="none" w:sz="0" w:space="0" w:color="auto"/>
        <w:right w:val="none" w:sz="0" w:space="0" w:color="auto"/>
      </w:divBdr>
    </w:div>
    <w:div w:id="1933657967">
      <w:bodyDiv w:val="1"/>
      <w:marLeft w:val="0"/>
      <w:marRight w:val="0"/>
      <w:marTop w:val="0"/>
      <w:marBottom w:val="0"/>
      <w:divBdr>
        <w:top w:val="none" w:sz="0" w:space="0" w:color="auto"/>
        <w:left w:val="none" w:sz="0" w:space="0" w:color="auto"/>
        <w:bottom w:val="none" w:sz="0" w:space="0" w:color="auto"/>
        <w:right w:val="none" w:sz="0" w:space="0" w:color="auto"/>
      </w:divBdr>
    </w:div>
    <w:div w:id="1945069027">
      <w:bodyDiv w:val="1"/>
      <w:marLeft w:val="0"/>
      <w:marRight w:val="0"/>
      <w:marTop w:val="0"/>
      <w:marBottom w:val="0"/>
      <w:divBdr>
        <w:top w:val="none" w:sz="0" w:space="0" w:color="auto"/>
        <w:left w:val="none" w:sz="0" w:space="0" w:color="auto"/>
        <w:bottom w:val="none" w:sz="0" w:space="0" w:color="auto"/>
        <w:right w:val="none" w:sz="0" w:space="0" w:color="auto"/>
      </w:divBdr>
    </w:div>
    <w:div w:id="1947154190">
      <w:bodyDiv w:val="1"/>
      <w:marLeft w:val="0"/>
      <w:marRight w:val="0"/>
      <w:marTop w:val="0"/>
      <w:marBottom w:val="0"/>
      <w:divBdr>
        <w:top w:val="none" w:sz="0" w:space="0" w:color="auto"/>
        <w:left w:val="none" w:sz="0" w:space="0" w:color="auto"/>
        <w:bottom w:val="none" w:sz="0" w:space="0" w:color="auto"/>
        <w:right w:val="none" w:sz="0" w:space="0" w:color="auto"/>
      </w:divBdr>
    </w:div>
    <w:div w:id="1968850306">
      <w:bodyDiv w:val="1"/>
      <w:marLeft w:val="0"/>
      <w:marRight w:val="0"/>
      <w:marTop w:val="0"/>
      <w:marBottom w:val="0"/>
      <w:divBdr>
        <w:top w:val="none" w:sz="0" w:space="0" w:color="auto"/>
        <w:left w:val="none" w:sz="0" w:space="0" w:color="auto"/>
        <w:bottom w:val="none" w:sz="0" w:space="0" w:color="auto"/>
        <w:right w:val="none" w:sz="0" w:space="0" w:color="auto"/>
      </w:divBdr>
    </w:div>
    <w:div w:id="2011447708">
      <w:bodyDiv w:val="1"/>
      <w:marLeft w:val="0"/>
      <w:marRight w:val="0"/>
      <w:marTop w:val="0"/>
      <w:marBottom w:val="0"/>
      <w:divBdr>
        <w:top w:val="none" w:sz="0" w:space="0" w:color="auto"/>
        <w:left w:val="none" w:sz="0" w:space="0" w:color="auto"/>
        <w:bottom w:val="none" w:sz="0" w:space="0" w:color="auto"/>
        <w:right w:val="none" w:sz="0" w:space="0" w:color="auto"/>
      </w:divBdr>
    </w:div>
    <w:div w:id="2030326721">
      <w:bodyDiv w:val="1"/>
      <w:marLeft w:val="0"/>
      <w:marRight w:val="0"/>
      <w:marTop w:val="0"/>
      <w:marBottom w:val="0"/>
      <w:divBdr>
        <w:top w:val="none" w:sz="0" w:space="0" w:color="auto"/>
        <w:left w:val="none" w:sz="0" w:space="0" w:color="auto"/>
        <w:bottom w:val="none" w:sz="0" w:space="0" w:color="auto"/>
        <w:right w:val="none" w:sz="0" w:space="0" w:color="auto"/>
      </w:divBdr>
    </w:div>
    <w:div w:id="2039819663">
      <w:bodyDiv w:val="1"/>
      <w:marLeft w:val="0"/>
      <w:marRight w:val="0"/>
      <w:marTop w:val="0"/>
      <w:marBottom w:val="0"/>
      <w:divBdr>
        <w:top w:val="none" w:sz="0" w:space="0" w:color="auto"/>
        <w:left w:val="none" w:sz="0" w:space="0" w:color="auto"/>
        <w:bottom w:val="none" w:sz="0" w:space="0" w:color="auto"/>
        <w:right w:val="none" w:sz="0" w:space="0" w:color="auto"/>
      </w:divBdr>
    </w:div>
    <w:div w:id="2042899009">
      <w:bodyDiv w:val="1"/>
      <w:marLeft w:val="0"/>
      <w:marRight w:val="0"/>
      <w:marTop w:val="0"/>
      <w:marBottom w:val="0"/>
      <w:divBdr>
        <w:top w:val="none" w:sz="0" w:space="0" w:color="auto"/>
        <w:left w:val="none" w:sz="0" w:space="0" w:color="auto"/>
        <w:bottom w:val="none" w:sz="0" w:space="0" w:color="auto"/>
        <w:right w:val="none" w:sz="0" w:space="0" w:color="auto"/>
      </w:divBdr>
    </w:div>
    <w:div w:id="2069108950">
      <w:bodyDiv w:val="1"/>
      <w:marLeft w:val="0"/>
      <w:marRight w:val="0"/>
      <w:marTop w:val="0"/>
      <w:marBottom w:val="0"/>
      <w:divBdr>
        <w:top w:val="none" w:sz="0" w:space="0" w:color="auto"/>
        <w:left w:val="none" w:sz="0" w:space="0" w:color="auto"/>
        <w:bottom w:val="none" w:sz="0" w:space="0" w:color="auto"/>
        <w:right w:val="none" w:sz="0" w:space="0" w:color="auto"/>
      </w:divBdr>
    </w:div>
    <w:div w:id="2080059525">
      <w:bodyDiv w:val="1"/>
      <w:marLeft w:val="0"/>
      <w:marRight w:val="0"/>
      <w:marTop w:val="0"/>
      <w:marBottom w:val="0"/>
      <w:divBdr>
        <w:top w:val="none" w:sz="0" w:space="0" w:color="auto"/>
        <w:left w:val="none" w:sz="0" w:space="0" w:color="auto"/>
        <w:bottom w:val="none" w:sz="0" w:space="0" w:color="auto"/>
        <w:right w:val="none" w:sz="0" w:space="0" w:color="auto"/>
      </w:divBdr>
    </w:div>
    <w:div w:id="2093971249">
      <w:bodyDiv w:val="1"/>
      <w:marLeft w:val="0"/>
      <w:marRight w:val="0"/>
      <w:marTop w:val="0"/>
      <w:marBottom w:val="0"/>
      <w:divBdr>
        <w:top w:val="none" w:sz="0" w:space="0" w:color="auto"/>
        <w:left w:val="none" w:sz="0" w:space="0" w:color="auto"/>
        <w:bottom w:val="none" w:sz="0" w:space="0" w:color="auto"/>
        <w:right w:val="none" w:sz="0" w:space="0" w:color="auto"/>
      </w:divBdr>
    </w:div>
    <w:div w:id="21454658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7.png"/><Relationship Id="rId21" Type="http://schemas.openxmlformats.org/officeDocument/2006/relationships/chart" Target="charts/chart3.xml"/><Relationship Id="rId42" Type="http://schemas.openxmlformats.org/officeDocument/2006/relationships/chart" Target="charts/chart17.xml"/><Relationship Id="rId63" Type="http://schemas.openxmlformats.org/officeDocument/2006/relationships/image" Target="media/image29.png"/><Relationship Id="rId84" Type="http://schemas.openxmlformats.org/officeDocument/2006/relationships/image" Target="media/image42.png"/><Relationship Id="rId138" Type="http://schemas.openxmlformats.org/officeDocument/2006/relationships/image" Target="media/image67.png"/><Relationship Id="rId159" Type="http://schemas.openxmlformats.org/officeDocument/2006/relationships/hyperlink" Target="https://www.slideshare.net/kingsfund/making-the-case-for-public-health-interventions" TargetMode="External"/><Relationship Id="rId170" Type="http://schemas.openxmlformats.org/officeDocument/2006/relationships/image" Target="media/image77.png"/><Relationship Id="rId191" Type="http://schemas.openxmlformats.org/officeDocument/2006/relationships/hyperlink" Target="http://atlas.chimat.org.uk/IAS/metadata/view/indicatorinstance?id=17663&amp;norefer=true" TargetMode="External"/><Relationship Id="rId205" Type="http://schemas.openxmlformats.org/officeDocument/2006/relationships/chart" Target="charts/chart54.xml"/><Relationship Id="rId226" Type="http://schemas.openxmlformats.org/officeDocument/2006/relationships/hyperlink" Target="http://www.un.org/press/en/2012/ga11331.doc.htm" TargetMode="External"/><Relationship Id="rId107" Type="http://schemas.openxmlformats.org/officeDocument/2006/relationships/hyperlink" Target="http://www.nepho.org.uk/pdfs/tb-monitoring/E09000003.pdf" TargetMode="External"/><Relationship Id="rId11" Type="http://schemas.openxmlformats.org/officeDocument/2006/relationships/image" Target="media/image3.jpeg"/><Relationship Id="rId32" Type="http://schemas.openxmlformats.org/officeDocument/2006/relationships/chart" Target="charts/chart11.xml"/><Relationship Id="rId53" Type="http://schemas.openxmlformats.org/officeDocument/2006/relationships/image" Target="media/image21.png"/><Relationship Id="rId74" Type="http://schemas.openxmlformats.org/officeDocument/2006/relationships/hyperlink" Target="https://www.gov.uk/government/uploads/system/uploads/attachment_data/file/213761/dh_124058.pdf" TargetMode="External"/><Relationship Id="rId128" Type="http://schemas.openxmlformats.org/officeDocument/2006/relationships/image" Target="media/image64.png"/><Relationship Id="rId149" Type="http://schemas.openxmlformats.org/officeDocument/2006/relationships/image" Target="media/image71.png"/><Relationship Id="rId5" Type="http://schemas.openxmlformats.org/officeDocument/2006/relationships/settings" Target="settings.xml"/><Relationship Id="rId95" Type="http://schemas.openxmlformats.org/officeDocument/2006/relationships/hyperlink" Target="http://www2.convention.co.jp/sekaikaigi2015/common/image/pdf/Tokyo_Declaration.pdf" TargetMode="External"/><Relationship Id="rId160" Type="http://schemas.openxmlformats.org/officeDocument/2006/relationships/image" Target="media/image74.png"/><Relationship Id="rId181" Type="http://schemas.openxmlformats.org/officeDocument/2006/relationships/chart" Target="charts/chart40.xml"/><Relationship Id="rId216" Type="http://schemas.openxmlformats.org/officeDocument/2006/relationships/chart" Target="charts/chart60.xml"/><Relationship Id="rId237" Type="http://schemas.openxmlformats.org/officeDocument/2006/relationships/image" Target="media/image91.png"/><Relationship Id="rId258" Type="http://schemas.openxmlformats.org/officeDocument/2006/relationships/chart" Target="charts/chart66.xml"/><Relationship Id="rId22" Type="http://schemas.openxmlformats.org/officeDocument/2006/relationships/chart" Target="charts/chart4.xml"/><Relationship Id="rId43" Type="http://schemas.openxmlformats.org/officeDocument/2006/relationships/chart" Target="charts/chart18.xml"/><Relationship Id="rId64" Type="http://schemas.microsoft.com/office/2007/relationships/hdphoto" Target="media/hdphoto1.wdp"/><Relationship Id="rId118" Type="http://schemas.openxmlformats.org/officeDocument/2006/relationships/image" Target="media/image58.png"/><Relationship Id="rId139" Type="http://schemas.openxmlformats.org/officeDocument/2006/relationships/hyperlink" Target="http://www.lape.org.uk/LAProfile.aspx?reg=X25001AA" TargetMode="External"/><Relationship Id="rId85" Type="http://schemas.openxmlformats.org/officeDocument/2006/relationships/image" Target="media/image43.png"/><Relationship Id="rId150" Type="http://schemas.openxmlformats.org/officeDocument/2006/relationships/image" Target="media/image72.png"/><Relationship Id="rId171" Type="http://schemas.openxmlformats.org/officeDocument/2006/relationships/image" Target="media/image78.png"/><Relationship Id="rId192" Type="http://schemas.openxmlformats.org/officeDocument/2006/relationships/hyperlink" Target="http://atlas.chimat.org.uk/IAS/metadata/view/indicatorinstance?id=17664&amp;norefer=true" TargetMode="External"/><Relationship Id="rId206" Type="http://schemas.openxmlformats.org/officeDocument/2006/relationships/chart" Target="charts/chart55.xml"/><Relationship Id="rId227" Type="http://schemas.openxmlformats.org/officeDocument/2006/relationships/hyperlink" Target="https://www.gov.uk/female-genital-mutilation" TargetMode="External"/><Relationship Id="rId12" Type="http://schemas.openxmlformats.org/officeDocument/2006/relationships/chart" Target="charts/chart1.xml"/><Relationship Id="rId33" Type="http://schemas.openxmlformats.org/officeDocument/2006/relationships/image" Target="media/image12.png"/><Relationship Id="rId108" Type="http://schemas.openxmlformats.org/officeDocument/2006/relationships/image" Target="media/image51.png"/><Relationship Id="rId129" Type="http://schemas.openxmlformats.org/officeDocument/2006/relationships/image" Target="media/image65.png"/><Relationship Id="rId54" Type="http://schemas.openxmlformats.org/officeDocument/2006/relationships/image" Target="media/image22.png"/><Relationship Id="rId75" Type="http://schemas.openxmlformats.org/officeDocument/2006/relationships/image" Target="media/image35.png"/><Relationship Id="rId96" Type="http://schemas.openxmlformats.org/officeDocument/2006/relationships/image" Target="media/image47.png"/><Relationship Id="rId140" Type="http://schemas.openxmlformats.org/officeDocument/2006/relationships/hyperlink" Target="http://www.lape.org.uk/" TargetMode="External"/><Relationship Id="rId161" Type="http://schemas.openxmlformats.org/officeDocument/2006/relationships/chart" Target="charts/chart27.xml"/><Relationship Id="rId182" Type="http://schemas.openxmlformats.org/officeDocument/2006/relationships/chart" Target="charts/chart41.xml"/><Relationship Id="rId217" Type="http://schemas.openxmlformats.org/officeDocument/2006/relationships/chart" Target="charts/chart61.xml"/><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hyperlink" Target="https://www.gov.uk/government/publications/prime-ministers-challenge-on-dementia-2020" TargetMode="External"/><Relationship Id="rId233" Type="http://schemas.openxmlformats.org/officeDocument/2006/relationships/image" Target="media/image88.png"/><Relationship Id="rId238" Type="http://schemas.openxmlformats.org/officeDocument/2006/relationships/image" Target="media/image92.png"/><Relationship Id="rId254" Type="http://schemas.openxmlformats.org/officeDocument/2006/relationships/image" Target="media/image101.png"/><Relationship Id="rId259" Type="http://schemas.openxmlformats.org/officeDocument/2006/relationships/chart" Target="charts/chart67.xml"/><Relationship Id="rId23" Type="http://schemas.openxmlformats.org/officeDocument/2006/relationships/image" Target="media/image9.png"/><Relationship Id="rId28" Type="http://schemas.openxmlformats.org/officeDocument/2006/relationships/chart" Target="charts/chart8.xml"/><Relationship Id="rId49" Type="http://schemas.openxmlformats.org/officeDocument/2006/relationships/hyperlink" Target="https://www.gov.uk/government/uploads/system/uploads/attachment_data/file/438186/2013_Sub-regional_tables.xlsx" TargetMode="External"/><Relationship Id="rId114" Type="http://schemas.openxmlformats.org/officeDocument/2006/relationships/image" Target="media/image55.emf"/><Relationship Id="rId119" Type="http://schemas.openxmlformats.org/officeDocument/2006/relationships/hyperlink" Target="http://www.hscic.gov.uk/catalogue/PUB15751%20http:/www.hscic.gov.uk/catalogue/PUB15751/qof-1314-prev-ach-exc-ccg.xlsx" TargetMode="External"/><Relationship Id="rId44" Type="http://schemas.openxmlformats.org/officeDocument/2006/relationships/chart" Target="charts/chart19.xml"/><Relationship Id="rId60" Type="http://schemas.openxmlformats.org/officeDocument/2006/relationships/image" Target="media/image26.jpeg"/><Relationship Id="rId65" Type="http://schemas.openxmlformats.org/officeDocument/2006/relationships/image" Target="media/image30.png"/><Relationship Id="rId81" Type="http://schemas.openxmlformats.org/officeDocument/2006/relationships/image" Target="media/image40.png"/><Relationship Id="rId86" Type="http://schemas.openxmlformats.org/officeDocument/2006/relationships/image" Target="media/image44.png"/><Relationship Id="rId130" Type="http://schemas.openxmlformats.org/officeDocument/2006/relationships/hyperlink" Target="http://www.hscic.gov.uk/ncmp" TargetMode="External"/><Relationship Id="rId135" Type="http://schemas.openxmlformats.org/officeDocument/2006/relationships/hyperlink" Target="http://www.harrow.gov.uk/www2/documents/s111406/Appendix.pdf" TargetMode="External"/><Relationship Id="rId151" Type="http://schemas.openxmlformats.org/officeDocument/2006/relationships/image" Target="media/image73.png"/><Relationship Id="rId156" Type="http://schemas.openxmlformats.org/officeDocument/2006/relationships/hyperlink" Target="https://www.slideshare.net/kingsfund/making-the-case-for-public-health-interventions" TargetMode="External"/><Relationship Id="rId177" Type="http://schemas.openxmlformats.org/officeDocument/2006/relationships/chart" Target="charts/chart36.xml"/><Relationship Id="rId198" Type="http://schemas.openxmlformats.org/officeDocument/2006/relationships/chart" Target="charts/chart50.xml"/><Relationship Id="rId172" Type="http://schemas.openxmlformats.org/officeDocument/2006/relationships/chart" Target="charts/chart32.xml"/><Relationship Id="rId193" Type="http://schemas.openxmlformats.org/officeDocument/2006/relationships/image" Target="media/image79.png"/><Relationship Id="rId202" Type="http://schemas.openxmlformats.org/officeDocument/2006/relationships/image" Target="media/image81.png"/><Relationship Id="rId207" Type="http://schemas.openxmlformats.org/officeDocument/2006/relationships/chart" Target="charts/chart56.xml"/><Relationship Id="rId223" Type="http://schemas.openxmlformats.org/officeDocument/2006/relationships/chart" Target="charts/chart63.xml"/><Relationship Id="rId228" Type="http://schemas.openxmlformats.org/officeDocument/2006/relationships/hyperlink" Target="http://www.nhs.uk/nhsengland/aboutnhsservices/sexual-health-services/pages/fgm-health-services-for-women.aspx" TargetMode="External"/><Relationship Id="rId244" Type="http://schemas.openxmlformats.org/officeDocument/2006/relationships/image" Target="media/image98.png"/><Relationship Id="rId13" Type="http://schemas.openxmlformats.org/officeDocument/2006/relationships/image" Target="media/image4.png"/><Relationship Id="rId18" Type="http://schemas.openxmlformats.org/officeDocument/2006/relationships/image" Target="media/image70.png"/><Relationship Id="rId39" Type="http://schemas.openxmlformats.org/officeDocument/2006/relationships/chart" Target="charts/chart14.xml"/><Relationship Id="rId109" Type="http://schemas.openxmlformats.org/officeDocument/2006/relationships/image" Target="media/image52.png"/><Relationship Id="rId260" Type="http://schemas.openxmlformats.org/officeDocument/2006/relationships/image" Target="media/image103.png"/><Relationship Id="rId265" Type="http://schemas.openxmlformats.org/officeDocument/2006/relationships/fontTable" Target="fontTable.xml"/><Relationship Id="rId34" Type="http://schemas.openxmlformats.org/officeDocument/2006/relationships/image" Target="media/image13.png"/><Relationship Id="rId50" Type="http://schemas.openxmlformats.org/officeDocument/2006/relationships/image" Target="media/image18.png"/><Relationship Id="rId55" Type="http://schemas.openxmlformats.org/officeDocument/2006/relationships/chart" Target="charts/chart22.xml"/><Relationship Id="rId76" Type="http://schemas.openxmlformats.org/officeDocument/2006/relationships/hyperlink" Target="http://www.nepho.org.uk/pdfs/cypmh/E09000003.pdf" TargetMode="External"/><Relationship Id="rId97" Type="http://schemas.openxmlformats.org/officeDocument/2006/relationships/image" Target="media/image48.emf"/><Relationship Id="rId104" Type="http://schemas.openxmlformats.org/officeDocument/2006/relationships/hyperlink" Target="http://www.hscic.gov.uk/catalogue/PUB14949/nhs-immu-stat-eng-2013-14-tab-exc.xlsx" TargetMode="External"/><Relationship Id="rId120" Type="http://schemas.openxmlformats.org/officeDocument/2006/relationships/image" Target="media/image59.png"/><Relationship Id="rId125" Type="http://schemas.openxmlformats.org/officeDocument/2006/relationships/hyperlink" Target="http://www.noo.org.uk/gsf.php5?f=312493&amp;fv=19723" TargetMode="External"/><Relationship Id="rId141" Type="http://schemas.openxmlformats.org/officeDocument/2006/relationships/image" Target="media/image68.png"/><Relationship Id="rId146" Type="http://schemas.openxmlformats.org/officeDocument/2006/relationships/chart" Target="charts/chart26.xml"/><Relationship Id="rId167" Type="http://schemas.openxmlformats.org/officeDocument/2006/relationships/image" Target="media/image75.png"/><Relationship Id="rId188" Type="http://schemas.openxmlformats.org/officeDocument/2006/relationships/chart" Target="charts/chart46.xml"/><Relationship Id="rId7" Type="http://schemas.openxmlformats.org/officeDocument/2006/relationships/footnotes" Target="footnotes.xml"/><Relationship Id="rId71" Type="http://schemas.openxmlformats.org/officeDocument/2006/relationships/image" Target="media/image33.png"/><Relationship Id="rId92" Type="http://schemas.openxmlformats.org/officeDocument/2006/relationships/hyperlink" Target="http://webarchive.nationalarchives.gov.uk/20130107105354/http:/www.dcsf.gov.uk/everychildmatters/healthandwellbeing/mentalhealthissues/camhs/fourtierstrategicframework/fourtierstrategicframework/" TargetMode="External"/><Relationship Id="rId162" Type="http://schemas.openxmlformats.org/officeDocument/2006/relationships/chart" Target="charts/chart28.xml"/><Relationship Id="rId183" Type="http://schemas.openxmlformats.org/officeDocument/2006/relationships/chart" Target="charts/chart42.xml"/><Relationship Id="rId213" Type="http://schemas.openxmlformats.org/officeDocument/2006/relationships/chart" Target="charts/chart57.xml"/><Relationship Id="rId218" Type="http://schemas.openxmlformats.org/officeDocument/2006/relationships/chart" Target="charts/chart62.xml"/><Relationship Id="rId234" Type="http://schemas.openxmlformats.org/officeDocument/2006/relationships/hyperlink" Target="http://www.hscic.gov.uk/searchcatalogue?q=%22female+genital+mutilation%22&amp;area=&amp;size=10&amp;sort=Relevance" TargetMode="External"/><Relationship Id="rId239" Type="http://schemas.openxmlformats.org/officeDocument/2006/relationships/image" Target="media/image93.png"/><Relationship Id="rId2" Type="http://schemas.openxmlformats.org/officeDocument/2006/relationships/numbering" Target="numbering.xml"/><Relationship Id="rId29" Type="http://schemas.openxmlformats.org/officeDocument/2006/relationships/image" Target="media/image11.png"/><Relationship Id="rId250" Type="http://schemas.openxmlformats.org/officeDocument/2006/relationships/image" Target="media/image850.png"/><Relationship Id="rId255" Type="http://schemas.openxmlformats.org/officeDocument/2006/relationships/image" Target="media/image102.png"/><Relationship Id="rId24" Type="http://schemas.openxmlformats.org/officeDocument/2006/relationships/chart" Target="charts/chart5.xml"/><Relationship Id="rId40" Type="http://schemas.openxmlformats.org/officeDocument/2006/relationships/chart" Target="charts/chart15.xml"/><Relationship Id="rId45" Type="http://schemas.openxmlformats.org/officeDocument/2006/relationships/image" Target="media/image16.jpeg"/><Relationship Id="rId66" Type="http://schemas.openxmlformats.org/officeDocument/2006/relationships/hyperlink" Target="http://healthierlives.phe.org.uk/topic/mortality" TargetMode="External"/><Relationship Id="rId87" Type="http://schemas.openxmlformats.org/officeDocument/2006/relationships/image" Target="media/image45.png"/><Relationship Id="rId110" Type="http://schemas.openxmlformats.org/officeDocument/2006/relationships/hyperlink" Target="https://www.gov.uk/government/uploads/system/uploads/attachment_data/file/424569/WeeklyTablesRevised17.xls" TargetMode="External"/><Relationship Id="rId115" Type="http://schemas.openxmlformats.org/officeDocument/2006/relationships/hyperlink" Target="http://www.ash.org.uk/localtoolkit/R7-LDN.html" TargetMode="External"/><Relationship Id="rId131" Type="http://schemas.openxmlformats.org/officeDocument/2006/relationships/hyperlink" Target="file:///\\clbhprwmwfs01\vol3\DATA\PH\Public%20Health\Barnet%20&amp;%20Harrow%20PH%20Teams\Knowledge%20&amp;%20Intelligence\JSNA\Sarwar%20Barnet%20JSNA-2015\At%20least%20five%20a%20week:%20Evidence%20on%20the%20impact%20of%20physical%20activity%20and%20its%20relationship%20to%20health" TargetMode="External"/><Relationship Id="rId136" Type="http://schemas.openxmlformats.org/officeDocument/2006/relationships/hyperlink" Target="http://engage.barnet.gov.uk/adult-social-services/health_wellbeing/results/barnet-health-and-wellbeing-strategy---web-ready.pdf" TargetMode="External"/><Relationship Id="rId157" Type="http://schemas.openxmlformats.org/officeDocument/2006/relationships/hyperlink" Target="http://www.kingsfund.org.uk/" TargetMode="External"/><Relationship Id="rId178" Type="http://schemas.openxmlformats.org/officeDocument/2006/relationships/chart" Target="charts/chart37.xml"/><Relationship Id="rId61" Type="http://schemas.openxmlformats.org/officeDocument/2006/relationships/image" Target="media/image27.png"/><Relationship Id="rId82" Type="http://schemas.openxmlformats.org/officeDocument/2006/relationships/image" Target="media/image41.png"/><Relationship Id="rId152" Type="http://schemas.openxmlformats.org/officeDocument/2006/relationships/hyperlink" Target="http://fingertips.phe.org.uk/profile/sexualhealth/data" TargetMode="External"/><Relationship Id="rId173" Type="http://schemas.openxmlformats.org/officeDocument/2006/relationships/chart" Target="charts/chart33.xml"/><Relationship Id="rId194" Type="http://schemas.openxmlformats.org/officeDocument/2006/relationships/chart" Target="charts/chart48.xml"/><Relationship Id="rId199" Type="http://schemas.openxmlformats.org/officeDocument/2006/relationships/chart" Target="charts/chart51.xml"/><Relationship Id="rId203" Type="http://schemas.openxmlformats.org/officeDocument/2006/relationships/chart" Target="charts/chart52.xml"/><Relationship Id="rId208" Type="http://schemas.openxmlformats.org/officeDocument/2006/relationships/hyperlink" Target="https://www.google.co.uk/url?url=https://www.barnet.gov.uk/dam/jcr:a3741205-26c8-498f-b31c-b7b249ba511e/User_Survey_2013_Factsheet.pdf&amp;rct=j&amp;frm=1&amp;q=&amp;esrc=s&amp;sa=U&amp;ei=ayQAVdWNJuqt7Aa884D4Cw&amp;ved=0CBQQFjAA&amp;usg=AFQjCNFAdyAU0umBAS0Opfc3Oad8V4XqZg" TargetMode="External"/><Relationship Id="rId229" Type="http://schemas.openxmlformats.org/officeDocument/2006/relationships/hyperlink" Target="http://www.hscic.gov.uk/fgm" TargetMode="External"/><Relationship Id="rId19" Type="http://schemas.openxmlformats.org/officeDocument/2006/relationships/chart" Target="charts/chart2.xml"/><Relationship Id="rId224" Type="http://schemas.openxmlformats.org/officeDocument/2006/relationships/chart" Target="charts/chart64.xml"/><Relationship Id="rId240" Type="http://schemas.openxmlformats.org/officeDocument/2006/relationships/image" Target="media/image94.png"/><Relationship Id="rId245" Type="http://schemas.openxmlformats.org/officeDocument/2006/relationships/image" Target="media/image99.png"/><Relationship Id="rId261" Type="http://schemas.openxmlformats.org/officeDocument/2006/relationships/oleObject" Target="embeddings/oleObject6.bin"/><Relationship Id="rId266" Type="http://schemas.openxmlformats.org/officeDocument/2006/relationships/theme" Target="theme/theme1.xml"/><Relationship Id="rId14" Type="http://schemas.openxmlformats.org/officeDocument/2006/relationships/image" Target="media/image5.png"/><Relationship Id="rId30" Type="http://schemas.openxmlformats.org/officeDocument/2006/relationships/chart" Target="charts/chart9.xml"/><Relationship Id="rId35" Type="http://schemas.openxmlformats.org/officeDocument/2006/relationships/image" Target="media/image14.png"/><Relationship Id="rId56" Type="http://schemas.openxmlformats.org/officeDocument/2006/relationships/image" Target="media/image23.png"/><Relationship Id="rId77" Type="http://schemas.openxmlformats.org/officeDocument/2006/relationships/image" Target="media/image36.png"/><Relationship Id="rId100" Type="http://schemas.openxmlformats.org/officeDocument/2006/relationships/image" Target="media/image50.png"/><Relationship Id="rId105" Type="http://schemas.openxmlformats.org/officeDocument/2006/relationships/hyperlink" Target="http://www.hscic.gov.uk/catalogue/PUB14949/nhs-immu-stat-eng-2013-14-tab-exc.xlsx" TargetMode="External"/><Relationship Id="rId126" Type="http://schemas.openxmlformats.org/officeDocument/2006/relationships/image" Target="media/image62.png"/><Relationship Id="rId147" Type="http://schemas.openxmlformats.org/officeDocument/2006/relationships/image" Target="media/image70.emf"/><Relationship Id="rId168" Type="http://schemas.openxmlformats.org/officeDocument/2006/relationships/image" Target="media/image76.png"/><Relationship Id="rId8" Type="http://schemas.openxmlformats.org/officeDocument/2006/relationships/endnotes" Target="endnotes.xml"/><Relationship Id="rId51" Type="http://schemas.openxmlformats.org/officeDocument/2006/relationships/image" Target="media/image19.png"/><Relationship Id="rId72" Type="http://schemas.openxmlformats.org/officeDocument/2006/relationships/hyperlink" Target="http://campaigns.dh.gov.uk/tag/be-clear-on-cancer/" TargetMode="External"/><Relationship Id="rId93" Type="http://schemas.openxmlformats.org/officeDocument/2006/relationships/hyperlink" Target="http://engage.barnet.gov.uk/adult-social-services/health_wellbeing/results/barnet-health-and-wellbeing-strategy---web-ready.pdf" TargetMode="External"/><Relationship Id="rId98" Type="http://schemas.openxmlformats.org/officeDocument/2006/relationships/hyperlink" Target="http://www.nwph.net/dentalhealth/5yearProfiles.aspx?wb48617274=6DC6F2EB" TargetMode="External"/><Relationship Id="rId121" Type="http://schemas.openxmlformats.org/officeDocument/2006/relationships/image" Target="media/image60.png"/><Relationship Id="rId142" Type="http://schemas.openxmlformats.org/officeDocument/2006/relationships/image" Target="media/image69.png"/><Relationship Id="rId163" Type="http://schemas.openxmlformats.org/officeDocument/2006/relationships/chart" Target="charts/chart29.xml"/><Relationship Id="rId184" Type="http://schemas.openxmlformats.org/officeDocument/2006/relationships/chart" Target="charts/chart43.xml"/><Relationship Id="rId189" Type="http://schemas.openxmlformats.org/officeDocument/2006/relationships/chart" Target="charts/chart47.xml"/><Relationship Id="rId219" Type="http://schemas.openxmlformats.org/officeDocument/2006/relationships/image" Target="media/image84.png"/><Relationship Id="rId3" Type="http://schemas.openxmlformats.org/officeDocument/2006/relationships/styles" Target="styles.xml"/><Relationship Id="rId214" Type="http://schemas.openxmlformats.org/officeDocument/2006/relationships/chart" Target="charts/chart58.xml"/><Relationship Id="rId230" Type="http://schemas.openxmlformats.org/officeDocument/2006/relationships/hyperlink" Target="http://www.hscic.gov.uk/searchcatalogue?q=%22female+genital+mutilation%25" TargetMode="External"/><Relationship Id="rId235" Type="http://schemas.openxmlformats.org/officeDocument/2006/relationships/image" Target="media/image89.png"/><Relationship Id="rId251" Type="http://schemas.openxmlformats.org/officeDocument/2006/relationships/image" Target="media/image860.png"/><Relationship Id="rId256" Type="http://schemas.openxmlformats.org/officeDocument/2006/relationships/image" Target="media/image107.png"/><Relationship Id="rId25" Type="http://schemas.openxmlformats.org/officeDocument/2006/relationships/image" Target="media/image10.png"/><Relationship Id="rId46" Type="http://schemas.openxmlformats.org/officeDocument/2006/relationships/image" Target="media/image17.jpeg"/><Relationship Id="rId67" Type="http://schemas.openxmlformats.org/officeDocument/2006/relationships/image" Target="media/image31.png"/><Relationship Id="rId116" Type="http://schemas.openxmlformats.org/officeDocument/2006/relationships/image" Target="media/image56.png"/><Relationship Id="rId137" Type="http://schemas.openxmlformats.org/officeDocument/2006/relationships/hyperlink" Target="http://www.harrow.gov.uk/www2/documents/s111406/Appendix.pdf" TargetMode="External"/><Relationship Id="rId158" Type="http://schemas.openxmlformats.org/officeDocument/2006/relationships/hyperlink" Target="http://www.kingsfund.org.uk/" TargetMode="External"/><Relationship Id="rId20" Type="http://schemas.openxmlformats.org/officeDocument/2006/relationships/image" Target="media/image8.png"/><Relationship Id="rId41" Type="http://schemas.openxmlformats.org/officeDocument/2006/relationships/chart" Target="charts/chart16.xml"/><Relationship Id="rId62" Type="http://schemas.openxmlformats.org/officeDocument/2006/relationships/image" Target="media/image28.png"/><Relationship Id="rId83" Type="http://schemas.openxmlformats.org/officeDocument/2006/relationships/image" Target="media/image410.png"/><Relationship Id="rId88" Type="http://schemas.openxmlformats.org/officeDocument/2006/relationships/image" Target="media/image46.png"/><Relationship Id="rId111" Type="http://schemas.openxmlformats.org/officeDocument/2006/relationships/image" Target="media/image53.png"/><Relationship Id="rId132" Type="http://schemas.openxmlformats.org/officeDocument/2006/relationships/hyperlink" Target="http://activepeople.sportengland.org/Query" TargetMode="External"/><Relationship Id="rId153" Type="http://schemas.openxmlformats.org/officeDocument/2006/relationships/hyperlink" Target="http://www.phoutcomes.info/" TargetMode="External"/><Relationship Id="rId174" Type="http://schemas.openxmlformats.org/officeDocument/2006/relationships/chart" Target="charts/chart34.xml"/><Relationship Id="rId179" Type="http://schemas.openxmlformats.org/officeDocument/2006/relationships/chart" Target="charts/chart38.xml"/><Relationship Id="rId195" Type="http://schemas.openxmlformats.org/officeDocument/2006/relationships/image" Target="media/image80.png"/><Relationship Id="rId209" Type="http://schemas.openxmlformats.org/officeDocument/2006/relationships/image" Target="media/image82.png"/><Relationship Id="rId190" Type="http://schemas.openxmlformats.org/officeDocument/2006/relationships/hyperlink" Target="http://atlas.chimat.org.uk/IAS/metadata/view/indicatorinstance?id=17662&amp;norefer=true" TargetMode="External"/><Relationship Id="rId204" Type="http://schemas.openxmlformats.org/officeDocument/2006/relationships/chart" Target="charts/chart53.xml"/><Relationship Id="rId220" Type="http://schemas.openxmlformats.org/officeDocument/2006/relationships/image" Target="media/image85.png"/><Relationship Id="rId225" Type="http://schemas.openxmlformats.org/officeDocument/2006/relationships/hyperlink" Target="http://www.met.police.uk/crimefigures/index.php" TargetMode="External"/><Relationship Id="rId241" Type="http://schemas.openxmlformats.org/officeDocument/2006/relationships/image" Target="media/image95.png"/><Relationship Id="rId15" Type="http://schemas.openxmlformats.org/officeDocument/2006/relationships/image" Target="media/image6.png"/><Relationship Id="rId36" Type="http://schemas.openxmlformats.org/officeDocument/2006/relationships/image" Target="media/image15.png"/><Relationship Id="rId57" Type="http://schemas.openxmlformats.org/officeDocument/2006/relationships/chart" Target="charts/chart23.xml"/><Relationship Id="rId106" Type="http://schemas.openxmlformats.org/officeDocument/2006/relationships/chart" Target="charts/chart24.xml"/><Relationship Id="rId127" Type="http://schemas.openxmlformats.org/officeDocument/2006/relationships/image" Target="media/image63.png"/><Relationship Id="rId262" Type="http://schemas.openxmlformats.org/officeDocument/2006/relationships/hyperlink" Target="http://www.phoutcomes.info/" TargetMode="External"/><Relationship Id="rId10" Type="http://schemas.openxmlformats.org/officeDocument/2006/relationships/image" Target="media/image2.jpeg"/><Relationship Id="rId31" Type="http://schemas.openxmlformats.org/officeDocument/2006/relationships/chart" Target="charts/chart10.xml"/><Relationship Id="rId52" Type="http://schemas.openxmlformats.org/officeDocument/2006/relationships/image" Target="media/image20.png"/><Relationship Id="rId73" Type="http://schemas.openxmlformats.org/officeDocument/2006/relationships/image" Target="media/image34.png"/><Relationship Id="rId78" Type="http://schemas.openxmlformats.org/officeDocument/2006/relationships/image" Target="media/image37.png"/><Relationship Id="rId94" Type="http://schemas.openxmlformats.org/officeDocument/2006/relationships/hyperlink" Target="http://www.hscic.gov.uk/catalogue/PUB16456/nda-audi-ccg-eng-barn-12-13-rep2.pdf" TargetMode="External"/><Relationship Id="rId99" Type="http://schemas.openxmlformats.org/officeDocument/2006/relationships/image" Target="media/image49.png"/><Relationship Id="rId101" Type="http://schemas.openxmlformats.org/officeDocument/2006/relationships/hyperlink" Target="https://www.gov.uk/government/uploads/system/uploads/attachment_data/file/323504/8807_PHE_Complete_Immunisation_Schedule_A4_2014_11.pdf" TargetMode="External"/><Relationship Id="rId122" Type="http://schemas.openxmlformats.org/officeDocument/2006/relationships/hyperlink" Target="http://www.hscic.gov.uk/catalogue/PUB15751%20http:/www.hscic.gov.uk/catalogue/PUB15751/qof-1314-prev-ach-exc-ccg.xlsx" TargetMode="External"/><Relationship Id="rId143" Type="http://schemas.openxmlformats.org/officeDocument/2006/relationships/hyperlink" Target="http://www.nta.nhs.uk/Prevalence-estimates-2011-12.aspx" TargetMode="External"/><Relationship Id="rId148" Type="http://schemas.openxmlformats.org/officeDocument/2006/relationships/package" Target="embeddings/Microsoft_PowerPoint_Slide9.sldx"/><Relationship Id="rId164" Type="http://schemas.openxmlformats.org/officeDocument/2006/relationships/chart" Target="charts/chart30.xml"/><Relationship Id="rId169" Type="http://schemas.openxmlformats.org/officeDocument/2006/relationships/image" Target="cid:image001.png@01D0B334.3F35B4E0" TargetMode="External"/><Relationship Id="rId185" Type="http://schemas.openxmlformats.org/officeDocument/2006/relationships/chart" Target="charts/chart44.xml"/><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chart" Target="charts/chart39.xml"/><Relationship Id="rId210" Type="http://schemas.openxmlformats.org/officeDocument/2006/relationships/image" Target="media/image83.jpeg"/><Relationship Id="rId215" Type="http://schemas.openxmlformats.org/officeDocument/2006/relationships/chart" Target="charts/chart59.xml"/><Relationship Id="rId236" Type="http://schemas.openxmlformats.org/officeDocument/2006/relationships/image" Target="media/image90.jpeg"/><Relationship Id="rId257" Type="http://schemas.openxmlformats.org/officeDocument/2006/relationships/image" Target="media/image108.png"/><Relationship Id="rId26" Type="http://schemas.openxmlformats.org/officeDocument/2006/relationships/chart" Target="charts/chart6.xml"/><Relationship Id="rId231" Type="http://schemas.openxmlformats.org/officeDocument/2006/relationships/hyperlink" Target="http://www.hscic.gov.uk/fgm" TargetMode="External"/><Relationship Id="rId252" Type="http://schemas.openxmlformats.org/officeDocument/2006/relationships/chart" Target="charts/chart65.xml"/><Relationship Id="rId47" Type="http://schemas.openxmlformats.org/officeDocument/2006/relationships/chart" Target="charts/chart20.xml"/><Relationship Id="rId68" Type="http://schemas.openxmlformats.org/officeDocument/2006/relationships/hyperlink" Target="http://www.phoutcomes.info/" TargetMode="External"/><Relationship Id="rId89" Type="http://schemas.openxmlformats.org/officeDocument/2006/relationships/hyperlink" Target="http://fingertips.phe.org.uk/profile-group/mental-health/profile/cypmh" TargetMode="External"/><Relationship Id="rId112" Type="http://schemas.openxmlformats.org/officeDocument/2006/relationships/image" Target="media/image54.png"/><Relationship Id="rId133" Type="http://schemas.openxmlformats.org/officeDocument/2006/relationships/image" Target="media/image66.png"/><Relationship Id="rId154" Type="http://schemas.openxmlformats.org/officeDocument/2006/relationships/hyperlink" Target="http://www.phoutcomes.info/" TargetMode="External"/><Relationship Id="rId175" Type="http://schemas.openxmlformats.org/officeDocument/2006/relationships/hyperlink" Target="http://www.gov.uk/government/statistics/a-level-and-other-level-3-results-2013-to-2014-revised" TargetMode="External"/><Relationship Id="rId196" Type="http://schemas.openxmlformats.org/officeDocument/2006/relationships/hyperlink" Target="https://www.gov.uk/government/publications/child-poverty-strategy-2014-to-2017" TargetMode="External"/><Relationship Id="rId200" Type="http://schemas.openxmlformats.org/officeDocument/2006/relationships/hyperlink" Target="http://www.legislation.gov.uk/ukpga/2014/23/contents/enacted" TargetMode="External"/><Relationship Id="rId16" Type="http://schemas.openxmlformats.org/officeDocument/2006/relationships/image" Target="media/image7.png"/><Relationship Id="rId221" Type="http://schemas.openxmlformats.org/officeDocument/2006/relationships/image" Target="media/image86.png"/><Relationship Id="rId242" Type="http://schemas.openxmlformats.org/officeDocument/2006/relationships/image" Target="media/image96.png"/><Relationship Id="rId263" Type="http://schemas.openxmlformats.org/officeDocument/2006/relationships/header" Target="header1.xml"/><Relationship Id="rId37" Type="http://schemas.openxmlformats.org/officeDocument/2006/relationships/chart" Target="charts/chart12.xml"/><Relationship Id="rId58" Type="http://schemas.openxmlformats.org/officeDocument/2006/relationships/image" Target="media/image24.jpeg"/><Relationship Id="rId79" Type="http://schemas.openxmlformats.org/officeDocument/2006/relationships/image" Target="media/image38.png"/><Relationship Id="rId102" Type="http://schemas.openxmlformats.org/officeDocument/2006/relationships/hyperlink" Target="https://www.gov.uk/government/uploads/system/uploads/attachment_data/file/315489/PHE-Routine-childhood-imm-July-2014-03.pdf" TargetMode="External"/><Relationship Id="rId123" Type="http://schemas.openxmlformats.org/officeDocument/2006/relationships/hyperlink" Target="http://www.localhealth.org.uk/" TargetMode="External"/><Relationship Id="rId144" Type="http://schemas.openxmlformats.org/officeDocument/2006/relationships/hyperlink" Target="https://www.ndtms.net/" TargetMode="External"/><Relationship Id="rId90" Type="http://schemas.openxmlformats.org/officeDocument/2006/relationships/hyperlink" Target="https://www.gov.uk/government/uploads/system/uploads/attachment_data/file/199952/National_Service_Framework_for_Children_Young_People_and_Maternity_Services_-_Core_Standards.pdf" TargetMode="External"/><Relationship Id="rId165" Type="http://schemas.openxmlformats.org/officeDocument/2006/relationships/chart" Target="charts/chart31.xml"/><Relationship Id="rId186" Type="http://schemas.openxmlformats.org/officeDocument/2006/relationships/hyperlink" Target="http://www.nspcc.org.uk/preventing-abuse/child-abuse-and-neglect/child-sexual-abuse/" TargetMode="External"/><Relationship Id="rId211" Type="http://schemas.openxmlformats.org/officeDocument/2006/relationships/hyperlink" Target="https://www.gov.uk/government/publications/living-well-with-dementia-a-national-dementia-strategy" TargetMode="External"/><Relationship Id="rId232" Type="http://schemas.openxmlformats.org/officeDocument/2006/relationships/hyperlink" Target="https://www.barnet.gov.uk/bscb-home/professionals-/female-genital-mutilation-advice-for-professionals.html" TargetMode="External"/><Relationship Id="rId253" Type="http://schemas.openxmlformats.org/officeDocument/2006/relationships/image" Target="media/image100.png"/><Relationship Id="rId27" Type="http://schemas.openxmlformats.org/officeDocument/2006/relationships/chart" Target="charts/chart7.xml"/><Relationship Id="rId48" Type="http://schemas.openxmlformats.org/officeDocument/2006/relationships/chart" Target="charts/chart21.xml"/><Relationship Id="rId69" Type="http://schemas.openxmlformats.org/officeDocument/2006/relationships/hyperlink" Target="http://fingertips.phe.org.uk/profile/general-practice/data" TargetMode="External"/><Relationship Id="rId113" Type="http://schemas.openxmlformats.org/officeDocument/2006/relationships/hyperlink" Target="https://www.gov.uk/government/uploads/system/uploads/attachment_data/file/424569/WeeklyTablesRevised17.xls" TargetMode="External"/><Relationship Id="rId134" Type="http://schemas.openxmlformats.org/officeDocument/2006/relationships/hyperlink" Target="http://webarchive.nationalarchives.gov.uk/20130107105354/http:/www.dh.gov.uk/prod_consum_dh/groups/dh_digitalassets/@dh/@en/documents/digitalasset/dh_4080981.pdf" TargetMode="External"/><Relationship Id="rId80" Type="http://schemas.openxmlformats.org/officeDocument/2006/relationships/image" Target="media/image39.png"/><Relationship Id="rId155" Type="http://schemas.openxmlformats.org/officeDocument/2006/relationships/hyperlink" Target="http://www.lho.org.uk/viewResource.aspx?id=18505" TargetMode="External"/><Relationship Id="rId176" Type="http://schemas.openxmlformats.org/officeDocument/2006/relationships/chart" Target="charts/chart35.xml"/><Relationship Id="rId197" Type="http://schemas.openxmlformats.org/officeDocument/2006/relationships/chart" Target="charts/chart49.xml"/><Relationship Id="rId201" Type="http://schemas.openxmlformats.org/officeDocument/2006/relationships/hyperlink" Target="https://www.gov.uk/government/publications/care-act-2014-part-1-factsheets" TargetMode="External"/><Relationship Id="rId222" Type="http://schemas.openxmlformats.org/officeDocument/2006/relationships/image" Target="media/image87.jpeg"/><Relationship Id="rId243" Type="http://schemas.openxmlformats.org/officeDocument/2006/relationships/image" Target="media/image97.png"/><Relationship Id="rId264" Type="http://schemas.openxmlformats.org/officeDocument/2006/relationships/footer" Target="footer1.xml"/><Relationship Id="rId17" Type="http://schemas.openxmlformats.org/officeDocument/2006/relationships/image" Target="media/image610.png"/><Relationship Id="rId38" Type="http://schemas.openxmlformats.org/officeDocument/2006/relationships/chart" Target="charts/chart13.xml"/><Relationship Id="rId59" Type="http://schemas.openxmlformats.org/officeDocument/2006/relationships/image" Target="media/image25.png"/><Relationship Id="rId103" Type="http://schemas.openxmlformats.org/officeDocument/2006/relationships/hyperlink" Target="http://webarchive.nationalarchives.gov.uk/20140629102627/http:/hpa.org.uk/Topics/InfectiousDiseases/InfectionsAZ/VaccineCoverageAndCOVER/GeneralInformation/" TargetMode="External"/><Relationship Id="rId124" Type="http://schemas.openxmlformats.org/officeDocument/2006/relationships/image" Target="media/image61.png"/><Relationship Id="rId70" Type="http://schemas.openxmlformats.org/officeDocument/2006/relationships/image" Target="media/image32.png"/><Relationship Id="rId91" Type="http://schemas.openxmlformats.org/officeDocument/2006/relationships/hyperlink" Target="http://webarchive.nationalarchives.gov.uk/20130107105354/http:/www.dh.gov.uk/en/Healthcare/Children/CAMHS/index.htm" TargetMode="External"/><Relationship Id="rId145" Type="http://schemas.openxmlformats.org/officeDocument/2006/relationships/chart" Target="charts/chart25.xml"/><Relationship Id="rId166" Type="http://schemas.openxmlformats.org/officeDocument/2006/relationships/hyperlink" Target="http://fingertips.phe.org.uk/profiles-group/mental-health/profiles/cmhp" TargetMode="External"/><Relationship Id="rId187" Type="http://schemas.openxmlformats.org/officeDocument/2006/relationships/chart" Target="charts/chart45.xml"/></Relationships>
</file>

<file path=word/_rels/footnotes.xml.rels><?xml version="1.0" encoding="UTF-8" standalone="yes"?>
<Relationships xmlns="http://schemas.openxmlformats.org/package/2006/relationships"><Relationship Id="rId13" Type="http://schemas.openxmlformats.org/officeDocument/2006/relationships/hyperlink" Target="http://www.nhs.uk/conditions/cardiovascular-disease/Pages/Introduction.aspx" TargetMode="External"/><Relationship Id="rId18" Type="http://schemas.openxmlformats.org/officeDocument/2006/relationships/hyperlink" Target="http://www.localhealth.org.uk/" TargetMode="External"/><Relationship Id="rId26" Type="http://schemas.openxmlformats.org/officeDocument/2006/relationships/hyperlink" Target="http://www.nepho.org.uk/respiratory/index.php" TargetMode="External"/><Relationship Id="rId39" Type="http://schemas.openxmlformats.org/officeDocument/2006/relationships/hyperlink" Target="http://www.yhpho.org.uk/ncvinintellpacks/pdfs/07M_SlidePack.pdf" TargetMode="External"/><Relationship Id="rId21" Type="http://schemas.openxmlformats.org/officeDocument/2006/relationships/hyperlink" Target="http://www.swpho.nhs.uk/resource/item.aspx?RID=76243" TargetMode="External"/><Relationship Id="rId34" Type="http://schemas.openxmlformats.org/officeDocument/2006/relationships/hyperlink" Target="http://fingertips.phe.org.uk/cmhp" TargetMode="External"/><Relationship Id="rId42" Type="http://schemas.openxmlformats.org/officeDocument/2006/relationships/hyperlink" Target="http://www.yhpho.org.uk/ncvincvd/pdfs/Diabetes/07M_Diabetes.pdf" TargetMode="External"/><Relationship Id="rId47" Type="http://schemas.openxmlformats.org/officeDocument/2006/relationships/hyperlink" Target="http://www.who.int/oral_health/strategies/cont/en/" TargetMode="External"/><Relationship Id="rId50" Type="http://schemas.openxmlformats.org/officeDocument/2006/relationships/hyperlink" Target="http://www.nwph.net/dentalhealth/5yearoldprofiles/London/Barnet%20LA%20Dental%20Profile%205yr%202012.pdf" TargetMode="External"/><Relationship Id="rId55" Type="http://schemas.openxmlformats.org/officeDocument/2006/relationships/hyperlink" Target="http://www.nwph.net/dentalhealth/DPHIP%20Summary%20of%20findings%20Services%20report%202013.pdf" TargetMode="External"/><Relationship Id="rId63" Type="http://schemas.openxmlformats.org/officeDocument/2006/relationships/hyperlink" Target="https://www.gov.uk/government/uploads/system/uploads/attachment_data/file/385827/London_2012_local_authority_TB_profiles_Barking_and_Dagenham_to_Havering__1_.pdf" TargetMode="External"/><Relationship Id="rId68" Type="http://schemas.openxmlformats.org/officeDocument/2006/relationships/hyperlink" Target="http://respiratory-research.com/content/12/1/127" TargetMode="External"/><Relationship Id="rId76" Type="http://schemas.openxmlformats.org/officeDocument/2006/relationships/hyperlink" Target="http://sae.sportengland.org/" TargetMode="External"/><Relationship Id="rId84" Type="http://schemas.openxmlformats.org/officeDocument/2006/relationships/hyperlink" Target="http://www.bris.ac.uk/cipold/" TargetMode="External"/><Relationship Id="rId7" Type="http://schemas.openxmlformats.org/officeDocument/2006/relationships/hyperlink" Target="http://www.lho.org.uk/viewResource.aspx?id=18505" TargetMode="External"/><Relationship Id="rId71" Type="http://schemas.openxmlformats.org/officeDocument/2006/relationships/hyperlink" Target="http://www.hscic.gov.uk/catalogue/PUB15751%20http:/www.hscic.gov.uk/catalogue/PUB15751/qof-1314-prev-ach-exc-ccg.xlsx" TargetMode="External"/><Relationship Id="rId2" Type="http://schemas.openxmlformats.org/officeDocument/2006/relationships/hyperlink" Target="https://www.london.gov.uk/sites/default/files/Air%20Quality%20for%20Public%20Health%20Professionals%20-%20LB%20Barnet.pdf" TargetMode="External"/><Relationship Id="rId16" Type="http://schemas.openxmlformats.org/officeDocument/2006/relationships/hyperlink" Target="http://www.yhpho.org.uk/ncvincvd/pdfs/Heart/07M_Heart.pdf" TargetMode="External"/><Relationship Id="rId29" Type="http://schemas.openxmlformats.org/officeDocument/2006/relationships/hyperlink" Target="http://fingertips.phe.org.uk/profile/general-practice/data" TargetMode="External"/><Relationship Id="rId11" Type="http://schemas.openxmlformats.org/officeDocument/2006/relationships/hyperlink" Target="http://www.who.int/cardiovascular_diseases/publications/atlas_cvd/en/" TargetMode="External"/><Relationship Id="rId24" Type="http://schemas.openxmlformats.org/officeDocument/2006/relationships/hyperlink" Target="http://www.phoutcomes.info" TargetMode="External"/><Relationship Id="rId32" Type="http://schemas.openxmlformats.org/officeDocument/2006/relationships/hyperlink" Target="http://www.dovepress.com/occasional-review-influenza-in-copd-pathogenesis-prevention-and-treatm-peer-reviewed-article-COPD" TargetMode="External"/><Relationship Id="rId37" Type="http://schemas.openxmlformats.org/officeDocument/2006/relationships/hyperlink" Target="http://www.england.nhs.uk/wp-content/uploads/2014/07/camhs-tier-4-rep.pdf" TargetMode="External"/><Relationship Id="rId40" Type="http://schemas.openxmlformats.org/officeDocument/2006/relationships/hyperlink" Target="http://www.yhpho.org.uk/ncvincvd/pdfs/Diabetes/07M_Diabetes.pdf" TargetMode="External"/><Relationship Id="rId45" Type="http://schemas.openxmlformats.org/officeDocument/2006/relationships/hyperlink" Target="http://www.who.int/oral_health/policy/en/" TargetMode="External"/><Relationship Id="rId53" Type="http://schemas.openxmlformats.org/officeDocument/2006/relationships/hyperlink" Target="http://www.nwph.net/dentalhealth/extractions.aspx" TargetMode="External"/><Relationship Id="rId58" Type="http://schemas.openxmlformats.org/officeDocument/2006/relationships/hyperlink" Target="http://www.nhs.uk/Conditions/vaccinations/Pages/vaccination-schedule-age-checklist.aspx" TargetMode="External"/><Relationship Id="rId66" Type="http://schemas.openxmlformats.org/officeDocument/2006/relationships/hyperlink" Target="http://www.tobaccoprofiles.info/profile/tobacco-control/data" TargetMode="External"/><Relationship Id="rId74" Type="http://schemas.openxmlformats.org/officeDocument/2006/relationships/hyperlink" Target="http://www.phoutcomes.info/public-health-outcomes-framework" TargetMode="External"/><Relationship Id="rId79" Type="http://schemas.openxmlformats.org/officeDocument/2006/relationships/hyperlink" Target="https://www.gov.uk/government/statistical-data-sets/abortion-statistics-england-and-wales-2013" TargetMode="External"/><Relationship Id="rId87" Type="http://schemas.openxmlformats.org/officeDocument/2006/relationships/hyperlink" Target="http://www.met.police.uk/crimefigures/index.php" TargetMode="External"/><Relationship Id="rId5" Type="http://schemas.openxmlformats.org/officeDocument/2006/relationships/hyperlink" Target="http://ascof.hscic.gov.uk/Outcome/717/1F" TargetMode="External"/><Relationship Id="rId61" Type="http://schemas.openxmlformats.org/officeDocument/2006/relationships/hyperlink" Target="https://www.gov.uk/government/uploads/system/uploads/attachment_data/file/360335/TB_Annual_report__4_0_300914.pdf" TargetMode="External"/><Relationship Id="rId82" Type="http://schemas.openxmlformats.org/officeDocument/2006/relationships/hyperlink" Target="http://www.childrenssociety.org.uk/sites/default/files/tcs/hidden_from_view_-_final.pdf" TargetMode="External"/><Relationship Id="rId19" Type="http://schemas.openxmlformats.org/officeDocument/2006/relationships/hyperlink" Target="http://www.swpho.nhs.uk/resource/item.aspx?RID=76243" TargetMode="External"/><Relationship Id="rId4" Type="http://schemas.openxmlformats.org/officeDocument/2006/relationships/hyperlink" Target="http://www.londoncouncils.gov.uk/policylobbying/transport/parkinginlondon/parkingurban.htm" TargetMode="External"/><Relationship Id="rId9" Type="http://schemas.openxmlformats.org/officeDocument/2006/relationships/hyperlink" Target="http://longevity.about.com/od/Longevity-Terms-And-Concepts/g/What-Is-Mortality.htm" TargetMode="External"/><Relationship Id="rId14" Type="http://schemas.openxmlformats.org/officeDocument/2006/relationships/hyperlink" Target="https://www.bhf.org.uk/statistics" TargetMode="External"/><Relationship Id="rId22" Type="http://schemas.openxmlformats.org/officeDocument/2006/relationships/hyperlink" Target="http://www.ons.gov.uk/ons/rel/cancer-unit/a-cancer-survival-index-for-clinical-commissioning-groups/adults-diagnosed-1997-2012-and-followed-up-to-2013/rft-table-2-4.xls" TargetMode="External"/><Relationship Id="rId27" Type="http://schemas.openxmlformats.org/officeDocument/2006/relationships/hyperlink" Target="http://www.hscic.gov.uk/catalogue/PUB15751" TargetMode="External"/><Relationship Id="rId30" Type="http://schemas.openxmlformats.org/officeDocument/2006/relationships/hyperlink" Target="https://indicators.ic.nhs.uk/webview/velocity;jsessionid=01A57E184538337EA04420F31EDB0411?v=2&amp;mode=documentation&amp;submode=ddi&amp;study=http%3A%2F%2Fhg-l-app-472.ic.green.net%3A80%2Fobj%2FfStudy%2FP00987" TargetMode="External"/><Relationship Id="rId35" Type="http://schemas.openxmlformats.org/officeDocument/2006/relationships/hyperlink" Target="http://www.nepho.org.uk/pdfs/cmhp/E38000005.pdf" TargetMode="External"/><Relationship Id="rId43" Type="http://schemas.openxmlformats.org/officeDocument/2006/relationships/hyperlink" Target="http://fingertips.phe.org.uk/profile/general-practice/data" TargetMode="External"/><Relationship Id="rId48" Type="http://schemas.openxmlformats.org/officeDocument/2006/relationships/hyperlink" Target="http://www.nhs.uk/Conditions/Cancer-of-the-mouth/Pages/Introduction.aspx" TargetMode="External"/><Relationship Id="rId56" Type="http://schemas.openxmlformats.org/officeDocument/2006/relationships/hyperlink" Target="http://www.who.int/topics/immunization/en/" TargetMode="External"/><Relationship Id="rId64" Type="http://schemas.openxmlformats.org/officeDocument/2006/relationships/hyperlink" Target="http://www.nejm.org/doi/full/10.1056/NEJMp1501316" TargetMode="External"/><Relationship Id="rId69" Type="http://schemas.openxmlformats.org/officeDocument/2006/relationships/hyperlink" Target="http://www.cancerresearchuk.org/cancer-info/cancerstats/local-cancer-statistics/" TargetMode="External"/><Relationship Id="rId77" Type="http://schemas.openxmlformats.org/officeDocument/2006/relationships/hyperlink" Target="http://www.harrow.gov.uk/www2/documents/s111406/Appendix.pdf" TargetMode="External"/><Relationship Id="rId8" Type="http://schemas.openxmlformats.org/officeDocument/2006/relationships/hyperlink" Target="http://www.nepho.org.uk/pdfs/public-health-outcomes-framework/E09000003.pdf" TargetMode="External"/><Relationship Id="rId51" Type="http://schemas.openxmlformats.org/officeDocument/2006/relationships/hyperlink" Target="http://fingertips.phe.org.uk/search/dental" TargetMode="External"/><Relationship Id="rId72" Type="http://schemas.openxmlformats.org/officeDocument/2006/relationships/hyperlink" Target="http://www.hscic.gov.uk/catalogue/PUB16988/Obes-phys-acti-diet-eng-2015-tab.xlsx" TargetMode="External"/><Relationship Id="rId80" Type="http://schemas.openxmlformats.org/officeDocument/2006/relationships/hyperlink" Target="http://www.nice.org.uk/guidance/ph21/resources/guidance-reducing-differences-in-the-uptake-of-immunisations-pdf" TargetMode="External"/><Relationship Id="rId85" Type="http://schemas.openxmlformats.org/officeDocument/2006/relationships/hyperlink" Target="https://www.gov.uk/government/uploads/system/uploads/attachment_data/file/212077/Government_Response_to_the_Confidential_Inquiry_into_Premature_Deaths_of_People_with_Learning_Disabilities_-_full_report.pdf" TargetMode="External"/><Relationship Id="rId3" Type="http://schemas.openxmlformats.org/officeDocument/2006/relationships/hyperlink" Target="http://www.ons.gov.uk/ons/rel/rdit2/internet-access---households-and-individuals/2014/sty-digital-day-2014.html" TargetMode="External"/><Relationship Id="rId12" Type="http://schemas.openxmlformats.org/officeDocument/2006/relationships/hyperlink" Target="http://www.who.int/mediacentre/factsheets/fs317/en/" TargetMode="External"/><Relationship Id="rId17" Type="http://schemas.openxmlformats.org/officeDocument/2006/relationships/hyperlink" Target="http://www.yhpho.org.uk/ncvincvd/pdfs/stroke/07M_Stroke.pdf" TargetMode="External"/><Relationship Id="rId25" Type="http://schemas.openxmlformats.org/officeDocument/2006/relationships/hyperlink" Target="http://fingertips.phe.org.uk/" TargetMode="External"/><Relationship Id="rId33" Type="http://schemas.openxmlformats.org/officeDocument/2006/relationships/hyperlink" Target="https://www.gov.uk/government/uploads/system/uploads/attachment_data/file/213761/dh_124058.pdf" TargetMode="External"/><Relationship Id="rId38" Type="http://schemas.openxmlformats.org/officeDocument/2006/relationships/hyperlink" Target="http://www.yhpho.org.uk/default.aspx?RID=154049" TargetMode="External"/><Relationship Id="rId46" Type="http://schemas.openxmlformats.org/officeDocument/2006/relationships/hyperlink" Target="http://www.who.int/oral_health/tokyodeclaration032015/en/" TargetMode="External"/><Relationship Id="rId59" Type="http://schemas.openxmlformats.org/officeDocument/2006/relationships/hyperlink" Target="https://www.gov.uk/government/uploads/system/uploads/attachment_data/file/323504/8807_PHE_Complete_Immunisation_Schedule_A4_2014_11.pdf" TargetMode="External"/><Relationship Id="rId67" Type="http://schemas.openxmlformats.org/officeDocument/2006/relationships/hyperlink" Target="http://journal.publications.chestnet.org/data/Journals/CHEST/22014/105S.pdf" TargetMode="External"/><Relationship Id="rId20" Type="http://schemas.openxmlformats.org/officeDocument/2006/relationships/hyperlink" Target="http://www.cancerresearchuk.org/cancer-info/cancerstats/local-cancer-statistics/" TargetMode="External"/><Relationship Id="rId41" Type="http://schemas.openxmlformats.org/officeDocument/2006/relationships/hyperlink" Target="http://www.yhpho.org.uk/ncvincvd/Default.aspx" TargetMode="External"/><Relationship Id="rId54" Type="http://schemas.openxmlformats.org/officeDocument/2006/relationships/hyperlink" Target="http://hscic.gov.uk/catalogue/PUB11625" TargetMode="External"/><Relationship Id="rId62" Type="http://schemas.openxmlformats.org/officeDocument/2006/relationships/hyperlink" Target="http://fingertips.phe.org.uk/profile/tb-monitoring/data" TargetMode="External"/><Relationship Id="rId70" Type="http://schemas.openxmlformats.org/officeDocument/2006/relationships/hyperlink" Target="http://dx.doi.org/10.2147/COPD.S54473" TargetMode="External"/><Relationship Id="rId75" Type="http://schemas.openxmlformats.org/officeDocument/2006/relationships/hyperlink" Target="file:///\\clbhprwmwfs01\vol3\DATA\PH\Public%20Health\Barnet%20&amp;%20Harrow%20PH%20Teams\Knowledge%20&amp;%20Intelligence\JSNA\Sarwar%20Barnet%20JSNA-2015\Public%20Health%20Outcome%20Framework" TargetMode="External"/><Relationship Id="rId83" Type="http://schemas.openxmlformats.org/officeDocument/2006/relationships/hyperlink" Target="https://www.gov.uk/government/uploads/system/uploads/attachment_data/file/409816/Document.pdf" TargetMode="External"/><Relationship Id="rId88" Type="http://schemas.openxmlformats.org/officeDocument/2006/relationships/hyperlink" Target="http://www.who.int/mediacentre/factsheets/fs241/en/" TargetMode="External"/><Relationship Id="rId1" Type="http://schemas.openxmlformats.org/officeDocument/2006/relationships/hyperlink" Target="https://londondatastore-upload.s3.amazonaws.com/jYs%3Dtechnical-note-guide-gla-popproj-variants.pdf" TargetMode="External"/><Relationship Id="rId6" Type="http://schemas.openxmlformats.org/officeDocument/2006/relationships/hyperlink" Target="http://www.learningdisabilities.org.uk/help-information/Learning-Disability-Statistics-/187693/" TargetMode="External"/><Relationship Id="rId15" Type="http://schemas.openxmlformats.org/officeDocument/2006/relationships/hyperlink" Target="http://www.who.int/nmh/publications/ncd-status-report-2014/en/" TargetMode="External"/><Relationship Id="rId23" Type="http://schemas.openxmlformats.org/officeDocument/2006/relationships/hyperlink" Target="http://www.ons.gov.uk/ons/datasets-and-tables/index.htmlhttp://www.ons.gov.uk/ons/datasets-and-tables/index.html?pageSize=50&amp;sortBy=none&amp;sortDirection=none&amp;newquery=Cancer+Incidence+and+Mortality&amp;content-type=Reference+table&amp;content-type=Dataset" TargetMode="External"/><Relationship Id="rId28" Type="http://schemas.openxmlformats.org/officeDocument/2006/relationships/hyperlink" Target="http://www.hscic.gov.uk/catalogue/PUB15751/qof-1314-prev-ach-exc-ccg.xlsx" TargetMode="External"/><Relationship Id="rId36" Type="http://schemas.openxmlformats.org/officeDocument/2006/relationships/hyperlink" Target="http://fingertips.phe.org.uk/cmhp" TargetMode="External"/><Relationship Id="rId49" Type="http://schemas.openxmlformats.org/officeDocument/2006/relationships/hyperlink" Target="http://www.ncin.org.uk/publications/data_briefings/oral_cavity_cancer_recent_survival_trends" TargetMode="External"/><Relationship Id="rId57" Type="http://schemas.openxmlformats.org/officeDocument/2006/relationships/hyperlink" Target="http://www.who.int/mediacentre/factsheets/fs378/en/" TargetMode="External"/><Relationship Id="rId10" Type="http://schemas.openxmlformats.org/officeDocument/2006/relationships/hyperlink" Target="http://healthierlives.phe.org.uk/topic/mortality" TargetMode="External"/><Relationship Id="rId31" Type="http://schemas.openxmlformats.org/officeDocument/2006/relationships/hyperlink" Target="https://indicators.ic.nhs.uk/download/NCHOD/Data/24D_635PC_14_D.xls" TargetMode="External"/><Relationship Id="rId44" Type="http://schemas.openxmlformats.org/officeDocument/2006/relationships/hyperlink" Target="http://www.hscic.gov.uk/catalogue/PUB16456/nda-audi-ccg-eng-barn-12-13-rep2.pdf" TargetMode="External"/><Relationship Id="rId52" Type="http://schemas.openxmlformats.org/officeDocument/2006/relationships/hyperlink" Target="http://www.nwph.info/dentalhealth/reports/DPHEP%20for%20England%20OH%20Survey%203yr%202013%20Report%20FINAL%20260914%20Appx%20140115.pdf" TargetMode="External"/><Relationship Id="rId60" Type="http://schemas.openxmlformats.org/officeDocument/2006/relationships/hyperlink" Target="http://www.phoutcomes.info/public-health-outcomes-framework" TargetMode="External"/><Relationship Id="rId65" Type="http://schemas.openxmlformats.org/officeDocument/2006/relationships/hyperlink" Target="http://www.nice.org.uk/advice/lgb24/chapter/introduction" TargetMode="External"/><Relationship Id="rId73" Type="http://schemas.openxmlformats.org/officeDocument/2006/relationships/hyperlink" Target="http://webarchive.nationalarchives.gov.uk/+/dh.gov.uk/en/publicationsandstatistics/publications/publicationspolicyandguidance/dh_4080994" TargetMode="External"/><Relationship Id="rId78" Type="http://schemas.openxmlformats.org/officeDocument/2006/relationships/hyperlink" Target="http://www.hscic.gov.uk/catalogue/PUB02931/adul-psyc-morb-res-hou-sur-eng-2007-rep.pdf" TargetMode="External"/><Relationship Id="rId81" Type="http://schemas.openxmlformats.org/officeDocument/2006/relationships/hyperlink" Target="http://www.nice.org.uk/guidance/ph21" TargetMode="External"/><Relationship Id="rId86" Type="http://schemas.openxmlformats.org/officeDocument/2006/relationships/hyperlink" Target="https://www.gov.uk/government/uploads/system/uploads/attachment_data/file/118042/IOM-phase2-costs-multipliers.pdf"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lbbarnet\userareas\home6\Daniel.Bailey\BIO\JSNA\Chapter%201%20Demographics\Demography\Data\Disability%20Data%20-%20Annual%20population%20survey.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lbbarnet\userareas\home6\Daniel.Bailey\BIO\JSNA\Chapter%201%20Demographics\Data\Life%20Expectancy.xlsx" TargetMode="External"/></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1.xml"/></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18.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19.xml.rels><?xml version="1.0" encoding="UTF-8" standalone="yes"?>
<Relationships xmlns="http://schemas.openxmlformats.org/package/2006/relationships"><Relationship Id="rId1" Type="http://schemas.openxmlformats.org/officeDocument/2006/relationships/oleObject" Target="file:///C:\Users\Daniel.Bailey\AppData\Local\Microsoft\Windows\Temporary%20Internet%20Files\Content.Outlook\91ODLH4Z\Data%20for%20JSNA.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lbbarnet\userareas\home6\Daniel.Bailey\BIO\JSNA\Chapter%201%20Demographics\Demography\Data\2015%20Population%20Data.xlsx" TargetMode="External"/></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22.xml.rels><?xml version="1.0" encoding="UTF-8" standalone="yes"?>
<Relationships xmlns="http://schemas.openxmlformats.org/package/2006/relationships"><Relationship Id="rId1" Type="http://schemas.openxmlformats.org/officeDocument/2006/relationships/oleObject" Target="file:///\\lbbarnet\userareas\home6\Daniel.Bailey\BIO\JSNA\Chapter%202%20-%20Socio%20Economic%20Chapter\Data\Claimant%20Rate.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lbbarnet\userareas\home6\Daniel.Bailey\BIO\CACI\Paycheck%202015\Low%20Incomes%20by%20Ward.csv" TargetMode="External"/></Relationships>
</file>

<file path=word/charts/_rels/chart24.xml.rels><?xml version="1.0" encoding="UTF-8" standalone="yes"?>
<Relationships xmlns="http://schemas.openxmlformats.org/package/2006/relationships"><Relationship Id="rId2" Type="http://schemas.openxmlformats.org/officeDocument/2006/relationships/oleObject" Target="file:///\\harrow.gov.uk\dfs\Home\SarShah\Barnet%20TB%20incidence%20(three%20year%20average)%20%202004-6%20to%202011-13.xls" TargetMode="External"/><Relationship Id="rId1" Type="http://schemas.openxmlformats.org/officeDocument/2006/relationships/themeOverride" Target="../theme/themeOverride2.xml"/></Relationships>
</file>

<file path=word/charts/_rels/chart25.xml.rels><?xml version="1.0" encoding="UTF-8" standalone="yes"?>
<Relationships xmlns="http://schemas.openxmlformats.org/package/2006/relationships"><Relationship Id="rId1" Type="http://schemas.openxmlformats.org/officeDocument/2006/relationships/oleObject" Target="file:///C:\Users\Fizz\Documents\Harrow%20&amp;%20Barnet\Data\vince's%20analysis\LAS%20Drugs.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C:\Users\Fizz\Documents\Harrow%20&amp;%20Barnet\Data\vince's%20analysis\LAS%20Drugs.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ad.elc.nhs.uk\NetworkDrive\BarnetCCG\StrategyPlanningAndPerformance\JSNA%20Refresh\JSNA_Data\PinkyM\JSNA_Reeport_PM.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ad.elc.nhs.uk\NetworkDrive\BarnetCCG\StrategyPlanningAndPerformance\JSNA%20Refresh\JSNA_Data\PinkyM\JSNA_Reeport_PM.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Book4"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file:///C:\Users\Daniel.Bailey\AppData\Local\Microsoft\Windows\Temporary%20Internet%20Files\Content.Outlook\91ODLH4Z\20150608%20DTOC.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C:\Users\Daniel.Bailey\AppData\Local\Microsoft\Windows\Temporary%20Internet%20Files\Content.Outlook\91ODLH4Z\20150608%20DTOC.xlsx" TargetMode="External"/></Relationships>
</file>

<file path=word/charts/_rels/chart32.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3.xml"/></Relationships>
</file>

<file path=word/charts/_rels/chart33.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4.xml"/></Relationships>
</file>

<file path=word/charts/_rels/chart34.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5.xml"/></Relationships>
</file>

<file path=word/charts/_rels/chart35.xml.rels><?xml version="1.0" encoding="UTF-8" standalone="yes"?>
<Relationships xmlns="http://schemas.openxmlformats.org/package/2006/relationships"><Relationship Id="rId2" Type="http://schemas.openxmlformats.org/officeDocument/2006/relationships/oleObject" Target="file:///\\lbbarnet\userareas\home6\Caylin.Joski-Jethi\School%20Data%20Performance%20Manager\JSNA\Working%20-%20JSNA%20Data.xlsx" TargetMode="External"/><Relationship Id="rId1" Type="http://schemas.openxmlformats.org/officeDocument/2006/relationships/themeOverride" Target="../theme/themeOverride6.xml"/></Relationships>
</file>

<file path=word/charts/_rels/chart36.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7.xml"/></Relationships>
</file>

<file path=word/charts/_rels/chart37.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8.xml"/></Relationships>
</file>

<file path=word/charts/_rels/chart38.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9.xml"/></Relationships>
</file>

<file path=word/charts/_rels/chart39.xml.rels><?xml version="1.0" encoding="UTF-8" standalone="yes"?>
<Relationships xmlns="http://schemas.openxmlformats.org/package/2006/relationships"><Relationship Id="rId1" Type="http://schemas.openxmlformats.org/officeDocument/2006/relationships/oleObject" Target="file:///C:\Users\shirley.green\AppData\Local\Microsoft\Windows\Temporary%20Internet%20Files\Content.Outlook\NVYUVK1O\CS-SSC183_Clients_Who_Have_A_Disability_And_An_Active_Category_Of_Need_At_Any_Point_Between_2_Dates__V01(1).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40.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0.xml"/></Relationships>
</file>

<file path=word/charts/_rels/chart41.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1.xml"/></Relationships>
</file>

<file path=word/charts/_rels/chart42.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themeOverride" Target="../theme/themeOverride12.xml"/></Relationships>
</file>

<file path=word/charts/_rels/chart43.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themeOverride" Target="../theme/themeOverride13.xml"/></Relationships>
</file>

<file path=word/charts/_rels/chart44.xml.rels><?xml version="1.0" encoding="UTF-8" standalone="yes"?>
<Relationships xmlns="http://schemas.openxmlformats.org/package/2006/relationships"><Relationship Id="rId2" Type="http://schemas.openxmlformats.org/officeDocument/2006/relationships/oleObject" Target="../embeddings/oleObject5.bin"/><Relationship Id="rId1" Type="http://schemas.openxmlformats.org/officeDocument/2006/relationships/themeOverride" Target="../theme/themeOverride14.xml"/></Relationships>
</file>

<file path=word/charts/_rels/chart45.xml.rels><?xml version="1.0" encoding="UTF-8" standalone="yes"?>
<Relationships xmlns="http://schemas.openxmlformats.org/package/2006/relationships"><Relationship Id="rId2" Type="http://schemas.openxmlformats.org/officeDocument/2006/relationships/oleObject" Target="Book1" TargetMode="External"/><Relationship Id="rId1" Type="http://schemas.openxmlformats.org/officeDocument/2006/relationships/themeOverride" Target="../theme/themeOverride15.xml"/></Relationships>
</file>

<file path=word/charts/_rels/chart46.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6.xml"/></Relationships>
</file>

<file path=word/charts/_rels/chart47.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17.xml"/></Relationships>
</file>

<file path=word/charts/_rels/chart48.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18.xml"/></Relationships>
</file>

<file path=word/charts/_rels/chart49.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Book3" TargetMode="External"/></Relationships>
</file>

<file path=word/charts/_rels/chart50.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5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52.xml.rels><?xml version="1.0" encoding="UTF-8" standalone="yes"?>
<Relationships xmlns="http://schemas.openxmlformats.org/package/2006/relationships"><Relationship Id="rId1" Type="http://schemas.openxmlformats.org/officeDocument/2006/relationships/oleObject" Target="Book2" TargetMode="External"/></Relationships>
</file>

<file path=word/charts/_rels/chart53.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54.xml.rels><?xml version="1.0" encoding="UTF-8" standalone="yes"?>
<Relationships xmlns="http://schemas.openxmlformats.org/package/2006/relationships"><Relationship Id="rId1" Type="http://schemas.openxmlformats.org/officeDocument/2006/relationships/oleObject" Target="Book3" TargetMode="External"/></Relationships>
</file>

<file path=word/charts/_rels/chart55.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56.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57.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58.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59.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lbbarnet\userareas\home6\Daniel.Bailey\BIO\JSNA\Chapter%201%20Demographics\Demography\Data\Drivers%20of%20Growth.xlsx" TargetMode="External"/></Relationships>
</file>

<file path=word/charts/_rels/chart60.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6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62.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63.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64.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65.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66.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67.xml.rels><?xml version="1.0" encoding="UTF-8" standalone="yes"?>
<Relationships xmlns="http://schemas.openxmlformats.org/package/2006/relationships"><Relationship Id="rId1" Type="http://schemas.openxmlformats.org/officeDocument/2006/relationships/oleObject" Target="file:///\\lbbarnet\userareas\home5\Iphigenia.Christopho\Growth%20and%20development\JSNA\spending%20data.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Katie\Desktop\JSNA\Disability.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Daniel.Bailey\Downloads\nomis_2015_03_09_133747.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2007018325072729E-2"/>
          <c:y val="6.2004166093172913E-2"/>
          <c:w val="0.88298016398095147"/>
          <c:h val="0.56195455705524389"/>
        </c:manualLayout>
      </c:layout>
      <c:barChart>
        <c:barDir val="col"/>
        <c:grouping val="clustered"/>
        <c:varyColors val="0"/>
        <c:ser>
          <c:idx val="0"/>
          <c:order val="0"/>
          <c:tx>
            <c:strRef>
              <c:f>Sheet1!$B$1</c:f>
              <c:strCache>
                <c:ptCount val="1"/>
                <c:pt idx="0">
                  <c:v>% Change 2001-2015</c:v>
                </c:pt>
              </c:strCache>
            </c:strRef>
          </c:tx>
          <c:spPr>
            <a:solidFill>
              <a:srgbClr val="FF0000"/>
            </a:solidFill>
          </c:spPr>
          <c:invertIfNegative val="0"/>
          <c:dPt>
            <c:idx val="7"/>
            <c:invertIfNegative val="0"/>
            <c:bubble3D val="0"/>
            <c:spPr>
              <a:solidFill>
                <a:srgbClr val="92D050"/>
              </a:solidFill>
            </c:spPr>
          </c:dPt>
          <c:cat>
            <c:strRef>
              <c:f>Sheet1!$A$2:$A$14</c:f>
              <c:strCache>
                <c:ptCount val="13"/>
                <c:pt idx="0">
                  <c:v>Hounslow</c:v>
                </c:pt>
                <c:pt idx="1">
                  <c:v>Redbridge</c:v>
                </c:pt>
                <c:pt idx="2">
                  <c:v>Brent</c:v>
                </c:pt>
                <c:pt idx="3">
                  <c:v>Hillingdon</c:v>
                </c:pt>
                <c:pt idx="4">
                  <c:v>Harrow</c:v>
                </c:pt>
                <c:pt idx="5">
                  <c:v>Enfield</c:v>
                </c:pt>
                <c:pt idx="6">
                  <c:v>Outer London</c:v>
                </c:pt>
                <c:pt idx="7">
                  <c:v>Barnet</c:v>
                </c:pt>
                <c:pt idx="8">
                  <c:v>Kingston upon Thames</c:v>
                </c:pt>
                <c:pt idx="9">
                  <c:v>Ealing</c:v>
                </c:pt>
                <c:pt idx="10">
                  <c:v>Sutton</c:v>
                </c:pt>
                <c:pt idx="11">
                  <c:v>Merton</c:v>
                </c:pt>
                <c:pt idx="12">
                  <c:v>Bromley</c:v>
                </c:pt>
              </c:strCache>
            </c:strRef>
          </c:cat>
          <c:val>
            <c:numRef>
              <c:f>Sheet1!$B$2:$B$14</c:f>
              <c:numCache>
                <c:formatCode>0.00%</c:formatCode>
                <c:ptCount val="13"/>
                <c:pt idx="0">
                  <c:v>0.2591</c:v>
                </c:pt>
                <c:pt idx="1">
                  <c:v>0.23799999999999999</c:v>
                </c:pt>
                <c:pt idx="2">
                  <c:v>0.21360000000000001</c:v>
                </c:pt>
                <c:pt idx="3">
                  <c:v>0.20730000000000001</c:v>
                </c:pt>
                <c:pt idx="4">
                  <c:v>0.19439999999999999</c:v>
                </c:pt>
                <c:pt idx="5">
                  <c:v>0.1933</c:v>
                </c:pt>
                <c:pt idx="6">
                  <c:v>0.17169999999999999</c:v>
                </c:pt>
                <c:pt idx="7">
                  <c:v>0.14829999999999999</c:v>
                </c:pt>
                <c:pt idx="8">
                  <c:v>0.1462</c:v>
                </c:pt>
                <c:pt idx="9">
                  <c:v>0.1429</c:v>
                </c:pt>
                <c:pt idx="10">
                  <c:v>0.1096</c:v>
                </c:pt>
                <c:pt idx="11">
                  <c:v>0.1026</c:v>
                </c:pt>
                <c:pt idx="12">
                  <c:v>9.2100000000000001E-2</c:v>
                </c:pt>
              </c:numCache>
            </c:numRef>
          </c:val>
        </c:ser>
        <c:dLbls>
          <c:dLblPos val="outEnd"/>
          <c:showLegendKey val="0"/>
          <c:showVal val="1"/>
          <c:showCatName val="0"/>
          <c:showSerName val="0"/>
          <c:showPercent val="0"/>
          <c:showBubbleSize val="0"/>
        </c:dLbls>
        <c:gapWidth val="150"/>
        <c:axId val="92039040"/>
        <c:axId val="153641728"/>
      </c:barChart>
      <c:catAx>
        <c:axId val="92039040"/>
        <c:scaling>
          <c:orientation val="minMax"/>
        </c:scaling>
        <c:delete val="0"/>
        <c:axPos val="b"/>
        <c:majorTickMark val="out"/>
        <c:minorTickMark val="none"/>
        <c:tickLblPos val="nextTo"/>
        <c:txPr>
          <a:bodyPr rot="-1680000"/>
          <a:lstStyle/>
          <a:p>
            <a:pPr>
              <a:defRPr/>
            </a:pPr>
            <a:endParaRPr lang="en-US"/>
          </a:p>
        </c:txPr>
        <c:crossAx val="153641728"/>
        <c:crosses val="autoZero"/>
        <c:auto val="1"/>
        <c:lblAlgn val="ctr"/>
        <c:lblOffset val="100"/>
        <c:noMultiLvlLbl val="0"/>
      </c:catAx>
      <c:valAx>
        <c:axId val="153641728"/>
        <c:scaling>
          <c:orientation val="minMax"/>
        </c:scaling>
        <c:delete val="0"/>
        <c:axPos val="l"/>
        <c:title>
          <c:tx>
            <c:rich>
              <a:bodyPr rot="-5400000" vert="horz"/>
              <a:lstStyle/>
              <a:p>
                <a:pPr>
                  <a:defRPr/>
                </a:pPr>
                <a:r>
                  <a:rPr lang="en-GB"/>
                  <a:t>% Population Growth</a:t>
                </a:r>
              </a:p>
            </c:rich>
          </c:tx>
          <c:overlay val="0"/>
        </c:title>
        <c:numFmt formatCode="0%" sourceLinked="0"/>
        <c:majorTickMark val="out"/>
        <c:minorTickMark val="none"/>
        <c:tickLblPos val="nextTo"/>
        <c:crossAx val="92039040"/>
        <c:crosses val="autoZero"/>
        <c:crossBetween val="between"/>
      </c:valAx>
    </c:plotArea>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6529031951720405"/>
          <c:y val="2.6648162060587285E-2"/>
          <c:w val="0.70724696175125867"/>
          <c:h val="0.80538452039276509"/>
        </c:manualLayout>
      </c:layout>
      <c:barChart>
        <c:barDir val="bar"/>
        <c:grouping val="clustered"/>
        <c:varyColors val="0"/>
        <c:ser>
          <c:idx val="0"/>
          <c:order val="0"/>
          <c:tx>
            <c:strRef>
              <c:f>Data!$H$33</c:f>
              <c:strCache>
                <c:ptCount val="1"/>
                <c:pt idx="0">
                  <c:v>Men</c:v>
                </c:pt>
              </c:strCache>
            </c:strRef>
          </c:tx>
          <c:spPr>
            <a:solidFill>
              <a:srgbClr val="FF0000"/>
            </a:solidFill>
          </c:spPr>
          <c:invertIfNegative val="0"/>
          <c:cat>
            <c:strRef>
              <c:f>Data!$G$34:$G$46</c:f>
              <c:strCache>
                <c:ptCount val="13"/>
                <c:pt idx="0">
                  <c:v>Barnet</c:v>
                </c:pt>
                <c:pt idx="1">
                  <c:v>Sutton</c:v>
                </c:pt>
                <c:pt idx="2">
                  <c:v>Ealing</c:v>
                </c:pt>
                <c:pt idx="3">
                  <c:v>Hounslow</c:v>
                </c:pt>
                <c:pt idx="4">
                  <c:v>Reading</c:v>
                </c:pt>
                <c:pt idx="5">
                  <c:v>Redbridge</c:v>
                </c:pt>
                <c:pt idx="6">
                  <c:v>Outer London</c:v>
                </c:pt>
                <c:pt idx="7">
                  <c:v>Milton Keynes</c:v>
                </c:pt>
                <c:pt idx="8">
                  <c:v>United Kingdom</c:v>
                </c:pt>
                <c:pt idx="9">
                  <c:v>Hillingdon</c:v>
                </c:pt>
                <c:pt idx="10">
                  <c:v>Kingston upon Thames</c:v>
                </c:pt>
                <c:pt idx="11">
                  <c:v>Merton</c:v>
                </c:pt>
                <c:pt idx="12">
                  <c:v>Bromley</c:v>
                </c:pt>
              </c:strCache>
            </c:strRef>
          </c:cat>
          <c:val>
            <c:numRef>
              <c:f>Data!$H$34:$H$46</c:f>
              <c:numCache>
                <c:formatCode>#,##0.0</c:formatCode>
                <c:ptCount val="13"/>
                <c:pt idx="0">
                  <c:v>8.8000000000000007</c:v>
                </c:pt>
                <c:pt idx="1">
                  <c:v>10</c:v>
                </c:pt>
                <c:pt idx="2">
                  <c:v>14.3</c:v>
                </c:pt>
                <c:pt idx="3">
                  <c:v>12.3</c:v>
                </c:pt>
                <c:pt idx="4">
                  <c:v>11.1</c:v>
                </c:pt>
                <c:pt idx="5">
                  <c:v>15</c:v>
                </c:pt>
                <c:pt idx="6">
                  <c:v>14.1</c:v>
                </c:pt>
                <c:pt idx="7">
                  <c:v>15.8</c:v>
                </c:pt>
                <c:pt idx="8">
                  <c:v>17.600000000000001</c:v>
                </c:pt>
                <c:pt idx="9">
                  <c:v>15.6</c:v>
                </c:pt>
                <c:pt idx="10">
                  <c:v>13.1</c:v>
                </c:pt>
                <c:pt idx="11">
                  <c:v>13</c:v>
                </c:pt>
                <c:pt idx="12">
                  <c:v>16.2</c:v>
                </c:pt>
              </c:numCache>
            </c:numRef>
          </c:val>
        </c:ser>
        <c:ser>
          <c:idx val="1"/>
          <c:order val="1"/>
          <c:tx>
            <c:strRef>
              <c:f>Data!$I$33</c:f>
              <c:strCache>
                <c:ptCount val="1"/>
                <c:pt idx="0">
                  <c:v>Women</c:v>
                </c:pt>
              </c:strCache>
            </c:strRef>
          </c:tx>
          <c:spPr>
            <a:solidFill>
              <a:srgbClr val="92D050"/>
            </a:solidFill>
          </c:spPr>
          <c:invertIfNegative val="0"/>
          <c:cat>
            <c:strRef>
              <c:f>Data!$G$34:$G$46</c:f>
              <c:strCache>
                <c:ptCount val="13"/>
                <c:pt idx="0">
                  <c:v>Barnet</c:v>
                </c:pt>
                <c:pt idx="1">
                  <c:v>Sutton</c:v>
                </c:pt>
                <c:pt idx="2">
                  <c:v>Ealing</c:v>
                </c:pt>
                <c:pt idx="3">
                  <c:v>Hounslow</c:v>
                </c:pt>
                <c:pt idx="4">
                  <c:v>Reading</c:v>
                </c:pt>
                <c:pt idx="5">
                  <c:v>Redbridge</c:v>
                </c:pt>
                <c:pt idx="6">
                  <c:v>Outer London</c:v>
                </c:pt>
                <c:pt idx="7">
                  <c:v>Milton Keynes</c:v>
                </c:pt>
                <c:pt idx="8">
                  <c:v>United Kingdom</c:v>
                </c:pt>
                <c:pt idx="9">
                  <c:v>Hillingdon</c:v>
                </c:pt>
                <c:pt idx="10">
                  <c:v>Kingston upon Thames</c:v>
                </c:pt>
                <c:pt idx="11">
                  <c:v>Merton</c:v>
                </c:pt>
                <c:pt idx="12">
                  <c:v>Bromley</c:v>
                </c:pt>
              </c:strCache>
            </c:strRef>
          </c:cat>
          <c:val>
            <c:numRef>
              <c:f>Data!$I$34:$I$46</c:f>
              <c:numCache>
                <c:formatCode>#,##0.0</c:formatCode>
                <c:ptCount val="13"/>
                <c:pt idx="0">
                  <c:v>16.100000000000001</c:v>
                </c:pt>
                <c:pt idx="1">
                  <c:v>17.7</c:v>
                </c:pt>
                <c:pt idx="2">
                  <c:v>21</c:v>
                </c:pt>
                <c:pt idx="3">
                  <c:v>17.100000000000001</c:v>
                </c:pt>
                <c:pt idx="4">
                  <c:v>15.2</c:v>
                </c:pt>
                <c:pt idx="5">
                  <c:v>20.399999999999999</c:v>
                </c:pt>
                <c:pt idx="6">
                  <c:v>18.2</c:v>
                </c:pt>
                <c:pt idx="7">
                  <c:v>19.3</c:v>
                </c:pt>
                <c:pt idx="8">
                  <c:v>20.399999999999999</c:v>
                </c:pt>
                <c:pt idx="9">
                  <c:v>16.600000000000001</c:v>
                </c:pt>
                <c:pt idx="10">
                  <c:v>13.4</c:v>
                </c:pt>
                <c:pt idx="11">
                  <c:v>12.4</c:v>
                </c:pt>
                <c:pt idx="12">
                  <c:v>14.1</c:v>
                </c:pt>
              </c:numCache>
            </c:numRef>
          </c:val>
        </c:ser>
        <c:dLbls>
          <c:showLegendKey val="0"/>
          <c:showVal val="0"/>
          <c:showCatName val="0"/>
          <c:showSerName val="0"/>
          <c:showPercent val="0"/>
          <c:showBubbleSize val="0"/>
        </c:dLbls>
        <c:gapWidth val="42"/>
        <c:axId val="27577344"/>
        <c:axId val="27673344"/>
      </c:barChart>
      <c:catAx>
        <c:axId val="27577344"/>
        <c:scaling>
          <c:orientation val="minMax"/>
        </c:scaling>
        <c:delete val="0"/>
        <c:axPos val="l"/>
        <c:majorTickMark val="out"/>
        <c:minorTickMark val="none"/>
        <c:tickLblPos val="nextTo"/>
        <c:crossAx val="27673344"/>
        <c:crosses val="autoZero"/>
        <c:auto val="1"/>
        <c:lblAlgn val="ctr"/>
        <c:lblOffset val="100"/>
        <c:noMultiLvlLbl val="0"/>
      </c:catAx>
      <c:valAx>
        <c:axId val="27673344"/>
        <c:scaling>
          <c:orientation val="minMax"/>
        </c:scaling>
        <c:delete val="0"/>
        <c:axPos val="b"/>
        <c:title>
          <c:tx>
            <c:rich>
              <a:bodyPr/>
              <a:lstStyle/>
              <a:p>
                <a:pPr>
                  <a:defRPr/>
                </a:pPr>
                <a:r>
                  <a:rPr lang="en-GB"/>
                  <a:t>% of Working Age Population</a:t>
                </a:r>
              </a:p>
            </c:rich>
          </c:tx>
          <c:layout>
            <c:manualLayout>
              <c:xMode val="edge"/>
              <c:yMode val="edge"/>
              <c:x val="0.41166948934792758"/>
              <c:y val="0.92458149577624715"/>
            </c:manualLayout>
          </c:layout>
          <c:overlay val="0"/>
        </c:title>
        <c:numFmt formatCode="#,##0" sourceLinked="0"/>
        <c:majorTickMark val="out"/>
        <c:minorTickMark val="none"/>
        <c:tickLblPos val="nextTo"/>
        <c:crossAx val="27577344"/>
        <c:crosses val="autoZero"/>
        <c:crossBetween val="between"/>
      </c:valAx>
    </c:plotArea>
    <c:legend>
      <c:legendPos val="r"/>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0037372350392835E-2"/>
          <c:y val="5.2005272743501092E-2"/>
          <c:w val="0.8954907171059634"/>
          <c:h val="0.57032076253626196"/>
        </c:manualLayout>
      </c:layout>
      <c:barChart>
        <c:barDir val="col"/>
        <c:grouping val="clustered"/>
        <c:varyColors val="0"/>
        <c:ser>
          <c:idx val="0"/>
          <c:order val="0"/>
          <c:tx>
            <c:strRef>
              <c:f>Sheet3!$A$1</c:f>
              <c:strCache>
                <c:ptCount val="1"/>
                <c:pt idx="0">
                  <c:v>Males</c:v>
                </c:pt>
              </c:strCache>
            </c:strRef>
          </c:tx>
          <c:spPr>
            <a:solidFill>
              <a:srgbClr val="FF0000"/>
            </a:solidFill>
          </c:spPr>
          <c:invertIfNegative val="0"/>
          <c:dLbls>
            <c:delete val="1"/>
          </c:dLbls>
          <c:cat>
            <c:strRef>
              <c:f>Sheet3!$B$2:$V$2</c:f>
              <c:strCache>
                <c:ptCount val="21"/>
                <c:pt idx="0">
                  <c:v>1991-1993</c:v>
                </c:pt>
                <c:pt idx="1">
                  <c:v>1992-1994</c:v>
                </c:pt>
                <c:pt idx="2">
                  <c:v>1993-1995</c:v>
                </c:pt>
                <c:pt idx="3">
                  <c:v>1994-1996</c:v>
                </c:pt>
                <c:pt idx="4">
                  <c:v>1995-1997</c:v>
                </c:pt>
                <c:pt idx="5">
                  <c:v>1996-1998</c:v>
                </c:pt>
                <c:pt idx="6">
                  <c:v>1997-1999</c:v>
                </c:pt>
                <c:pt idx="7">
                  <c:v>1998-2000</c:v>
                </c:pt>
                <c:pt idx="8">
                  <c:v>1999-2001</c:v>
                </c:pt>
                <c:pt idx="9">
                  <c:v>2000-2002</c:v>
                </c:pt>
                <c:pt idx="10">
                  <c:v>2001-2003</c:v>
                </c:pt>
                <c:pt idx="11">
                  <c:v>2002-2004</c:v>
                </c:pt>
                <c:pt idx="12">
                  <c:v>2003-2005</c:v>
                </c:pt>
                <c:pt idx="13">
                  <c:v>2004-2006</c:v>
                </c:pt>
                <c:pt idx="14">
                  <c:v>2005-2007</c:v>
                </c:pt>
                <c:pt idx="15">
                  <c:v>2006-2008</c:v>
                </c:pt>
                <c:pt idx="16">
                  <c:v>2007-2009</c:v>
                </c:pt>
                <c:pt idx="17">
                  <c:v>2008-2010</c:v>
                </c:pt>
                <c:pt idx="18">
                  <c:v>2009-2011</c:v>
                </c:pt>
                <c:pt idx="19">
                  <c:v>2010-2012</c:v>
                </c:pt>
                <c:pt idx="20">
                  <c:v>2011-2013</c:v>
                </c:pt>
              </c:strCache>
            </c:strRef>
          </c:cat>
          <c:val>
            <c:numRef>
              <c:f>Sheet3!$B$3:$V$3</c:f>
              <c:numCache>
                <c:formatCode>0.0</c:formatCode>
                <c:ptCount val="21"/>
                <c:pt idx="0">
                  <c:v>75.400000000000006</c:v>
                </c:pt>
                <c:pt idx="1">
                  <c:v>75.7</c:v>
                </c:pt>
                <c:pt idx="2">
                  <c:v>76</c:v>
                </c:pt>
                <c:pt idx="3">
                  <c:v>76.2</c:v>
                </c:pt>
                <c:pt idx="4">
                  <c:v>76.400000000000006</c:v>
                </c:pt>
                <c:pt idx="5">
                  <c:v>76.5</c:v>
                </c:pt>
                <c:pt idx="6">
                  <c:v>77.099999999999994</c:v>
                </c:pt>
                <c:pt idx="7">
                  <c:v>77.2</c:v>
                </c:pt>
                <c:pt idx="8">
                  <c:v>77.5</c:v>
                </c:pt>
                <c:pt idx="9">
                  <c:v>77.599999999999994</c:v>
                </c:pt>
                <c:pt idx="10">
                  <c:v>77.996093750000028</c:v>
                </c:pt>
                <c:pt idx="11">
                  <c:v>78.28</c:v>
                </c:pt>
                <c:pt idx="12">
                  <c:v>78.45</c:v>
                </c:pt>
                <c:pt idx="13">
                  <c:v>78.88</c:v>
                </c:pt>
                <c:pt idx="14">
                  <c:v>79.36999999999999</c:v>
                </c:pt>
                <c:pt idx="15">
                  <c:v>79.84</c:v>
                </c:pt>
                <c:pt idx="16">
                  <c:v>80.02</c:v>
                </c:pt>
                <c:pt idx="17">
                  <c:v>80.19</c:v>
                </c:pt>
                <c:pt idx="18">
                  <c:v>80.760000000000005</c:v>
                </c:pt>
                <c:pt idx="19">
                  <c:v>81.400000000000006</c:v>
                </c:pt>
                <c:pt idx="20">
                  <c:v>81.900000000000006</c:v>
                </c:pt>
              </c:numCache>
            </c:numRef>
          </c:val>
        </c:ser>
        <c:ser>
          <c:idx val="1"/>
          <c:order val="1"/>
          <c:tx>
            <c:strRef>
              <c:f>Sheet3!$A$5</c:f>
              <c:strCache>
                <c:ptCount val="1"/>
                <c:pt idx="0">
                  <c:v>Females</c:v>
                </c:pt>
              </c:strCache>
            </c:strRef>
          </c:tx>
          <c:spPr>
            <a:solidFill>
              <a:srgbClr val="92D050"/>
            </a:solidFill>
          </c:spPr>
          <c:invertIfNegative val="0"/>
          <c:dLbls>
            <c:delete val="1"/>
          </c:dLbls>
          <c:val>
            <c:numRef>
              <c:f>Sheet3!$B$7:$V$7</c:f>
              <c:numCache>
                <c:formatCode>0.0</c:formatCode>
                <c:ptCount val="21"/>
                <c:pt idx="0">
                  <c:v>80.5</c:v>
                </c:pt>
                <c:pt idx="1">
                  <c:v>80.599999999999994</c:v>
                </c:pt>
                <c:pt idx="2">
                  <c:v>80.5</c:v>
                </c:pt>
                <c:pt idx="3">
                  <c:v>80.7</c:v>
                </c:pt>
                <c:pt idx="4">
                  <c:v>80.400000000000006</c:v>
                </c:pt>
                <c:pt idx="5">
                  <c:v>80.599999999999994</c:v>
                </c:pt>
                <c:pt idx="6">
                  <c:v>80.7</c:v>
                </c:pt>
                <c:pt idx="7">
                  <c:v>81.099999999999994</c:v>
                </c:pt>
                <c:pt idx="8">
                  <c:v>81.400000000000006</c:v>
                </c:pt>
                <c:pt idx="9">
                  <c:v>81.8</c:v>
                </c:pt>
                <c:pt idx="10">
                  <c:v>82.2</c:v>
                </c:pt>
                <c:pt idx="11">
                  <c:v>82.6</c:v>
                </c:pt>
                <c:pt idx="12">
                  <c:v>82.86</c:v>
                </c:pt>
                <c:pt idx="13">
                  <c:v>83.27</c:v>
                </c:pt>
                <c:pt idx="14">
                  <c:v>83.410000000000025</c:v>
                </c:pt>
                <c:pt idx="15">
                  <c:v>83.8</c:v>
                </c:pt>
                <c:pt idx="16">
                  <c:v>83.97</c:v>
                </c:pt>
                <c:pt idx="17">
                  <c:v>84.05</c:v>
                </c:pt>
                <c:pt idx="18">
                  <c:v>84.19</c:v>
                </c:pt>
                <c:pt idx="19">
                  <c:v>84.5</c:v>
                </c:pt>
                <c:pt idx="20">
                  <c:v>85</c:v>
                </c:pt>
              </c:numCache>
            </c:numRef>
          </c:val>
        </c:ser>
        <c:dLbls>
          <c:dLblPos val="outEnd"/>
          <c:showLegendKey val="0"/>
          <c:showVal val="1"/>
          <c:showCatName val="0"/>
          <c:showSerName val="0"/>
          <c:showPercent val="0"/>
          <c:showBubbleSize val="0"/>
        </c:dLbls>
        <c:gapWidth val="150"/>
        <c:axId val="27699840"/>
        <c:axId val="27705728"/>
      </c:barChart>
      <c:catAx>
        <c:axId val="27699840"/>
        <c:scaling>
          <c:orientation val="minMax"/>
        </c:scaling>
        <c:delete val="0"/>
        <c:axPos val="b"/>
        <c:majorTickMark val="out"/>
        <c:minorTickMark val="none"/>
        <c:tickLblPos val="nextTo"/>
        <c:crossAx val="27705728"/>
        <c:crosses val="autoZero"/>
        <c:auto val="1"/>
        <c:lblAlgn val="ctr"/>
        <c:lblOffset val="100"/>
        <c:noMultiLvlLbl val="0"/>
      </c:catAx>
      <c:valAx>
        <c:axId val="27705728"/>
        <c:scaling>
          <c:orientation val="minMax"/>
          <c:max val="87"/>
          <c:min val="74"/>
        </c:scaling>
        <c:delete val="0"/>
        <c:axPos val="l"/>
        <c:title>
          <c:tx>
            <c:rich>
              <a:bodyPr rot="-5400000" vert="horz"/>
              <a:lstStyle/>
              <a:p>
                <a:pPr>
                  <a:defRPr/>
                </a:pPr>
                <a:r>
                  <a:rPr lang="en-GB"/>
                  <a:t>Average Life Expectancy</a:t>
                </a:r>
              </a:p>
            </c:rich>
          </c:tx>
          <c:overlay val="0"/>
        </c:title>
        <c:numFmt formatCode="0" sourceLinked="0"/>
        <c:majorTickMark val="out"/>
        <c:minorTickMark val="none"/>
        <c:tickLblPos val="nextTo"/>
        <c:crossAx val="27699840"/>
        <c:crosses val="autoZero"/>
        <c:crossBetween val="between"/>
      </c:valAx>
    </c:plotArea>
    <c:legend>
      <c:legendPos val="b"/>
      <c:layout>
        <c:manualLayout>
          <c:xMode val="edge"/>
          <c:yMode val="edge"/>
          <c:x val="0.39360464152507252"/>
          <c:y val="0.88572945235778111"/>
          <c:w val="0.21279058668991821"/>
          <c:h val="8.4702109908818712E-2"/>
        </c:manualLayout>
      </c:layout>
      <c:overlay val="0"/>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6356517935258096E-2"/>
          <c:y val="5.6540162209453543E-2"/>
          <c:w val="0.81618300208314232"/>
          <c:h val="0.71271854531697054"/>
        </c:manualLayout>
      </c:layout>
      <c:barChart>
        <c:barDir val="col"/>
        <c:grouping val="clustered"/>
        <c:varyColors val="0"/>
        <c:ser>
          <c:idx val="0"/>
          <c:order val="0"/>
          <c:tx>
            <c:strRef>
              <c:f>Sheet1!$A$3</c:f>
              <c:strCache>
                <c:ptCount val="1"/>
                <c:pt idx="0">
                  <c:v>2001</c:v>
                </c:pt>
              </c:strCache>
            </c:strRef>
          </c:tx>
          <c:spPr>
            <a:solidFill>
              <a:srgbClr val="FF0000"/>
            </a:solidFill>
          </c:spPr>
          <c:invertIfNegative val="0"/>
          <c:cat>
            <c:strRef>
              <c:f>Sheet1!$B$2:$H$2</c:f>
              <c:strCache>
                <c:ptCount val="7"/>
                <c:pt idx="0">
                  <c:v>Owned outright</c:v>
                </c:pt>
                <c:pt idx="1">
                  <c:v>Owned mortgage</c:v>
                </c:pt>
                <c:pt idx="2">
                  <c:v>Shared ownership</c:v>
                </c:pt>
                <c:pt idx="3">
                  <c:v>Councl rented</c:v>
                </c:pt>
                <c:pt idx="4">
                  <c:v>Other social rented</c:v>
                </c:pt>
                <c:pt idx="5">
                  <c:v>Private rented</c:v>
                </c:pt>
                <c:pt idx="6">
                  <c:v>Living rent free</c:v>
                </c:pt>
              </c:strCache>
            </c:strRef>
          </c:cat>
          <c:val>
            <c:numRef>
              <c:f>Sheet1!$B$3:$H$3</c:f>
              <c:numCache>
                <c:formatCode>0%</c:formatCode>
                <c:ptCount val="7"/>
                <c:pt idx="0">
                  <c:v>0.3</c:v>
                </c:pt>
                <c:pt idx="1">
                  <c:v>0.36</c:v>
                </c:pt>
                <c:pt idx="2">
                  <c:v>0.01</c:v>
                </c:pt>
                <c:pt idx="3">
                  <c:v>0.1</c:v>
                </c:pt>
                <c:pt idx="4">
                  <c:v>0.04</c:v>
                </c:pt>
                <c:pt idx="5">
                  <c:v>0.17</c:v>
                </c:pt>
                <c:pt idx="6">
                  <c:v>0.02</c:v>
                </c:pt>
              </c:numCache>
            </c:numRef>
          </c:val>
        </c:ser>
        <c:ser>
          <c:idx val="1"/>
          <c:order val="1"/>
          <c:tx>
            <c:strRef>
              <c:f>Sheet1!$A$4</c:f>
              <c:strCache>
                <c:ptCount val="1"/>
                <c:pt idx="0">
                  <c:v>2011</c:v>
                </c:pt>
              </c:strCache>
            </c:strRef>
          </c:tx>
          <c:spPr>
            <a:solidFill>
              <a:srgbClr val="92D050"/>
            </a:solidFill>
          </c:spPr>
          <c:invertIfNegative val="0"/>
          <c:cat>
            <c:strRef>
              <c:f>Sheet1!$B$2:$H$2</c:f>
              <c:strCache>
                <c:ptCount val="7"/>
                <c:pt idx="0">
                  <c:v>Owned outright</c:v>
                </c:pt>
                <c:pt idx="1">
                  <c:v>Owned mortgage</c:v>
                </c:pt>
                <c:pt idx="2">
                  <c:v>Shared ownership</c:v>
                </c:pt>
                <c:pt idx="3">
                  <c:v>Councl rented</c:v>
                </c:pt>
                <c:pt idx="4">
                  <c:v>Other social rented</c:v>
                </c:pt>
                <c:pt idx="5">
                  <c:v>Private rented</c:v>
                </c:pt>
                <c:pt idx="6">
                  <c:v>Living rent free</c:v>
                </c:pt>
              </c:strCache>
            </c:strRef>
          </c:cat>
          <c:val>
            <c:numRef>
              <c:f>Sheet1!$B$4:$H$4</c:f>
              <c:numCache>
                <c:formatCode>0%</c:formatCode>
                <c:ptCount val="7"/>
                <c:pt idx="0">
                  <c:v>0.28000000000000003</c:v>
                </c:pt>
                <c:pt idx="1">
                  <c:v>0.3</c:v>
                </c:pt>
                <c:pt idx="2">
                  <c:v>0.01</c:v>
                </c:pt>
                <c:pt idx="3">
                  <c:v>0.09</c:v>
                </c:pt>
                <c:pt idx="4">
                  <c:v>0.06</c:v>
                </c:pt>
                <c:pt idx="5">
                  <c:v>0.26</c:v>
                </c:pt>
                <c:pt idx="6">
                  <c:v>0.02</c:v>
                </c:pt>
              </c:numCache>
            </c:numRef>
          </c:val>
        </c:ser>
        <c:dLbls>
          <c:dLblPos val="outEnd"/>
          <c:showLegendKey val="0"/>
          <c:showVal val="1"/>
          <c:showCatName val="0"/>
          <c:showSerName val="0"/>
          <c:showPercent val="0"/>
          <c:showBubbleSize val="0"/>
        </c:dLbls>
        <c:gapWidth val="150"/>
        <c:axId val="27875968"/>
        <c:axId val="27898240"/>
      </c:barChart>
      <c:catAx>
        <c:axId val="27875968"/>
        <c:scaling>
          <c:orientation val="minMax"/>
        </c:scaling>
        <c:delete val="0"/>
        <c:axPos val="b"/>
        <c:majorTickMark val="out"/>
        <c:minorTickMark val="none"/>
        <c:tickLblPos val="nextTo"/>
        <c:crossAx val="27898240"/>
        <c:crosses val="autoZero"/>
        <c:auto val="1"/>
        <c:lblAlgn val="ctr"/>
        <c:lblOffset val="100"/>
        <c:noMultiLvlLbl val="0"/>
      </c:catAx>
      <c:valAx>
        <c:axId val="27898240"/>
        <c:scaling>
          <c:orientation val="minMax"/>
        </c:scaling>
        <c:delete val="0"/>
        <c:axPos val="l"/>
        <c:numFmt formatCode="0%" sourceLinked="1"/>
        <c:majorTickMark val="out"/>
        <c:minorTickMark val="none"/>
        <c:tickLblPos val="nextTo"/>
        <c:crossAx val="27875968"/>
        <c:crosses val="autoZero"/>
        <c:crossBetween val="between"/>
      </c:valAx>
    </c:plotArea>
    <c:legend>
      <c:legendPos val="r"/>
      <c:overlay val="0"/>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4101344653049808E-2"/>
          <c:y val="6.4122683354537011E-2"/>
          <c:w val="0.91752835388088971"/>
          <c:h val="0.69142798198260147"/>
        </c:manualLayout>
      </c:layout>
      <c:barChart>
        <c:barDir val="col"/>
        <c:grouping val="clustered"/>
        <c:varyColors val="0"/>
        <c:ser>
          <c:idx val="0"/>
          <c:order val="0"/>
          <c:tx>
            <c:strRef>
              <c:f>Sheet1!$K$3</c:f>
              <c:strCache>
                <c:ptCount val="1"/>
                <c:pt idx="0">
                  <c:v>Owner-occupation</c:v>
                </c:pt>
              </c:strCache>
            </c:strRef>
          </c:tx>
          <c:invertIfNegative val="0"/>
          <c:cat>
            <c:strRef>
              <c:f>Sheet1!$L$2:$Q$2</c:f>
              <c:strCache>
                <c:ptCount val="6"/>
                <c:pt idx="0">
                  <c:v>Enfield</c:v>
                </c:pt>
                <c:pt idx="1">
                  <c:v>Harrow</c:v>
                </c:pt>
                <c:pt idx="2">
                  <c:v>Brent</c:v>
                </c:pt>
                <c:pt idx="3">
                  <c:v>Waltham Forest</c:v>
                </c:pt>
                <c:pt idx="4">
                  <c:v>Outer London</c:v>
                </c:pt>
                <c:pt idx="5">
                  <c:v>Barnet</c:v>
                </c:pt>
              </c:strCache>
            </c:strRef>
          </c:cat>
          <c:val>
            <c:numRef>
              <c:f>Sheet1!$L$3:$Q$3</c:f>
              <c:numCache>
                <c:formatCode>0%</c:formatCode>
                <c:ptCount val="6"/>
                <c:pt idx="0">
                  <c:v>0.57999999999999996</c:v>
                </c:pt>
                <c:pt idx="1">
                  <c:v>0.65</c:v>
                </c:pt>
                <c:pt idx="2">
                  <c:v>0.43</c:v>
                </c:pt>
                <c:pt idx="3">
                  <c:v>0.5</c:v>
                </c:pt>
                <c:pt idx="4">
                  <c:v>0.61</c:v>
                </c:pt>
                <c:pt idx="5">
                  <c:v>0.57999999999999996</c:v>
                </c:pt>
              </c:numCache>
            </c:numRef>
          </c:val>
        </c:ser>
        <c:ser>
          <c:idx val="1"/>
          <c:order val="1"/>
          <c:tx>
            <c:strRef>
              <c:f>Sheet1!$K$4</c:f>
              <c:strCache>
                <c:ptCount val="1"/>
                <c:pt idx="0">
                  <c:v>Social rent</c:v>
                </c:pt>
              </c:strCache>
            </c:strRef>
          </c:tx>
          <c:spPr>
            <a:solidFill>
              <a:srgbClr val="FF0000"/>
            </a:solidFill>
          </c:spPr>
          <c:invertIfNegative val="0"/>
          <c:cat>
            <c:strRef>
              <c:f>Sheet1!$L$2:$Q$2</c:f>
              <c:strCache>
                <c:ptCount val="6"/>
                <c:pt idx="0">
                  <c:v>Enfield</c:v>
                </c:pt>
                <c:pt idx="1">
                  <c:v>Harrow</c:v>
                </c:pt>
                <c:pt idx="2">
                  <c:v>Brent</c:v>
                </c:pt>
                <c:pt idx="3">
                  <c:v>Waltham Forest</c:v>
                </c:pt>
                <c:pt idx="4">
                  <c:v>Outer London</c:v>
                </c:pt>
                <c:pt idx="5">
                  <c:v>Barnet</c:v>
                </c:pt>
              </c:strCache>
            </c:strRef>
          </c:cat>
          <c:val>
            <c:numRef>
              <c:f>Sheet1!$L$4:$Q$4</c:f>
              <c:numCache>
                <c:formatCode>0%</c:formatCode>
                <c:ptCount val="6"/>
                <c:pt idx="0">
                  <c:v>0.18</c:v>
                </c:pt>
                <c:pt idx="1">
                  <c:v>0.11</c:v>
                </c:pt>
                <c:pt idx="2">
                  <c:v>0.24</c:v>
                </c:pt>
                <c:pt idx="3">
                  <c:v>0.22</c:v>
                </c:pt>
                <c:pt idx="4">
                  <c:v>0.17</c:v>
                </c:pt>
                <c:pt idx="5">
                  <c:v>0.14000000000000001</c:v>
                </c:pt>
              </c:numCache>
            </c:numRef>
          </c:val>
        </c:ser>
        <c:ser>
          <c:idx val="2"/>
          <c:order val="2"/>
          <c:tx>
            <c:strRef>
              <c:f>Sheet1!$K$5</c:f>
              <c:strCache>
                <c:ptCount val="1"/>
                <c:pt idx="0">
                  <c:v>Private renting</c:v>
                </c:pt>
              </c:strCache>
            </c:strRef>
          </c:tx>
          <c:spPr>
            <a:solidFill>
              <a:srgbClr val="92D050"/>
            </a:solidFill>
          </c:spPr>
          <c:invertIfNegative val="0"/>
          <c:cat>
            <c:strRef>
              <c:f>Sheet1!$L$2:$Q$2</c:f>
              <c:strCache>
                <c:ptCount val="6"/>
                <c:pt idx="0">
                  <c:v>Enfield</c:v>
                </c:pt>
                <c:pt idx="1">
                  <c:v>Harrow</c:v>
                </c:pt>
                <c:pt idx="2">
                  <c:v>Brent</c:v>
                </c:pt>
                <c:pt idx="3">
                  <c:v>Waltham Forest</c:v>
                </c:pt>
                <c:pt idx="4">
                  <c:v>Outer London</c:v>
                </c:pt>
                <c:pt idx="5">
                  <c:v>Barnet</c:v>
                </c:pt>
              </c:strCache>
            </c:strRef>
          </c:cat>
          <c:val>
            <c:numRef>
              <c:f>Sheet1!$L$5:$Q$5</c:f>
              <c:numCache>
                <c:formatCode>0%</c:formatCode>
                <c:ptCount val="6"/>
                <c:pt idx="0">
                  <c:v>0.22</c:v>
                </c:pt>
                <c:pt idx="1">
                  <c:v>0.22</c:v>
                </c:pt>
                <c:pt idx="2">
                  <c:v>0.3</c:v>
                </c:pt>
                <c:pt idx="3">
                  <c:v>0.26</c:v>
                </c:pt>
                <c:pt idx="4">
                  <c:v>0.2</c:v>
                </c:pt>
                <c:pt idx="5">
                  <c:v>0.26</c:v>
                </c:pt>
              </c:numCache>
            </c:numRef>
          </c:val>
        </c:ser>
        <c:dLbls>
          <c:dLblPos val="outEnd"/>
          <c:showLegendKey val="0"/>
          <c:showVal val="1"/>
          <c:showCatName val="0"/>
          <c:showSerName val="0"/>
          <c:showPercent val="0"/>
          <c:showBubbleSize val="0"/>
        </c:dLbls>
        <c:gapWidth val="150"/>
        <c:overlap val="-12"/>
        <c:axId val="28028288"/>
        <c:axId val="28030080"/>
      </c:barChart>
      <c:catAx>
        <c:axId val="28028288"/>
        <c:scaling>
          <c:orientation val="minMax"/>
        </c:scaling>
        <c:delete val="0"/>
        <c:axPos val="b"/>
        <c:majorTickMark val="out"/>
        <c:minorTickMark val="none"/>
        <c:tickLblPos val="nextTo"/>
        <c:crossAx val="28030080"/>
        <c:crosses val="autoZero"/>
        <c:auto val="1"/>
        <c:lblAlgn val="ctr"/>
        <c:lblOffset val="100"/>
        <c:noMultiLvlLbl val="0"/>
      </c:catAx>
      <c:valAx>
        <c:axId val="28030080"/>
        <c:scaling>
          <c:orientation val="minMax"/>
        </c:scaling>
        <c:delete val="0"/>
        <c:axPos val="l"/>
        <c:numFmt formatCode="0%" sourceLinked="1"/>
        <c:majorTickMark val="out"/>
        <c:minorTickMark val="none"/>
        <c:tickLblPos val="nextTo"/>
        <c:crossAx val="28028288"/>
        <c:crosses val="autoZero"/>
        <c:crossBetween val="between"/>
      </c:valAx>
    </c:plotArea>
    <c:legend>
      <c:legendPos val="b"/>
      <c:layout>
        <c:manualLayout>
          <c:xMode val="edge"/>
          <c:yMode val="edge"/>
          <c:x val="0.14721741433696936"/>
          <c:y val="0.91628280839895015"/>
          <c:w val="0.70556496062992125"/>
          <c:h val="8.3717191601049873E-2"/>
        </c:manualLayout>
      </c:layout>
      <c:overlay val="0"/>
    </c:legend>
    <c:plotVisOnly val="1"/>
    <c:dispBlanksAs val="gap"/>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733568503937006"/>
          <c:y val="7.5478367623401918E-2"/>
          <c:w val="0.82710878740157479"/>
          <c:h val="0.63020785708238081"/>
        </c:manualLayout>
      </c:layout>
      <c:lineChart>
        <c:grouping val="standard"/>
        <c:varyColors val="0"/>
        <c:ser>
          <c:idx val="0"/>
          <c:order val="0"/>
          <c:marker>
            <c:symbol val="none"/>
          </c:marker>
          <c:cat>
            <c:numRef>
              <c:f>'Housing tenure'!$U$75:$U$242</c:f>
              <c:numCache>
                <c:formatCode>mmm\-yy</c:formatCode>
                <c:ptCount val="168"/>
                <c:pt idx="0">
                  <c:v>36892</c:v>
                </c:pt>
                <c:pt idx="1">
                  <c:v>36923</c:v>
                </c:pt>
                <c:pt idx="2">
                  <c:v>36951</c:v>
                </c:pt>
                <c:pt idx="3">
                  <c:v>36982</c:v>
                </c:pt>
                <c:pt idx="4">
                  <c:v>37012</c:v>
                </c:pt>
                <c:pt idx="5">
                  <c:v>37043</c:v>
                </c:pt>
                <c:pt idx="6">
                  <c:v>37073</c:v>
                </c:pt>
                <c:pt idx="7">
                  <c:v>37104</c:v>
                </c:pt>
                <c:pt idx="8">
                  <c:v>37135</c:v>
                </c:pt>
                <c:pt idx="9">
                  <c:v>37165</c:v>
                </c:pt>
                <c:pt idx="10">
                  <c:v>37196</c:v>
                </c:pt>
                <c:pt idx="11">
                  <c:v>37226</c:v>
                </c:pt>
                <c:pt idx="12">
                  <c:v>37257</c:v>
                </c:pt>
                <c:pt idx="13">
                  <c:v>37288</c:v>
                </c:pt>
                <c:pt idx="14">
                  <c:v>37316</c:v>
                </c:pt>
                <c:pt idx="15">
                  <c:v>37347</c:v>
                </c:pt>
                <c:pt idx="16">
                  <c:v>37377</c:v>
                </c:pt>
                <c:pt idx="17">
                  <c:v>37408</c:v>
                </c:pt>
                <c:pt idx="18">
                  <c:v>37438</c:v>
                </c:pt>
                <c:pt idx="19">
                  <c:v>37469</c:v>
                </c:pt>
                <c:pt idx="20">
                  <c:v>37500</c:v>
                </c:pt>
                <c:pt idx="21">
                  <c:v>37530</c:v>
                </c:pt>
                <c:pt idx="22">
                  <c:v>37561</c:v>
                </c:pt>
                <c:pt idx="23">
                  <c:v>37591</c:v>
                </c:pt>
                <c:pt idx="24">
                  <c:v>37622</c:v>
                </c:pt>
                <c:pt idx="25">
                  <c:v>37653</c:v>
                </c:pt>
                <c:pt idx="26">
                  <c:v>37681</c:v>
                </c:pt>
                <c:pt idx="27">
                  <c:v>37712</c:v>
                </c:pt>
                <c:pt idx="28">
                  <c:v>37742</c:v>
                </c:pt>
                <c:pt idx="29">
                  <c:v>37773</c:v>
                </c:pt>
                <c:pt idx="30">
                  <c:v>37803</c:v>
                </c:pt>
                <c:pt idx="31">
                  <c:v>37834</c:v>
                </c:pt>
                <c:pt idx="32">
                  <c:v>37865</c:v>
                </c:pt>
                <c:pt idx="33">
                  <c:v>37895</c:v>
                </c:pt>
                <c:pt idx="34">
                  <c:v>37926</c:v>
                </c:pt>
                <c:pt idx="35">
                  <c:v>37956</c:v>
                </c:pt>
                <c:pt idx="36">
                  <c:v>37987</c:v>
                </c:pt>
                <c:pt idx="37">
                  <c:v>38018</c:v>
                </c:pt>
                <c:pt idx="38">
                  <c:v>38047</c:v>
                </c:pt>
                <c:pt idx="39">
                  <c:v>38078</c:v>
                </c:pt>
                <c:pt idx="40">
                  <c:v>38108</c:v>
                </c:pt>
                <c:pt idx="41">
                  <c:v>38139</c:v>
                </c:pt>
                <c:pt idx="42">
                  <c:v>38169</c:v>
                </c:pt>
                <c:pt idx="43">
                  <c:v>38200</c:v>
                </c:pt>
                <c:pt idx="44">
                  <c:v>38231</c:v>
                </c:pt>
                <c:pt idx="45">
                  <c:v>38261</c:v>
                </c:pt>
                <c:pt idx="46">
                  <c:v>38292</c:v>
                </c:pt>
                <c:pt idx="47">
                  <c:v>38322</c:v>
                </c:pt>
                <c:pt idx="48">
                  <c:v>38353</c:v>
                </c:pt>
                <c:pt idx="49">
                  <c:v>38384</c:v>
                </c:pt>
                <c:pt idx="50">
                  <c:v>38412</c:v>
                </c:pt>
                <c:pt idx="51">
                  <c:v>38443</c:v>
                </c:pt>
                <c:pt idx="52">
                  <c:v>38473</c:v>
                </c:pt>
                <c:pt idx="53">
                  <c:v>38504</c:v>
                </c:pt>
                <c:pt idx="54">
                  <c:v>38534</c:v>
                </c:pt>
                <c:pt idx="55">
                  <c:v>38565</c:v>
                </c:pt>
                <c:pt idx="56">
                  <c:v>38596</c:v>
                </c:pt>
                <c:pt idx="57">
                  <c:v>38626</c:v>
                </c:pt>
                <c:pt idx="58">
                  <c:v>38657</c:v>
                </c:pt>
                <c:pt idx="59">
                  <c:v>38687</c:v>
                </c:pt>
                <c:pt idx="60">
                  <c:v>38718</c:v>
                </c:pt>
                <c:pt idx="61">
                  <c:v>38749</c:v>
                </c:pt>
                <c:pt idx="62">
                  <c:v>38777</c:v>
                </c:pt>
                <c:pt idx="63">
                  <c:v>38808</c:v>
                </c:pt>
                <c:pt idx="64">
                  <c:v>38838</c:v>
                </c:pt>
                <c:pt idx="65">
                  <c:v>38869</c:v>
                </c:pt>
                <c:pt idx="66">
                  <c:v>38899</c:v>
                </c:pt>
                <c:pt idx="67">
                  <c:v>38930</c:v>
                </c:pt>
                <c:pt idx="68">
                  <c:v>38961</c:v>
                </c:pt>
                <c:pt idx="69">
                  <c:v>38991</c:v>
                </c:pt>
                <c:pt idx="70">
                  <c:v>39022</c:v>
                </c:pt>
                <c:pt idx="71">
                  <c:v>39052</c:v>
                </c:pt>
                <c:pt idx="72">
                  <c:v>39083</c:v>
                </c:pt>
                <c:pt idx="73">
                  <c:v>39114</c:v>
                </c:pt>
                <c:pt idx="74">
                  <c:v>39142</c:v>
                </c:pt>
                <c:pt idx="75">
                  <c:v>39173</c:v>
                </c:pt>
                <c:pt idx="76">
                  <c:v>39203</c:v>
                </c:pt>
                <c:pt idx="77">
                  <c:v>39234</c:v>
                </c:pt>
                <c:pt idx="78">
                  <c:v>39264</c:v>
                </c:pt>
                <c:pt idx="79">
                  <c:v>39295</c:v>
                </c:pt>
                <c:pt idx="80">
                  <c:v>39326</c:v>
                </c:pt>
                <c:pt idx="81">
                  <c:v>39356</c:v>
                </c:pt>
                <c:pt idx="82">
                  <c:v>39387</c:v>
                </c:pt>
                <c:pt idx="83">
                  <c:v>39417</c:v>
                </c:pt>
                <c:pt idx="84">
                  <c:v>39448</c:v>
                </c:pt>
                <c:pt idx="85">
                  <c:v>39479</c:v>
                </c:pt>
                <c:pt idx="86">
                  <c:v>39508</c:v>
                </c:pt>
                <c:pt idx="87">
                  <c:v>39539</c:v>
                </c:pt>
                <c:pt idx="88">
                  <c:v>39569</c:v>
                </c:pt>
                <c:pt idx="89">
                  <c:v>39600</c:v>
                </c:pt>
                <c:pt idx="90">
                  <c:v>39630</c:v>
                </c:pt>
                <c:pt idx="91">
                  <c:v>39661</c:v>
                </c:pt>
                <c:pt idx="92">
                  <c:v>39692</c:v>
                </c:pt>
                <c:pt idx="93">
                  <c:v>39722</c:v>
                </c:pt>
                <c:pt idx="94">
                  <c:v>39753</c:v>
                </c:pt>
                <c:pt idx="95">
                  <c:v>39783</c:v>
                </c:pt>
                <c:pt idx="96">
                  <c:v>39814</c:v>
                </c:pt>
                <c:pt idx="97">
                  <c:v>39845</c:v>
                </c:pt>
                <c:pt idx="98">
                  <c:v>39873</c:v>
                </c:pt>
                <c:pt idx="99">
                  <c:v>39904</c:v>
                </c:pt>
                <c:pt idx="100">
                  <c:v>39934</c:v>
                </c:pt>
                <c:pt idx="101">
                  <c:v>39965</c:v>
                </c:pt>
                <c:pt idx="102">
                  <c:v>39995</c:v>
                </c:pt>
                <c:pt idx="103">
                  <c:v>40026</c:v>
                </c:pt>
                <c:pt idx="104">
                  <c:v>40057</c:v>
                </c:pt>
                <c:pt idx="105">
                  <c:v>40087</c:v>
                </c:pt>
                <c:pt idx="106">
                  <c:v>40118</c:v>
                </c:pt>
                <c:pt idx="107">
                  <c:v>40148</c:v>
                </c:pt>
                <c:pt idx="108">
                  <c:v>40179</c:v>
                </c:pt>
                <c:pt idx="109">
                  <c:v>40210</c:v>
                </c:pt>
                <c:pt idx="110">
                  <c:v>40238</c:v>
                </c:pt>
                <c:pt idx="111">
                  <c:v>40269</c:v>
                </c:pt>
                <c:pt idx="112">
                  <c:v>40299</c:v>
                </c:pt>
                <c:pt idx="113">
                  <c:v>40330</c:v>
                </c:pt>
                <c:pt idx="114">
                  <c:v>40360</c:v>
                </c:pt>
                <c:pt idx="115">
                  <c:v>40391</c:v>
                </c:pt>
                <c:pt idx="116">
                  <c:v>40422</c:v>
                </c:pt>
                <c:pt idx="117">
                  <c:v>40452</c:v>
                </c:pt>
                <c:pt idx="118">
                  <c:v>40483</c:v>
                </c:pt>
                <c:pt idx="119">
                  <c:v>40513</c:v>
                </c:pt>
                <c:pt idx="120">
                  <c:v>40544</c:v>
                </c:pt>
                <c:pt idx="121">
                  <c:v>40575</c:v>
                </c:pt>
                <c:pt idx="122">
                  <c:v>40603</c:v>
                </c:pt>
                <c:pt idx="123">
                  <c:v>40634</c:v>
                </c:pt>
                <c:pt idx="124">
                  <c:v>40664</c:v>
                </c:pt>
                <c:pt idx="125">
                  <c:v>40695</c:v>
                </c:pt>
                <c:pt idx="126">
                  <c:v>40725</c:v>
                </c:pt>
                <c:pt idx="127">
                  <c:v>40756</c:v>
                </c:pt>
                <c:pt idx="128">
                  <c:v>40787</c:v>
                </c:pt>
                <c:pt idx="129">
                  <c:v>40817</c:v>
                </c:pt>
                <c:pt idx="130">
                  <c:v>40848</c:v>
                </c:pt>
                <c:pt idx="131">
                  <c:v>40878</c:v>
                </c:pt>
                <c:pt idx="132">
                  <c:v>40909</c:v>
                </c:pt>
                <c:pt idx="133">
                  <c:v>40940</c:v>
                </c:pt>
                <c:pt idx="134">
                  <c:v>40969</c:v>
                </c:pt>
                <c:pt idx="135">
                  <c:v>41000</c:v>
                </c:pt>
                <c:pt idx="136">
                  <c:v>41030</c:v>
                </c:pt>
                <c:pt idx="137">
                  <c:v>41061</c:v>
                </c:pt>
                <c:pt idx="138">
                  <c:v>41091</c:v>
                </c:pt>
                <c:pt idx="139">
                  <c:v>41122</c:v>
                </c:pt>
                <c:pt idx="140">
                  <c:v>41153</c:v>
                </c:pt>
                <c:pt idx="141">
                  <c:v>41183</c:v>
                </c:pt>
                <c:pt idx="142">
                  <c:v>41214</c:v>
                </c:pt>
                <c:pt idx="143">
                  <c:v>41244</c:v>
                </c:pt>
                <c:pt idx="144">
                  <c:v>41275</c:v>
                </c:pt>
                <c:pt idx="145">
                  <c:v>41306</c:v>
                </c:pt>
                <c:pt idx="146">
                  <c:v>41334</c:v>
                </c:pt>
                <c:pt idx="147">
                  <c:v>41365</c:v>
                </c:pt>
                <c:pt idx="148">
                  <c:v>41395</c:v>
                </c:pt>
                <c:pt idx="149">
                  <c:v>41426</c:v>
                </c:pt>
                <c:pt idx="150">
                  <c:v>41456</c:v>
                </c:pt>
                <c:pt idx="151">
                  <c:v>41487</c:v>
                </c:pt>
                <c:pt idx="152">
                  <c:v>41518</c:v>
                </c:pt>
                <c:pt idx="153">
                  <c:v>41548</c:v>
                </c:pt>
                <c:pt idx="154">
                  <c:v>41579</c:v>
                </c:pt>
                <c:pt idx="155">
                  <c:v>41609</c:v>
                </c:pt>
                <c:pt idx="156">
                  <c:v>41640</c:v>
                </c:pt>
                <c:pt idx="157">
                  <c:v>41671</c:v>
                </c:pt>
                <c:pt idx="158">
                  <c:v>41699</c:v>
                </c:pt>
                <c:pt idx="159">
                  <c:v>41730</c:v>
                </c:pt>
                <c:pt idx="160">
                  <c:v>41760</c:v>
                </c:pt>
                <c:pt idx="161">
                  <c:v>41791</c:v>
                </c:pt>
                <c:pt idx="162">
                  <c:v>41821</c:v>
                </c:pt>
                <c:pt idx="163">
                  <c:v>41852</c:v>
                </c:pt>
                <c:pt idx="164">
                  <c:v>41883</c:v>
                </c:pt>
                <c:pt idx="165">
                  <c:v>41913</c:v>
                </c:pt>
                <c:pt idx="166">
                  <c:v>41944</c:v>
                </c:pt>
                <c:pt idx="167">
                  <c:v>41974</c:v>
                </c:pt>
              </c:numCache>
            </c:numRef>
          </c:cat>
          <c:val>
            <c:numRef>
              <c:f>'Housing tenure'!$W$75:$W$242</c:f>
              <c:numCache>
                <c:formatCode>"£"#,##0</c:formatCode>
                <c:ptCount val="168"/>
                <c:pt idx="0">
                  <c:v>189342.39714461999</c:v>
                </c:pt>
                <c:pt idx="1">
                  <c:v>192342.53810479501</c:v>
                </c:pt>
                <c:pt idx="2">
                  <c:v>193758.50107809101</c:v>
                </c:pt>
                <c:pt idx="3">
                  <c:v>196962.73993889301</c:v>
                </c:pt>
                <c:pt idx="4">
                  <c:v>196219.693712743</c:v>
                </c:pt>
                <c:pt idx="5">
                  <c:v>197328.62387479501</c:v>
                </c:pt>
                <c:pt idx="6">
                  <c:v>205039.107804948</c:v>
                </c:pt>
                <c:pt idx="7">
                  <c:v>209554.95495051701</c:v>
                </c:pt>
                <c:pt idx="8">
                  <c:v>211177.81261893301</c:v>
                </c:pt>
                <c:pt idx="9">
                  <c:v>215421.87822116099</c:v>
                </c:pt>
                <c:pt idx="10">
                  <c:v>216009.783047492</c:v>
                </c:pt>
                <c:pt idx="11">
                  <c:v>218797.98227306901</c:v>
                </c:pt>
                <c:pt idx="12">
                  <c:v>223592.004207719</c:v>
                </c:pt>
                <c:pt idx="13">
                  <c:v>224545.42711936001</c:v>
                </c:pt>
                <c:pt idx="14">
                  <c:v>224770.74536455001</c:v>
                </c:pt>
                <c:pt idx="15">
                  <c:v>225719.15068447799</c:v>
                </c:pt>
                <c:pt idx="16">
                  <c:v>229390.14822114501</c:v>
                </c:pt>
                <c:pt idx="17">
                  <c:v>235512.74899612201</c:v>
                </c:pt>
                <c:pt idx="18">
                  <c:v>244068.493810819</c:v>
                </c:pt>
                <c:pt idx="19">
                  <c:v>245414.83121735</c:v>
                </c:pt>
                <c:pt idx="20">
                  <c:v>246848.48271313499</c:v>
                </c:pt>
                <c:pt idx="21">
                  <c:v>250061.165727193</c:v>
                </c:pt>
                <c:pt idx="22">
                  <c:v>256832.83946330601</c:v>
                </c:pt>
                <c:pt idx="23">
                  <c:v>249412.84200912001</c:v>
                </c:pt>
                <c:pt idx="24">
                  <c:v>262195.16239756101</c:v>
                </c:pt>
                <c:pt idx="25">
                  <c:v>262420.75754040497</c:v>
                </c:pt>
                <c:pt idx="26">
                  <c:v>267533.47779086302</c:v>
                </c:pt>
                <c:pt idx="27">
                  <c:v>263526.12609153899</c:v>
                </c:pt>
                <c:pt idx="28">
                  <c:v>274571.87898077001</c:v>
                </c:pt>
                <c:pt idx="29">
                  <c:v>265194.24706598697</c:v>
                </c:pt>
                <c:pt idx="30">
                  <c:v>265790.25814927003</c:v>
                </c:pt>
                <c:pt idx="31">
                  <c:v>265929.72756260203</c:v>
                </c:pt>
                <c:pt idx="32">
                  <c:v>268116.71611202299</c:v>
                </c:pt>
                <c:pt idx="33">
                  <c:v>270690.98806328903</c:v>
                </c:pt>
                <c:pt idx="34">
                  <c:v>270437.22309407999</c:v>
                </c:pt>
                <c:pt idx="35">
                  <c:v>275517.81116571702</c:v>
                </c:pt>
                <c:pt idx="36">
                  <c:v>274774.46870505699</c:v>
                </c:pt>
                <c:pt idx="37">
                  <c:v>278452.34031527099</c:v>
                </c:pt>
                <c:pt idx="38">
                  <c:v>279173.972188888</c:v>
                </c:pt>
                <c:pt idx="39">
                  <c:v>283540.141937982</c:v>
                </c:pt>
                <c:pt idx="40">
                  <c:v>281660.77423264697</c:v>
                </c:pt>
                <c:pt idx="41">
                  <c:v>287535.39930793003</c:v>
                </c:pt>
                <c:pt idx="42">
                  <c:v>290703.66702354403</c:v>
                </c:pt>
                <c:pt idx="43">
                  <c:v>284564.52114603401</c:v>
                </c:pt>
                <c:pt idx="44">
                  <c:v>286454.735132156</c:v>
                </c:pt>
                <c:pt idx="45">
                  <c:v>290000.28556391998</c:v>
                </c:pt>
                <c:pt idx="46">
                  <c:v>289070.36913523002</c:v>
                </c:pt>
                <c:pt idx="47">
                  <c:v>293848.40483015898</c:v>
                </c:pt>
                <c:pt idx="48">
                  <c:v>288112.270709228</c:v>
                </c:pt>
                <c:pt idx="49">
                  <c:v>287319.53139297699</c:v>
                </c:pt>
                <c:pt idx="50">
                  <c:v>285554.66970636602</c:v>
                </c:pt>
                <c:pt idx="51">
                  <c:v>283758.77135882201</c:v>
                </c:pt>
                <c:pt idx="52">
                  <c:v>288049.68141045701</c:v>
                </c:pt>
                <c:pt idx="53">
                  <c:v>285193.61447934498</c:v>
                </c:pt>
                <c:pt idx="54">
                  <c:v>281947.66274681501</c:v>
                </c:pt>
                <c:pt idx="55">
                  <c:v>285968.05367058399</c:v>
                </c:pt>
                <c:pt idx="56">
                  <c:v>283640.27316432801</c:v>
                </c:pt>
                <c:pt idx="57">
                  <c:v>286094.37124696502</c:v>
                </c:pt>
                <c:pt idx="58">
                  <c:v>287670.40762803599</c:v>
                </c:pt>
                <c:pt idx="59">
                  <c:v>284754.43043139903</c:v>
                </c:pt>
                <c:pt idx="60">
                  <c:v>291211.10052828398</c:v>
                </c:pt>
                <c:pt idx="61">
                  <c:v>292122.45417765703</c:v>
                </c:pt>
                <c:pt idx="62">
                  <c:v>294473.00239695801</c:v>
                </c:pt>
                <c:pt idx="63">
                  <c:v>302923.88229833503</c:v>
                </c:pt>
                <c:pt idx="64">
                  <c:v>292032.339255606</c:v>
                </c:pt>
                <c:pt idx="65">
                  <c:v>298543.75218045199</c:v>
                </c:pt>
                <c:pt idx="66">
                  <c:v>303185.15938404098</c:v>
                </c:pt>
                <c:pt idx="67">
                  <c:v>300452.072022993</c:v>
                </c:pt>
                <c:pt idx="68">
                  <c:v>304463.26073332003</c:v>
                </c:pt>
                <c:pt idx="69">
                  <c:v>310357.13246104599</c:v>
                </c:pt>
                <c:pt idx="70">
                  <c:v>307988.62216555001</c:v>
                </c:pt>
                <c:pt idx="71">
                  <c:v>314092.91023886699</c:v>
                </c:pt>
                <c:pt idx="72">
                  <c:v>318443.81344849698</c:v>
                </c:pt>
                <c:pt idx="73">
                  <c:v>324737.28451137402</c:v>
                </c:pt>
                <c:pt idx="74">
                  <c:v>321726.14942292601</c:v>
                </c:pt>
                <c:pt idx="75">
                  <c:v>325971.80541656603</c:v>
                </c:pt>
                <c:pt idx="76">
                  <c:v>333968.12397519598</c:v>
                </c:pt>
                <c:pt idx="77">
                  <c:v>336956.41015997698</c:v>
                </c:pt>
                <c:pt idx="78">
                  <c:v>339156.17624005099</c:v>
                </c:pt>
                <c:pt idx="79">
                  <c:v>345066.48525789502</c:v>
                </c:pt>
                <c:pt idx="80">
                  <c:v>341497.94827769598</c:v>
                </c:pt>
                <c:pt idx="81">
                  <c:v>353116.61416557402</c:v>
                </c:pt>
                <c:pt idx="82">
                  <c:v>353644.90126379201</c:v>
                </c:pt>
                <c:pt idx="83">
                  <c:v>347796.62497775001</c:v>
                </c:pt>
                <c:pt idx="84">
                  <c:v>351699.85357719503</c:v>
                </c:pt>
                <c:pt idx="85">
                  <c:v>352495.36628552398</c:v>
                </c:pt>
                <c:pt idx="86">
                  <c:v>346296.117971309</c:v>
                </c:pt>
                <c:pt idx="87">
                  <c:v>346046.06660782697</c:v>
                </c:pt>
                <c:pt idx="88">
                  <c:v>353207.63627805002</c:v>
                </c:pt>
                <c:pt idx="89">
                  <c:v>341040.92568813398</c:v>
                </c:pt>
                <c:pt idx="90">
                  <c:v>338701.634639561</c:v>
                </c:pt>
                <c:pt idx="91">
                  <c:v>331717.96974778402</c:v>
                </c:pt>
                <c:pt idx="92">
                  <c:v>320171.35858285299</c:v>
                </c:pt>
                <c:pt idx="93">
                  <c:v>308857.459539028</c:v>
                </c:pt>
                <c:pt idx="94">
                  <c:v>313204.35695619299</c:v>
                </c:pt>
                <c:pt idx="95">
                  <c:v>309527.12462349102</c:v>
                </c:pt>
                <c:pt idx="96">
                  <c:v>309415.24000234198</c:v>
                </c:pt>
                <c:pt idx="97">
                  <c:v>311050.363102364</c:v>
                </c:pt>
                <c:pt idx="98">
                  <c:v>313646.92073395499</c:v>
                </c:pt>
                <c:pt idx="99">
                  <c:v>300588.93980340601</c:v>
                </c:pt>
                <c:pt idx="100">
                  <c:v>300221.522153078</c:v>
                </c:pt>
                <c:pt idx="101">
                  <c:v>298233.06257781701</c:v>
                </c:pt>
                <c:pt idx="102">
                  <c:v>316739.135647149</c:v>
                </c:pt>
                <c:pt idx="103">
                  <c:v>309966.68621614302</c:v>
                </c:pt>
                <c:pt idx="104">
                  <c:v>318680.30848491698</c:v>
                </c:pt>
                <c:pt idx="105">
                  <c:v>322582.63612627098</c:v>
                </c:pt>
                <c:pt idx="106">
                  <c:v>321961.990224307</c:v>
                </c:pt>
                <c:pt idx="107">
                  <c:v>326699.25091583002</c:v>
                </c:pt>
                <c:pt idx="108">
                  <c:v>326753.76209944102</c:v>
                </c:pt>
                <c:pt idx="109">
                  <c:v>338170.67791125301</c:v>
                </c:pt>
                <c:pt idx="110">
                  <c:v>339838.41088229901</c:v>
                </c:pt>
                <c:pt idx="111">
                  <c:v>337252.173473078</c:v>
                </c:pt>
                <c:pt idx="112">
                  <c:v>333946.25051714998</c:v>
                </c:pt>
                <c:pt idx="113">
                  <c:v>342388.195830677</c:v>
                </c:pt>
                <c:pt idx="114">
                  <c:v>344409.54573182698</c:v>
                </c:pt>
                <c:pt idx="115">
                  <c:v>337427.45009945601</c:v>
                </c:pt>
                <c:pt idx="116">
                  <c:v>345674.92703507299</c:v>
                </c:pt>
                <c:pt idx="117">
                  <c:v>348226.30477379501</c:v>
                </c:pt>
                <c:pt idx="118">
                  <c:v>340012.58127191599</c:v>
                </c:pt>
                <c:pt idx="119">
                  <c:v>336784.84838018502</c:v>
                </c:pt>
                <c:pt idx="120">
                  <c:v>348492.46423358098</c:v>
                </c:pt>
                <c:pt idx="121">
                  <c:v>339988.01532885898</c:v>
                </c:pt>
                <c:pt idx="122">
                  <c:v>344038.698177999</c:v>
                </c:pt>
                <c:pt idx="123">
                  <c:v>348404.678681169</c:v>
                </c:pt>
                <c:pt idx="124">
                  <c:v>341311.82648612699</c:v>
                </c:pt>
                <c:pt idx="125">
                  <c:v>342527.54227826401</c:v>
                </c:pt>
                <c:pt idx="126">
                  <c:v>340613.17159295798</c:v>
                </c:pt>
                <c:pt idx="127">
                  <c:v>352671.36313407501</c:v>
                </c:pt>
                <c:pt idx="128">
                  <c:v>352315.37170063698</c:v>
                </c:pt>
                <c:pt idx="129">
                  <c:v>346732.67629439197</c:v>
                </c:pt>
                <c:pt idx="130">
                  <c:v>343274.40326661302</c:v>
                </c:pt>
                <c:pt idx="131">
                  <c:v>351270.05188009702</c:v>
                </c:pt>
                <c:pt idx="132">
                  <c:v>350916.165960118</c:v>
                </c:pt>
                <c:pt idx="133">
                  <c:v>364926.62272061798</c:v>
                </c:pt>
                <c:pt idx="134">
                  <c:v>348391.51129563199</c:v>
                </c:pt>
                <c:pt idx="135">
                  <c:v>347741.72927867202</c:v>
                </c:pt>
                <c:pt idx="136">
                  <c:v>353826.35564619303</c:v>
                </c:pt>
                <c:pt idx="137">
                  <c:v>366469.53347271698</c:v>
                </c:pt>
                <c:pt idx="138">
                  <c:v>361168.43750914099</c:v>
                </c:pt>
                <c:pt idx="139">
                  <c:v>361265.21073462197</c:v>
                </c:pt>
                <c:pt idx="140">
                  <c:v>359618.84857703198</c:v>
                </c:pt>
                <c:pt idx="141">
                  <c:v>364849.22891472297</c:v>
                </c:pt>
                <c:pt idx="142">
                  <c:v>353455.18532375898</c:v>
                </c:pt>
                <c:pt idx="143">
                  <c:v>362875.12992742501</c:v>
                </c:pt>
                <c:pt idx="144">
                  <c:v>379965.69005981</c:v>
                </c:pt>
                <c:pt idx="145">
                  <c:v>384050.049002908</c:v>
                </c:pt>
                <c:pt idx="146">
                  <c:v>383859.91695277602</c:v>
                </c:pt>
                <c:pt idx="147">
                  <c:v>367116.59469765099</c:v>
                </c:pt>
                <c:pt idx="148">
                  <c:v>354144.98496770702</c:v>
                </c:pt>
                <c:pt idx="149">
                  <c:v>376115.743873842</c:v>
                </c:pt>
                <c:pt idx="150">
                  <c:v>388451.26067376998</c:v>
                </c:pt>
                <c:pt idx="151">
                  <c:v>372994.84152004402</c:v>
                </c:pt>
                <c:pt idx="152">
                  <c:v>376650.31584214198</c:v>
                </c:pt>
                <c:pt idx="153">
                  <c:v>401586.35577927099</c:v>
                </c:pt>
                <c:pt idx="154">
                  <c:v>387208.44249583501</c:v>
                </c:pt>
                <c:pt idx="155">
                  <c:v>397768.12708618602</c:v>
                </c:pt>
                <c:pt idx="156" formatCode="General">
                  <c:v>396811</c:v>
                </c:pt>
                <c:pt idx="157" formatCode="General">
                  <c:v>396311</c:v>
                </c:pt>
                <c:pt idx="158" formatCode="General">
                  <c:v>402155</c:v>
                </c:pt>
                <c:pt idx="159" formatCode="General">
                  <c:v>404829</c:v>
                </c:pt>
                <c:pt idx="160" formatCode="General">
                  <c:v>407825</c:v>
                </c:pt>
                <c:pt idx="161" formatCode="General">
                  <c:v>418728</c:v>
                </c:pt>
                <c:pt idx="162" formatCode="General">
                  <c:v>427231</c:v>
                </c:pt>
                <c:pt idx="163" formatCode="General">
                  <c:v>435058</c:v>
                </c:pt>
                <c:pt idx="164" formatCode="General">
                  <c:v>443252</c:v>
                </c:pt>
                <c:pt idx="165" formatCode="General">
                  <c:v>445283</c:v>
                </c:pt>
                <c:pt idx="166" formatCode="General">
                  <c:v>448163</c:v>
                </c:pt>
                <c:pt idx="167" formatCode="General">
                  <c:v>451231</c:v>
                </c:pt>
              </c:numCache>
            </c:numRef>
          </c:val>
          <c:smooth val="0"/>
        </c:ser>
        <c:dLbls>
          <c:showLegendKey val="0"/>
          <c:showVal val="0"/>
          <c:showCatName val="0"/>
          <c:showSerName val="0"/>
          <c:showPercent val="0"/>
          <c:showBubbleSize val="0"/>
        </c:dLbls>
        <c:marker val="1"/>
        <c:smooth val="0"/>
        <c:axId val="28037888"/>
        <c:axId val="28039424"/>
      </c:lineChart>
      <c:dateAx>
        <c:axId val="28037888"/>
        <c:scaling>
          <c:orientation val="minMax"/>
        </c:scaling>
        <c:delete val="0"/>
        <c:axPos val="b"/>
        <c:numFmt formatCode="mmm\-yy" sourceLinked="1"/>
        <c:majorTickMark val="out"/>
        <c:minorTickMark val="none"/>
        <c:tickLblPos val="nextTo"/>
        <c:txPr>
          <a:bodyPr rot="-5400000"/>
          <a:lstStyle/>
          <a:p>
            <a:pPr>
              <a:defRPr/>
            </a:pPr>
            <a:endParaRPr lang="en-US"/>
          </a:p>
        </c:txPr>
        <c:crossAx val="28039424"/>
        <c:crosses val="autoZero"/>
        <c:auto val="1"/>
        <c:lblOffset val="100"/>
        <c:baseTimeUnit val="months"/>
      </c:dateAx>
      <c:valAx>
        <c:axId val="28039424"/>
        <c:scaling>
          <c:orientation val="minMax"/>
          <c:min val="150000"/>
        </c:scaling>
        <c:delete val="0"/>
        <c:axPos val="l"/>
        <c:numFmt formatCode="&quot;£&quot;#,##0" sourceLinked="1"/>
        <c:majorTickMark val="out"/>
        <c:minorTickMark val="none"/>
        <c:tickLblPos val="nextTo"/>
        <c:crossAx val="28037888"/>
        <c:crosses val="autoZero"/>
        <c:crossBetween val="between"/>
      </c:valAx>
    </c:plotArea>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8705657592627422E-2"/>
          <c:y val="3.2200195906770097E-2"/>
          <c:w val="0.87864216512781457"/>
          <c:h val="0.6314324793907804"/>
        </c:manualLayout>
      </c:layout>
      <c:lineChart>
        <c:grouping val="standard"/>
        <c:varyColors val="0"/>
        <c:ser>
          <c:idx val="0"/>
          <c:order val="0"/>
          <c:tx>
            <c:strRef>
              <c:f>'Sept 14'!$A$3</c:f>
              <c:strCache>
                <c:ptCount val="1"/>
                <c:pt idx="0">
                  <c:v>Barnet</c:v>
                </c:pt>
              </c:strCache>
            </c:strRef>
          </c:tx>
          <c:spPr>
            <a:ln w="38100">
              <a:solidFill>
                <a:srgbClr val="33CCCC"/>
              </a:solidFill>
              <a:prstDash val="solid"/>
            </a:ln>
          </c:spPr>
          <c:marker>
            <c:symbol val="diamond"/>
            <c:size val="9"/>
            <c:spPr>
              <a:solidFill>
                <a:srgbClr val="000080"/>
              </a:solidFill>
              <a:ln>
                <a:solidFill>
                  <a:srgbClr val="000080"/>
                </a:solidFill>
                <a:prstDash val="solid"/>
              </a:ln>
            </c:spPr>
          </c:marker>
          <c:cat>
            <c:numRef>
              <c:f>'Sept 14'!$B$2:$L$2</c:f>
              <c:numCache>
                <c:formatCode>mmm\-yy</c:formatCode>
                <c:ptCount val="11"/>
                <c:pt idx="0">
                  <c:v>40695</c:v>
                </c:pt>
                <c:pt idx="1">
                  <c:v>40787</c:v>
                </c:pt>
                <c:pt idx="2">
                  <c:v>40878</c:v>
                </c:pt>
                <c:pt idx="3">
                  <c:v>40969</c:v>
                </c:pt>
                <c:pt idx="4">
                  <c:v>41061</c:v>
                </c:pt>
                <c:pt idx="5">
                  <c:v>41153</c:v>
                </c:pt>
                <c:pt idx="6">
                  <c:v>41244</c:v>
                </c:pt>
                <c:pt idx="7">
                  <c:v>41334</c:v>
                </c:pt>
                <c:pt idx="8">
                  <c:v>41518</c:v>
                </c:pt>
                <c:pt idx="9">
                  <c:v>41699</c:v>
                </c:pt>
                <c:pt idx="10">
                  <c:v>41883</c:v>
                </c:pt>
              </c:numCache>
            </c:numRef>
          </c:cat>
          <c:val>
            <c:numRef>
              <c:f>'Sept 14'!$B$3:$L$3</c:f>
              <c:numCache>
                <c:formatCode>#,##0</c:formatCode>
                <c:ptCount val="11"/>
                <c:pt idx="0">
                  <c:v>650</c:v>
                </c:pt>
                <c:pt idx="1">
                  <c:v>736.66</c:v>
                </c:pt>
                <c:pt idx="2">
                  <c:v>780</c:v>
                </c:pt>
                <c:pt idx="3">
                  <c:v>862</c:v>
                </c:pt>
                <c:pt idx="4">
                  <c:v>901</c:v>
                </c:pt>
                <c:pt idx="5">
                  <c:v>895</c:v>
                </c:pt>
                <c:pt idx="6">
                  <c:v>926</c:v>
                </c:pt>
                <c:pt idx="7">
                  <c:v>953</c:v>
                </c:pt>
                <c:pt idx="8" formatCode="General">
                  <c:v>970</c:v>
                </c:pt>
                <c:pt idx="9">
                  <c:v>975</c:v>
                </c:pt>
                <c:pt idx="10">
                  <c:v>1001</c:v>
                </c:pt>
              </c:numCache>
            </c:numRef>
          </c:val>
          <c:smooth val="0"/>
        </c:ser>
        <c:ser>
          <c:idx val="1"/>
          <c:order val="1"/>
          <c:tx>
            <c:strRef>
              <c:f>'Sept 14'!$A$4</c:f>
              <c:strCache>
                <c:ptCount val="1"/>
                <c:pt idx="0">
                  <c:v>Outer London</c:v>
                </c:pt>
              </c:strCache>
            </c:strRef>
          </c:tx>
          <c:spPr>
            <a:ln w="25400">
              <a:solidFill>
                <a:srgbClr val="FF00FF"/>
              </a:solidFill>
              <a:prstDash val="solid"/>
            </a:ln>
          </c:spPr>
          <c:marker>
            <c:symbol val="square"/>
            <c:size val="7"/>
            <c:spPr>
              <a:solidFill>
                <a:srgbClr val="FF00FF"/>
              </a:solidFill>
              <a:ln>
                <a:solidFill>
                  <a:srgbClr val="FF00FF"/>
                </a:solidFill>
                <a:prstDash val="solid"/>
              </a:ln>
            </c:spPr>
          </c:marker>
          <c:cat>
            <c:numRef>
              <c:f>'Sept 14'!$B$2:$L$2</c:f>
              <c:numCache>
                <c:formatCode>mmm\-yy</c:formatCode>
                <c:ptCount val="11"/>
                <c:pt idx="0">
                  <c:v>40695</c:v>
                </c:pt>
                <c:pt idx="1">
                  <c:v>40787</c:v>
                </c:pt>
                <c:pt idx="2">
                  <c:v>40878</c:v>
                </c:pt>
                <c:pt idx="3">
                  <c:v>40969</c:v>
                </c:pt>
                <c:pt idx="4">
                  <c:v>41061</c:v>
                </c:pt>
                <c:pt idx="5">
                  <c:v>41153</c:v>
                </c:pt>
                <c:pt idx="6">
                  <c:v>41244</c:v>
                </c:pt>
                <c:pt idx="7">
                  <c:v>41334</c:v>
                </c:pt>
                <c:pt idx="8">
                  <c:v>41518</c:v>
                </c:pt>
                <c:pt idx="9">
                  <c:v>41699</c:v>
                </c:pt>
                <c:pt idx="10">
                  <c:v>41883</c:v>
                </c:pt>
              </c:numCache>
            </c:numRef>
          </c:cat>
          <c:val>
            <c:numRef>
              <c:f>'Sept 14'!$B$4:$L$4</c:f>
              <c:numCache>
                <c:formatCode>#,##0</c:formatCode>
                <c:ptCount val="11"/>
                <c:pt idx="0">
                  <c:v>700</c:v>
                </c:pt>
                <c:pt idx="1">
                  <c:v>725</c:v>
                </c:pt>
                <c:pt idx="2">
                  <c:v>749.83500000000004</c:v>
                </c:pt>
                <c:pt idx="3">
                  <c:v>750</c:v>
                </c:pt>
                <c:pt idx="4">
                  <c:v>750</c:v>
                </c:pt>
                <c:pt idx="5">
                  <c:v>750</c:v>
                </c:pt>
                <c:pt idx="6">
                  <c:v>750</c:v>
                </c:pt>
                <c:pt idx="7">
                  <c:v>775</c:v>
                </c:pt>
                <c:pt idx="8" formatCode="General">
                  <c:v>825</c:v>
                </c:pt>
                <c:pt idx="9" formatCode="General">
                  <c:v>850</c:v>
                </c:pt>
                <c:pt idx="10">
                  <c:v>875</c:v>
                </c:pt>
              </c:numCache>
            </c:numRef>
          </c:val>
          <c:smooth val="0"/>
        </c:ser>
        <c:ser>
          <c:idx val="3"/>
          <c:order val="2"/>
          <c:tx>
            <c:strRef>
              <c:f>'Sept 14'!$A$6</c:f>
              <c:strCache>
                <c:ptCount val="1"/>
                <c:pt idx="0">
                  <c:v>Brent</c:v>
                </c:pt>
              </c:strCache>
            </c:strRef>
          </c:tx>
          <c:spPr>
            <a:ln w="25400">
              <a:solidFill>
                <a:srgbClr val="FF0000"/>
              </a:solidFill>
              <a:prstDash val="solid"/>
            </a:ln>
          </c:spPr>
          <c:marker>
            <c:symbol val="x"/>
            <c:size val="7"/>
            <c:spPr>
              <a:noFill/>
              <a:ln>
                <a:solidFill>
                  <a:srgbClr val="00FFFF"/>
                </a:solidFill>
                <a:prstDash val="solid"/>
              </a:ln>
            </c:spPr>
          </c:marker>
          <c:cat>
            <c:numRef>
              <c:f>'Sept 14'!$B$2:$L$2</c:f>
              <c:numCache>
                <c:formatCode>mmm\-yy</c:formatCode>
                <c:ptCount val="11"/>
                <c:pt idx="0">
                  <c:v>40695</c:v>
                </c:pt>
                <c:pt idx="1">
                  <c:v>40787</c:v>
                </c:pt>
                <c:pt idx="2">
                  <c:v>40878</c:v>
                </c:pt>
                <c:pt idx="3">
                  <c:v>40969</c:v>
                </c:pt>
                <c:pt idx="4">
                  <c:v>41061</c:v>
                </c:pt>
                <c:pt idx="5">
                  <c:v>41153</c:v>
                </c:pt>
                <c:pt idx="6">
                  <c:v>41244</c:v>
                </c:pt>
                <c:pt idx="7">
                  <c:v>41334</c:v>
                </c:pt>
                <c:pt idx="8">
                  <c:v>41518</c:v>
                </c:pt>
                <c:pt idx="9">
                  <c:v>41699</c:v>
                </c:pt>
                <c:pt idx="10">
                  <c:v>41883</c:v>
                </c:pt>
              </c:numCache>
            </c:numRef>
          </c:cat>
          <c:val>
            <c:numRef>
              <c:f>'Sept 14'!$B$6:$L$6</c:f>
              <c:numCache>
                <c:formatCode>#,##0</c:formatCode>
                <c:ptCount val="11"/>
                <c:pt idx="0">
                  <c:v>750</c:v>
                </c:pt>
                <c:pt idx="1">
                  <c:v>750</c:v>
                </c:pt>
                <c:pt idx="2">
                  <c:v>801.66</c:v>
                </c:pt>
                <c:pt idx="3">
                  <c:v>823</c:v>
                </c:pt>
                <c:pt idx="4">
                  <c:v>850</c:v>
                </c:pt>
                <c:pt idx="5">
                  <c:v>875</c:v>
                </c:pt>
                <c:pt idx="6">
                  <c:v>900</c:v>
                </c:pt>
                <c:pt idx="7">
                  <c:v>950</c:v>
                </c:pt>
                <c:pt idx="8" formatCode="General">
                  <c:v>910</c:v>
                </c:pt>
                <c:pt idx="9">
                  <c:v>950</c:v>
                </c:pt>
                <c:pt idx="10">
                  <c:v>1050</c:v>
                </c:pt>
              </c:numCache>
            </c:numRef>
          </c:val>
          <c:smooth val="0"/>
        </c:ser>
        <c:ser>
          <c:idx val="4"/>
          <c:order val="3"/>
          <c:tx>
            <c:strRef>
              <c:f>'Sept 14'!$A$7</c:f>
              <c:strCache>
                <c:ptCount val="1"/>
                <c:pt idx="0">
                  <c:v>Harrow</c:v>
                </c:pt>
              </c:strCache>
            </c:strRef>
          </c:tx>
          <c:spPr>
            <a:ln w="25400">
              <a:solidFill>
                <a:srgbClr val="800080"/>
              </a:solidFill>
              <a:prstDash val="solid"/>
            </a:ln>
          </c:spPr>
          <c:marker>
            <c:symbol val="star"/>
            <c:size val="7"/>
            <c:spPr>
              <a:noFill/>
              <a:ln>
                <a:solidFill>
                  <a:srgbClr val="800080"/>
                </a:solidFill>
                <a:prstDash val="solid"/>
              </a:ln>
            </c:spPr>
          </c:marker>
          <c:cat>
            <c:numRef>
              <c:f>'Sept 14'!$B$2:$L$2</c:f>
              <c:numCache>
                <c:formatCode>mmm\-yy</c:formatCode>
                <c:ptCount val="11"/>
                <c:pt idx="0">
                  <c:v>40695</c:v>
                </c:pt>
                <c:pt idx="1">
                  <c:v>40787</c:v>
                </c:pt>
                <c:pt idx="2">
                  <c:v>40878</c:v>
                </c:pt>
                <c:pt idx="3">
                  <c:v>40969</c:v>
                </c:pt>
                <c:pt idx="4">
                  <c:v>41061</c:v>
                </c:pt>
                <c:pt idx="5">
                  <c:v>41153</c:v>
                </c:pt>
                <c:pt idx="6">
                  <c:v>41244</c:v>
                </c:pt>
                <c:pt idx="7">
                  <c:v>41334</c:v>
                </c:pt>
                <c:pt idx="8">
                  <c:v>41518</c:v>
                </c:pt>
                <c:pt idx="9">
                  <c:v>41699</c:v>
                </c:pt>
                <c:pt idx="10">
                  <c:v>41883</c:v>
                </c:pt>
              </c:numCache>
            </c:numRef>
          </c:cat>
          <c:val>
            <c:numRef>
              <c:f>'Sept 14'!$B$7:$L$7</c:f>
              <c:numCache>
                <c:formatCode>#,##0</c:formatCode>
                <c:ptCount val="11"/>
                <c:pt idx="0">
                  <c:v>810.33</c:v>
                </c:pt>
                <c:pt idx="1">
                  <c:v>845</c:v>
                </c:pt>
                <c:pt idx="2">
                  <c:v>850</c:v>
                </c:pt>
                <c:pt idx="3">
                  <c:v>850</c:v>
                </c:pt>
                <c:pt idx="4">
                  <c:v>850</c:v>
                </c:pt>
                <c:pt idx="5">
                  <c:v>850</c:v>
                </c:pt>
                <c:pt idx="6">
                  <c:v>850</c:v>
                </c:pt>
                <c:pt idx="7">
                  <c:v>875</c:v>
                </c:pt>
                <c:pt idx="8" formatCode="General">
                  <c:v>900</c:v>
                </c:pt>
                <c:pt idx="9" formatCode="General">
                  <c:v>900</c:v>
                </c:pt>
                <c:pt idx="10">
                  <c:v>950</c:v>
                </c:pt>
              </c:numCache>
            </c:numRef>
          </c:val>
          <c:smooth val="0"/>
        </c:ser>
        <c:ser>
          <c:idx val="5"/>
          <c:order val="4"/>
          <c:tx>
            <c:strRef>
              <c:f>'Sept 14'!$A$8</c:f>
              <c:strCache>
                <c:ptCount val="1"/>
                <c:pt idx="0">
                  <c:v>Enfield</c:v>
                </c:pt>
              </c:strCache>
            </c:strRef>
          </c:tx>
          <c:spPr>
            <a:ln w="25400">
              <a:solidFill>
                <a:srgbClr val="800000"/>
              </a:solidFill>
              <a:prstDash val="solid"/>
            </a:ln>
          </c:spPr>
          <c:marker>
            <c:symbol val="circle"/>
            <c:size val="7"/>
            <c:spPr>
              <a:solidFill>
                <a:srgbClr val="800000"/>
              </a:solidFill>
              <a:ln>
                <a:solidFill>
                  <a:srgbClr val="800000"/>
                </a:solidFill>
                <a:prstDash val="solid"/>
              </a:ln>
            </c:spPr>
          </c:marker>
          <c:cat>
            <c:numRef>
              <c:f>'Sept 14'!$B$2:$L$2</c:f>
              <c:numCache>
                <c:formatCode>mmm\-yy</c:formatCode>
                <c:ptCount val="11"/>
                <c:pt idx="0">
                  <c:v>40695</c:v>
                </c:pt>
                <c:pt idx="1">
                  <c:v>40787</c:v>
                </c:pt>
                <c:pt idx="2">
                  <c:v>40878</c:v>
                </c:pt>
                <c:pt idx="3">
                  <c:v>40969</c:v>
                </c:pt>
                <c:pt idx="4">
                  <c:v>41061</c:v>
                </c:pt>
                <c:pt idx="5">
                  <c:v>41153</c:v>
                </c:pt>
                <c:pt idx="6">
                  <c:v>41244</c:v>
                </c:pt>
                <c:pt idx="7">
                  <c:v>41334</c:v>
                </c:pt>
                <c:pt idx="8">
                  <c:v>41518</c:v>
                </c:pt>
                <c:pt idx="9">
                  <c:v>41699</c:v>
                </c:pt>
                <c:pt idx="10">
                  <c:v>41883</c:v>
                </c:pt>
              </c:numCache>
            </c:numRef>
          </c:cat>
          <c:val>
            <c:numRef>
              <c:f>'Sept 14'!$B$8:$L$8</c:f>
              <c:numCache>
                <c:formatCode>#,##0</c:formatCode>
                <c:ptCount val="11"/>
                <c:pt idx="0">
                  <c:v>625</c:v>
                </c:pt>
                <c:pt idx="1">
                  <c:v>650</c:v>
                </c:pt>
                <c:pt idx="2">
                  <c:v>693.33</c:v>
                </c:pt>
                <c:pt idx="3">
                  <c:v>778</c:v>
                </c:pt>
                <c:pt idx="4">
                  <c:v>750</c:v>
                </c:pt>
                <c:pt idx="5">
                  <c:v>750</c:v>
                </c:pt>
                <c:pt idx="6">
                  <c:v>780</c:v>
                </c:pt>
                <c:pt idx="7">
                  <c:v>800</c:v>
                </c:pt>
                <c:pt idx="8" formatCode="General">
                  <c:v>950</c:v>
                </c:pt>
                <c:pt idx="9" formatCode="General">
                  <c:v>850</c:v>
                </c:pt>
                <c:pt idx="10">
                  <c:v>867</c:v>
                </c:pt>
              </c:numCache>
            </c:numRef>
          </c:val>
          <c:smooth val="0"/>
        </c:ser>
        <c:ser>
          <c:idx val="6"/>
          <c:order val="5"/>
          <c:tx>
            <c:strRef>
              <c:f>'Sept 14'!$A$9</c:f>
              <c:strCache>
                <c:ptCount val="1"/>
                <c:pt idx="0">
                  <c:v>Waltham Forest</c:v>
                </c:pt>
              </c:strCache>
            </c:strRef>
          </c:tx>
          <c:spPr>
            <a:ln w="25400">
              <a:solidFill>
                <a:srgbClr val="008080"/>
              </a:solidFill>
              <a:prstDash val="solid"/>
            </a:ln>
          </c:spPr>
          <c:marker>
            <c:symbol val="circle"/>
            <c:size val="7"/>
            <c:spPr>
              <a:noFill/>
              <a:ln>
                <a:solidFill>
                  <a:srgbClr val="008080"/>
                </a:solidFill>
                <a:prstDash val="solid"/>
              </a:ln>
            </c:spPr>
          </c:marker>
          <c:cat>
            <c:numRef>
              <c:f>'Sept 14'!$B$2:$L$2</c:f>
              <c:numCache>
                <c:formatCode>mmm\-yy</c:formatCode>
                <c:ptCount val="11"/>
                <c:pt idx="0">
                  <c:v>40695</c:v>
                </c:pt>
                <c:pt idx="1">
                  <c:v>40787</c:v>
                </c:pt>
                <c:pt idx="2">
                  <c:v>40878</c:v>
                </c:pt>
                <c:pt idx="3">
                  <c:v>40969</c:v>
                </c:pt>
                <c:pt idx="4">
                  <c:v>41061</c:v>
                </c:pt>
                <c:pt idx="5">
                  <c:v>41153</c:v>
                </c:pt>
                <c:pt idx="6">
                  <c:v>41244</c:v>
                </c:pt>
                <c:pt idx="7">
                  <c:v>41334</c:v>
                </c:pt>
                <c:pt idx="8">
                  <c:v>41518</c:v>
                </c:pt>
                <c:pt idx="9">
                  <c:v>41699</c:v>
                </c:pt>
                <c:pt idx="10">
                  <c:v>41883</c:v>
                </c:pt>
              </c:numCache>
            </c:numRef>
          </c:cat>
          <c:val>
            <c:numRef>
              <c:f>'Sept 14'!$B$9:$L$9</c:f>
              <c:numCache>
                <c:formatCode>#,##0</c:formatCode>
                <c:ptCount val="11"/>
                <c:pt idx="0">
                  <c:v>715</c:v>
                </c:pt>
                <c:pt idx="1">
                  <c:v>750</c:v>
                </c:pt>
                <c:pt idx="2">
                  <c:v>750</c:v>
                </c:pt>
                <c:pt idx="3">
                  <c:v>750</c:v>
                </c:pt>
                <c:pt idx="4">
                  <c:v>750</c:v>
                </c:pt>
                <c:pt idx="5">
                  <c:v>750</c:v>
                </c:pt>
                <c:pt idx="6">
                  <c:v>750</c:v>
                </c:pt>
                <c:pt idx="7">
                  <c:v>780</c:v>
                </c:pt>
                <c:pt idx="8" formatCode="General">
                  <c:v>800</c:v>
                </c:pt>
                <c:pt idx="9" formatCode="General">
                  <c:v>800</c:v>
                </c:pt>
                <c:pt idx="10">
                  <c:v>800</c:v>
                </c:pt>
              </c:numCache>
            </c:numRef>
          </c:val>
          <c:smooth val="0"/>
        </c:ser>
        <c:dLbls>
          <c:showLegendKey val="0"/>
          <c:showVal val="0"/>
          <c:showCatName val="0"/>
          <c:showSerName val="0"/>
          <c:showPercent val="0"/>
          <c:showBubbleSize val="0"/>
        </c:dLbls>
        <c:marker val="1"/>
        <c:smooth val="0"/>
        <c:axId val="46793472"/>
        <c:axId val="46795392"/>
      </c:lineChart>
      <c:dateAx>
        <c:axId val="46793472"/>
        <c:scaling>
          <c:orientation val="minMax"/>
        </c:scaling>
        <c:delete val="0"/>
        <c:axPos val="b"/>
        <c:numFmt formatCode="mmm\-yy" sourceLinked="0"/>
        <c:majorTickMark val="out"/>
        <c:minorTickMark val="none"/>
        <c:tickLblPos val="nextTo"/>
        <c:spPr>
          <a:ln w="3175">
            <a:solidFill>
              <a:srgbClr val="000000"/>
            </a:solidFill>
            <a:prstDash val="solid"/>
          </a:ln>
        </c:spPr>
        <c:txPr>
          <a:bodyPr rot="-5400000" vert="horz"/>
          <a:lstStyle/>
          <a:p>
            <a:pPr>
              <a:defRPr sz="1000" b="0" i="0" u="none" strike="noStrike" baseline="0">
                <a:solidFill>
                  <a:srgbClr val="000000"/>
                </a:solidFill>
                <a:latin typeface="+mn-lt"/>
                <a:ea typeface="Arial"/>
                <a:cs typeface="Arial"/>
              </a:defRPr>
            </a:pPr>
            <a:endParaRPr lang="en-US"/>
          </a:p>
        </c:txPr>
        <c:crossAx val="46795392"/>
        <c:crosses val="autoZero"/>
        <c:auto val="1"/>
        <c:lblOffset val="100"/>
        <c:baseTimeUnit val="months"/>
        <c:majorUnit val="3"/>
        <c:majorTimeUnit val="months"/>
        <c:minorUnit val="3"/>
        <c:minorTimeUnit val="months"/>
      </c:dateAx>
      <c:valAx>
        <c:axId val="46795392"/>
        <c:scaling>
          <c:orientation val="minMax"/>
          <c:max val="1100"/>
          <c:min val="600"/>
        </c:scaling>
        <c:delete val="0"/>
        <c:axPos val="l"/>
        <c:numFmt formatCode="&quot;£&quot;#,##0" sourceLinked="0"/>
        <c:majorTickMark val="out"/>
        <c:minorTickMark val="none"/>
        <c:tickLblPos val="nextTo"/>
        <c:spPr>
          <a:ln w="3175">
            <a:solidFill>
              <a:srgbClr val="000000"/>
            </a:solidFill>
            <a:prstDash val="solid"/>
          </a:ln>
        </c:spPr>
        <c:txPr>
          <a:bodyPr rot="0" vert="horz"/>
          <a:lstStyle/>
          <a:p>
            <a:pPr>
              <a:defRPr sz="1100" b="0" i="0" u="none" strike="noStrike" baseline="0">
                <a:solidFill>
                  <a:srgbClr val="000000"/>
                </a:solidFill>
                <a:latin typeface="+mn-lt"/>
                <a:ea typeface="Arial"/>
                <a:cs typeface="Arial"/>
              </a:defRPr>
            </a:pPr>
            <a:endParaRPr lang="en-US"/>
          </a:p>
        </c:txPr>
        <c:crossAx val="46793472"/>
        <c:crosses val="autoZero"/>
        <c:crossBetween val="between"/>
      </c:valAx>
      <c:spPr>
        <a:noFill/>
        <a:ln w="25400">
          <a:noFill/>
        </a:ln>
      </c:spPr>
    </c:plotArea>
    <c:legend>
      <c:legendPos val="b"/>
      <c:layout>
        <c:manualLayout>
          <c:xMode val="edge"/>
          <c:yMode val="edge"/>
          <c:x val="0"/>
          <c:y val="0.90235333259398909"/>
          <c:w val="0.9984581598042378"/>
          <c:h val="9.16465883404953E-2"/>
        </c:manualLayout>
      </c:layout>
      <c:overlay val="0"/>
      <c:spPr>
        <a:noFill/>
        <a:ln w="3175">
          <a:noFill/>
          <a:prstDash val="solid"/>
        </a:ln>
      </c:spPr>
      <c:txPr>
        <a:bodyPr/>
        <a:lstStyle/>
        <a:p>
          <a:pPr>
            <a:defRPr sz="1100" b="0" i="0" u="none" strike="noStrike" baseline="0">
              <a:solidFill>
                <a:srgbClr val="000000"/>
              </a:solidFill>
              <a:latin typeface="+mn-lt"/>
              <a:ea typeface="Arial"/>
              <a:cs typeface="Arial"/>
            </a:defRPr>
          </a:pPr>
          <a:endParaRPr lang="en-US"/>
        </a:p>
      </c:txPr>
    </c:legend>
    <c:plotVisOnly val="1"/>
    <c:dispBlanksAs val="gap"/>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n-US"/>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9697493695640979E-2"/>
          <c:y val="4.6655365995917165E-2"/>
          <c:w val="0.73728619149878993"/>
          <c:h val="0.78514884131945817"/>
        </c:manualLayout>
      </c:layout>
      <c:barChart>
        <c:barDir val="col"/>
        <c:grouping val="clustered"/>
        <c:varyColors val="0"/>
        <c:ser>
          <c:idx val="0"/>
          <c:order val="0"/>
          <c:tx>
            <c:strRef>
              <c:f>Sheet2!$A$2</c:f>
              <c:strCache>
                <c:ptCount val="1"/>
                <c:pt idx="0">
                  <c:v>Homeless presentations</c:v>
                </c:pt>
              </c:strCache>
            </c:strRef>
          </c:tx>
          <c:invertIfNegative val="0"/>
          <c:cat>
            <c:strRef>
              <c:f>Sheet2!$B$1:$F$1</c:f>
              <c:strCache>
                <c:ptCount val="5"/>
                <c:pt idx="0">
                  <c:v>2009/10</c:v>
                </c:pt>
                <c:pt idx="1">
                  <c:v>2010/11</c:v>
                </c:pt>
                <c:pt idx="2">
                  <c:v>2011/12</c:v>
                </c:pt>
                <c:pt idx="3">
                  <c:v>2012/13</c:v>
                </c:pt>
                <c:pt idx="4">
                  <c:v>2013/14</c:v>
                </c:pt>
              </c:strCache>
            </c:strRef>
          </c:cat>
          <c:val>
            <c:numRef>
              <c:f>Sheet2!$B$2:$F$2</c:f>
              <c:numCache>
                <c:formatCode>General</c:formatCode>
                <c:ptCount val="5"/>
                <c:pt idx="0">
                  <c:v>643</c:v>
                </c:pt>
                <c:pt idx="1">
                  <c:v>867</c:v>
                </c:pt>
                <c:pt idx="2">
                  <c:v>1113</c:v>
                </c:pt>
                <c:pt idx="3">
                  <c:v>1131</c:v>
                </c:pt>
                <c:pt idx="4">
                  <c:v>1097</c:v>
                </c:pt>
              </c:numCache>
            </c:numRef>
          </c:val>
        </c:ser>
        <c:ser>
          <c:idx val="1"/>
          <c:order val="1"/>
          <c:tx>
            <c:strRef>
              <c:f>Sheet2!$A$3</c:f>
              <c:strCache>
                <c:ptCount val="1"/>
                <c:pt idx="0">
                  <c:v>Homeless acceptances</c:v>
                </c:pt>
              </c:strCache>
            </c:strRef>
          </c:tx>
          <c:spPr>
            <a:solidFill>
              <a:srgbClr val="FF0000"/>
            </a:solidFill>
          </c:spPr>
          <c:invertIfNegative val="0"/>
          <c:cat>
            <c:strRef>
              <c:f>Sheet2!$B$1:$F$1</c:f>
              <c:strCache>
                <c:ptCount val="5"/>
                <c:pt idx="0">
                  <c:v>2009/10</c:v>
                </c:pt>
                <c:pt idx="1">
                  <c:v>2010/11</c:v>
                </c:pt>
                <c:pt idx="2">
                  <c:v>2011/12</c:v>
                </c:pt>
                <c:pt idx="3">
                  <c:v>2012/13</c:v>
                </c:pt>
                <c:pt idx="4">
                  <c:v>2013/14</c:v>
                </c:pt>
              </c:strCache>
            </c:strRef>
          </c:cat>
          <c:val>
            <c:numRef>
              <c:f>Sheet2!$B$3:$F$3</c:f>
              <c:numCache>
                <c:formatCode>General</c:formatCode>
                <c:ptCount val="5"/>
                <c:pt idx="0">
                  <c:v>231</c:v>
                </c:pt>
                <c:pt idx="1">
                  <c:v>252</c:v>
                </c:pt>
                <c:pt idx="2">
                  <c:v>339</c:v>
                </c:pt>
                <c:pt idx="3">
                  <c:v>591</c:v>
                </c:pt>
                <c:pt idx="4">
                  <c:v>671</c:v>
                </c:pt>
              </c:numCache>
            </c:numRef>
          </c:val>
        </c:ser>
        <c:ser>
          <c:idx val="2"/>
          <c:order val="2"/>
          <c:tx>
            <c:strRef>
              <c:f>Sheet2!$A$4</c:f>
              <c:strCache>
                <c:ptCount val="1"/>
                <c:pt idx="0">
                  <c:v>TA admissions</c:v>
                </c:pt>
              </c:strCache>
            </c:strRef>
          </c:tx>
          <c:spPr>
            <a:solidFill>
              <a:srgbClr val="92D050"/>
            </a:solidFill>
          </c:spPr>
          <c:invertIfNegative val="0"/>
          <c:cat>
            <c:strRef>
              <c:f>Sheet2!$B$1:$F$1</c:f>
              <c:strCache>
                <c:ptCount val="5"/>
                <c:pt idx="0">
                  <c:v>2009/10</c:v>
                </c:pt>
                <c:pt idx="1">
                  <c:v>2010/11</c:v>
                </c:pt>
                <c:pt idx="2">
                  <c:v>2011/12</c:v>
                </c:pt>
                <c:pt idx="3">
                  <c:v>2012/13</c:v>
                </c:pt>
                <c:pt idx="4">
                  <c:v>2013/14</c:v>
                </c:pt>
              </c:strCache>
            </c:strRef>
          </c:cat>
          <c:val>
            <c:numRef>
              <c:f>Sheet2!$B$4:$F$4</c:f>
              <c:numCache>
                <c:formatCode>General</c:formatCode>
                <c:ptCount val="5"/>
                <c:pt idx="0">
                  <c:v>364</c:v>
                </c:pt>
                <c:pt idx="1">
                  <c:v>509</c:v>
                </c:pt>
                <c:pt idx="2">
                  <c:v>692</c:v>
                </c:pt>
                <c:pt idx="3">
                  <c:v>846</c:v>
                </c:pt>
                <c:pt idx="4">
                  <c:v>823</c:v>
                </c:pt>
              </c:numCache>
            </c:numRef>
          </c:val>
        </c:ser>
        <c:dLbls>
          <c:showLegendKey val="0"/>
          <c:showVal val="0"/>
          <c:showCatName val="0"/>
          <c:showSerName val="0"/>
          <c:showPercent val="0"/>
          <c:showBubbleSize val="0"/>
        </c:dLbls>
        <c:gapWidth val="150"/>
        <c:overlap val="-9"/>
        <c:axId val="116149632"/>
        <c:axId val="116163712"/>
      </c:barChart>
      <c:catAx>
        <c:axId val="116149632"/>
        <c:scaling>
          <c:orientation val="minMax"/>
        </c:scaling>
        <c:delete val="0"/>
        <c:axPos val="b"/>
        <c:majorTickMark val="out"/>
        <c:minorTickMark val="none"/>
        <c:tickLblPos val="nextTo"/>
        <c:crossAx val="116163712"/>
        <c:crosses val="autoZero"/>
        <c:auto val="1"/>
        <c:lblAlgn val="ctr"/>
        <c:lblOffset val="100"/>
        <c:noMultiLvlLbl val="0"/>
      </c:catAx>
      <c:valAx>
        <c:axId val="116163712"/>
        <c:scaling>
          <c:orientation val="minMax"/>
        </c:scaling>
        <c:delete val="0"/>
        <c:axPos val="l"/>
        <c:numFmt formatCode="#,##0" sourceLinked="0"/>
        <c:majorTickMark val="out"/>
        <c:minorTickMark val="none"/>
        <c:tickLblPos val="nextTo"/>
        <c:crossAx val="116149632"/>
        <c:crosses val="autoZero"/>
        <c:crossBetween val="between"/>
      </c:valAx>
    </c:plotArea>
    <c:legend>
      <c:legendPos val="r"/>
      <c:layout>
        <c:manualLayout>
          <c:xMode val="edge"/>
          <c:yMode val="edge"/>
          <c:x val="0.8319548692777039"/>
          <c:y val="0.16652466667830601"/>
          <c:w val="0.16804513072229607"/>
          <c:h val="0.69093810293580848"/>
        </c:manualLayout>
      </c:layout>
      <c:overlay val="0"/>
    </c:legend>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607164942078574E-2"/>
          <c:y val="6.428961320074035E-2"/>
          <c:w val="0.75386186746630035"/>
          <c:h val="0.72948175595697595"/>
        </c:manualLayout>
      </c:layout>
      <c:barChart>
        <c:barDir val="col"/>
        <c:grouping val="clustered"/>
        <c:varyColors val="0"/>
        <c:ser>
          <c:idx val="0"/>
          <c:order val="0"/>
          <c:tx>
            <c:strRef>
              <c:f>Sheet2!$H$2</c:f>
              <c:strCache>
                <c:ptCount val="1"/>
                <c:pt idx="0">
                  <c:v>Council</c:v>
                </c:pt>
              </c:strCache>
            </c:strRef>
          </c:tx>
          <c:invertIfNegative val="0"/>
          <c:cat>
            <c:strRef>
              <c:f>Sheet2!$I$1:$M$1</c:f>
              <c:strCache>
                <c:ptCount val="5"/>
                <c:pt idx="0">
                  <c:v>2008/9</c:v>
                </c:pt>
                <c:pt idx="1">
                  <c:v>2009/10</c:v>
                </c:pt>
                <c:pt idx="2">
                  <c:v>2010/11</c:v>
                </c:pt>
                <c:pt idx="3">
                  <c:v>2011/12</c:v>
                </c:pt>
                <c:pt idx="4">
                  <c:v>2012/13</c:v>
                </c:pt>
              </c:strCache>
            </c:strRef>
          </c:cat>
          <c:val>
            <c:numRef>
              <c:f>Sheet2!$I$2:$M$2</c:f>
              <c:numCache>
                <c:formatCode>General</c:formatCode>
                <c:ptCount val="5"/>
                <c:pt idx="0">
                  <c:v>367</c:v>
                </c:pt>
                <c:pt idx="1">
                  <c:v>457</c:v>
                </c:pt>
                <c:pt idx="2">
                  <c:v>412</c:v>
                </c:pt>
                <c:pt idx="3">
                  <c:v>434</c:v>
                </c:pt>
                <c:pt idx="4">
                  <c:v>375</c:v>
                </c:pt>
              </c:numCache>
            </c:numRef>
          </c:val>
        </c:ser>
        <c:ser>
          <c:idx val="1"/>
          <c:order val="1"/>
          <c:tx>
            <c:strRef>
              <c:f>Sheet2!$H$3</c:f>
              <c:strCache>
                <c:ptCount val="1"/>
                <c:pt idx="0">
                  <c:v>Housing Association</c:v>
                </c:pt>
              </c:strCache>
            </c:strRef>
          </c:tx>
          <c:spPr>
            <a:solidFill>
              <a:srgbClr val="FF0000"/>
            </a:solidFill>
          </c:spPr>
          <c:invertIfNegative val="0"/>
          <c:cat>
            <c:strRef>
              <c:f>Sheet2!$I$1:$M$1</c:f>
              <c:strCache>
                <c:ptCount val="5"/>
                <c:pt idx="0">
                  <c:v>2008/9</c:v>
                </c:pt>
                <c:pt idx="1">
                  <c:v>2009/10</c:v>
                </c:pt>
                <c:pt idx="2">
                  <c:v>2010/11</c:v>
                </c:pt>
                <c:pt idx="3">
                  <c:v>2011/12</c:v>
                </c:pt>
                <c:pt idx="4">
                  <c:v>2012/13</c:v>
                </c:pt>
              </c:strCache>
            </c:strRef>
          </c:cat>
          <c:val>
            <c:numRef>
              <c:f>Sheet2!$I$3:$M$3</c:f>
              <c:numCache>
                <c:formatCode>General</c:formatCode>
                <c:ptCount val="5"/>
                <c:pt idx="0">
                  <c:v>298</c:v>
                </c:pt>
                <c:pt idx="1">
                  <c:v>249</c:v>
                </c:pt>
                <c:pt idx="2">
                  <c:v>123</c:v>
                </c:pt>
                <c:pt idx="3">
                  <c:v>498</c:v>
                </c:pt>
                <c:pt idx="4">
                  <c:v>307</c:v>
                </c:pt>
              </c:numCache>
            </c:numRef>
          </c:val>
        </c:ser>
        <c:ser>
          <c:idx val="2"/>
          <c:order val="2"/>
          <c:tx>
            <c:strRef>
              <c:f>Sheet2!$H$4</c:f>
              <c:strCache>
                <c:ptCount val="1"/>
                <c:pt idx="0">
                  <c:v>Private Rented Sector</c:v>
                </c:pt>
              </c:strCache>
            </c:strRef>
          </c:tx>
          <c:spPr>
            <a:solidFill>
              <a:srgbClr val="92D050"/>
            </a:solidFill>
          </c:spPr>
          <c:invertIfNegative val="0"/>
          <c:cat>
            <c:strRef>
              <c:f>Sheet2!$I$1:$M$1</c:f>
              <c:strCache>
                <c:ptCount val="5"/>
                <c:pt idx="0">
                  <c:v>2008/9</c:v>
                </c:pt>
                <c:pt idx="1">
                  <c:v>2009/10</c:v>
                </c:pt>
                <c:pt idx="2">
                  <c:v>2010/11</c:v>
                </c:pt>
                <c:pt idx="3">
                  <c:v>2011/12</c:v>
                </c:pt>
                <c:pt idx="4">
                  <c:v>2012/13</c:v>
                </c:pt>
              </c:strCache>
            </c:strRef>
          </c:cat>
          <c:val>
            <c:numRef>
              <c:f>Sheet2!$I$4:$M$4</c:f>
              <c:numCache>
                <c:formatCode>General</c:formatCode>
                <c:ptCount val="5"/>
                <c:pt idx="0">
                  <c:v>749</c:v>
                </c:pt>
                <c:pt idx="1">
                  <c:v>715</c:v>
                </c:pt>
                <c:pt idx="2">
                  <c:v>447</c:v>
                </c:pt>
                <c:pt idx="3">
                  <c:v>121</c:v>
                </c:pt>
                <c:pt idx="4">
                  <c:v>169</c:v>
                </c:pt>
              </c:numCache>
            </c:numRef>
          </c:val>
        </c:ser>
        <c:dLbls>
          <c:showLegendKey val="0"/>
          <c:showVal val="0"/>
          <c:showCatName val="0"/>
          <c:showSerName val="0"/>
          <c:showPercent val="0"/>
          <c:showBubbleSize val="0"/>
        </c:dLbls>
        <c:gapWidth val="150"/>
        <c:overlap val="-10"/>
        <c:axId val="119322496"/>
        <c:axId val="119324032"/>
      </c:barChart>
      <c:catAx>
        <c:axId val="119322496"/>
        <c:scaling>
          <c:orientation val="minMax"/>
        </c:scaling>
        <c:delete val="0"/>
        <c:axPos val="b"/>
        <c:majorTickMark val="out"/>
        <c:minorTickMark val="none"/>
        <c:tickLblPos val="nextTo"/>
        <c:crossAx val="119324032"/>
        <c:crosses val="autoZero"/>
        <c:auto val="1"/>
        <c:lblAlgn val="ctr"/>
        <c:lblOffset val="100"/>
        <c:noMultiLvlLbl val="0"/>
      </c:catAx>
      <c:valAx>
        <c:axId val="119324032"/>
        <c:scaling>
          <c:orientation val="minMax"/>
        </c:scaling>
        <c:delete val="0"/>
        <c:axPos val="l"/>
        <c:numFmt formatCode="General" sourceLinked="1"/>
        <c:majorTickMark val="out"/>
        <c:minorTickMark val="none"/>
        <c:tickLblPos val="nextTo"/>
        <c:crossAx val="119322496"/>
        <c:crosses val="autoZero"/>
        <c:crossBetween val="between"/>
      </c:valAx>
    </c:plotArea>
    <c:legend>
      <c:legendPos val="r"/>
      <c:layout>
        <c:manualLayout>
          <c:xMode val="edge"/>
          <c:yMode val="edge"/>
          <c:x val="0.83051986210446727"/>
          <c:y val="0.13742739062476361"/>
          <c:w val="0.1555268391051651"/>
          <c:h val="0.67669861666404785"/>
        </c:manualLayout>
      </c:layout>
      <c:overlay val="0"/>
    </c:legend>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9641307421346341E-2"/>
          <c:y val="0.12169637135406422"/>
          <c:w val="0.7594324988222626"/>
          <c:h val="0.68736582773779042"/>
        </c:manualLayout>
      </c:layout>
      <c:barChart>
        <c:barDir val="col"/>
        <c:grouping val="clustered"/>
        <c:varyColors val="0"/>
        <c:ser>
          <c:idx val="0"/>
          <c:order val="0"/>
          <c:tx>
            <c:strRef>
              <c:f>'[Chart in Microsoft PowerPoint]Sheet1'!$B$30</c:f>
              <c:strCache>
                <c:ptCount val="1"/>
                <c:pt idx="0">
                  <c:v>People 65-74</c:v>
                </c:pt>
              </c:strCache>
            </c:strRef>
          </c:tx>
          <c:spPr>
            <a:solidFill>
              <a:schemeClr val="accent1">
                <a:lumMod val="75000"/>
              </a:schemeClr>
            </a:solidFill>
            <a:ln w="12700">
              <a:noFill/>
              <a:prstDash val="solid"/>
            </a:ln>
          </c:spPr>
          <c:invertIfNegative val="0"/>
          <c:cat>
            <c:strRef>
              <c:f>'[Chart in Microsoft PowerPoint]Sheet1'!$A$31:$A$34</c:f>
              <c:strCache>
                <c:ptCount val="4"/>
                <c:pt idx="0">
                  <c:v>Owned</c:v>
                </c:pt>
                <c:pt idx="1">
                  <c:v>Council Rented</c:v>
                </c:pt>
                <c:pt idx="2">
                  <c:v>Other Social Rented</c:v>
                </c:pt>
                <c:pt idx="3">
                  <c:v>Private Rented</c:v>
                </c:pt>
              </c:strCache>
            </c:strRef>
          </c:cat>
          <c:val>
            <c:numRef>
              <c:f>'[Chart in Microsoft PowerPoint]Sheet1'!$B$31:$B$34</c:f>
              <c:numCache>
                <c:formatCode>0%</c:formatCode>
                <c:ptCount val="4"/>
                <c:pt idx="0">
                  <c:v>0.78</c:v>
                </c:pt>
                <c:pt idx="1">
                  <c:v>0.11</c:v>
                </c:pt>
                <c:pt idx="2">
                  <c:v>0.03</c:v>
                </c:pt>
                <c:pt idx="3">
                  <c:v>7.0000000000000007E-2</c:v>
                </c:pt>
              </c:numCache>
            </c:numRef>
          </c:val>
        </c:ser>
        <c:ser>
          <c:idx val="1"/>
          <c:order val="1"/>
          <c:tx>
            <c:strRef>
              <c:f>'[Chart in Microsoft PowerPoint]Sheet1'!$C$30</c:f>
              <c:strCache>
                <c:ptCount val="1"/>
                <c:pt idx="0">
                  <c:v>People 75-84</c:v>
                </c:pt>
              </c:strCache>
            </c:strRef>
          </c:tx>
          <c:spPr>
            <a:solidFill>
              <a:srgbClr val="FF0000"/>
            </a:solidFill>
            <a:ln w="12700">
              <a:noFill/>
              <a:prstDash val="solid"/>
            </a:ln>
          </c:spPr>
          <c:invertIfNegative val="0"/>
          <c:cat>
            <c:strRef>
              <c:f>'[Chart in Microsoft PowerPoint]Sheet1'!$A$31:$A$34</c:f>
              <c:strCache>
                <c:ptCount val="4"/>
                <c:pt idx="0">
                  <c:v>Owned</c:v>
                </c:pt>
                <c:pt idx="1">
                  <c:v>Council Rented</c:v>
                </c:pt>
                <c:pt idx="2">
                  <c:v>Other Social Rented</c:v>
                </c:pt>
                <c:pt idx="3">
                  <c:v>Private Rented</c:v>
                </c:pt>
              </c:strCache>
            </c:strRef>
          </c:cat>
          <c:val>
            <c:numRef>
              <c:f>'[Chart in Microsoft PowerPoint]Sheet1'!$C$31:$C$34</c:f>
              <c:numCache>
                <c:formatCode>0%</c:formatCode>
                <c:ptCount val="4"/>
                <c:pt idx="0">
                  <c:v>0.74</c:v>
                </c:pt>
                <c:pt idx="1">
                  <c:v>0.12</c:v>
                </c:pt>
                <c:pt idx="2">
                  <c:v>0.05</c:v>
                </c:pt>
                <c:pt idx="3">
                  <c:v>0.08</c:v>
                </c:pt>
              </c:numCache>
            </c:numRef>
          </c:val>
        </c:ser>
        <c:ser>
          <c:idx val="2"/>
          <c:order val="2"/>
          <c:tx>
            <c:strRef>
              <c:f>'[Chart in Microsoft PowerPoint]Sheet1'!$D$30</c:f>
              <c:strCache>
                <c:ptCount val="1"/>
                <c:pt idx="0">
                  <c:v>People 85+</c:v>
                </c:pt>
              </c:strCache>
            </c:strRef>
          </c:tx>
          <c:spPr>
            <a:solidFill>
              <a:srgbClr val="92D050"/>
            </a:solidFill>
            <a:ln w="12700">
              <a:noFill/>
              <a:prstDash val="solid"/>
            </a:ln>
          </c:spPr>
          <c:invertIfNegative val="0"/>
          <c:cat>
            <c:strRef>
              <c:f>'[Chart in Microsoft PowerPoint]Sheet1'!$A$31:$A$34</c:f>
              <c:strCache>
                <c:ptCount val="4"/>
                <c:pt idx="0">
                  <c:v>Owned</c:v>
                </c:pt>
                <c:pt idx="1">
                  <c:v>Council Rented</c:v>
                </c:pt>
                <c:pt idx="2">
                  <c:v>Other Social Rented</c:v>
                </c:pt>
                <c:pt idx="3">
                  <c:v>Private Rented</c:v>
                </c:pt>
              </c:strCache>
            </c:strRef>
          </c:cat>
          <c:val>
            <c:numRef>
              <c:f>'[Chart in Microsoft PowerPoint]Sheet1'!$D$31:$D$34</c:f>
              <c:numCache>
                <c:formatCode>0%</c:formatCode>
                <c:ptCount val="4"/>
                <c:pt idx="0">
                  <c:v>0.68</c:v>
                </c:pt>
                <c:pt idx="1">
                  <c:v>0.12</c:v>
                </c:pt>
                <c:pt idx="2">
                  <c:v>7.0000000000000007E-2</c:v>
                </c:pt>
                <c:pt idx="3">
                  <c:v>0.13</c:v>
                </c:pt>
              </c:numCache>
            </c:numRef>
          </c:val>
        </c:ser>
        <c:dLbls>
          <c:showLegendKey val="0"/>
          <c:showVal val="0"/>
          <c:showCatName val="0"/>
          <c:showSerName val="0"/>
          <c:showPercent val="0"/>
          <c:showBubbleSize val="0"/>
        </c:dLbls>
        <c:gapWidth val="150"/>
        <c:overlap val="-9"/>
        <c:axId val="122131200"/>
        <c:axId val="122132736"/>
      </c:barChart>
      <c:catAx>
        <c:axId val="122131200"/>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a:pPr>
            <a:endParaRPr lang="en-US"/>
          </a:p>
        </c:txPr>
        <c:crossAx val="122132736"/>
        <c:crosses val="autoZero"/>
        <c:auto val="1"/>
        <c:lblAlgn val="ctr"/>
        <c:lblOffset val="100"/>
        <c:tickLblSkip val="1"/>
        <c:tickMarkSkip val="1"/>
        <c:noMultiLvlLbl val="0"/>
      </c:catAx>
      <c:valAx>
        <c:axId val="122132736"/>
        <c:scaling>
          <c:orientation val="minMax"/>
          <c:max val="0.8"/>
        </c:scaling>
        <c:delete val="0"/>
        <c:axPos val="l"/>
        <c:numFmt formatCode="0%" sourceLinked="1"/>
        <c:majorTickMark val="out"/>
        <c:minorTickMark val="none"/>
        <c:tickLblPos val="nextTo"/>
        <c:spPr>
          <a:ln w="3175">
            <a:solidFill>
              <a:srgbClr val="000000"/>
            </a:solidFill>
            <a:prstDash val="solid"/>
          </a:ln>
        </c:spPr>
        <c:txPr>
          <a:bodyPr rot="0" vert="horz"/>
          <a:lstStyle/>
          <a:p>
            <a:pPr>
              <a:defRPr/>
            </a:pPr>
            <a:endParaRPr lang="en-US"/>
          </a:p>
        </c:txPr>
        <c:crossAx val="122131200"/>
        <c:crosses val="autoZero"/>
        <c:crossBetween val="between"/>
      </c:valAx>
      <c:spPr>
        <a:noFill/>
        <a:ln w="25400">
          <a:noFill/>
        </a:ln>
      </c:spPr>
    </c:plotArea>
    <c:legend>
      <c:legendPos val="r"/>
      <c:overlay val="0"/>
      <c:spPr>
        <a:solidFill>
          <a:srgbClr val="FFFFFF"/>
        </a:solidFill>
        <a:ln w="3175">
          <a:noFill/>
          <a:prstDash val="solid"/>
        </a:ln>
      </c:spPr>
    </c:legend>
    <c:plotVisOnly val="1"/>
    <c:dispBlanksAs val="gap"/>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mn-lt"/>
          <a:ea typeface="Arial"/>
          <a:cs typeface="Arial"/>
        </a:defRPr>
      </a:pPr>
      <a:endParaRPr lang="en-US"/>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7881445398254871E-2"/>
          <c:y val="7.6463634194486013E-2"/>
          <c:w val="0.87743550736736842"/>
          <c:h val="0.64024045031561139"/>
        </c:manualLayout>
      </c:layout>
      <c:barChart>
        <c:barDir val="col"/>
        <c:grouping val="clustered"/>
        <c:varyColors val="0"/>
        <c:ser>
          <c:idx val="0"/>
          <c:order val="0"/>
          <c:tx>
            <c:strRef>
              <c:f>Isolation!$B$2</c:f>
              <c:strCache>
                <c:ptCount val="1"/>
                <c:pt idx="0">
                  <c:v>All</c:v>
                </c:pt>
              </c:strCache>
            </c:strRef>
          </c:tx>
          <c:spPr>
            <a:solidFill>
              <a:srgbClr val="FF0000"/>
            </a:solidFill>
          </c:spPr>
          <c:invertIfNegative val="0"/>
          <c:cat>
            <c:numRef>
              <c:f>Isolation!$A$3:$A$9</c:f>
              <c:numCache>
                <c:formatCode>General</c:formatCode>
                <c:ptCount val="7"/>
                <c:pt idx="0">
                  <c:v>2012</c:v>
                </c:pt>
                <c:pt idx="1">
                  <c:v>2013</c:v>
                </c:pt>
                <c:pt idx="2">
                  <c:v>2014</c:v>
                </c:pt>
                <c:pt idx="3">
                  <c:v>2015</c:v>
                </c:pt>
                <c:pt idx="4">
                  <c:v>2020</c:v>
                </c:pt>
                <c:pt idx="5">
                  <c:v>2025</c:v>
                </c:pt>
                <c:pt idx="6">
                  <c:v>2030</c:v>
                </c:pt>
              </c:numCache>
            </c:numRef>
          </c:cat>
          <c:val>
            <c:numRef>
              <c:f>Isolation!$B$3:$B$9</c:f>
              <c:numCache>
                <c:formatCode>#,##0</c:formatCode>
                <c:ptCount val="7"/>
                <c:pt idx="0">
                  <c:v>12957</c:v>
                </c:pt>
                <c:pt idx="1">
                  <c:v>12991</c:v>
                </c:pt>
                <c:pt idx="2">
                  <c:v>13337</c:v>
                </c:pt>
                <c:pt idx="3">
                  <c:v>13459</c:v>
                </c:pt>
                <c:pt idx="4">
                  <c:v>14789</c:v>
                </c:pt>
                <c:pt idx="5">
                  <c:v>17496</c:v>
                </c:pt>
                <c:pt idx="6">
                  <c:v>19701</c:v>
                </c:pt>
              </c:numCache>
            </c:numRef>
          </c:val>
        </c:ser>
        <c:ser>
          <c:idx val="1"/>
          <c:order val="1"/>
          <c:tx>
            <c:strRef>
              <c:f>Isolation!$C$2</c:f>
              <c:strCache>
                <c:ptCount val="1"/>
                <c:pt idx="0">
                  <c:v>Long term limiting illness</c:v>
                </c:pt>
              </c:strCache>
            </c:strRef>
          </c:tx>
          <c:spPr>
            <a:solidFill>
              <a:srgbClr val="92D050"/>
            </a:solidFill>
          </c:spPr>
          <c:invertIfNegative val="0"/>
          <c:cat>
            <c:numRef>
              <c:f>Isolation!$A$3:$A$9</c:f>
              <c:numCache>
                <c:formatCode>General</c:formatCode>
                <c:ptCount val="7"/>
                <c:pt idx="0">
                  <c:v>2012</c:v>
                </c:pt>
                <c:pt idx="1">
                  <c:v>2013</c:v>
                </c:pt>
                <c:pt idx="2">
                  <c:v>2014</c:v>
                </c:pt>
                <c:pt idx="3">
                  <c:v>2015</c:v>
                </c:pt>
                <c:pt idx="4">
                  <c:v>2020</c:v>
                </c:pt>
                <c:pt idx="5">
                  <c:v>2025</c:v>
                </c:pt>
                <c:pt idx="6">
                  <c:v>2030</c:v>
                </c:pt>
              </c:numCache>
            </c:numRef>
          </c:cat>
          <c:val>
            <c:numRef>
              <c:f>Isolation!$C$3:$C$9</c:f>
              <c:numCache>
                <c:formatCode>#,##0</c:formatCode>
                <c:ptCount val="7"/>
                <c:pt idx="0">
                  <c:v>6289</c:v>
                </c:pt>
                <c:pt idx="1">
                  <c:v>6427</c:v>
                </c:pt>
                <c:pt idx="2">
                  <c:v>6558</c:v>
                </c:pt>
                <c:pt idx="3">
                  <c:v>6653</c:v>
                </c:pt>
                <c:pt idx="4">
                  <c:v>7438</c:v>
                </c:pt>
                <c:pt idx="5">
                  <c:v>8693</c:v>
                </c:pt>
                <c:pt idx="6">
                  <c:v>10010</c:v>
                </c:pt>
              </c:numCache>
            </c:numRef>
          </c:val>
        </c:ser>
        <c:dLbls>
          <c:showLegendKey val="0"/>
          <c:showVal val="0"/>
          <c:showCatName val="0"/>
          <c:showSerName val="0"/>
          <c:showPercent val="0"/>
          <c:showBubbleSize val="0"/>
        </c:dLbls>
        <c:gapWidth val="150"/>
        <c:axId val="122149504"/>
        <c:axId val="122151296"/>
      </c:barChart>
      <c:catAx>
        <c:axId val="122149504"/>
        <c:scaling>
          <c:orientation val="minMax"/>
        </c:scaling>
        <c:delete val="0"/>
        <c:axPos val="b"/>
        <c:numFmt formatCode="General" sourceLinked="1"/>
        <c:majorTickMark val="out"/>
        <c:minorTickMark val="none"/>
        <c:tickLblPos val="nextTo"/>
        <c:crossAx val="122151296"/>
        <c:crosses val="autoZero"/>
        <c:auto val="1"/>
        <c:lblAlgn val="ctr"/>
        <c:lblOffset val="100"/>
        <c:noMultiLvlLbl val="0"/>
      </c:catAx>
      <c:valAx>
        <c:axId val="122151296"/>
        <c:scaling>
          <c:orientation val="minMax"/>
        </c:scaling>
        <c:delete val="0"/>
        <c:axPos val="l"/>
        <c:numFmt formatCode="#,##0" sourceLinked="1"/>
        <c:majorTickMark val="out"/>
        <c:minorTickMark val="none"/>
        <c:tickLblPos val="nextTo"/>
        <c:crossAx val="122149504"/>
        <c:crosses val="autoZero"/>
        <c:crossBetween val="between"/>
      </c:valAx>
    </c:plotArea>
    <c:legend>
      <c:legendPos val="b"/>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609410458544538"/>
          <c:y val="6.8087825149188166E-2"/>
          <c:w val="0.87391429027192646"/>
          <c:h val="0.648638351309345"/>
        </c:manualLayout>
      </c:layout>
      <c:barChart>
        <c:barDir val="col"/>
        <c:grouping val="clustered"/>
        <c:varyColors val="0"/>
        <c:ser>
          <c:idx val="0"/>
          <c:order val="0"/>
          <c:tx>
            <c:strRef>
              <c:f>'By Age'!$B$95:$C$95</c:f>
              <c:strCache>
                <c:ptCount val="1"/>
                <c:pt idx="0">
                  <c:v>Barnet</c:v>
                </c:pt>
              </c:strCache>
            </c:strRef>
          </c:tx>
          <c:invertIfNegative val="0"/>
          <c:cat>
            <c:strRef>
              <c:f>'By Age'!$A$97:$A$115</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c:v>
                </c:pt>
              </c:strCache>
            </c:strRef>
          </c:cat>
          <c:val>
            <c:numRef>
              <c:f>'By Age'!$C$97:$C$114</c:f>
              <c:numCache>
                <c:formatCode>0.0%</c:formatCode>
                <c:ptCount val="18"/>
                <c:pt idx="0">
                  <c:v>7.3645829581584193E-2</c:v>
                </c:pt>
                <c:pt idx="1">
                  <c:v>6.806077417477846E-2</c:v>
                </c:pt>
                <c:pt idx="2">
                  <c:v>5.8334224927536302E-2</c:v>
                </c:pt>
                <c:pt idx="3">
                  <c:v>5.4788229024114288E-2</c:v>
                </c:pt>
                <c:pt idx="4">
                  <c:v>5.9235822652880063E-2</c:v>
                </c:pt>
                <c:pt idx="5">
                  <c:v>8.2482581098175481E-2</c:v>
                </c:pt>
                <c:pt idx="6">
                  <c:v>8.5951770736595587E-2</c:v>
                </c:pt>
                <c:pt idx="7">
                  <c:v>7.8021517322687889E-2</c:v>
                </c:pt>
                <c:pt idx="8">
                  <c:v>7.1554446201612373E-2</c:v>
                </c:pt>
                <c:pt idx="9">
                  <c:v>6.9492461453895107E-2</c:v>
                </c:pt>
                <c:pt idx="10">
                  <c:v>6.2238751528456746E-2</c:v>
                </c:pt>
                <c:pt idx="11">
                  <c:v>5.2509886453797817E-2</c:v>
                </c:pt>
                <c:pt idx="12">
                  <c:v>4.3252105270083635E-2</c:v>
                </c:pt>
                <c:pt idx="13">
                  <c:v>4.1483384189040406E-2</c:v>
                </c:pt>
                <c:pt idx="14">
                  <c:v>3.1554951165867498E-2</c:v>
                </c:pt>
                <c:pt idx="15">
                  <c:v>2.5162409881468402E-2</c:v>
                </c:pt>
                <c:pt idx="16">
                  <c:v>1.9871236561710075E-2</c:v>
                </c:pt>
                <c:pt idx="17">
                  <c:v>3.1E-2</c:v>
                </c:pt>
              </c:numCache>
            </c:numRef>
          </c:val>
        </c:ser>
        <c:ser>
          <c:idx val="1"/>
          <c:order val="1"/>
          <c:tx>
            <c:strRef>
              <c:f>'By Age'!$D$95:$E$95</c:f>
              <c:strCache>
                <c:ptCount val="1"/>
                <c:pt idx="0">
                  <c:v>Outer London</c:v>
                </c:pt>
              </c:strCache>
            </c:strRef>
          </c:tx>
          <c:spPr>
            <a:solidFill>
              <a:srgbClr val="FF0000"/>
            </a:solidFill>
          </c:spPr>
          <c:invertIfNegative val="0"/>
          <c:cat>
            <c:strRef>
              <c:f>'By Age'!$A$97:$A$115</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c:v>
                </c:pt>
              </c:strCache>
            </c:strRef>
          </c:cat>
          <c:val>
            <c:numRef>
              <c:f>'By Age'!$E$97:$E$114</c:f>
              <c:numCache>
                <c:formatCode>0.0%</c:formatCode>
                <c:ptCount val="18"/>
                <c:pt idx="0">
                  <c:v>7.4999999999999997E-2</c:v>
                </c:pt>
                <c:pt idx="1">
                  <c:v>6.6000000000000003E-2</c:v>
                </c:pt>
                <c:pt idx="2">
                  <c:v>5.8000000000000003E-2</c:v>
                </c:pt>
                <c:pt idx="3">
                  <c:v>5.8999999999999997E-2</c:v>
                </c:pt>
                <c:pt idx="4">
                  <c:v>6.4000000000000001E-2</c:v>
                </c:pt>
                <c:pt idx="5">
                  <c:v>8.1000000000000003E-2</c:v>
                </c:pt>
                <c:pt idx="6">
                  <c:v>8.5999999999999993E-2</c:v>
                </c:pt>
                <c:pt idx="7">
                  <c:v>7.6999999999999999E-2</c:v>
                </c:pt>
                <c:pt idx="8">
                  <c:v>7.2999999999999995E-2</c:v>
                </c:pt>
                <c:pt idx="9">
                  <c:v>7.0999999999999994E-2</c:v>
                </c:pt>
                <c:pt idx="10">
                  <c:v>6.3E-2</c:v>
                </c:pt>
                <c:pt idx="11">
                  <c:v>5.1999999999999998E-2</c:v>
                </c:pt>
                <c:pt idx="12">
                  <c:v>4.3999999999999997E-2</c:v>
                </c:pt>
                <c:pt idx="13">
                  <c:v>0.04</c:v>
                </c:pt>
                <c:pt idx="14">
                  <c:v>2.9000000000000001E-2</c:v>
                </c:pt>
                <c:pt idx="15">
                  <c:v>2.5000000000000001E-2</c:v>
                </c:pt>
                <c:pt idx="16">
                  <c:v>1.9E-2</c:v>
                </c:pt>
                <c:pt idx="17">
                  <c:v>1.7999999999999999E-2</c:v>
                </c:pt>
              </c:numCache>
            </c:numRef>
          </c:val>
        </c:ser>
        <c:ser>
          <c:idx val="2"/>
          <c:order val="2"/>
          <c:tx>
            <c:strRef>
              <c:f>'By Age'!$F$95:$G$95</c:f>
              <c:strCache>
                <c:ptCount val="1"/>
                <c:pt idx="0">
                  <c:v>United Kingdom</c:v>
                </c:pt>
              </c:strCache>
            </c:strRef>
          </c:tx>
          <c:spPr>
            <a:solidFill>
              <a:srgbClr val="92D050"/>
            </a:solidFill>
          </c:spPr>
          <c:invertIfNegative val="0"/>
          <c:cat>
            <c:strRef>
              <c:f>'By Age'!$A$97:$A$115</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c:v>
                </c:pt>
              </c:strCache>
            </c:strRef>
          </c:cat>
          <c:val>
            <c:numRef>
              <c:f>'By Age'!$G$97:$G$114</c:f>
              <c:numCache>
                <c:formatCode>0.0%</c:formatCode>
                <c:ptCount val="18"/>
                <c:pt idx="0">
                  <c:v>6.2E-2</c:v>
                </c:pt>
                <c:pt idx="1">
                  <c:v>5.8999999999999997E-2</c:v>
                </c:pt>
                <c:pt idx="2">
                  <c:v>5.5E-2</c:v>
                </c:pt>
                <c:pt idx="3">
                  <c:v>6.0999999999999999E-2</c:v>
                </c:pt>
                <c:pt idx="4">
                  <c:v>6.7000000000000004E-2</c:v>
                </c:pt>
                <c:pt idx="5">
                  <c:v>6.8000000000000005E-2</c:v>
                </c:pt>
                <c:pt idx="6">
                  <c:v>6.7000000000000004E-2</c:v>
                </c:pt>
                <c:pt idx="7">
                  <c:v>6.2E-2</c:v>
                </c:pt>
                <c:pt idx="8">
                  <c:v>7.0000000000000007E-2</c:v>
                </c:pt>
                <c:pt idx="9">
                  <c:v>7.2999999999999995E-2</c:v>
                </c:pt>
                <c:pt idx="10">
                  <c:v>6.8000000000000005E-2</c:v>
                </c:pt>
                <c:pt idx="11">
                  <c:v>5.8999999999999997E-2</c:v>
                </c:pt>
                <c:pt idx="12">
                  <c:v>5.5E-2</c:v>
                </c:pt>
                <c:pt idx="13">
                  <c:v>5.3999999999999999E-2</c:v>
                </c:pt>
                <c:pt idx="14">
                  <c:v>0.04</c:v>
                </c:pt>
                <c:pt idx="15">
                  <c:v>3.3000000000000002E-2</c:v>
                </c:pt>
                <c:pt idx="16">
                  <c:v>2.4E-2</c:v>
                </c:pt>
                <c:pt idx="17">
                  <c:v>2.3E-2</c:v>
                </c:pt>
              </c:numCache>
            </c:numRef>
          </c:val>
        </c:ser>
        <c:dLbls>
          <c:showLegendKey val="0"/>
          <c:showVal val="0"/>
          <c:showCatName val="0"/>
          <c:showSerName val="0"/>
          <c:showPercent val="0"/>
          <c:showBubbleSize val="0"/>
        </c:dLbls>
        <c:gapWidth val="150"/>
        <c:axId val="153865216"/>
        <c:axId val="174523520"/>
      </c:barChart>
      <c:catAx>
        <c:axId val="153865216"/>
        <c:scaling>
          <c:orientation val="minMax"/>
        </c:scaling>
        <c:delete val="0"/>
        <c:axPos val="b"/>
        <c:majorTickMark val="out"/>
        <c:minorTickMark val="none"/>
        <c:tickLblPos val="nextTo"/>
        <c:crossAx val="174523520"/>
        <c:crosses val="autoZero"/>
        <c:auto val="1"/>
        <c:lblAlgn val="ctr"/>
        <c:lblOffset val="100"/>
        <c:noMultiLvlLbl val="0"/>
      </c:catAx>
      <c:valAx>
        <c:axId val="174523520"/>
        <c:scaling>
          <c:orientation val="minMax"/>
        </c:scaling>
        <c:delete val="0"/>
        <c:axPos val="l"/>
        <c:title>
          <c:tx>
            <c:rich>
              <a:bodyPr rot="-5400000" vert="horz"/>
              <a:lstStyle/>
              <a:p>
                <a:pPr>
                  <a:defRPr/>
                </a:pPr>
                <a:r>
                  <a:rPr lang="en-GB"/>
                  <a:t>% of the Population</a:t>
                </a:r>
              </a:p>
            </c:rich>
          </c:tx>
          <c:overlay val="0"/>
        </c:title>
        <c:numFmt formatCode="0%" sourceLinked="0"/>
        <c:majorTickMark val="out"/>
        <c:minorTickMark val="none"/>
        <c:tickLblPos val="nextTo"/>
        <c:crossAx val="153865216"/>
        <c:crosses val="autoZero"/>
        <c:crossBetween val="between"/>
      </c:valAx>
    </c:plotArea>
    <c:legend>
      <c:legendPos val="b"/>
      <c:layout>
        <c:manualLayout>
          <c:xMode val="edge"/>
          <c:yMode val="edge"/>
          <c:x val="0.24855775215707826"/>
          <c:y val="0.88991401219620481"/>
          <c:w val="0.5613049399649469"/>
          <c:h val="0.10587761786078831"/>
        </c:manualLayout>
      </c:layout>
      <c:overlay val="0"/>
    </c:legend>
    <c:plotVisOnly val="1"/>
    <c:dispBlanksAs val="gap"/>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575307731121655E-2"/>
          <c:y val="5.1864116128438491E-2"/>
          <c:w val="0.69777161538167976"/>
          <c:h val="0.78804281201376769"/>
        </c:manualLayout>
      </c:layout>
      <c:lineChart>
        <c:grouping val="standard"/>
        <c:varyColors val="0"/>
        <c:ser>
          <c:idx val="1"/>
          <c:order val="0"/>
          <c:tx>
            <c:strRef>
              <c:f>Data!$M$1</c:f>
              <c:strCache>
                <c:ptCount val="1"/>
                <c:pt idx="0">
                  <c:v>All Long-Term Vacant Dwellings</c:v>
                </c:pt>
              </c:strCache>
            </c:strRef>
          </c:tx>
          <c:spPr>
            <a:ln>
              <a:solidFill>
                <a:srgbClr val="FF0000"/>
              </a:solidFill>
            </a:ln>
          </c:spPr>
          <c:marker>
            <c:symbol val="none"/>
          </c:marker>
          <c:cat>
            <c:numRef>
              <c:f>Data!$M$2:$V$2</c:f>
              <c:numCache>
                <c:formatCode>General</c:formatCode>
                <c:ptCount val="10"/>
                <c:pt idx="0">
                  <c:v>2004</c:v>
                </c:pt>
                <c:pt idx="1">
                  <c:v>2005</c:v>
                </c:pt>
                <c:pt idx="2">
                  <c:v>2006</c:v>
                </c:pt>
                <c:pt idx="3">
                  <c:v>2007</c:v>
                </c:pt>
                <c:pt idx="4">
                  <c:v>2008</c:v>
                </c:pt>
                <c:pt idx="5">
                  <c:v>2009</c:v>
                </c:pt>
                <c:pt idx="6">
                  <c:v>2010</c:v>
                </c:pt>
                <c:pt idx="7">
                  <c:v>2011</c:v>
                </c:pt>
                <c:pt idx="8">
                  <c:v>2012</c:v>
                </c:pt>
                <c:pt idx="9">
                  <c:v>2013</c:v>
                </c:pt>
              </c:numCache>
            </c:numRef>
          </c:cat>
          <c:val>
            <c:numRef>
              <c:f>Data!$M$6:$V$6</c:f>
              <c:numCache>
                <c:formatCode>#,##0_ ;\-#,##0\ </c:formatCode>
                <c:ptCount val="10"/>
                <c:pt idx="0">
                  <c:v>1654</c:v>
                </c:pt>
                <c:pt idx="1">
                  <c:v>1805</c:v>
                </c:pt>
                <c:pt idx="2">
                  <c:v>1604</c:v>
                </c:pt>
                <c:pt idx="3">
                  <c:v>1576</c:v>
                </c:pt>
                <c:pt idx="4">
                  <c:v>1704</c:v>
                </c:pt>
                <c:pt idx="5">
                  <c:v>1719</c:v>
                </c:pt>
                <c:pt idx="6">
                  <c:v>1525</c:v>
                </c:pt>
                <c:pt idx="7">
                  <c:v>1390</c:v>
                </c:pt>
                <c:pt idx="8">
                  <c:v>1095</c:v>
                </c:pt>
                <c:pt idx="9">
                  <c:v>1136</c:v>
                </c:pt>
              </c:numCache>
            </c:numRef>
          </c:val>
          <c:smooth val="0"/>
        </c:ser>
        <c:ser>
          <c:idx val="2"/>
          <c:order val="1"/>
          <c:tx>
            <c:strRef>
              <c:f>Data!$W$1</c:f>
              <c:strCache>
                <c:ptCount val="1"/>
                <c:pt idx="0">
                  <c:v>Local Authority Owned Vacant Dwellings</c:v>
                </c:pt>
              </c:strCache>
            </c:strRef>
          </c:tx>
          <c:spPr>
            <a:ln>
              <a:solidFill>
                <a:srgbClr val="92D050"/>
              </a:solidFill>
            </a:ln>
          </c:spPr>
          <c:marker>
            <c:symbol val="none"/>
          </c:marker>
          <c:val>
            <c:numRef>
              <c:f>Data!$W$6:$AF$6</c:f>
              <c:numCache>
                <c:formatCode>#,##0_ ;\-#,##0\ </c:formatCode>
                <c:ptCount val="10"/>
                <c:pt idx="0">
                  <c:v>104</c:v>
                </c:pt>
                <c:pt idx="1">
                  <c:v>139</c:v>
                </c:pt>
                <c:pt idx="2">
                  <c:v>100</c:v>
                </c:pt>
                <c:pt idx="3">
                  <c:v>94</c:v>
                </c:pt>
                <c:pt idx="4">
                  <c:v>103</c:v>
                </c:pt>
                <c:pt idx="5">
                  <c:v>227</c:v>
                </c:pt>
                <c:pt idx="6">
                  <c:v>198</c:v>
                </c:pt>
                <c:pt idx="7">
                  <c:v>239</c:v>
                </c:pt>
                <c:pt idx="8">
                  <c:v>83</c:v>
                </c:pt>
                <c:pt idx="9">
                  <c:v>65</c:v>
                </c:pt>
              </c:numCache>
            </c:numRef>
          </c:val>
          <c:smooth val="0"/>
        </c:ser>
        <c:dLbls>
          <c:showLegendKey val="0"/>
          <c:showVal val="0"/>
          <c:showCatName val="0"/>
          <c:showSerName val="0"/>
          <c:showPercent val="0"/>
          <c:showBubbleSize val="0"/>
        </c:dLbls>
        <c:marker val="1"/>
        <c:smooth val="0"/>
        <c:axId val="152716032"/>
        <c:axId val="152717568"/>
      </c:lineChart>
      <c:catAx>
        <c:axId val="152716032"/>
        <c:scaling>
          <c:orientation val="minMax"/>
        </c:scaling>
        <c:delete val="0"/>
        <c:axPos val="b"/>
        <c:numFmt formatCode="General" sourceLinked="1"/>
        <c:majorTickMark val="out"/>
        <c:minorTickMark val="none"/>
        <c:tickLblPos val="nextTo"/>
        <c:crossAx val="152717568"/>
        <c:crosses val="autoZero"/>
        <c:auto val="1"/>
        <c:lblAlgn val="ctr"/>
        <c:lblOffset val="100"/>
        <c:noMultiLvlLbl val="0"/>
      </c:catAx>
      <c:valAx>
        <c:axId val="152717568"/>
        <c:scaling>
          <c:orientation val="minMax"/>
        </c:scaling>
        <c:delete val="0"/>
        <c:axPos val="l"/>
        <c:numFmt formatCode="#,##0_ ;\-#,##0\ " sourceLinked="1"/>
        <c:majorTickMark val="out"/>
        <c:minorTickMark val="none"/>
        <c:tickLblPos val="nextTo"/>
        <c:crossAx val="152716032"/>
        <c:crosses val="autoZero"/>
        <c:crossBetween val="between"/>
      </c:valAx>
    </c:plotArea>
    <c:legend>
      <c:legendPos val="r"/>
      <c:layout>
        <c:manualLayout>
          <c:xMode val="edge"/>
          <c:yMode val="edge"/>
          <c:x val="0.7829302004973745"/>
          <c:y val="3.6657917760279965E-3"/>
          <c:w val="0.20840064620355411"/>
          <c:h val="0.9153089309782223"/>
        </c:manualLayout>
      </c:layout>
      <c:overlay val="0"/>
    </c:legend>
    <c:plotVisOnly val="1"/>
    <c:dispBlanksAs val="gap"/>
    <c:showDLblsOverMax val="0"/>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597567804024498"/>
          <c:y val="7.3917883314845612E-2"/>
          <c:w val="0.7197202099737533"/>
          <c:h val="0.70402915462905258"/>
        </c:manualLayout>
      </c:layout>
      <c:barChart>
        <c:barDir val="col"/>
        <c:grouping val="clustered"/>
        <c:varyColors val="0"/>
        <c:ser>
          <c:idx val="2"/>
          <c:order val="0"/>
          <c:tx>
            <c:strRef>
              <c:f>Sheet1!$D$7</c:f>
              <c:strCache>
                <c:ptCount val="1"/>
                <c:pt idx="0">
                  <c:v>Barnet</c:v>
                </c:pt>
              </c:strCache>
            </c:strRef>
          </c:tx>
          <c:spPr>
            <a:solidFill>
              <a:srgbClr val="FF0000"/>
            </a:solidFill>
            <a:ln w="18560">
              <a:noFill/>
              <a:prstDash val="solid"/>
            </a:ln>
          </c:spPr>
          <c:invertIfNegative val="0"/>
          <c:cat>
            <c:numRef>
              <c:f>Sheet1!$B$8:$B$12</c:f>
              <c:numCache>
                <c:formatCode>General</c:formatCode>
                <c:ptCount val="5"/>
                <c:pt idx="0">
                  <c:v>2006</c:v>
                </c:pt>
                <c:pt idx="1">
                  <c:v>2008</c:v>
                </c:pt>
                <c:pt idx="2">
                  <c:v>2009</c:v>
                </c:pt>
                <c:pt idx="3">
                  <c:v>2010</c:v>
                </c:pt>
                <c:pt idx="4">
                  <c:v>2011</c:v>
                </c:pt>
              </c:numCache>
            </c:numRef>
          </c:cat>
          <c:val>
            <c:numRef>
              <c:f>Sheet1!$D$8:$D$12</c:f>
              <c:numCache>
                <c:formatCode>General</c:formatCode>
                <c:ptCount val="5"/>
                <c:pt idx="0">
                  <c:v>7.9</c:v>
                </c:pt>
                <c:pt idx="1">
                  <c:v>10.1</c:v>
                </c:pt>
                <c:pt idx="2">
                  <c:v>12</c:v>
                </c:pt>
                <c:pt idx="3">
                  <c:v>11.3</c:v>
                </c:pt>
                <c:pt idx="4">
                  <c:v>10.6</c:v>
                </c:pt>
              </c:numCache>
            </c:numRef>
          </c:val>
        </c:ser>
        <c:ser>
          <c:idx val="0"/>
          <c:order val="1"/>
          <c:tx>
            <c:v>England</c:v>
          </c:tx>
          <c:spPr>
            <a:solidFill>
              <a:srgbClr val="92D050"/>
            </a:solidFill>
            <a:ln w="18560">
              <a:noFill/>
              <a:prstDash val="solid"/>
            </a:ln>
          </c:spPr>
          <c:invertIfNegative val="0"/>
          <c:dPt>
            <c:idx val="4"/>
            <c:invertIfNegative val="0"/>
            <c:bubble3D val="0"/>
          </c:dPt>
          <c:val>
            <c:numRef>
              <c:f>Sheet1!$C$8:$C$12</c:f>
              <c:numCache>
                <c:formatCode>General</c:formatCode>
                <c:ptCount val="5"/>
                <c:pt idx="0">
                  <c:v>11.5</c:v>
                </c:pt>
                <c:pt idx="1">
                  <c:v>15.6</c:v>
                </c:pt>
                <c:pt idx="2">
                  <c:v>18.399999999999999</c:v>
                </c:pt>
                <c:pt idx="3">
                  <c:v>16.399999999999999</c:v>
                </c:pt>
                <c:pt idx="4">
                  <c:v>14.6</c:v>
                </c:pt>
              </c:numCache>
            </c:numRef>
          </c:val>
        </c:ser>
        <c:dLbls>
          <c:showLegendKey val="0"/>
          <c:showVal val="0"/>
          <c:showCatName val="0"/>
          <c:showSerName val="0"/>
          <c:showPercent val="0"/>
          <c:showBubbleSize val="0"/>
        </c:dLbls>
        <c:gapWidth val="150"/>
        <c:overlap val="-13"/>
        <c:axId val="153316352"/>
        <c:axId val="153322240"/>
      </c:barChart>
      <c:catAx>
        <c:axId val="153316352"/>
        <c:scaling>
          <c:orientation val="minMax"/>
        </c:scaling>
        <c:delete val="0"/>
        <c:axPos val="b"/>
        <c:numFmt formatCode="General" sourceLinked="1"/>
        <c:majorTickMark val="out"/>
        <c:minorTickMark val="none"/>
        <c:tickLblPos val="nextTo"/>
        <c:spPr>
          <a:ln w="4640">
            <a:solidFill>
              <a:srgbClr val="000000"/>
            </a:solidFill>
            <a:prstDash val="solid"/>
          </a:ln>
        </c:spPr>
        <c:txPr>
          <a:bodyPr rot="0" vert="horz"/>
          <a:lstStyle/>
          <a:p>
            <a:pPr>
              <a:defRPr/>
            </a:pPr>
            <a:endParaRPr lang="en-US"/>
          </a:p>
        </c:txPr>
        <c:crossAx val="153322240"/>
        <c:crosses val="autoZero"/>
        <c:auto val="1"/>
        <c:lblAlgn val="ctr"/>
        <c:lblOffset val="100"/>
        <c:tickLblSkip val="1"/>
        <c:tickMarkSkip val="1"/>
        <c:noMultiLvlLbl val="0"/>
      </c:catAx>
      <c:valAx>
        <c:axId val="153322240"/>
        <c:scaling>
          <c:orientation val="minMax"/>
        </c:scaling>
        <c:delete val="0"/>
        <c:axPos val="l"/>
        <c:title>
          <c:tx>
            <c:rich>
              <a:bodyPr/>
              <a:lstStyle/>
              <a:p>
                <a:pPr>
                  <a:defRPr/>
                </a:pPr>
                <a:r>
                  <a:rPr lang="en-GB"/>
                  <a:t>% opf households in fuel poverty</a:t>
                </a:r>
              </a:p>
            </c:rich>
          </c:tx>
          <c:layout>
            <c:manualLayout>
              <c:xMode val="edge"/>
              <c:yMode val="edge"/>
              <c:x val="1.4885988693734663E-2"/>
              <c:y val="9.4310059474500677E-2"/>
            </c:manualLayout>
          </c:layout>
          <c:overlay val="0"/>
          <c:spPr>
            <a:noFill/>
            <a:ln w="37121">
              <a:noFill/>
            </a:ln>
          </c:spPr>
        </c:title>
        <c:numFmt formatCode="#,##0" sourceLinked="0"/>
        <c:majorTickMark val="out"/>
        <c:minorTickMark val="none"/>
        <c:tickLblPos val="nextTo"/>
        <c:spPr>
          <a:ln w="4640">
            <a:solidFill>
              <a:srgbClr val="000000"/>
            </a:solidFill>
            <a:prstDash val="solid"/>
          </a:ln>
        </c:spPr>
        <c:txPr>
          <a:bodyPr rot="0" vert="horz"/>
          <a:lstStyle/>
          <a:p>
            <a:pPr>
              <a:defRPr/>
            </a:pPr>
            <a:endParaRPr lang="en-US"/>
          </a:p>
        </c:txPr>
        <c:crossAx val="153316352"/>
        <c:crosses val="autoZero"/>
        <c:crossBetween val="between"/>
      </c:valAx>
      <c:spPr>
        <a:noFill/>
        <a:ln w="25400">
          <a:noFill/>
        </a:ln>
      </c:spPr>
    </c:plotArea>
    <c:legend>
      <c:legendPos val="r"/>
      <c:overlay val="0"/>
      <c:spPr>
        <a:noFill/>
        <a:ln w="4640">
          <a:noFill/>
          <a:prstDash val="solid"/>
        </a:ln>
      </c:spPr>
    </c:legend>
    <c:plotVisOnly val="1"/>
    <c:dispBlanksAs val="gap"/>
    <c:showDLblsOverMax val="0"/>
  </c:chart>
  <c:spPr>
    <a:solidFill>
      <a:srgbClr val="FFFFFF"/>
    </a:solidFill>
    <a:ln w="4640">
      <a:solidFill>
        <a:srgbClr val="000000"/>
      </a:solidFill>
      <a:prstDash val="solid"/>
    </a:ln>
  </c:spPr>
  <c:txPr>
    <a:bodyPr/>
    <a:lstStyle/>
    <a:p>
      <a:pPr>
        <a:defRPr sz="1100" b="0" i="0" u="none" strike="noStrike" baseline="0">
          <a:solidFill>
            <a:srgbClr val="000000"/>
          </a:solidFill>
          <a:latin typeface="+mn-lt"/>
          <a:ea typeface="Arial"/>
          <a:cs typeface="Arial"/>
        </a:defRPr>
      </a:pPr>
      <a:endParaRPr lang="en-US"/>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3053698476369699E-2"/>
          <c:y val="7.4388605836035196E-2"/>
          <c:w val="0.74771042770597074"/>
          <c:h val="0.75497761309248113"/>
        </c:manualLayout>
      </c:layout>
      <c:lineChart>
        <c:grouping val="standard"/>
        <c:varyColors val="0"/>
        <c:ser>
          <c:idx val="0"/>
          <c:order val="0"/>
          <c:tx>
            <c:strRef>
              <c:f>Data!$B$8</c:f>
              <c:strCache>
                <c:ptCount val="1"/>
                <c:pt idx="0">
                  <c:v>Barnet</c:v>
                </c:pt>
              </c:strCache>
            </c:strRef>
          </c:tx>
          <c:marker>
            <c:symbol val="none"/>
          </c:marker>
          <c:cat>
            <c:strRef>
              <c:f>Data!$A$10:$A$14</c:f>
              <c:strCache>
                <c:ptCount val="5"/>
                <c:pt idx="0">
                  <c:v>February 2011</c:v>
                </c:pt>
                <c:pt idx="1">
                  <c:v>February 2012</c:v>
                </c:pt>
                <c:pt idx="2">
                  <c:v>February 2013</c:v>
                </c:pt>
                <c:pt idx="3">
                  <c:v>February 2014</c:v>
                </c:pt>
                <c:pt idx="4">
                  <c:v>February 2015</c:v>
                </c:pt>
              </c:strCache>
            </c:strRef>
          </c:cat>
          <c:val>
            <c:numRef>
              <c:f>Data!$C$10:$C$14</c:f>
              <c:numCache>
                <c:formatCode>0.0%</c:formatCode>
                <c:ptCount val="5"/>
                <c:pt idx="0">
                  <c:v>2.8713805057096246E-2</c:v>
                </c:pt>
                <c:pt idx="1">
                  <c:v>2.9954433923978944E-2</c:v>
                </c:pt>
                <c:pt idx="2">
                  <c:v>2.8424788617462442E-2</c:v>
                </c:pt>
                <c:pt idx="3">
                  <c:v>2.1970583971843878E-2</c:v>
                </c:pt>
                <c:pt idx="4">
                  <c:v>1.6527888682873828E-2</c:v>
                </c:pt>
              </c:numCache>
            </c:numRef>
          </c:val>
          <c:smooth val="0"/>
        </c:ser>
        <c:ser>
          <c:idx val="1"/>
          <c:order val="1"/>
          <c:tx>
            <c:strRef>
              <c:f>Data!$D$8</c:f>
              <c:strCache>
                <c:ptCount val="1"/>
                <c:pt idx="0">
                  <c:v>Outer London</c:v>
                </c:pt>
              </c:strCache>
            </c:strRef>
          </c:tx>
          <c:marker>
            <c:symbol val="none"/>
          </c:marker>
          <c:cat>
            <c:strRef>
              <c:f>Data!$A$10:$A$14</c:f>
              <c:strCache>
                <c:ptCount val="5"/>
                <c:pt idx="0">
                  <c:v>February 2011</c:v>
                </c:pt>
                <c:pt idx="1">
                  <c:v>February 2012</c:v>
                </c:pt>
                <c:pt idx="2">
                  <c:v>February 2013</c:v>
                </c:pt>
                <c:pt idx="3">
                  <c:v>February 2014</c:v>
                </c:pt>
                <c:pt idx="4">
                  <c:v>February 2015</c:v>
                </c:pt>
              </c:strCache>
            </c:strRef>
          </c:cat>
          <c:val>
            <c:numRef>
              <c:f>Data!$E$10:$E$14</c:f>
              <c:numCache>
                <c:formatCode>0.0%</c:formatCode>
                <c:ptCount val="5"/>
                <c:pt idx="0">
                  <c:v>3.5000000000000003E-2</c:v>
                </c:pt>
                <c:pt idx="1">
                  <c:v>3.7999999999999999E-2</c:v>
                </c:pt>
                <c:pt idx="2">
                  <c:v>3.5999999999999997E-2</c:v>
                </c:pt>
                <c:pt idx="3">
                  <c:v>2.7E-2</c:v>
                </c:pt>
                <c:pt idx="4">
                  <c:v>1.9E-2</c:v>
                </c:pt>
              </c:numCache>
            </c:numRef>
          </c:val>
          <c:smooth val="0"/>
        </c:ser>
        <c:ser>
          <c:idx val="2"/>
          <c:order val="2"/>
          <c:tx>
            <c:strRef>
              <c:f>Data!$F$8</c:f>
              <c:strCache>
                <c:ptCount val="1"/>
                <c:pt idx="0">
                  <c:v>United Kingdom</c:v>
                </c:pt>
              </c:strCache>
            </c:strRef>
          </c:tx>
          <c:marker>
            <c:symbol val="none"/>
          </c:marker>
          <c:cat>
            <c:strRef>
              <c:f>Data!$A$10:$A$14</c:f>
              <c:strCache>
                <c:ptCount val="5"/>
                <c:pt idx="0">
                  <c:v>February 2011</c:v>
                </c:pt>
                <c:pt idx="1">
                  <c:v>February 2012</c:v>
                </c:pt>
                <c:pt idx="2">
                  <c:v>February 2013</c:v>
                </c:pt>
                <c:pt idx="3">
                  <c:v>February 2014</c:v>
                </c:pt>
                <c:pt idx="4">
                  <c:v>February 2015</c:v>
                </c:pt>
              </c:strCache>
            </c:strRef>
          </c:cat>
          <c:val>
            <c:numRef>
              <c:f>Data!$G$10:$G$14</c:f>
              <c:numCache>
                <c:formatCode>0.0%</c:formatCode>
                <c:ptCount val="5"/>
                <c:pt idx="0">
                  <c:v>3.7999999999999999E-2</c:v>
                </c:pt>
                <c:pt idx="1">
                  <c:v>4.1000000000000002E-2</c:v>
                </c:pt>
                <c:pt idx="2">
                  <c:v>3.9E-2</c:v>
                </c:pt>
                <c:pt idx="3">
                  <c:v>0.03</c:v>
                </c:pt>
                <c:pt idx="4">
                  <c:v>2.1000000000000001E-2</c:v>
                </c:pt>
              </c:numCache>
            </c:numRef>
          </c:val>
          <c:smooth val="0"/>
        </c:ser>
        <c:dLbls>
          <c:showLegendKey val="0"/>
          <c:showVal val="0"/>
          <c:showCatName val="0"/>
          <c:showSerName val="0"/>
          <c:showPercent val="0"/>
          <c:showBubbleSize val="0"/>
        </c:dLbls>
        <c:marker val="1"/>
        <c:smooth val="0"/>
        <c:axId val="153385216"/>
        <c:axId val="153387008"/>
      </c:lineChart>
      <c:catAx>
        <c:axId val="153385216"/>
        <c:scaling>
          <c:orientation val="minMax"/>
        </c:scaling>
        <c:delete val="0"/>
        <c:axPos val="b"/>
        <c:numFmt formatCode="@" sourceLinked="1"/>
        <c:majorTickMark val="out"/>
        <c:minorTickMark val="none"/>
        <c:tickLblPos val="nextTo"/>
        <c:txPr>
          <a:bodyPr rot="0"/>
          <a:lstStyle/>
          <a:p>
            <a:pPr>
              <a:defRPr/>
            </a:pPr>
            <a:endParaRPr lang="en-US"/>
          </a:p>
        </c:txPr>
        <c:crossAx val="153387008"/>
        <c:crosses val="autoZero"/>
        <c:auto val="1"/>
        <c:lblAlgn val="ctr"/>
        <c:lblOffset val="100"/>
        <c:noMultiLvlLbl val="1"/>
      </c:catAx>
      <c:valAx>
        <c:axId val="153387008"/>
        <c:scaling>
          <c:orientation val="minMax"/>
          <c:max val="4.5000000000000012E-2"/>
          <c:min val="0"/>
        </c:scaling>
        <c:delete val="0"/>
        <c:axPos val="l"/>
        <c:numFmt formatCode="0%" sourceLinked="0"/>
        <c:majorTickMark val="out"/>
        <c:minorTickMark val="none"/>
        <c:tickLblPos val="nextTo"/>
        <c:crossAx val="153385216"/>
        <c:crosses val="autoZero"/>
        <c:crossBetween val="between"/>
        <c:majorUnit val="1.0000000000000002E-2"/>
      </c:valAx>
    </c:plotArea>
    <c:legend>
      <c:legendPos val="r"/>
      <c:overlay val="0"/>
    </c:legend>
    <c:plotVisOnly val="1"/>
    <c:dispBlanksAs val="gap"/>
    <c:showDLblsOverMax val="0"/>
  </c:chart>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numFmt formatCode="0%" sourceLinked="0"/>
            <c:dLblPos val="outEnd"/>
            <c:showLegendKey val="0"/>
            <c:showVal val="1"/>
            <c:showCatName val="0"/>
            <c:showSerName val="0"/>
            <c:showPercent val="0"/>
            <c:showBubbleSize val="0"/>
            <c:showLeaderLines val="0"/>
          </c:dLbls>
          <c:cat>
            <c:strRef>
              <c:f>Sheet1!$A$2:$A$22</c:f>
              <c:strCache>
                <c:ptCount val="21"/>
                <c:pt idx="0">
                  <c:v>Brunswick Park</c:v>
                </c:pt>
                <c:pt idx="1">
                  <c:v>Burnt Oak</c:v>
                </c:pt>
                <c:pt idx="2">
                  <c:v>Childs Hill</c:v>
                </c:pt>
                <c:pt idx="3">
                  <c:v>Colindale</c:v>
                </c:pt>
                <c:pt idx="4">
                  <c:v>Coppetts</c:v>
                </c:pt>
                <c:pt idx="5">
                  <c:v>East Barnet</c:v>
                </c:pt>
                <c:pt idx="6">
                  <c:v>East Finchley</c:v>
                </c:pt>
                <c:pt idx="7">
                  <c:v>Edgware</c:v>
                </c:pt>
                <c:pt idx="8">
                  <c:v>Finchley Church End</c:v>
                </c:pt>
                <c:pt idx="9">
                  <c:v>Garden Suburb</c:v>
                </c:pt>
                <c:pt idx="10">
                  <c:v>Golders Green</c:v>
                </c:pt>
                <c:pt idx="11">
                  <c:v>Hale</c:v>
                </c:pt>
                <c:pt idx="12">
                  <c:v>Hendon</c:v>
                </c:pt>
                <c:pt idx="13">
                  <c:v>High Barnet</c:v>
                </c:pt>
                <c:pt idx="14">
                  <c:v>Mill Hill</c:v>
                </c:pt>
                <c:pt idx="15">
                  <c:v>Oakleigh</c:v>
                </c:pt>
                <c:pt idx="16">
                  <c:v>Totteridge</c:v>
                </c:pt>
                <c:pt idx="17">
                  <c:v>Underhill</c:v>
                </c:pt>
                <c:pt idx="18">
                  <c:v>West Finchley</c:v>
                </c:pt>
                <c:pt idx="19">
                  <c:v>West Hendon</c:v>
                </c:pt>
                <c:pt idx="20">
                  <c:v>Woodhouse</c:v>
                </c:pt>
              </c:strCache>
            </c:strRef>
          </c:cat>
          <c:val>
            <c:numRef>
              <c:f>Sheet1!$B$2:$B$22</c:f>
              <c:numCache>
                <c:formatCode>0.00%</c:formatCode>
                <c:ptCount val="21"/>
                <c:pt idx="0">
                  <c:v>0.126</c:v>
                </c:pt>
                <c:pt idx="1">
                  <c:v>0.26100000000000001</c:v>
                </c:pt>
                <c:pt idx="2">
                  <c:v>0.13300000000000001</c:v>
                </c:pt>
                <c:pt idx="3">
                  <c:v>0.22</c:v>
                </c:pt>
                <c:pt idx="4">
                  <c:v>0.128</c:v>
                </c:pt>
                <c:pt idx="5">
                  <c:v>0.125</c:v>
                </c:pt>
                <c:pt idx="6">
                  <c:v>0.14499999999999999</c:v>
                </c:pt>
                <c:pt idx="7">
                  <c:v>0.11899999999999999</c:v>
                </c:pt>
                <c:pt idx="8">
                  <c:v>8.7999999999999995E-2</c:v>
                </c:pt>
                <c:pt idx="9">
                  <c:v>6.9000000000000006E-2</c:v>
                </c:pt>
                <c:pt idx="10">
                  <c:v>0.13500000000000001</c:v>
                </c:pt>
                <c:pt idx="11">
                  <c:v>0.13100000000000001</c:v>
                </c:pt>
                <c:pt idx="12">
                  <c:v>0.13</c:v>
                </c:pt>
                <c:pt idx="13">
                  <c:v>9.7000000000000003E-2</c:v>
                </c:pt>
                <c:pt idx="14">
                  <c:v>0.11600000000000001</c:v>
                </c:pt>
                <c:pt idx="15">
                  <c:v>0.106</c:v>
                </c:pt>
                <c:pt idx="16">
                  <c:v>9.2999999999999999E-2</c:v>
                </c:pt>
                <c:pt idx="17">
                  <c:v>0.18</c:v>
                </c:pt>
                <c:pt idx="18">
                  <c:v>0.10299999999999999</c:v>
                </c:pt>
                <c:pt idx="19">
                  <c:v>0.161</c:v>
                </c:pt>
                <c:pt idx="20">
                  <c:v>0.127</c:v>
                </c:pt>
              </c:numCache>
            </c:numRef>
          </c:val>
        </c:ser>
        <c:dLbls>
          <c:dLblPos val="outEnd"/>
          <c:showLegendKey val="0"/>
          <c:showVal val="1"/>
          <c:showCatName val="0"/>
          <c:showSerName val="0"/>
          <c:showPercent val="0"/>
          <c:showBubbleSize val="0"/>
        </c:dLbls>
        <c:gapWidth val="150"/>
        <c:axId val="153395968"/>
        <c:axId val="153397504"/>
      </c:barChart>
      <c:catAx>
        <c:axId val="153395968"/>
        <c:scaling>
          <c:orientation val="minMax"/>
        </c:scaling>
        <c:delete val="0"/>
        <c:axPos val="b"/>
        <c:majorTickMark val="out"/>
        <c:minorTickMark val="none"/>
        <c:tickLblPos val="nextTo"/>
        <c:crossAx val="153397504"/>
        <c:crosses val="autoZero"/>
        <c:auto val="1"/>
        <c:lblAlgn val="ctr"/>
        <c:lblOffset val="100"/>
        <c:noMultiLvlLbl val="0"/>
      </c:catAx>
      <c:valAx>
        <c:axId val="153397504"/>
        <c:scaling>
          <c:orientation val="minMax"/>
        </c:scaling>
        <c:delete val="0"/>
        <c:axPos val="l"/>
        <c:numFmt formatCode="0%" sourceLinked="0"/>
        <c:majorTickMark val="out"/>
        <c:minorTickMark val="none"/>
        <c:tickLblPos val="nextTo"/>
        <c:crossAx val="153395968"/>
        <c:crosses val="autoZero"/>
        <c:crossBetween val="between"/>
      </c:valAx>
    </c:plotArea>
    <c:plotVisOnly val="1"/>
    <c:dispBlanksAs val="gap"/>
    <c:showDLblsOverMax val="0"/>
  </c:chart>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291443171121637"/>
          <c:y val="3.7290068347322763E-2"/>
          <c:w val="0.83343745490430521"/>
          <c:h val="0.71017944480129713"/>
        </c:manualLayout>
      </c:layout>
      <c:lineChart>
        <c:grouping val="standard"/>
        <c:varyColors val="0"/>
        <c:ser>
          <c:idx val="0"/>
          <c:order val="0"/>
          <c:tx>
            <c:strRef>
              <c:f>Sheet1!$B$2</c:f>
              <c:strCache>
                <c:ptCount val="1"/>
                <c:pt idx="0">
                  <c:v>Barnet</c:v>
                </c:pt>
              </c:strCache>
            </c:strRef>
          </c:tx>
          <c:spPr>
            <a:ln>
              <a:solidFill>
                <a:schemeClr val="tx2"/>
              </a:solidFill>
            </a:ln>
          </c:spPr>
          <c:marker>
            <c:symbol val="circle"/>
            <c:size val="8"/>
            <c:spPr>
              <a:solidFill>
                <a:srgbClr val="FF0000"/>
              </a:solidFill>
              <a:ln>
                <a:solidFill>
                  <a:schemeClr val="tx2"/>
                </a:solidFill>
              </a:ln>
            </c:spPr>
          </c:marker>
          <c:cat>
            <c:strRef>
              <c:f>Sheet1!$A$3:$A$10</c:f>
              <c:strCache>
                <c:ptCount val="8"/>
                <c:pt idx="0">
                  <c:v>2004-06</c:v>
                </c:pt>
                <c:pt idx="1">
                  <c:v>2005-07</c:v>
                </c:pt>
                <c:pt idx="2">
                  <c:v>2006-08</c:v>
                </c:pt>
                <c:pt idx="3">
                  <c:v>2007-09</c:v>
                </c:pt>
                <c:pt idx="4">
                  <c:v>2008-10</c:v>
                </c:pt>
                <c:pt idx="5">
                  <c:v>2009-11</c:v>
                </c:pt>
                <c:pt idx="6">
                  <c:v>2010-12</c:v>
                </c:pt>
                <c:pt idx="7">
                  <c:v>2011-13</c:v>
                </c:pt>
              </c:strCache>
            </c:strRef>
          </c:cat>
          <c:val>
            <c:numRef>
              <c:f>Sheet1!$B$3:$B$10</c:f>
              <c:numCache>
                <c:formatCode>General</c:formatCode>
                <c:ptCount val="8"/>
                <c:pt idx="0">
                  <c:v>33.9</c:v>
                </c:pt>
                <c:pt idx="1">
                  <c:v>34.6</c:v>
                </c:pt>
                <c:pt idx="2">
                  <c:v>33.9</c:v>
                </c:pt>
                <c:pt idx="3">
                  <c:v>31.6</c:v>
                </c:pt>
                <c:pt idx="4">
                  <c:v>32.1</c:v>
                </c:pt>
                <c:pt idx="5">
                  <c:v>30.1</c:v>
                </c:pt>
                <c:pt idx="6">
                  <c:v>30.2</c:v>
                </c:pt>
                <c:pt idx="7">
                  <c:v>25.9</c:v>
                </c:pt>
              </c:numCache>
            </c:numRef>
          </c:val>
          <c:smooth val="0"/>
        </c:ser>
        <c:ser>
          <c:idx val="1"/>
          <c:order val="1"/>
          <c:tx>
            <c:strRef>
              <c:f>Sheet1!$C$2</c:f>
              <c:strCache>
                <c:ptCount val="1"/>
                <c:pt idx="0">
                  <c:v>England</c:v>
                </c:pt>
              </c:strCache>
            </c:strRef>
          </c:tx>
          <c:spPr>
            <a:ln>
              <a:solidFill>
                <a:sysClr val="windowText" lastClr="000000"/>
              </a:solidFill>
              <a:prstDash val="sysDash"/>
            </a:ln>
          </c:spPr>
          <c:marker>
            <c:symbol val="circle"/>
            <c:size val="8"/>
            <c:spPr>
              <a:solidFill>
                <a:schemeClr val="tx1"/>
              </a:solidFill>
              <a:ln>
                <a:solidFill>
                  <a:sysClr val="windowText" lastClr="000000"/>
                </a:solidFill>
                <a:prstDash val="sysDash"/>
              </a:ln>
            </c:spPr>
          </c:marker>
          <c:cat>
            <c:strRef>
              <c:f>Sheet1!$A$3:$A$10</c:f>
              <c:strCache>
                <c:ptCount val="8"/>
                <c:pt idx="0">
                  <c:v>2004-06</c:v>
                </c:pt>
                <c:pt idx="1">
                  <c:v>2005-07</c:v>
                </c:pt>
                <c:pt idx="2">
                  <c:v>2006-08</c:v>
                </c:pt>
                <c:pt idx="3">
                  <c:v>2007-09</c:v>
                </c:pt>
                <c:pt idx="4">
                  <c:v>2008-10</c:v>
                </c:pt>
                <c:pt idx="5">
                  <c:v>2009-11</c:v>
                </c:pt>
                <c:pt idx="6">
                  <c:v>2010-12</c:v>
                </c:pt>
                <c:pt idx="7">
                  <c:v>2011-13</c:v>
                </c:pt>
              </c:strCache>
            </c:strRef>
          </c:cat>
          <c:val>
            <c:numRef>
              <c:f>Sheet1!$C$3:$C$10</c:f>
              <c:numCache>
                <c:formatCode>General</c:formatCode>
                <c:ptCount val="8"/>
                <c:pt idx="0">
                  <c:v>14.7</c:v>
                </c:pt>
                <c:pt idx="1">
                  <c:v>15</c:v>
                </c:pt>
                <c:pt idx="2">
                  <c:v>15</c:v>
                </c:pt>
                <c:pt idx="3">
                  <c:v>15.1</c:v>
                </c:pt>
                <c:pt idx="4">
                  <c:v>15.1</c:v>
                </c:pt>
                <c:pt idx="5">
                  <c:v>15.2</c:v>
                </c:pt>
                <c:pt idx="6">
                  <c:v>15.1</c:v>
                </c:pt>
                <c:pt idx="7">
                  <c:v>14.8</c:v>
                </c:pt>
              </c:numCache>
            </c:numRef>
          </c:val>
          <c:smooth val="0"/>
        </c:ser>
        <c:dLbls>
          <c:showLegendKey val="0"/>
          <c:showVal val="0"/>
          <c:showCatName val="0"/>
          <c:showSerName val="0"/>
          <c:showPercent val="0"/>
          <c:showBubbleSize val="0"/>
        </c:dLbls>
        <c:marker val="1"/>
        <c:smooth val="0"/>
        <c:axId val="153594112"/>
        <c:axId val="153596288"/>
      </c:lineChart>
      <c:catAx>
        <c:axId val="153594112"/>
        <c:scaling>
          <c:orientation val="minMax"/>
        </c:scaling>
        <c:delete val="0"/>
        <c:axPos val="b"/>
        <c:majorTickMark val="out"/>
        <c:minorTickMark val="none"/>
        <c:tickLblPos val="nextTo"/>
        <c:txPr>
          <a:bodyPr rot="5400000" vert="horz" anchor="ctr" anchorCtr="0"/>
          <a:lstStyle/>
          <a:p>
            <a:pPr>
              <a:defRPr sz="1000"/>
            </a:pPr>
            <a:endParaRPr lang="en-US"/>
          </a:p>
        </c:txPr>
        <c:crossAx val="153596288"/>
        <c:crosses val="autoZero"/>
        <c:auto val="1"/>
        <c:lblAlgn val="ctr"/>
        <c:lblOffset val="100"/>
        <c:noMultiLvlLbl val="0"/>
      </c:catAx>
      <c:valAx>
        <c:axId val="153596288"/>
        <c:scaling>
          <c:orientation val="minMax"/>
        </c:scaling>
        <c:delete val="0"/>
        <c:axPos val="l"/>
        <c:majorGridlines/>
        <c:title>
          <c:tx>
            <c:rich>
              <a:bodyPr rot="-5400000" vert="horz"/>
              <a:lstStyle/>
              <a:p>
                <a:pPr>
                  <a:defRPr sz="1000" b="0"/>
                </a:pPr>
                <a:r>
                  <a:rPr lang="en-US" sz="1000" b="0"/>
                  <a:t>per 100,000</a:t>
                </a:r>
              </a:p>
            </c:rich>
          </c:tx>
          <c:layout>
            <c:manualLayout>
              <c:xMode val="edge"/>
              <c:yMode val="edge"/>
              <c:x val="4.3195215951067189E-3"/>
              <c:y val="0.27092909451277991"/>
            </c:manualLayout>
          </c:layout>
          <c:overlay val="0"/>
        </c:title>
        <c:numFmt formatCode="General" sourceLinked="1"/>
        <c:majorTickMark val="out"/>
        <c:minorTickMark val="none"/>
        <c:tickLblPos val="nextTo"/>
        <c:txPr>
          <a:bodyPr/>
          <a:lstStyle/>
          <a:p>
            <a:pPr>
              <a:defRPr sz="1000"/>
            </a:pPr>
            <a:endParaRPr lang="en-US"/>
          </a:p>
        </c:txPr>
        <c:crossAx val="153594112"/>
        <c:crosses val="autoZero"/>
        <c:crossBetween val="between"/>
      </c:valAx>
      <c:spPr>
        <a:ln>
          <a:prstDash val="sysDash"/>
        </a:ln>
      </c:spPr>
    </c:plotArea>
    <c:legend>
      <c:legendPos val="b"/>
      <c:layout>
        <c:manualLayout>
          <c:xMode val="edge"/>
          <c:yMode val="edge"/>
          <c:x val="0.38490829264289522"/>
          <c:y val="0.58991102478512192"/>
          <c:w val="0.57112221220162451"/>
          <c:h val="5.8119268342001547E-2"/>
        </c:manualLayout>
      </c:layout>
      <c:overlay val="0"/>
      <c:txPr>
        <a:bodyPr/>
        <a:lstStyle/>
        <a:p>
          <a:pPr>
            <a:defRPr sz="1000"/>
          </a:pPr>
          <a:endParaRPr lang="en-US"/>
        </a:p>
      </c:txPr>
    </c:legend>
    <c:plotVisOnly val="1"/>
    <c:dispBlanksAs val="gap"/>
    <c:showDLblsOverMax val="0"/>
  </c:chart>
  <c:txPr>
    <a:bodyPr/>
    <a:lstStyle/>
    <a:p>
      <a:pPr>
        <a:defRPr sz="800"/>
      </a:pPr>
      <a:endParaRPr lang="en-US"/>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72712966553699"/>
          <c:y val="0.22237626165631735"/>
          <c:w val="0.82365661198131823"/>
          <c:h val="0.58151323841825986"/>
        </c:manualLayout>
      </c:layout>
      <c:barChart>
        <c:barDir val="col"/>
        <c:grouping val="clustered"/>
        <c:varyColors val="0"/>
        <c:ser>
          <c:idx val="0"/>
          <c:order val="0"/>
          <c:tx>
            <c:strRef>
              <c:f>'Barnet Adults'!$A$5</c:f>
              <c:strCache>
                <c:ptCount val="1"/>
                <c:pt idx="0">
                  <c:v>Adult 18-25</c:v>
                </c:pt>
              </c:strCache>
            </c:strRef>
          </c:tx>
          <c:spPr>
            <a:solidFill>
              <a:schemeClr val="accent1"/>
            </a:solidFill>
            <a:ln>
              <a:noFill/>
            </a:ln>
            <a:effectLst/>
          </c:spPr>
          <c:invertIfNegative val="0"/>
          <c:cat>
            <c:strRef>
              <c:f>'Barnet Adults'!$B$4:$F$4</c:f>
              <c:strCache>
                <c:ptCount val="5"/>
                <c:pt idx="0">
                  <c:v>2009/10</c:v>
                </c:pt>
                <c:pt idx="1">
                  <c:v>2010/11</c:v>
                </c:pt>
                <c:pt idx="2">
                  <c:v>2011/12</c:v>
                </c:pt>
                <c:pt idx="3">
                  <c:v>2012/13</c:v>
                </c:pt>
                <c:pt idx="4">
                  <c:v>2013/14</c:v>
                </c:pt>
              </c:strCache>
            </c:strRef>
          </c:cat>
          <c:val>
            <c:numRef>
              <c:f>'Barnet Adults'!$B$5:$F$5</c:f>
              <c:numCache>
                <c:formatCode>General</c:formatCode>
                <c:ptCount val="5"/>
                <c:pt idx="0">
                  <c:v>157</c:v>
                </c:pt>
                <c:pt idx="1">
                  <c:v>178</c:v>
                </c:pt>
                <c:pt idx="2">
                  <c:v>186</c:v>
                </c:pt>
                <c:pt idx="3">
                  <c:v>114</c:v>
                </c:pt>
                <c:pt idx="4">
                  <c:v>136</c:v>
                </c:pt>
              </c:numCache>
            </c:numRef>
          </c:val>
          <c:extLst>
            <c:ext xmlns:c16="http://schemas.microsoft.com/office/drawing/2014/chart" uri="{C3380CC4-5D6E-409C-BE32-E72D297353CC}">
              <c16:uniqueId val="{00000000-FC03-4EEF-9D7A-6194536E66A5}"/>
            </c:ext>
          </c:extLst>
        </c:ser>
        <c:ser>
          <c:idx val="1"/>
          <c:order val="1"/>
          <c:tx>
            <c:strRef>
              <c:f>'Barnet Adults'!$A$6</c:f>
              <c:strCache>
                <c:ptCount val="1"/>
                <c:pt idx="0">
                  <c:v>Adult 26-45</c:v>
                </c:pt>
              </c:strCache>
            </c:strRef>
          </c:tx>
          <c:spPr>
            <a:solidFill>
              <a:schemeClr val="accent2"/>
            </a:solidFill>
            <a:ln>
              <a:noFill/>
            </a:ln>
            <a:effectLst/>
          </c:spPr>
          <c:invertIfNegative val="0"/>
          <c:cat>
            <c:strRef>
              <c:f>'Barnet Adults'!$B$4:$F$4</c:f>
              <c:strCache>
                <c:ptCount val="5"/>
                <c:pt idx="0">
                  <c:v>2009/10</c:v>
                </c:pt>
                <c:pt idx="1">
                  <c:v>2010/11</c:v>
                </c:pt>
                <c:pt idx="2">
                  <c:v>2011/12</c:v>
                </c:pt>
                <c:pt idx="3">
                  <c:v>2012/13</c:v>
                </c:pt>
                <c:pt idx="4">
                  <c:v>2013/14</c:v>
                </c:pt>
              </c:strCache>
            </c:strRef>
          </c:cat>
          <c:val>
            <c:numRef>
              <c:f>'Barnet Adults'!$B$6:$F$6</c:f>
              <c:numCache>
                <c:formatCode>General</c:formatCode>
                <c:ptCount val="5"/>
                <c:pt idx="0">
                  <c:v>335</c:v>
                </c:pt>
                <c:pt idx="1">
                  <c:v>310</c:v>
                </c:pt>
                <c:pt idx="2">
                  <c:v>313</c:v>
                </c:pt>
                <c:pt idx="3">
                  <c:v>202</c:v>
                </c:pt>
                <c:pt idx="4">
                  <c:v>274</c:v>
                </c:pt>
              </c:numCache>
            </c:numRef>
          </c:val>
          <c:extLst>
            <c:ext xmlns:c16="http://schemas.microsoft.com/office/drawing/2014/chart" uri="{C3380CC4-5D6E-409C-BE32-E72D297353CC}">
              <c16:uniqueId val="{00000001-FC03-4EEF-9D7A-6194536E66A5}"/>
            </c:ext>
          </c:extLst>
        </c:ser>
        <c:ser>
          <c:idx val="2"/>
          <c:order val="2"/>
          <c:tx>
            <c:strRef>
              <c:f>'Barnet Adults'!$A$7</c:f>
              <c:strCache>
                <c:ptCount val="1"/>
                <c:pt idx="0">
                  <c:v>Adult 46-65</c:v>
                </c:pt>
              </c:strCache>
            </c:strRef>
          </c:tx>
          <c:spPr>
            <a:solidFill>
              <a:schemeClr val="accent3"/>
            </a:solidFill>
            <a:ln>
              <a:noFill/>
            </a:ln>
            <a:effectLst/>
          </c:spPr>
          <c:invertIfNegative val="0"/>
          <c:cat>
            <c:strRef>
              <c:f>'Barnet Adults'!$B$4:$F$4</c:f>
              <c:strCache>
                <c:ptCount val="5"/>
                <c:pt idx="0">
                  <c:v>2009/10</c:v>
                </c:pt>
                <c:pt idx="1">
                  <c:v>2010/11</c:v>
                </c:pt>
                <c:pt idx="2">
                  <c:v>2011/12</c:v>
                </c:pt>
                <c:pt idx="3">
                  <c:v>2012/13</c:v>
                </c:pt>
                <c:pt idx="4">
                  <c:v>2013/14</c:v>
                </c:pt>
              </c:strCache>
            </c:strRef>
          </c:cat>
          <c:val>
            <c:numRef>
              <c:f>'Barnet Adults'!$B$7:$F$7</c:f>
              <c:numCache>
                <c:formatCode>General</c:formatCode>
                <c:ptCount val="5"/>
                <c:pt idx="0">
                  <c:v>150</c:v>
                </c:pt>
                <c:pt idx="1">
                  <c:v>104</c:v>
                </c:pt>
                <c:pt idx="2">
                  <c:v>133</c:v>
                </c:pt>
                <c:pt idx="3">
                  <c:v>107</c:v>
                </c:pt>
                <c:pt idx="4">
                  <c:v>128</c:v>
                </c:pt>
              </c:numCache>
            </c:numRef>
          </c:val>
          <c:extLst>
            <c:ext xmlns:c16="http://schemas.microsoft.com/office/drawing/2014/chart" uri="{C3380CC4-5D6E-409C-BE32-E72D297353CC}">
              <c16:uniqueId val="{00000002-FC03-4EEF-9D7A-6194536E66A5}"/>
            </c:ext>
          </c:extLst>
        </c:ser>
        <c:ser>
          <c:idx val="3"/>
          <c:order val="3"/>
          <c:tx>
            <c:strRef>
              <c:f>'Barnet Adults'!$A$8</c:f>
              <c:strCache>
                <c:ptCount val="1"/>
                <c:pt idx="0">
                  <c:v>Adult 65+</c:v>
                </c:pt>
              </c:strCache>
            </c:strRef>
          </c:tx>
          <c:spPr>
            <a:solidFill>
              <a:schemeClr val="accent4"/>
            </a:solidFill>
            <a:ln>
              <a:noFill/>
            </a:ln>
            <a:effectLst/>
          </c:spPr>
          <c:invertIfNegative val="0"/>
          <c:cat>
            <c:strRef>
              <c:f>'Barnet Adults'!$B$4:$F$4</c:f>
              <c:strCache>
                <c:ptCount val="5"/>
                <c:pt idx="0">
                  <c:v>2009/10</c:v>
                </c:pt>
                <c:pt idx="1">
                  <c:v>2010/11</c:v>
                </c:pt>
                <c:pt idx="2">
                  <c:v>2011/12</c:v>
                </c:pt>
                <c:pt idx="3">
                  <c:v>2012/13</c:v>
                </c:pt>
                <c:pt idx="4">
                  <c:v>2013/14</c:v>
                </c:pt>
              </c:strCache>
            </c:strRef>
          </c:cat>
          <c:val>
            <c:numRef>
              <c:f>'Barnet Adults'!$B$8:$F$8</c:f>
              <c:numCache>
                <c:formatCode>General</c:formatCode>
                <c:ptCount val="5"/>
                <c:pt idx="0">
                  <c:v>44</c:v>
                </c:pt>
                <c:pt idx="1">
                  <c:v>50</c:v>
                </c:pt>
                <c:pt idx="2">
                  <c:v>30</c:v>
                </c:pt>
                <c:pt idx="3">
                  <c:v>40</c:v>
                </c:pt>
                <c:pt idx="4">
                  <c:v>35</c:v>
                </c:pt>
              </c:numCache>
            </c:numRef>
          </c:val>
        </c:ser>
        <c:dLbls>
          <c:showLegendKey val="0"/>
          <c:showVal val="0"/>
          <c:showCatName val="0"/>
          <c:showSerName val="0"/>
          <c:showPercent val="0"/>
          <c:showBubbleSize val="0"/>
        </c:dLbls>
        <c:gapWidth val="150"/>
        <c:axId val="153613824"/>
        <c:axId val="153615360"/>
      </c:barChart>
      <c:catAx>
        <c:axId val="153613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3615360"/>
        <c:crosses val="autoZero"/>
        <c:auto val="1"/>
        <c:lblAlgn val="ctr"/>
        <c:lblOffset val="100"/>
        <c:noMultiLvlLbl val="0"/>
      </c:catAx>
      <c:valAx>
        <c:axId val="1536153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3613824"/>
        <c:crosses val="autoZero"/>
        <c:crossBetween val="between"/>
      </c:valAx>
      <c:spPr>
        <a:noFill/>
        <a:ln>
          <a:noFill/>
        </a:ln>
        <a:effectLst/>
      </c:spPr>
    </c:plotArea>
    <c:legend>
      <c:legendPos val="t"/>
      <c:layout>
        <c:manualLayout>
          <c:xMode val="edge"/>
          <c:yMode val="edge"/>
          <c:x val="1.5216563534483243E-2"/>
          <c:y val="5.0825921219822108E-2"/>
          <c:w val="0.94288668948501353"/>
          <c:h val="0.1630964193500202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accent1"/>
      </a:solidFill>
      <a:round/>
    </a:ln>
    <a:effectLst/>
  </c:spPr>
  <c:txPr>
    <a:bodyPr/>
    <a:lstStyle/>
    <a:p>
      <a:pPr>
        <a:defRPr/>
      </a:pPr>
      <a:endParaRPr lang="en-US"/>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72769746074848"/>
          <c:y val="0.21918778577074308"/>
          <c:w val="0.82364874477685601"/>
          <c:h val="0.58432358683823071"/>
        </c:manualLayout>
      </c:layout>
      <c:barChart>
        <c:barDir val="col"/>
        <c:grouping val="clustered"/>
        <c:varyColors val="0"/>
        <c:ser>
          <c:idx val="0"/>
          <c:order val="0"/>
          <c:tx>
            <c:strRef>
              <c:f>'Barnet Adults'!$A$18</c:f>
              <c:strCache>
                <c:ptCount val="1"/>
                <c:pt idx="0">
                  <c:v>Male</c:v>
                </c:pt>
              </c:strCache>
            </c:strRef>
          </c:tx>
          <c:spPr>
            <a:solidFill>
              <a:schemeClr val="accent1"/>
            </a:solidFill>
            <a:ln>
              <a:noFill/>
            </a:ln>
            <a:effectLst/>
          </c:spPr>
          <c:invertIfNegative val="0"/>
          <c:cat>
            <c:strRef>
              <c:f>'Barnet Adults'!$B$17:$F$17</c:f>
              <c:strCache>
                <c:ptCount val="5"/>
                <c:pt idx="0">
                  <c:v>2009/10</c:v>
                </c:pt>
                <c:pt idx="1">
                  <c:v>2010/11</c:v>
                </c:pt>
                <c:pt idx="2">
                  <c:v>2011/12</c:v>
                </c:pt>
                <c:pt idx="3">
                  <c:v>2012/13</c:v>
                </c:pt>
                <c:pt idx="4">
                  <c:v>2013/14</c:v>
                </c:pt>
              </c:strCache>
            </c:strRef>
          </c:cat>
          <c:val>
            <c:numRef>
              <c:f>'Barnet Adults'!$B$18:$F$18</c:f>
              <c:numCache>
                <c:formatCode>General</c:formatCode>
                <c:ptCount val="5"/>
                <c:pt idx="0">
                  <c:v>291</c:v>
                </c:pt>
                <c:pt idx="1">
                  <c:v>268</c:v>
                </c:pt>
                <c:pt idx="2">
                  <c:v>299</c:v>
                </c:pt>
                <c:pt idx="3">
                  <c:v>195</c:v>
                </c:pt>
                <c:pt idx="4">
                  <c:v>254</c:v>
                </c:pt>
              </c:numCache>
            </c:numRef>
          </c:val>
          <c:extLst>
            <c:ext xmlns:c16="http://schemas.microsoft.com/office/drawing/2014/chart" uri="{C3380CC4-5D6E-409C-BE32-E72D297353CC}">
              <c16:uniqueId val="{00000000-3B88-4747-8096-A818F7553258}"/>
            </c:ext>
          </c:extLst>
        </c:ser>
        <c:ser>
          <c:idx val="1"/>
          <c:order val="1"/>
          <c:tx>
            <c:strRef>
              <c:f>'Barnet Adults'!$A$19</c:f>
              <c:strCache>
                <c:ptCount val="1"/>
                <c:pt idx="0">
                  <c:v>Female</c:v>
                </c:pt>
              </c:strCache>
            </c:strRef>
          </c:tx>
          <c:spPr>
            <a:solidFill>
              <a:schemeClr val="accent2"/>
            </a:solidFill>
            <a:ln>
              <a:noFill/>
            </a:ln>
            <a:effectLst/>
          </c:spPr>
          <c:invertIfNegative val="0"/>
          <c:cat>
            <c:strRef>
              <c:f>'Barnet Adults'!$B$17:$F$17</c:f>
              <c:strCache>
                <c:ptCount val="5"/>
                <c:pt idx="0">
                  <c:v>2009/10</c:v>
                </c:pt>
                <c:pt idx="1">
                  <c:v>2010/11</c:v>
                </c:pt>
                <c:pt idx="2">
                  <c:v>2011/12</c:v>
                </c:pt>
                <c:pt idx="3">
                  <c:v>2012/13</c:v>
                </c:pt>
                <c:pt idx="4">
                  <c:v>2013/14</c:v>
                </c:pt>
              </c:strCache>
            </c:strRef>
          </c:cat>
          <c:val>
            <c:numRef>
              <c:f>'Barnet Adults'!$B$19:$F$19</c:f>
              <c:numCache>
                <c:formatCode>General</c:formatCode>
                <c:ptCount val="5"/>
                <c:pt idx="0">
                  <c:v>395</c:v>
                </c:pt>
                <c:pt idx="1">
                  <c:v>374</c:v>
                </c:pt>
                <c:pt idx="2">
                  <c:v>363</c:v>
                </c:pt>
                <c:pt idx="3">
                  <c:v>268</c:v>
                </c:pt>
                <c:pt idx="4">
                  <c:v>319</c:v>
                </c:pt>
              </c:numCache>
            </c:numRef>
          </c:val>
          <c:extLst>
            <c:ext xmlns:c16="http://schemas.microsoft.com/office/drawing/2014/chart" uri="{C3380CC4-5D6E-409C-BE32-E72D297353CC}">
              <c16:uniqueId val="{00000001-3B88-4747-8096-A818F7553258}"/>
            </c:ext>
          </c:extLst>
        </c:ser>
        <c:dLbls>
          <c:showLegendKey val="0"/>
          <c:showVal val="0"/>
          <c:showCatName val="0"/>
          <c:showSerName val="0"/>
          <c:showPercent val="0"/>
          <c:showBubbleSize val="0"/>
        </c:dLbls>
        <c:gapWidth val="150"/>
        <c:axId val="153629056"/>
        <c:axId val="153630592"/>
      </c:barChart>
      <c:catAx>
        <c:axId val="153629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3630592"/>
        <c:crosses val="autoZero"/>
        <c:auto val="1"/>
        <c:lblAlgn val="ctr"/>
        <c:lblOffset val="100"/>
        <c:noMultiLvlLbl val="0"/>
      </c:catAx>
      <c:valAx>
        <c:axId val="1536305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362905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accent1"/>
      </a:solidFill>
      <a:round/>
    </a:ln>
    <a:effectLst/>
  </c:spPr>
  <c:txPr>
    <a:bodyPr/>
    <a:lstStyle/>
    <a:p>
      <a:pPr>
        <a:defRPr/>
      </a:pPr>
      <a:endParaRPr lang="en-US"/>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pivotSource>
    <c:name>[JSNA_Reeport_PM.xlsx]Emergency!PivotTable2</c:name>
    <c:fmtId val="-1"/>
  </c:pivotSource>
  <c:chart>
    <c:autoTitleDeleted val="0"/>
    <c:pivotFmts>
      <c:pivotFmt>
        <c:idx val="0"/>
        <c:spPr>
          <a:solidFill>
            <a:schemeClr val="accent1"/>
          </a:solidFill>
          <a:ln w="28575" cap="rnd">
            <a:solidFill>
              <a:schemeClr val="accent1"/>
            </a:solidFill>
            <a:round/>
          </a:ln>
          <a:effectLst/>
        </c:spPr>
        <c:marker>
          <c:symbol val="none"/>
        </c:marker>
      </c:pivotFmt>
      <c:pivotFmt>
        <c:idx val="1"/>
        <c:spPr>
          <a:solidFill>
            <a:schemeClr val="accent1"/>
          </a:solidFill>
          <a:ln w="28575" cap="rnd">
            <a:solidFill>
              <a:schemeClr val="accent1"/>
            </a:solidFill>
            <a:round/>
          </a:ln>
          <a:effectLst/>
        </c:spPr>
        <c:marker>
          <c:symbol val="none"/>
        </c:marker>
      </c:pivotFmt>
      <c:pivotFmt>
        <c:idx val="2"/>
        <c:spPr>
          <a:solidFill>
            <a:schemeClr val="accent1"/>
          </a:solidFill>
          <a:ln w="28575" cap="rnd">
            <a:solidFill>
              <a:schemeClr val="accent1"/>
            </a:solidFill>
            <a:round/>
          </a:ln>
          <a:effectLst/>
        </c:spPr>
        <c:marker>
          <c:symbol val="none"/>
        </c:marker>
      </c:pivotFmt>
      <c:pivotFmt>
        <c:idx val="3"/>
        <c:spPr>
          <a:solidFill>
            <a:schemeClr val="accent1"/>
          </a:solidFill>
          <a:ln w="28575" cap="rnd">
            <a:solidFill>
              <a:schemeClr val="accent1"/>
            </a:solidFill>
            <a:round/>
          </a:ln>
          <a:effectLst/>
        </c:spPr>
        <c:marker>
          <c:symbol val="none"/>
        </c:marker>
      </c:pivotFmt>
      <c:pivotFmt>
        <c:idx val="4"/>
        <c:spPr>
          <a:solidFill>
            <a:schemeClr val="accent1"/>
          </a:solidFill>
          <a:ln w="28575" cap="rnd">
            <a:solidFill>
              <a:schemeClr val="accent1"/>
            </a:solidFill>
            <a:round/>
          </a:ln>
          <a:effectLst/>
        </c:spPr>
        <c:marker>
          <c:symbol val="none"/>
        </c:marker>
      </c:pivotFmt>
      <c:pivotFmt>
        <c:idx val="5"/>
        <c:spPr>
          <a:solidFill>
            <a:schemeClr val="accent1"/>
          </a:solidFill>
          <a:ln w="28575" cap="rnd">
            <a:solidFill>
              <a:schemeClr val="accent1"/>
            </a:solidFill>
            <a:round/>
          </a:ln>
          <a:effectLst/>
        </c:spPr>
        <c:marker>
          <c:symbol val="none"/>
        </c:marker>
      </c:pivotFmt>
      <c:pivotFmt>
        <c:idx val="6"/>
        <c:spPr>
          <a:solidFill>
            <a:schemeClr val="accent1"/>
          </a:solidFill>
          <a:ln w="28575" cap="rnd">
            <a:solidFill>
              <a:schemeClr val="accent1"/>
            </a:solidFill>
            <a:round/>
          </a:ln>
          <a:effectLst/>
        </c:spPr>
        <c:marker>
          <c:symbol val="none"/>
        </c:marker>
      </c:pivotFmt>
      <c:pivotFmt>
        <c:idx val="7"/>
        <c:spPr>
          <a:solidFill>
            <a:schemeClr val="accent1"/>
          </a:solidFill>
          <a:ln w="28575" cap="rnd">
            <a:solidFill>
              <a:schemeClr val="accent1"/>
            </a:solidFill>
            <a:round/>
          </a:ln>
          <a:effectLst/>
        </c:spPr>
        <c:marker>
          <c:symbol val="none"/>
        </c:marker>
      </c:pivotFmt>
      <c:pivotFmt>
        <c:idx val="8"/>
        <c:spPr>
          <a:solidFill>
            <a:schemeClr val="accent1"/>
          </a:solidFill>
          <a:ln w="28575" cap="rnd">
            <a:solidFill>
              <a:schemeClr val="accent1"/>
            </a:solidFill>
            <a:round/>
          </a:ln>
          <a:effectLst/>
        </c:spPr>
        <c:marker>
          <c:symbol val="none"/>
        </c:marker>
      </c:pivotFmt>
      <c:pivotFmt>
        <c:idx val="9"/>
        <c:spPr>
          <a:solidFill>
            <a:schemeClr val="accent1"/>
          </a:solidFill>
          <a:ln w="28575" cap="rnd">
            <a:solidFill>
              <a:schemeClr val="accent1"/>
            </a:solidFill>
            <a:round/>
          </a:ln>
          <a:effectLst/>
        </c:spPr>
        <c:marker>
          <c:symbol val="none"/>
        </c:marker>
      </c:pivotFmt>
      <c:pivotFmt>
        <c:idx val="10"/>
        <c:spPr>
          <a:solidFill>
            <a:schemeClr val="accent1"/>
          </a:solidFill>
          <a:ln w="28575" cap="rnd">
            <a:solidFill>
              <a:schemeClr val="accent1"/>
            </a:solidFill>
            <a:round/>
          </a:ln>
          <a:effectLst/>
        </c:spPr>
        <c:marker>
          <c:symbol val="none"/>
        </c:marker>
      </c:pivotFmt>
      <c:pivotFmt>
        <c:idx val="11"/>
        <c:spPr>
          <a:solidFill>
            <a:schemeClr val="accent1"/>
          </a:solidFill>
          <a:ln w="28575" cap="rnd">
            <a:solidFill>
              <a:schemeClr val="accent1"/>
            </a:solidFill>
            <a:round/>
          </a:ln>
          <a:effectLst/>
        </c:spPr>
        <c:marker>
          <c:symbol val="none"/>
        </c:marker>
      </c:pivotFmt>
      <c:pivotFmt>
        <c:idx val="12"/>
        <c:spPr>
          <a:solidFill>
            <a:schemeClr val="accent1"/>
          </a:solidFill>
          <a:ln w="28575" cap="rnd">
            <a:solidFill>
              <a:schemeClr val="accent1"/>
            </a:solidFill>
            <a:round/>
          </a:ln>
          <a:effectLst/>
        </c:spPr>
        <c:marker>
          <c:symbol val="none"/>
        </c:marker>
      </c:pivotFmt>
      <c:pivotFmt>
        <c:idx val="13"/>
        <c:spPr>
          <a:solidFill>
            <a:schemeClr val="accent1"/>
          </a:solidFill>
          <a:ln w="28575" cap="rnd">
            <a:solidFill>
              <a:schemeClr val="accent1"/>
            </a:solidFill>
            <a:round/>
          </a:ln>
          <a:effectLst/>
        </c:spPr>
        <c:marker>
          <c:symbol val="none"/>
        </c:marker>
      </c:pivotFmt>
      <c:pivotFmt>
        <c:idx val="14"/>
        <c:spPr>
          <a:solidFill>
            <a:schemeClr val="accent1"/>
          </a:solidFill>
          <a:ln w="28575" cap="rnd">
            <a:solidFill>
              <a:schemeClr val="accent1"/>
            </a:solidFill>
            <a:round/>
          </a:ln>
          <a:effectLst/>
        </c:spPr>
        <c:marker>
          <c:symbol val="none"/>
        </c:marker>
      </c:pivotFmt>
      <c:pivotFmt>
        <c:idx val="15"/>
        <c:spPr>
          <a:solidFill>
            <a:schemeClr val="accent1"/>
          </a:solidFill>
          <a:ln w="28575" cap="rnd">
            <a:solidFill>
              <a:schemeClr val="accent1"/>
            </a:solidFill>
            <a:round/>
          </a:ln>
          <a:effectLst/>
        </c:spPr>
        <c:marker>
          <c:symbol val="none"/>
        </c:marker>
      </c:pivotFmt>
      <c:pivotFmt>
        <c:idx val="16"/>
        <c:spPr>
          <a:solidFill>
            <a:schemeClr val="accent1"/>
          </a:solidFill>
          <a:ln w="28575" cap="rnd">
            <a:solidFill>
              <a:schemeClr val="accent1"/>
            </a:solidFill>
            <a:round/>
          </a:ln>
          <a:effectLst/>
        </c:spPr>
        <c:marker>
          <c:symbol val="none"/>
        </c:marker>
      </c:pivotFmt>
      <c:pivotFmt>
        <c:idx val="17"/>
        <c:spPr>
          <a:solidFill>
            <a:schemeClr val="accent1"/>
          </a:solidFill>
          <a:ln w="28575" cap="rnd">
            <a:solidFill>
              <a:schemeClr val="accent1"/>
            </a:solidFill>
            <a:round/>
          </a:ln>
          <a:effectLst/>
        </c:spPr>
        <c:marker>
          <c:symbol val="none"/>
        </c:marker>
      </c:pivotFmt>
    </c:pivotFmts>
    <c:plotArea>
      <c:layout/>
      <c:lineChart>
        <c:grouping val="standard"/>
        <c:varyColors val="0"/>
        <c:ser>
          <c:idx val="0"/>
          <c:order val="0"/>
          <c:tx>
            <c:strRef>
              <c:f>Emergency!$C$10:$C$11</c:f>
              <c:strCache>
                <c:ptCount val="1"/>
                <c:pt idx="0">
                  <c:v>Barnet and Chase Farm Hospitals NHS Trust</c:v>
                </c:pt>
              </c:strCache>
            </c:strRef>
          </c:tx>
          <c:spPr>
            <a:ln w="28575" cap="rnd">
              <a:solidFill>
                <a:schemeClr val="accent1"/>
              </a:solidFill>
              <a:round/>
            </a:ln>
            <a:effectLst/>
          </c:spPr>
          <c:marker>
            <c:symbol val="none"/>
          </c:marker>
          <c:cat>
            <c:multiLvlStrRef>
              <c:f>Emergency!$A$12:$B$53</c:f>
              <c:multiLvlStrCache>
                <c:ptCount val="37"/>
                <c:lvl>
                  <c:pt idx="0">
                    <c:v>01/04/2012</c:v>
                  </c:pt>
                  <c:pt idx="1">
                    <c:v>01/05/2012</c:v>
                  </c:pt>
                  <c:pt idx="2">
                    <c:v>01/06/2012</c:v>
                  </c:pt>
                  <c:pt idx="3">
                    <c:v>01/07/2012</c:v>
                  </c:pt>
                  <c:pt idx="4">
                    <c:v>01/08/2012</c:v>
                  </c:pt>
                  <c:pt idx="5">
                    <c:v>01/09/2012</c:v>
                  </c:pt>
                  <c:pt idx="6">
                    <c:v>01/10/2012</c:v>
                  </c:pt>
                  <c:pt idx="7">
                    <c:v>01/11/2012</c:v>
                  </c:pt>
                  <c:pt idx="8">
                    <c:v>01/12/2012</c:v>
                  </c:pt>
                  <c:pt idx="9">
                    <c:v>01/01/2013</c:v>
                  </c:pt>
                  <c:pt idx="10">
                    <c:v>01/02/2013</c:v>
                  </c:pt>
                  <c:pt idx="11">
                    <c:v>01/03/2013</c:v>
                  </c:pt>
                  <c:pt idx="12">
                    <c:v>01/04/2013</c:v>
                  </c:pt>
                  <c:pt idx="13">
                    <c:v>01/05/2013</c:v>
                  </c:pt>
                  <c:pt idx="14">
                    <c:v>01/06/2013</c:v>
                  </c:pt>
                  <c:pt idx="15">
                    <c:v>01/07/2013</c:v>
                  </c:pt>
                  <c:pt idx="16">
                    <c:v>01/08/2013</c:v>
                  </c:pt>
                  <c:pt idx="17">
                    <c:v>01/09/2013</c:v>
                  </c:pt>
                  <c:pt idx="18">
                    <c:v>01/10/2013</c:v>
                  </c:pt>
                  <c:pt idx="19">
                    <c:v>01/11/2013</c:v>
                  </c:pt>
                  <c:pt idx="20">
                    <c:v>01/12/2013</c:v>
                  </c:pt>
                  <c:pt idx="21">
                    <c:v>01/01/2014</c:v>
                  </c:pt>
                  <c:pt idx="22">
                    <c:v>01/02/2014</c:v>
                  </c:pt>
                  <c:pt idx="23">
                    <c:v>01/03/2014</c:v>
                  </c:pt>
                  <c:pt idx="24">
                    <c:v>01/04/2014</c:v>
                  </c:pt>
                  <c:pt idx="25">
                    <c:v>01/05/2014</c:v>
                  </c:pt>
                  <c:pt idx="26">
                    <c:v>01/06/2014</c:v>
                  </c:pt>
                  <c:pt idx="27">
                    <c:v>01/07/2014</c:v>
                  </c:pt>
                  <c:pt idx="28">
                    <c:v>01/08/2014</c:v>
                  </c:pt>
                  <c:pt idx="29">
                    <c:v>01/09/2014</c:v>
                  </c:pt>
                  <c:pt idx="30">
                    <c:v>01/10/2014</c:v>
                  </c:pt>
                  <c:pt idx="31">
                    <c:v>01/11/2014</c:v>
                  </c:pt>
                  <c:pt idx="32">
                    <c:v>01/12/2014</c:v>
                  </c:pt>
                  <c:pt idx="33">
                    <c:v>01/01/2015</c:v>
                  </c:pt>
                  <c:pt idx="34">
                    <c:v>01/02/2015</c:v>
                  </c:pt>
                  <c:pt idx="35">
                    <c:v>01/03/2015</c:v>
                  </c:pt>
                  <c:pt idx="36">
                    <c:v>01/04/2015</c:v>
                  </c:pt>
                </c:lvl>
                <c:lvl>
                  <c:pt idx="0">
                    <c:v>2012/13</c:v>
                  </c:pt>
                  <c:pt idx="12">
                    <c:v>2013/14</c:v>
                  </c:pt>
                  <c:pt idx="24">
                    <c:v>2014/15</c:v>
                  </c:pt>
                  <c:pt idx="36">
                    <c:v>2015/16</c:v>
                  </c:pt>
                </c:lvl>
              </c:multiLvlStrCache>
            </c:multiLvlStrRef>
          </c:cat>
          <c:val>
            <c:numRef>
              <c:f>Emergency!$C$12:$C$53</c:f>
              <c:numCache>
                <c:formatCode>General</c:formatCode>
                <c:ptCount val="37"/>
                <c:pt idx="0">
                  <c:v>1291</c:v>
                </c:pt>
                <c:pt idx="1">
                  <c:v>1541</c:v>
                </c:pt>
                <c:pt idx="2">
                  <c:v>1367</c:v>
                </c:pt>
                <c:pt idx="3">
                  <c:v>1485</c:v>
                </c:pt>
                <c:pt idx="4">
                  <c:v>1451</c:v>
                </c:pt>
                <c:pt idx="5">
                  <c:v>1354</c:v>
                </c:pt>
                <c:pt idx="6">
                  <c:v>1458</c:v>
                </c:pt>
                <c:pt idx="7">
                  <c:v>1309</c:v>
                </c:pt>
                <c:pt idx="8">
                  <c:v>1388</c:v>
                </c:pt>
                <c:pt idx="9">
                  <c:v>1352</c:v>
                </c:pt>
                <c:pt idx="10">
                  <c:v>1209</c:v>
                </c:pt>
                <c:pt idx="11">
                  <c:v>1411</c:v>
                </c:pt>
                <c:pt idx="12">
                  <c:v>1302</c:v>
                </c:pt>
                <c:pt idx="13">
                  <c:v>1137</c:v>
                </c:pt>
                <c:pt idx="14">
                  <c:v>922</c:v>
                </c:pt>
                <c:pt idx="15">
                  <c:v>1129</c:v>
                </c:pt>
                <c:pt idx="16">
                  <c:v>954</c:v>
                </c:pt>
                <c:pt idx="17">
                  <c:v>923</c:v>
                </c:pt>
                <c:pt idx="18">
                  <c:v>1011</c:v>
                </c:pt>
                <c:pt idx="19">
                  <c:v>1300</c:v>
                </c:pt>
                <c:pt idx="20">
                  <c:v>1420</c:v>
                </c:pt>
                <c:pt idx="21">
                  <c:v>1343</c:v>
                </c:pt>
                <c:pt idx="22">
                  <c:v>1148</c:v>
                </c:pt>
                <c:pt idx="23">
                  <c:v>1371</c:v>
                </c:pt>
                <c:pt idx="24">
                  <c:v>1327</c:v>
                </c:pt>
                <c:pt idx="25">
                  <c:v>1285</c:v>
                </c:pt>
                <c:pt idx="26">
                  <c:v>1315</c:v>
                </c:pt>
                <c:pt idx="27">
                  <c:v>1345</c:v>
                </c:pt>
                <c:pt idx="28">
                  <c:v>1238</c:v>
                </c:pt>
                <c:pt idx="29">
                  <c:v>1291</c:v>
                </c:pt>
                <c:pt idx="30">
                  <c:v>1291</c:v>
                </c:pt>
                <c:pt idx="31">
                  <c:v>1397</c:v>
                </c:pt>
                <c:pt idx="32">
                  <c:v>1352</c:v>
                </c:pt>
                <c:pt idx="33">
                  <c:v>1294</c:v>
                </c:pt>
                <c:pt idx="34">
                  <c:v>1178</c:v>
                </c:pt>
                <c:pt idx="35">
                  <c:v>1387</c:v>
                </c:pt>
                <c:pt idx="36">
                  <c:v>1223</c:v>
                </c:pt>
              </c:numCache>
            </c:numRef>
          </c:val>
          <c:smooth val="0"/>
        </c:ser>
        <c:ser>
          <c:idx val="1"/>
          <c:order val="1"/>
          <c:tx>
            <c:strRef>
              <c:f>Emergency!$D$10:$D$11</c:f>
              <c:strCache>
                <c:ptCount val="1"/>
                <c:pt idx="0">
                  <c:v>Royal Free London NHS Foundation Trust</c:v>
                </c:pt>
              </c:strCache>
            </c:strRef>
          </c:tx>
          <c:spPr>
            <a:ln w="28575" cap="rnd">
              <a:solidFill>
                <a:schemeClr val="accent2"/>
              </a:solidFill>
              <a:round/>
            </a:ln>
            <a:effectLst/>
          </c:spPr>
          <c:marker>
            <c:symbol val="none"/>
          </c:marker>
          <c:cat>
            <c:multiLvlStrRef>
              <c:f>Emergency!$A$12:$B$53</c:f>
              <c:multiLvlStrCache>
                <c:ptCount val="37"/>
                <c:lvl>
                  <c:pt idx="0">
                    <c:v>01/04/2012</c:v>
                  </c:pt>
                  <c:pt idx="1">
                    <c:v>01/05/2012</c:v>
                  </c:pt>
                  <c:pt idx="2">
                    <c:v>01/06/2012</c:v>
                  </c:pt>
                  <c:pt idx="3">
                    <c:v>01/07/2012</c:v>
                  </c:pt>
                  <c:pt idx="4">
                    <c:v>01/08/2012</c:v>
                  </c:pt>
                  <c:pt idx="5">
                    <c:v>01/09/2012</c:v>
                  </c:pt>
                  <c:pt idx="6">
                    <c:v>01/10/2012</c:v>
                  </c:pt>
                  <c:pt idx="7">
                    <c:v>01/11/2012</c:v>
                  </c:pt>
                  <c:pt idx="8">
                    <c:v>01/12/2012</c:v>
                  </c:pt>
                  <c:pt idx="9">
                    <c:v>01/01/2013</c:v>
                  </c:pt>
                  <c:pt idx="10">
                    <c:v>01/02/2013</c:v>
                  </c:pt>
                  <c:pt idx="11">
                    <c:v>01/03/2013</c:v>
                  </c:pt>
                  <c:pt idx="12">
                    <c:v>01/04/2013</c:v>
                  </c:pt>
                  <c:pt idx="13">
                    <c:v>01/05/2013</c:v>
                  </c:pt>
                  <c:pt idx="14">
                    <c:v>01/06/2013</c:v>
                  </c:pt>
                  <c:pt idx="15">
                    <c:v>01/07/2013</c:v>
                  </c:pt>
                  <c:pt idx="16">
                    <c:v>01/08/2013</c:v>
                  </c:pt>
                  <c:pt idx="17">
                    <c:v>01/09/2013</c:v>
                  </c:pt>
                  <c:pt idx="18">
                    <c:v>01/10/2013</c:v>
                  </c:pt>
                  <c:pt idx="19">
                    <c:v>01/11/2013</c:v>
                  </c:pt>
                  <c:pt idx="20">
                    <c:v>01/12/2013</c:v>
                  </c:pt>
                  <c:pt idx="21">
                    <c:v>01/01/2014</c:v>
                  </c:pt>
                  <c:pt idx="22">
                    <c:v>01/02/2014</c:v>
                  </c:pt>
                  <c:pt idx="23">
                    <c:v>01/03/2014</c:v>
                  </c:pt>
                  <c:pt idx="24">
                    <c:v>01/04/2014</c:v>
                  </c:pt>
                  <c:pt idx="25">
                    <c:v>01/05/2014</c:v>
                  </c:pt>
                  <c:pt idx="26">
                    <c:v>01/06/2014</c:v>
                  </c:pt>
                  <c:pt idx="27">
                    <c:v>01/07/2014</c:v>
                  </c:pt>
                  <c:pt idx="28">
                    <c:v>01/08/2014</c:v>
                  </c:pt>
                  <c:pt idx="29">
                    <c:v>01/09/2014</c:v>
                  </c:pt>
                  <c:pt idx="30">
                    <c:v>01/10/2014</c:v>
                  </c:pt>
                  <c:pt idx="31">
                    <c:v>01/11/2014</c:v>
                  </c:pt>
                  <c:pt idx="32">
                    <c:v>01/12/2014</c:v>
                  </c:pt>
                  <c:pt idx="33">
                    <c:v>01/01/2015</c:v>
                  </c:pt>
                  <c:pt idx="34">
                    <c:v>01/02/2015</c:v>
                  </c:pt>
                  <c:pt idx="35">
                    <c:v>01/03/2015</c:v>
                  </c:pt>
                  <c:pt idx="36">
                    <c:v>01/04/2015</c:v>
                  </c:pt>
                </c:lvl>
                <c:lvl>
                  <c:pt idx="0">
                    <c:v>2012/13</c:v>
                  </c:pt>
                  <c:pt idx="12">
                    <c:v>2013/14</c:v>
                  </c:pt>
                  <c:pt idx="24">
                    <c:v>2014/15</c:v>
                  </c:pt>
                  <c:pt idx="36">
                    <c:v>2015/16</c:v>
                  </c:pt>
                </c:lvl>
              </c:multiLvlStrCache>
            </c:multiLvlStrRef>
          </c:cat>
          <c:val>
            <c:numRef>
              <c:f>Emergency!$D$12:$D$53</c:f>
              <c:numCache>
                <c:formatCode>General</c:formatCode>
                <c:ptCount val="37"/>
                <c:pt idx="0">
                  <c:v>453</c:v>
                </c:pt>
                <c:pt idx="1">
                  <c:v>536</c:v>
                </c:pt>
                <c:pt idx="2">
                  <c:v>503</c:v>
                </c:pt>
                <c:pt idx="3">
                  <c:v>486</c:v>
                </c:pt>
                <c:pt idx="4">
                  <c:v>526</c:v>
                </c:pt>
                <c:pt idx="5">
                  <c:v>487</c:v>
                </c:pt>
                <c:pt idx="6">
                  <c:v>586</c:v>
                </c:pt>
                <c:pt idx="7">
                  <c:v>550</c:v>
                </c:pt>
                <c:pt idx="8">
                  <c:v>525</c:v>
                </c:pt>
                <c:pt idx="9">
                  <c:v>580</c:v>
                </c:pt>
                <c:pt idx="10">
                  <c:v>452</c:v>
                </c:pt>
                <c:pt idx="11">
                  <c:v>540</c:v>
                </c:pt>
                <c:pt idx="12">
                  <c:v>510</c:v>
                </c:pt>
                <c:pt idx="13">
                  <c:v>514</c:v>
                </c:pt>
                <c:pt idx="14">
                  <c:v>450</c:v>
                </c:pt>
                <c:pt idx="15">
                  <c:v>527</c:v>
                </c:pt>
                <c:pt idx="16">
                  <c:v>464</c:v>
                </c:pt>
                <c:pt idx="17">
                  <c:v>455</c:v>
                </c:pt>
                <c:pt idx="18">
                  <c:v>478</c:v>
                </c:pt>
                <c:pt idx="19">
                  <c:v>470</c:v>
                </c:pt>
                <c:pt idx="20">
                  <c:v>497</c:v>
                </c:pt>
                <c:pt idx="21">
                  <c:v>459</c:v>
                </c:pt>
                <c:pt idx="22">
                  <c:v>467</c:v>
                </c:pt>
                <c:pt idx="23">
                  <c:v>477</c:v>
                </c:pt>
                <c:pt idx="24">
                  <c:v>472</c:v>
                </c:pt>
                <c:pt idx="25">
                  <c:v>500</c:v>
                </c:pt>
                <c:pt idx="26">
                  <c:v>443</c:v>
                </c:pt>
                <c:pt idx="27">
                  <c:v>474</c:v>
                </c:pt>
                <c:pt idx="28">
                  <c:v>444</c:v>
                </c:pt>
                <c:pt idx="29">
                  <c:v>525</c:v>
                </c:pt>
                <c:pt idx="30">
                  <c:v>535</c:v>
                </c:pt>
                <c:pt idx="31">
                  <c:v>505</c:v>
                </c:pt>
                <c:pt idx="32">
                  <c:v>571</c:v>
                </c:pt>
                <c:pt idx="33">
                  <c:v>517</c:v>
                </c:pt>
                <c:pt idx="34">
                  <c:v>483</c:v>
                </c:pt>
                <c:pt idx="35">
                  <c:v>513</c:v>
                </c:pt>
                <c:pt idx="36">
                  <c:v>511</c:v>
                </c:pt>
              </c:numCache>
            </c:numRef>
          </c:val>
          <c:smooth val="0"/>
        </c:ser>
        <c:ser>
          <c:idx val="2"/>
          <c:order val="2"/>
          <c:tx>
            <c:strRef>
              <c:f>Emergency!$E$10:$E$11</c:f>
              <c:strCache>
                <c:ptCount val="1"/>
                <c:pt idx="0">
                  <c:v>North West London Hospitals NHS Trust</c:v>
                </c:pt>
              </c:strCache>
            </c:strRef>
          </c:tx>
          <c:spPr>
            <a:ln w="28575" cap="rnd">
              <a:solidFill>
                <a:schemeClr val="accent3"/>
              </a:solidFill>
              <a:round/>
            </a:ln>
            <a:effectLst/>
          </c:spPr>
          <c:marker>
            <c:symbol val="none"/>
          </c:marker>
          <c:cat>
            <c:multiLvlStrRef>
              <c:f>Emergency!$A$12:$B$53</c:f>
              <c:multiLvlStrCache>
                <c:ptCount val="37"/>
                <c:lvl>
                  <c:pt idx="0">
                    <c:v>01/04/2012</c:v>
                  </c:pt>
                  <c:pt idx="1">
                    <c:v>01/05/2012</c:v>
                  </c:pt>
                  <c:pt idx="2">
                    <c:v>01/06/2012</c:v>
                  </c:pt>
                  <c:pt idx="3">
                    <c:v>01/07/2012</c:v>
                  </c:pt>
                  <c:pt idx="4">
                    <c:v>01/08/2012</c:v>
                  </c:pt>
                  <c:pt idx="5">
                    <c:v>01/09/2012</c:v>
                  </c:pt>
                  <c:pt idx="6">
                    <c:v>01/10/2012</c:v>
                  </c:pt>
                  <c:pt idx="7">
                    <c:v>01/11/2012</c:v>
                  </c:pt>
                  <c:pt idx="8">
                    <c:v>01/12/2012</c:v>
                  </c:pt>
                  <c:pt idx="9">
                    <c:v>01/01/2013</c:v>
                  </c:pt>
                  <c:pt idx="10">
                    <c:v>01/02/2013</c:v>
                  </c:pt>
                  <c:pt idx="11">
                    <c:v>01/03/2013</c:v>
                  </c:pt>
                  <c:pt idx="12">
                    <c:v>01/04/2013</c:v>
                  </c:pt>
                  <c:pt idx="13">
                    <c:v>01/05/2013</c:v>
                  </c:pt>
                  <c:pt idx="14">
                    <c:v>01/06/2013</c:v>
                  </c:pt>
                  <c:pt idx="15">
                    <c:v>01/07/2013</c:v>
                  </c:pt>
                  <c:pt idx="16">
                    <c:v>01/08/2013</c:v>
                  </c:pt>
                  <c:pt idx="17">
                    <c:v>01/09/2013</c:v>
                  </c:pt>
                  <c:pt idx="18">
                    <c:v>01/10/2013</c:v>
                  </c:pt>
                  <c:pt idx="19">
                    <c:v>01/11/2013</c:v>
                  </c:pt>
                  <c:pt idx="20">
                    <c:v>01/12/2013</c:v>
                  </c:pt>
                  <c:pt idx="21">
                    <c:v>01/01/2014</c:v>
                  </c:pt>
                  <c:pt idx="22">
                    <c:v>01/02/2014</c:v>
                  </c:pt>
                  <c:pt idx="23">
                    <c:v>01/03/2014</c:v>
                  </c:pt>
                  <c:pt idx="24">
                    <c:v>01/04/2014</c:v>
                  </c:pt>
                  <c:pt idx="25">
                    <c:v>01/05/2014</c:v>
                  </c:pt>
                  <c:pt idx="26">
                    <c:v>01/06/2014</c:v>
                  </c:pt>
                  <c:pt idx="27">
                    <c:v>01/07/2014</c:v>
                  </c:pt>
                  <c:pt idx="28">
                    <c:v>01/08/2014</c:v>
                  </c:pt>
                  <c:pt idx="29">
                    <c:v>01/09/2014</c:v>
                  </c:pt>
                  <c:pt idx="30">
                    <c:v>01/10/2014</c:v>
                  </c:pt>
                  <c:pt idx="31">
                    <c:v>01/11/2014</c:v>
                  </c:pt>
                  <c:pt idx="32">
                    <c:v>01/12/2014</c:v>
                  </c:pt>
                  <c:pt idx="33">
                    <c:v>01/01/2015</c:v>
                  </c:pt>
                  <c:pt idx="34">
                    <c:v>01/02/2015</c:v>
                  </c:pt>
                  <c:pt idx="35">
                    <c:v>01/03/2015</c:v>
                  </c:pt>
                  <c:pt idx="36">
                    <c:v>01/04/2015</c:v>
                  </c:pt>
                </c:lvl>
                <c:lvl>
                  <c:pt idx="0">
                    <c:v>2012/13</c:v>
                  </c:pt>
                  <c:pt idx="12">
                    <c:v>2013/14</c:v>
                  </c:pt>
                  <c:pt idx="24">
                    <c:v>2014/15</c:v>
                  </c:pt>
                  <c:pt idx="36">
                    <c:v>2015/16</c:v>
                  </c:pt>
                </c:lvl>
              </c:multiLvlStrCache>
            </c:multiLvlStrRef>
          </c:cat>
          <c:val>
            <c:numRef>
              <c:f>Emergency!$E$12:$E$53</c:f>
              <c:numCache>
                <c:formatCode>General</c:formatCode>
                <c:ptCount val="37"/>
                <c:pt idx="0">
                  <c:v>38</c:v>
                </c:pt>
                <c:pt idx="1">
                  <c:v>38</c:v>
                </c:pt>
                <c:pt idx="2">
                  <c:v>131</c:v>
                </c:pt>
                <c:pt idx="3">
                  <c:v>130</c:v>
                </c:pt>
                <c:pt idx="4">
                  <c:v>144</c:v>
                </c:pt>
                <c:pt idx="5">
                  <c:v>38</c:v>
                </c:pt>
                <c:pt idx="6">
                  <c:v>51</c:v>
                </c:pt>
                <c:pt idx="7">
                  <c:v>136</c:v>
                </c:pt>
                <c:pt idx="8">
                  <c:v>162</c:v>
                </c:pt>
                <c:pt idx="9">
                  <c:v>155</c:v>
                </c:pt>
                <c:pt idx="10">
                  <c:v>147</c:v>
                </c:pt>
                <c:pt idx="11">
                  <c:v>160</c:v>
                </c:pt>
                <c:pt idx="12">
                  <c:v>128</c:v>
                </c:pt>
                <c:pt idx="13">
                  <c:v>155</c:v>
                </c:pt>
                <c:pt idx="14">
                  <c:v>137</c:v>
                </c:pt>
                <c:pt idx="15">
                  <c:v>158</c:v>
                </c:pt>
                <c:pt idx="16">
                  <c:v>170</c:v>
                </c:pt>
                <c:pt idx="17">
                  <c:v>146</c:v>
                </c:pt>
                <c:pt idx="18">
                  <c:v>152</c:v>
                </c:pt>
                <c:pt idx="19">
                  <c:v>151</c:v>
                </c:pt>
                <c:pt idx="20">
                  <c:v>146</c:v>
                </c:pt>
                <c:pt idx="21">
                  <c:v>164</c:v>
                </c:pt>
                <c:pt idx="22">
                  <c:v>156</c:v>
                </c:pt>
                <c:pt idx="23">
                  <c:v>164</c:v>
                </c:pt>
                <c:pt idx="24">
                  <c:v>140</c:v>
                </c:pt>
                <c:pt idx="25">
                  <c:v>144</c:v>
                </c:pt>
                <c:pt idx="26">
                  <c:v>115</c:v>
                </c:pt>
                <c:pt idx="27">
                  <c:v>142</c:v>
                </c:pt>
                <c:pt idx="28">
                  <c:v>138</c:v>
                </c:pt>
                <c:pt idx="29">
                  <c:v>124</c:v>
                </c:pt>
                <c:pt idx="30">
                  <c:v>114</c:v>
                </c:pt>
                <c:pt idx="31">
                  <c:v>101</c:v>
                </c:pt>
                <c:pt idx="32">
                  <c:v>105</c:v>
                </c:pt>
                <c:pt idx="33">
                  <c:v>92</c:v>
                </c:pt>
                <c:pt idx="34">
                  <c:v>120</c:v>
                </c:pt>
                <c:pt idx="35">
                  <c:v>121</c:v>
                </c:pt>
              </c:numCache>
            </c:numRef>
          </c:val>
          <c:smooth val="0"/>
        </c:ser>
        <c:ser>
          <c:idx val="3"/>
          <c:order val="3"/>
          <c:tx>
            <c:strRef>
              <c:f>Emergency!$F$10:$F$11</c:f>
              <c:strCache>
                <c:ptCount val="1"/>
                <c:pt idx="0">
                  <c:v>Other</c:v>
                </c:pt>
              </c:strCache>
            </c:strRef>
          </c:tx>
          <c:spPr>
            <a:ln w="28575" cap="rnd">
              <a:solidFill>
                <a:schemeClr val="accent4"/>
              </a:solidFill>
              <a:round/>
            </a:ln>
            <a:effectLst/>
          </c:spPr>
          <c:marker>
            <c:symbol val="none"/>
          </c:marker>
          <c:cat>
            <c:multiLvlStrRef>
              <c:f>Emergency!$A$12:$B$53</c:f>
              <c:multiLvlStrCache>
                <c:ptCount val="37"/>
                <c:lvl>
                  <c:pt idx="0">
                    <c:v>01/04/2012</c:v>
                  </c:pt>
                  <c:pt idx="1">
                    <c:v>01/05/2012</c:v>
                  </c:pt>
                  <c:pt idx="2">
                    <c:v>01/06/2012</c:v>
                  </c:pt>
                  <c:pt idx="3">
                    <c:v>01/07/2012</c:v>
                  </c:pt>
                  <c:pt idx="4">
                    <c:v>01/08/2012</c:v>
                  </c:pt>
                  <c:pt idx="5">
                    <c:v>01/09/2012</c:v>
                  </c:pt>
                  <c:pt idx="6">
                    <c:v>01/10/2012</c:v>
                  </c:pt>
                  <c:pt idx="7">
                    <c:v>01/11/2012</c:v>
                  </c:pt>
                  <c:pt idx="8">
                    <c:v>01/12/2012</c:v>
                  </c:pt>
                  <c:pt idx="9">
                    <c:v>01/01/2013</c:v>
                  </c:pt>
                  <c:pt idx="10">
                    <c:v>01/02/2013</c:v>
                  </c:pt>
                  <c:pt idx="11">
                    <c:v>01/03/2013</c:v>
                  </c:pt>
                  <c:pt idx="12">
                    <c:v>01/04/2013</c:v>
                  </c:pt>
                  <c:pt idx="13">
                    <c:v>01/05/2013</c:v>
                  </c:pt>
                  <c:pt idx="14">
                    <c:v>01/06/2013</c:v>
                  </c:pt>
                  <c:pt idx="15">
                    <c:v>01/07/2013</c:v>
                  </c:pt>
                  <c:pt idx="16">
                    <c:v>01/08/2013</c:v>
                  </c:pt>
                  <c:pt idx="17">
                    <c:v>01/09/2013</c:v>
                  </c:pt>
                  <c:pt idx="18">
                    <c:v>01/10/2013</c:v>
                  </c:pt>
                  <c:pt idx="19">
                    <c:v>01/11/2013</c:v>
                  </c:pt>
                  <c:pt idx="20">
                    <c:v>01/12/2013</c:v>
                  </c:pt>
                  <c:pt idx="21">
                    <c:v>01/01/2014</c:v>
                  </c:pt>
                  <c:pt idx="22">
                    <c:v>01/02/2014</c:v>
                  </c:pt>
                  <c:pt idx="23">
                    <c:v>01/03/2014</c:v>
                  </c:pt>
                  <c:pt idx="24">
                    <c:v>01/04/2014</c:v>
                  </c:pt>
                  <c:pt idx="25">
                    <c:v>01/05/2014</c:v>
                  </c:pt>
                  <c:pt idx="26">
                    <c:v>01/06/2014</c:v>
                  </c:pt>
                  <c:pt idx="27">
                    <c:v>01/07/2014</c:v>
                  </c:pt>
                  <c:pt idx="28">
                    <c:v>01/08/2014</c:v>
                  </c:pt>
                  <c:pt idx="29">
                    <c:v>01/09/2014</c:v>
                  </c:pt>
                  <c:pt idx="30">
                    <c:v>01/10/2014</c:v>
                  </c:pt>
                  <c:pt idx="31">
                    <c:v>01/11/2014</c:v>
                  </c:pt>
                  <c:pt idx="32">
                    <c:v>01/12/2014</c:v>
                  </c:pt>
                  <c:pt idx="33">
                    <c:v>01/01/2015</c:v>
                  </c:pt>
                  <c:pt idx="34">
                    <c:v>01/02/2015</c:v>
                  </c:pt>
                  <c:pt idx="35">
                    <c:v>01/03/2015</c:v>
                  </c:pt>
                  <c:pt idx="36">
                    <c:v>01/04/2015</c:v>
                  </c:pt>
                </c:lvl>
                <c:lvl>
                  <c:pt idx="0">
                    <c:v>2012/13</c:v>
                  </c:pt>
                  <c:pt idx="12">
                    <c:v>2013/14</c:v>
                  </c:pt>
                  <c:pt idx="24">
                    <c:v>2014/15</c:v>
                  </c:pt>
                  <c:pt idx="36">
                    <c:v>2015/16</c:v>
                  </c:pt>
                </c:lvl>
              </c:multiLvlStrCache>
            </c:multiLvlStrRef>
          </c:cat>
          <c:val>
            <c:numRef>
              <c:f>Emergency!$F$12:$F$53</c:f>
              <c:numCache>
                <c:formatCode>General</c:formatCode>
                <c:ptCount val="37"/>
                <c:pt idx="0">
                  <c:v>134</c:v>
                </c:pt>
                <c:pt idx="1">
                  <c:v>176</c:v>
                </c:pt>
                <c:pt idx="2">
                  <c:v>132</c:v>
                </c:pt>
                <c:pt idx="3">
                  <c:v>169</c:v>
                </c:pt>
                <c:pt idx="4">
                  <c:v>191</c:v>
                </c:pt>
                <c:pt idx="5">
                  <c:v>173</c:v>
                </c:pt>
                <c:pt idx="6">
                  <c:v>144</c:v>
                </c:pt>
                <c:pt idx="7">
                  <c:v>153</c:v>
                </c:pt>
                <c:pt idx="8">
                  <c:v>189</c:v>
                </c:pt>
                <c:pt idx="9">
                  <c:v>162</c:v>
                </c:pt>
                <c:pt idx="10">
                  <c:v>142</c:v>
                </c:pt>
                <c:pt idx="11">
                  <c:v>152</c:v>
                </c:pt>
                <c:pt idx="12">
                  <c:v>139</c:v>
                </c:pt>
                <c:pt idx="13">
                  <c:v>161</c:v>
                </c:pt>
                <c:pt idx="14">
                  <c:v>173</c:v>
                </c:pt>
                <c:pt idx="15">
                  <c:v>157</c:v>
                </c:pt>
                <c:pt idx="16">
                  <c:v>162</c:v>
                </c:pt>
                <c:pt idx="17">
                  <c:v>157</c:v>
                </c:pt>
                <c:pt idx="18">
                  <c:v>171</c:v>
                </c:pt>
                <c:pt idx="19">
                  <c:v>167</c:v>
                </c:pt>
                <c:pt idx="20">
                  <c:v>152</c:v>
                </c:pt>
                <c:pt idx="21">
                  <c:v>135</c:v>
                </c:pt>
                <c:pt idx="22">
                  <c:v>151</c:v>
                </c:pt>
                <c:pt idx="23">
                  <c:v>158</c:v>
                </c:pt>
                <c:pt idx="24">
                  <c:v>179</c:v>
                </c:pt>
                <c:pt idx="25">
                  <c:v>175</c:v>
                </c:pt>
                <c:pt idx="26">
                  <c:v>171</c:v>
                </c:pt>
                <c:pt idx="27">
                  <c:v>160</c:v>
                </c:pt>
                <c:pt idx="28">
                  <c:v>160</c:v>
                </c:pt>
                <c:pt idx="29">
                  <c:v>175</c:v>
                </c:pt>
                <c:pt idx="30">
                  <c:v>172</c:v>
                </c:pt>
                <c:pt idx="31">
                  <c:v>163</c:v>
                </c:pt>
                <c:pt idx="32">
                  <c:v>143</c:v>
                </c:pt>
                <c:pt idx="33">
                  <c:v>160</c:v>
                </c:pt>
                <c:pt idx="34">
                  <c:v>154</c:v>
                </c:pt>
                <c:pt idx="35">
                  <c:v>147</c:v>
                </c:pt>
                <c:pt idx="36">
                  <c:v>282</c:v>
                </c:pt>
              </c:numCache>
            </c:numRef>
          </c:val>
          <c:smooth val="0"/>
        </c:ser>
        <c:ser>
          <c:idx val="4"/>
          <c:order val="4"/>
          <c:tx>
            <c:strRef>
              <c:f>Emergency!$G$10:$G$11</c:f>
              <c:strCache>
                <c:ptCount val="1"/>
                <c:pt idx="0">
                  <c:v>The Whittington Hospital NHS Trust</c:v>
                </c:pt>
              </c:strCache>
            </c:strRef>
          </c:tx>
          <c:spPr>
            <a:ln w="28575" cap="rnd">
              <a:solidFill>
                <a:schemeClr val="accent5"/>
              </a:solidFill>
              <a:round/>
            </a:ln>
            <a:effectLst/>
          </c:spPr>
          <c:marker>
            <c:symbol val="none"/>
          </c:marker>
          <c:cat>
            <c:multiLvlStrRef>
              <c:f>Emergency!$A$12:$B$53</c:f>
              <c:multiLvlStrCache>
                <c:ptCount val="37"/>
                <c:lvl>
                  <c:pt idx="0">
                    <c:v>01/04/2012</c:v>
                  </c:pt>
                  <c:pt idx="1">
                    <c:v>01/05/2012</c:v>
                  </c:pt>
                  <c:pt idx="2">
                    <c:v>01/06/2012</c:v>
                  </c:pt>
                  <c:pt idx="3">
                    <c:v>01/07/2012</c:v>
                  </c:pt>
                  <c:pt idx="4">
                    <c:v>01/08/2012</c:v>
                  </c:pt>
                  <c:pt idx="5">
                    <c:v>01/09/2012</c:v>
                  </c:pt>
                  <c:pt idx="6">
                    <c:v>01/10/2012</c:v>
                  </c:pt>
                  <c:pt idx="7">
                    <c:v>01/11/2012</c:v>
                  </c:pt>
                  <c:pt idx="8">
                    <c:v>01/12/2012</c:v>
                  </c:pt>
                  <c:pt idx="9">
                    <c:v>01/01/2013</c:v>
                  </c:pt>
                  <c:pt idx="10">
                    <c:v>01/02/2013</c:v>
                  </c:pt>
                  <c:pt idx="11">
                    <c:v>01/03/2013</c:v>
                  </c:pt>
                  <c:pt idx="12">
                    <c:v>01/04/2013</c:v>
                  </c:pt>
                  <c:pt idx="13">
                    <c:v>01/05/2013</c:v>
                  </c:pt>
                  <c:pt idx="14">
                    <c:v>01/06/2013</c:v>
                  </c:pt>
                  <c:pt idx="15">
                    <c:v>01/07/2013</c:v>
                  </c:pt>
                  <c:pt idx="16">
                    <c:v>01/08/2013</c:v>
                  </c:pt>
                  <c:pt idx="17">
                    <c:v>01/09/2013</c:v>
                  </c:pt>
                  <c:pt idx="18">
                    <c:v>01/10/2013</c:v>
                  </c:pt>
                  <c:pt idx="19">
                    <c:v>01/11/2013</c:v>
                  </c:pt>
                  <c:pt idx="20">
                    <c:v>01/12/2013</c:v>
                  </c:pt>
                  <c:pt idx="21">
                    <c:v>01/01/2014</c:v>
                  </c:pt>
                  <c:pt idx="22">
                    <c:v>01/02/2014</c:v>
                  </c:pt>
                  <c:pt idx="23">
                    <c:v>01/03/2014</c:v>
                  </c:pt>
                  <c:pt idx="24">
                    <c:v>01/04/2014</c:v>
                  </c:pt>
                  <c:pt idx="25">
                    <c:v>01/05/2014</c:v>
                  </c:pt>
                  <c:pt idx="26">
                    <c:v>01/06/2014</c:v>
                  </c:pt>
                  <c:pt idx="27">
                    <c:v>01/07/2014</c:v>
                  </c:pt>
                  <c:pt idx="28">
                    <c:v>01/08/2014</c:v>
                  </c:pt>
                  <c:pt idx="29">
                    <c:v>01/09/2014</c:v>
                  </c:pt>
                  <c:pt idx="30">
                    <c:v>01/10/2014</c:v>
                  </c:pt>
                  <c:pt idx="31">
                    <c:v>01/11/2014</c:v>
                  </c:pt>
                  <c:pt idx="32">
                    <c:v>01/12/2014</c:v>
                  </c:pt>
                  <c:pt idx="33">
                    <c:v>01/01/2015</c:v>
                  </c:pt>
                  <c:pt idx="34">
                    <c:v>01/02/2015</c:v>
                  </c:pt>
                  <c:pt idx="35">
                    <c:v>01/03/2015</c:v>
                  </c:pt>
                  <c:pt idx="36">
                    <c:v>01/04/2015</c:v>
                  </c:pt>
                </c:lvl>
                <c:lvl>
                  <c:pt idx="0">
                    <c:v>2012/13</c:v>
                  </c:pt>
                  <c:pt idx="12">
                    <c:v>2013/14</c:v>
                  </c:pt>
                  <c:pt idx="24">
                    <c:v>2014/15</c:v>
                  </c:pt>
                  <c:pt idx="36">
                    <c:v>2015/16</c:v>
                  </c:pt>
                </c:lvl>
              </c:multiLvlStrCache>
            </c:multiLvlStrRef>
          </c:cat>
          <c:val>
            <c:numRef>
              <c:f>Emergency!$G$12:$G$53</c:f>
              <c:numCache>
                <c:formatCode>General</c:formatCode>
                <c:ptCount val="37"/>
                <c:pt idx="0">
                  <c:v>87</c:v>
                </c:pt>
                <c:pt idx="1">
                  <c:v>79</c:v>
                </c:pt>
                <c:pt idx="2">
                  <c:v>94</c:v>
                </c:pt>
                <c:pt idx="3">
                  <c:v>83</c:v>
                </c:pt>
                <c:pt idx="4">
                  <c:v>90</c:v>
                </c:pt>
                <c:pt idx="5">
                  <c:v>91</c:v>
                </c:pt>
                <c:pt idx="6">
                  <c:v>108</c:v>
                </c:pt>
                <c:pt idx="7">
                  <c:v>84</c:v>
                </c:pt>
                <c:pt idx="8">
                  <c:v>107</c:v>
                </c:pt>
                <c:pt idx="9">
                  <c:v>118</c:v>
                </c:pt>
                <c:pt idx="10">
                  <c:v>90</c:v>
                </c:pt>
                <c:pt idx="11">
                  <c:v>119</c:v>
                </c:pt>
                <c:pt idx="12">
                  <c:v>105</c:v>
                </c:pt>
                <c:pt idx="13">
                  <c:v>116</c:v>
                </c:pt>
                <c:pt idx="14">
                  <c:v>117</c:v>
                </c:pt>
                <c:pt idx="15">
                  <c:v>86</c:v>
                </c:pt>
                <c:pt idx="16">
                  <c:v>85</c:v>
                </c:pt>
                <c:pt idx="17">
                  <c:v>78</c:v>
                </c:pt>
                <c:pt idx="18">
                  <c:v>91</c:v>
                </c:pt>
                <c:pt idx="19">
                  <c:v>100</c:v>
                </c:pt>
                <c:pt idx="20">
                  <c:v>101</c:v>
                </c:pt>
                <c:pt idx="21">
                  <c:v>89</c:v>
                </c:pt>
                <c:pt idx="22">
                  <c:v>83</c:v>
                </c:pt>
                <c:pt idx="23">
                  <c:v>111</c:v>
                </c:pt>
                <c:pt idx="24">
                  <c:v>100</c:v>
                </c:pt>
                <c:pt idx="25">
                  <c:v>98</c:v>
                </c:pt>
                <c:pt idx="26">
                  <c:v>103</c:v>
                </c:pt>
                <c:pt idx="27">
                  <c:v>95</c:v>
                </c:pt>
                <c:pt idx="28">
                  <c:v>92</c:v>
                </c:pt>
                <c:pt idx="29">
                  <c:v>91</c:v>
                </c:pt>
                <c:pt idx="30">
                  <c:v>100</c:v>
                </c:pt>
                <c:pt idx="31">
                  <c:v>94</c:v>
                </c:pt>
                <c:pt idx="32">
                  <c:v>101</c:v>
                </c:pt>
                <c:pt idx="33">
                  <c:v>95</c:v>
                </c:pt>
                <c:pt idx="34">
                  <c:v>89</c:v>
                </c:pt>
                <c:pt idx="35">
                  <c:v>111</c:v>
                </c:pt>
                <c:pt idx="36">
                  <c:v>93</c:v>
                </c:pt>
              </c:numCache>
            </c:numRef>
          </c:val>
          <c:smooth val="0"/>
        </c:ser>
        <c:ser>
          <c:idx val="5"/>
          <c:order val="5"/>
          <c:tx>
            <c:strRef>
              <c:f>Emergency!$H$10:$H$11</c:f>
              <c:strCache>
                <c:ptCount val="1"/>
                <c:pt idx="0">
                  <c:v>University College London Hospitals NHS Foundation Trust</c:v>
                </c:pt>
              </c:strCache>
            </c:strRef>
          </c:tx>
          <c:spPr>
            <a:ln w="28575" cap="rnd">
              <a:solidFill>
                <a:schemeClr val="accent6"/>
              </a:solidFill>
              <a:round/>
            </a:ln>
            <a:effectLst/>
          </c:spPr>
          <c:marker>
            <c:symbol val="none"/>
          </c:marker>
          <c:cat>
            <c:multiLvlStrRef>
              <c:f>Emergency!$A$12:$B$53</c:f>
              <c:multiLvlStrCache>
                <c:ptCount val="37"/>
                <c:lvl>
                  <c:pt idx="0">
                    <c:v>01/04/2012</c:v>
                  </c:pt>
                  <c:pt idx="1">
                    <c:v>01/05/2012</c:v>
                  </c:pt>
                  <c:pt idx="2">
                    <c:v>01/06/2012</c:v>
                  </c:pt>
                  <c:pt idx="3">
                    <c:v>01/07/2012</c:v>
                  </c:pt>
                  <c:pt idx="4">
                    <c:v>01/08/2012</c:v>
                  </c:pt>
                  <c:pt idx="5">
                    <c:v>01/09/2012</c:v>
                  </c:pt>
                  <c:pt idx="6">
                    <c:v>01/10/2012</c:v>
                  </c:pt>
                  <c:pt idx="7">
                    <c:v>01/11/2012</c:v>
                  </c:pt>
                  <c:pt idx="8">
                    <c:v>01/12/2012</c:v>
                  </c:pt>
                  <c:pt idx="9">
                    <c:v>01/01/2013</c:v>
                  </c:pt>
                  <c:pt idx="10">
                    <c:v>01/02/2013</c:v>
                  </c:pt>
                  <c:pt idx="11">
                    <c:v>01/03/2013</c:v>
                  </c:pt>
                  <c:pt idx="12">
                    <c:v>01/04/2013</c:v>
                  </c:pt>
                  <c:pt idx="13">
                    <c:v>01/05/2013</c:v>
                  </c:pt>
                  <c:pt idx="14">
                    <c:v>01/06/2013</c:v>
                  </c:pt>
                  <c:pt idx="15">
                    <c:v>01/07/2013</c:v>
                  </c:pt>
                  <c:pt idx="16">
                    <c:v>01/08/2013</c:v>
                  </c:pt>
                  <c:pt idx="17">
                    <c:v>01/09/2013</c:v>
                  </c:pt>
                  <c:pt idx="18">
                    <c:v>01/10/2013</c:v>
                  </c:pt>
                  <c:pt idx="19">
                    <c:v>01/11/2013</c:v>
                  </c:pt>
                  <c:pt idx="20">
                    <c:v>01/12/2013</c:v>
                  </c:pt>
                  <c:pt idx="21">
                    <c:v>01/01/2014</c:v>
                  </c:pt>
                  <c:pt idx="22">
                    <c:v>01/02/2014</c:v>
                  </c:pt>
                  <c:pt idx="23">
                    <c:v>01/03/2014</c:v>
                  </c:pt>
                  <c:pt idx="24">
                    <c:v>01/04/2014</c:v>
                  </c:pt>
                  <c:pt idx="25">
                    <c:v>01/05/2014</c:v>
                  </c:pt>
                  <c:pt idx="26">
                    <c:v>01/06/2014</c:v>
                  </c:pt>
                  <c:pt idx="27">
                    <c:v>01/07/2014</c:v>
                  </c:pt>
                  <c:pt idx="28">
                    <c:v>01/08/2014</c:v>
                  </c:pt>
                  <c:pt idx="29">
                    <c:v>01/09/2014</c:v>
                  </c:pt>
                  <c:pt idx="30">
                    <c:v>01/10/2014</c:v>
                  </c:pt>
                  <c:pt idx="31">
                    <c:v>01/11/2014</c:v>
                  </c:pt>
                  <c:pt idx="32">
                    <c:v>01/12/2014</c:v>
                  </c:pt>
                  <c:pt idx="33">
                    <c:v>01/01/2015</c:v>
                  </c:pt>
                  <c:pt idx="34">
                    <c:v>01/02/2015</c:v>
                  </c:pt>
                  <c:pt idx="35">
                    <c:v>01/03/2015</c:v>
                  </c:pt>
                  <c:pt idx="36">
                    <c:v>01/04/2015</c:v>
                  </c:pt>
                </c:lvl>
                <c:lvl>
                  <c:pt idx="0">
                    <c:v>2012/13</c:v>
                  </c:pt>
                  <c:pt idx="12">
                    <c:v>2013/14</c:v>
                  </c:pt>
                  <c:pt idx="24">
                    <c:v>2014/15</c:v>
                  </c:pt>
                  <c:pt idx="36">
                    <c:v>2015/16</c:v>
                  </c:pt>
                </c:lvl>
              </c:multiLvlStrCache>
            </c:multiLvlStrRef>
          </c:cat>
          <c:val>
            <c:numRef>
              <c:f>Emergency!$H$12:$H$53</c:f>
              <c:numCache>
                <c:formatCode>General</c:formatCode>
                <c:ptCount val="37"/>
                <c:pt idx="0">
                  <c:v>46</c:v>
                </c:pt>
                <c:pt idx="1">
                  <c:v>45</c:v>
                </c:pt>
                <c:pt idx="2">
                  <c:v>61</c:v>
                </c:pt>
                <c:pt idx="3">
                  <c:v>57</c:v>
                </c:pt>
                <c:pt idx="4">
                  <c:v>61</c:v>
                </c:pt>
                <c:pt idx="5">
                  <c:v>61</c:v>
                </c:pt>
                <c:pt idx="6">
                  <c:v>59</c:v>
                </c:pt>
                <c:pt idx="7">
                  <c:v>69</c:v>
                </c:pt>
                <c:pt idx="8">
                  <c:v>62</c:v>
                </c:pt>
                <c:pt idx="9">
                  <c:v>61</c:v>
                </c:pt>
                <c:pt idx="10">
                  <c:v>59</c:v>
                </c:pt>
                <c:pt idx="11">
                  <c:v>68</c:v>
                </c:pt>
                <c:pt idx="12">
                  <c:v>61</c:v>
                </c:pt>
                <c:pt idx="13">
                  <c:v>54</c:v>
                </c:pt>
                <c:pt idx="14">
                  <c:v>57</c:v>
                </c:pt>
                <c:pt idx="15">
                  <c:v>51</c:v>
                </c:pt>
                <c:pt idx="16">
                  <c:v>58</c:v>
                </c:pt>
                <c:pt idx="17">
                  <c:v>54</c:v>
                </c:pt>
                <c:pt idx="18">
                  <c:v>56</c:v>
                </c:pt>
                <c:pt idx="19">
                  <c:v>73</c:v>
                </c:pt>
                <c:pt idx="20">
                  <c:v>60</c:v>
                </c:pt>
                <c:pt idx="21">
                  <c:v>67</c:v>
                </c:pt>
                <c:pt idx="22">
                  <c:v>56</c:v>
                </c:pt>
                <c:pt idx="23">
                  <c:v>54</c:v>
                </c:pt>
                <c:pt idx="24">
                  <c:v>87</c:v>
                </c:pt>
                <c:pt idx="25">
                  <c:v>69</c:v>
                </c:pt>
                <c:pt idx="26">
                  <c:v>65</c:v>
                </c:pt>
                <c:pt idx="27">
                  <c:v>56</c:v>
                </c:pt>
                <c:pt idx="28">
                  <c:v>55</c:v>
                </c:pt>
                <c:pt idx="29">
                  <c:v>46</c:v>
                </c:pt>
                <c:pt idx="30">
                  <c:v>59</c:v>
                </c:pt>
                <c:pt idx="31">
                  <c:v>51</c:v>
                </c:pt>
                <c:pt idx="32">
                  <c:v>58</c:v>
                </c:pt>
                <c:pt idx="33">
                  <c:v>51</c:v>
                </c:pt>
                <c:pt idx="34">
                  <c:v>48</c:v>
                </c:pt>
                <c:pt idx="35">
                  <c:v>70</c:v>
                </c:pt>
                <c:pt idx="36">
                  <c:v>73</c:v>
                </c:pt>
              </c:numCache>
            </c:numRef>
          </c:val>
          <c:smooth val="0"/>
        </c:ser>
        <c:dLbls>
          <c:showLegendKey val="0"/>
          <c:showVal val="0"/>
          <c:showCatName val="0"/>
          <c:showSerName val="0"/>
          <c:showPercent val="0"/>
          <c:showBubbleSize val="0"/>
        </c:dLbls>
        <c:marker val="1"/>
        <c:smooth val="0"/>
        <c:axId val="153696128"/>
        <c:axId val="153697664"/>
      </c:lineChart>
      <c:catAx>
        <c:axId val="153696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3697664"/>
        <c:crosses val="autoZero"/>
        <c:auto val="1"/>
        <c:lblAlgn val="ctr"/>
        <c:lblOffset val="100"/>
        <c:noMultiLvlLbl val="0"/>
      </c:catAx>
      <c:valAx>
        <c:axId val="1536976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369612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pivotSource>
    <c:name>[JSNA_Reeport_PM.xlsx]Emergency!PivotTable3</c:name>
    <c:fmtId val="-1"/>
  </c:pivotSource>
  <c:chart>
    <c:autoTitleDeleted val="0"/>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1"/>
          </a:solidFill>
          <a:ln>
            <a:noFill/>
          </a:ln>
          <a:effectLst/>
        </c:spPr>
        <c:marker>
          <c:symbol val="none"/>
        </c:marker>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pivotFmt>
    </c:pivotFmts>
    <c:plotArea>
      <c:layout/>
      <c:barChart>
        <c:barDir val="col"/>
        <c:grouping val="stacked"/>
        <c:varyColors val="0"/>
        <c:ser>
          <c:idx val="0"/>
          <c:order val="0"/>
          <c:tx>
            <c:strRef>
              <c:f>Emergency!$B$79:$B$80</c:f>
              <c:strCache>
                <c:ptCount val="1"/>
                <c:pt idx="0">
                  <c:v>2012/13</c:v>
                </c:pt>
              </c:strCache>
            </c:strRef>
          </c:tx>
          <c:spPr>
            <a:solidFill>
              <a:schemeClr val="accent1"/>
            </a:solidFill>
            <a:ln>
              <a:noFill/>
            </a:ln>
            <a:effectLst/>
          </c:spPr>
          <c:invertIfNegative val="0"/>
          <c:cat>
            <c:strRef>
              <c:f>Emergency!$A$81:$A$99</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c:v>
                </c:pt>
              </c:strCache>
            </c:strRef>
          </c:cat>
          <c:val>
            <c:numRef>
              <c:f>Emergency!$B$81:$B$99</c:f>
              <c:numCache>
                <c:formatCode>General</c:formatCode>
                <c:ptCount val="18"/>
                <c:pt idx="0">
                  <c:v>1765</c:v>
                </c:pt>
                <c:pt idx="1">
                  <c:v>556</c:v>
                </c:pt>
                <c:pt idx="2">
                  <c:v>397</c:v>
                </c:pt>
                <c:pt idx="3">
                  <c:v>478</c:v>
                </c:pt>
                <c:pt idx="4">
                  <c:v>760</c:v>
                </c:pt>
                <c:pt idx="5">
                  <c:v>1000</c:v>
                </c:pt>
                <c:pt idx="6">
                  <c:v>1101</c:v>
                </c:pt>
                <c:pt idx="7">
                  <c:v>1057</c:v>
                </c:pt>
                <c:pt idx="8">
                  <c:v>921</c:v>
                </c:pt>
                <c:pt idx="9">
                  <c:v>917</c:v>
                </c:pt>
                <c:pt idx="10">
                  <c:v>882</c:v>
                </c:pt>
                <c:pt idx="11">
                  <c:v>936</c:v>
                </c:pt>
                <c:pt idx="12">
                  <c:v>1084</c:v>
                </c:pt>
                <c:pt idx="13">
                  <c:v>1394</c:v>
                </c:pt>
                <c:pt idx="14">
                  <c:v>1354</c:v>
                </c:pt>
                <c:pt idx="15">
                  <c:v>1679</c:v>
                </c:pt>
                <c:pt idx="16">
                  <c:v>2187</c:v>
                </c:pt>
                <c:pt idx="17">
                  <c:v>4372</c:v>
                </c:pt>
              </c:numCache>
            </c:numRef>
          </c:val>
        </c:ser>
        <c:ser>
          <c:idx val="1"/>
          <c:order val="1"/>
          <c:tx>
            <c:strRef>
              <c:f>Emergency!$C$79:$C$80</c:f>
              <c:strCache>
                <c:ptCount val="1"/>
                <c:pt idx="0">
                  <c:v>2013/14</c:v>
                </c:pt>
              </c:strCache>
            </c:strRef>
          </c:tx>
          <c:spPr>
            <a:solidFill>
              <a:schemeClr val="accent2"/>
            </a:solidFill>
            <a:ln>
              <a:noFill/>
            </a:ln>
            <a:effectLst/>
          </c:spPr>
          <c:invertIfNegative val="0"/>
          <c:cat>
            <c:strRef>
              <c:f>Emergency!$A$81:$A$99</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c:v>
                </c:pt>
              </c:strCache>
            </c:strRef>
          </c:cat>
          <c:val>
            <c:numRef>
              <c:f>Emergency!$C$81:$C$99</c:f>
              <c:numCache>
                <c:formatCode>General</c:formatCode>
                <c:ptCount val="18"/>
                <c:pt idx="0">
                  <c:v>1701</c:v>
                </c:pt>
                <c:pt idx="1">
                  <c:v>506</c:v>
                </c:pt>
                <c:pt idx="2">
                  <c:v>393</c:v>
                </c:pt>
                <c:pt idx="3">
                  <c:v>429</c:v>
                </c:pt>
                <c:pt idx="4">
                  <c:v>507</c:v>
                </c:pt>
                <c:pt idx="5">
                  <c:v>692</c:v>
                </c:pt>
                <c:pt idx="6">
                  <c:v>760</c:v>
                </c:pt>
                <c:pt idx="7">
                  <c:v>639</c:v>
                </c:pt>
                <c:pt idx="8">
                  <c:v>754</c:v>
                </c:pt>
                <c:pt idx="9">
                  <c:v>699</c:v>
                </c:pt>
                <c:pt idx="10">
                  <c:v>847</c:v>
                </c:pt>
                <c:pt idx="11">
                  <c:v>847</c:v>
                </c:pt>
                <c:pt idx="12">
                  <c:v>942</c:v>
                </c:pt>
                <c:pt idx="13">
                  <c:v>1223</c:v>
                </c:pt>
                <c:pt idx="14">
                  <c:v>1296</c:v>
                </c:pt>
                <c:pt idx="15">
                  <c:v>1542</c:v>
                </c:pt>
                <c:pt idx="16">
                  <c:v>1946</c:v>
                </c:pt>
                <c:pt idx="17">
                  <c:v>4005</c:v>
                </c:pt>
              </c:numCache>
            </c:numRef>
          </c:val>
        </c:ser>
        <c:ser>
          <c:idx val="2"/>
          <c:order val="2"/>
          <c:tx>
            <c:strRef>
              <c:f>Emergency!$D$79:$D$80</c:f>
              <c:strCache>
                <c:ptCount val="1"/>
                <c:pt idx="0">
                  <c:v>2014/15</c:v>
                </c:pt>
              </c:strCache>
            </c:strRef>
          </c:tx>
          <c:spPr>
            <a:solidFill>
              <a:schemeClr val="accent3"/>
            </a:solidFill>
            <a:ln>
              <a:noFill/>
            </a:ln>
            <a:effectLst/>
          </c:spPr>
          <c:invertIfNegative val="0"/>
          <c:cat>
            <c:strRef>
              <c:f>Emergency!$A$81:$A$99</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c:v>
                </c:pt>
              </c:strCache>
            </c:strRef>
          </c:cat>
          <c:val>
            <c:numRef>
              <c:f>Emergency!$D$81:$D$99</c:f>
              <c:numCache>
                <c:formatCode>General</c:formatCode>
                <c:ptCount val="18"/>
                <c:pt idx="0">
                  <c:v>2059</c:v>
                </c:pt>
                <c:pt idx="1">
                  <c:v>659</c:v>
                </c:pt>
                <c:pt idx="2">
                  <c:v>509</c:v>
                </c:pt>
                <c:pt idx="3">
                  <c:v>530</c:v>
                </c:pt>
                <c:pt idx="4">
                  <c:v>577</c:v>
                </c:pt>
                <c:pt idx="5">
                  <c:v>728</c:v>
                </c:pt>
                <c:pt idx="6">
                  <c:v>862</c:v>
                </c:pt>
                <c:pt idx="7">
                  <c:v>806</c:v>
                </c:pt>
                <c:pt idx="8">
                  <c:v>757</c:v>
                </c:pt>
                <c:pt idx="9">
                  <c:v>872</c:v>
                </c:pt>
                <c:pt idx="10">
                  <c:v>865</c:v>
                </c:pt>
                <c:pt idx="11">
                  <c:v>894</c:v>
                </c:pt>
                <c:pt idx="12">
                  <c:v>972</c:v>
                </c:pt>
                <c:pt idx="13">
                  <c:v>1210</c:v>
                </c:pt>
                <c:pt idx="14">
                  <c:v>1417</c:v>
                </c:pt>
                <c:pt idx="15">
                  <c:v>1662</c:v>
                </c:pt>
                <c:pt idx="16">
                  <c:v>2119</c:v>
                </c:pt>
                <c:pt idx="17">
                  <c:v>4184</c:v>
                </c:pt>
              </c:numCache>
            </c:numRef>
          </c:val>
        </c:ser>
        <c:dLbls>
          <c:showLegendKey val="0"/>
          <c:showVal val="0"/>
          <c:showCatName val="0"/>
          <c:showSerName val="0"/>
          <c:showPercent val="0"/>
          <c:showBubbleSize val="0"/>
        </c:dLbls>
        <c:gapWidth val="150"/>
        <c:overlap val="100"/>
        <c:axId val="153723264"/>
        <c:axId val="153724800"/>
      </c:barChart>
      <c:catAx>
        <c:axId val="153723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3724800"/>
        <c:crosses val="autoZero"/>
        <c:auto val="1"/>
        <c:lblAlgn val="ctr"/>
        <c:lblOffset val="100"/>
        <c:noMultiLvlLbl val="0"/>
      </c:catAx>
      <c:valAx>
        <c:axId val="15372480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372326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38818763039235482"/>
          <c:y val="5.057471264367816E-2"/>
          <c:w val="0.40670098929941451"/>
          <c:h val="0.83424527106525481"/>
        </c:manualLayout>
      </c:layout>
      <c:barChart>
        <c:barDir val="bar"/>
        <c:grouping val="clustered"/>
        <c:varyColors val="0"/>
        <c:ser>
          <c:idx val="2"/>
          <c:order val="0"/>
          <c:tx>
            <c:strRef>
              <c:f>Sheet2!$D$1</c:f>
              <c:strCache>
                <c:ptCount val="1"/>
                <c:pt idx="0">
                  <c:v>2020 Estimate</c:v>
                </c:pt>
              </c:strCache>
            </c:strRef>
          </c:tx>
          <c:invertIfNegative val="0"/>
          <c:cat>
            <c:strRef>
              <c:f>Sheet2!$A$2:$A$10</c:f>
              <c:strCache>
                <c:ptCount val="9"/>
                <c:pt idx="0">
                  <c:v>Longstanding health condition caused by a stroke</c:v>
                </c:pt>
                <c:pt idx="1">
                  <c:v>With a longstanding health condition caused by a stroke</c:v>
                </c:pt>
                <c:pt idx="2">
                  <c:v>With dementia</c:v>
                </c:pt>
                <c:pt idx="3">
                  <c:v>With depression</c:v>
                </c:pt>
                <c:pt idx="4">
                  <c:v>With diabetes</c:v>
                </c:pt>
                <c:pt idx="5">
                  <c:v>Unable to manage a mobility activity</c:v>
                </c:pt>
                <c:pt idx="6">
                  <c:v>Unable to manage a self-care activity</c:v>
                </c:pt>
                <c:pt idx="7">
                  <c:v>With a limiting long term illness</c:v>
                </c:pt>
                <c:pt idx="8">
                  <c:v>Unable to manage a domestic task</c:v>
                </c:pt>
              </c:strCache>
            </c:strRef>
          </c:cat>
          <c:val>
            <c:numRef>
              <c:f>Sheet2!$D$2:$D$10</c:f>
              <c:numCache>
                <c:formatCode>#,##0</c:formatCode>
                <c:ptCount val="9"/>
                <c:pt idx="0">
                  <c:v>1345</c:v>
                </c:pt>
                <c:pt idx="1">
                  <c:v>2831</c:v>
                </c:pt>
                <c:pt idx="2">
                  <c:v>4743</c:v>
                </c:pt>
                <c:pt idx="3">
                  <c:v>5025</c:v>
                </c:pt>
                <c:pt idx="4">
                  <c:v>7144</c:v>
                </c:pt>
                <c:pt idx="5">
                  <c:v>11617</c:v>
                </c:pt>
                <c:pt idx="6">
                  <c:v>20618</c:v>
                </c:pt>
                <c:pt idx="7">
                  <c:v>24583</c:v>
                </c:pt>
                <c:pt idx="8">
                  <c:v>25159</c:v>
                </c:pt>
              </c:numCache>
            </c:numRef>
          </c:val>
        </c:ser>
        <c:ser>
          <c:idx val="1"/>
          <c:order val="1"/>
          <c:tx>
            <c:strRef>
              <c:f>Sheet2!$C$1</c:f>
              <c:strCache>
                <c:ptCount val="1"/>
                <c:pt idx="0">
                  <c:v>2015 Estimate</c:v>
                </c:pt>
              </c:strCache>
            </c:strRef>
          </c:tx>
          <c:invertIfNegative val="0"/>
          <c:cat>
            <c:strRef>
              <c:f>Sheet2!$A$2:$A$10</c:f>
              <c:strCache>
                <c:ptCount val="9"/>
                <c:pt idx="0">
                  <c:v>Longstanding health condition caused by a stroke</c:v>
                </c:pt>
                <c:pt idx="1">
                  <c:v>With a longstanding health condition caused by a stroke</c:v>
                </c:pt>
                <c:pt idx="2">
                  <c:v>With dementia</c:v>
                </c:pt>
                <c:pt idx="3">
                  <c:v>With depression</c:v>
                </c:pt>
                <c:pt idx="4">
                  <c:v>With diabetes</c:v>
                </c:pt>
                <c:pt idx="5">
                  <c:v>Unable to manage a mobility activity</c:v>
                </c:pt>
                <c:pt idx="6">
                  <c:v>Unable to manage a self-care activity</c:v>
                </c:pt>
                <c:pt idx="7">
                  <c:v>With a limiting long term illness</c:v>
                </c:pt>
                <c:pt idx="8">
                  <c:v>Unable to manage a domestic task</c:v>
                </c:pt>
              </c:strCache>
            </c:strRef>
          </c:cat>
          <c:val>
            <c:numRef>
              <c:f>Sheet2!$C$2:$C$10</c:f>
              <c:numCache>
                <c:formatCode>#,##0</c:formatCode>
                <c:ptCount val="9"/>
                <c:pt idx="0">
                  <c:v>1219</c:v>
                </c:pt>
                <c:pt idx="1">
                  <c:v>2576</c:v>
                </c:pt>
                <c:pt idx="2">
                  <c:v>4185</c:v>
                </c:pt>
                <c:pt idx="3">
                  <c:v>4624</c:v>
                </c:pt>
                <c:pt idx="4">
                  <c:v>6514</c:v>
                </c:pt>
                <c:pt idx="5">
                  <c:v>10409</c:v>
                </c:pt>
                <c:pt idx="6">
                  <c:v>18608</c:v>
                </c:pt>
                <c:pt idx="7">
                  <c:v>22593</c:v>
                </c:pt>
                <c:pt idx="8">
                  <c:v>22679</c:v>
                </c:pt>
              </c:numCache>
            </c:numRef>
          </c:val>
        </c:ser>
        <c:ser>
          <c:idx val="0"/>
          <c:order val="2"/>
          <c:tx>
            <c:strRef>
              <c:f>Sheet2!$B$1</c:f>
              <c:strCache>
                <c:ptCount val="1"/>
                <c:pt idx="0">
                  <c:v>2010 Estimate</c:v>
                </c:pt>
              </c:strCache>
            </c:strRef>
          </c:tx>
          <c:invertIfNegative val="0"/>
          <c:cat>
            <c:strRef>
              <c:f>Sheet2!$A$2:$A$10</c:f>
              <c:strCache>
                <c:ptCount val="9"/>
                <c:pt idx="0">
                  <c:v>Longstanding health condition caused by a stroke</c:v>
                </c:pt>
                <c:pt idx="1">
                  <c:v>With a longstanding health condition caused by a stroke</c:v>
                </c:pt>
                <c:pt idx="2">
                  <c:v>With dementia</c:v>
                </c:pt>
                <c:pt idx="3">
                  <c:v>With depression</c:v>
                </c:pt>
                <c:pt idx="4">
                  <c:v>With diabetes</c:v>
                </c:pt>
                <c:pt idx="5">
                  <c:v>Unable to manage a mobility activity</c:v>
                </c:pt>
                <c:pt idx="6">
                  <c:v>Unable to manage a self-care activity</c:v>
                </c:pt>
                <c:pt idx="7">
                  <c:v>With a limiting long term illness</c:v>
                </c:pt>
                <c:pt idx="8">
                  <c:v>Unable to manage a domestic task</c:v>
                </c:pt>
              </c:strCache>
            </c:strRef>
          </c:cat>
          <c:val>
            <c:numRef>
              <c:f>Sheet2!$B$2:$B$10</c:f>
              <c:numCache>
                <c:formatCode>#,##0</c:formatCode>
                <c:ptCount val="9"/>
                <c:pt idx="0">
                  <c:v>1101</c:v>
                </c:pt>
                <c:pt idx="1">
                  <c:v>2329</c:v>
                </c:pt>
                <c:pt idx="2">
                  <c:v>3778</c:v>
                </c:pt>
                <c:pt idx="3">
                  <c:v>4179</c:v>
                </c:pt>
                <c:pt idx="4">
                  <c:v>5861</c:v>
                </c:pt>
                <c:pt idx="5">
                  <c:v>9466</c:v>
                </c:pt>
                <c:pt idx="6">
                  <c:v>16943</c:v>
                </c:pt>
                <c:pt idx="7">
                  <c:v>20359</c:v>
                </c:pt>
                <c:pt idx="8">
                  <c:v>20644</c:v>
                </c:pt>
              </c:numCache>
            </c:numRef>
          </c:val>
        </c:ser>
        <c:dLbls>
          <c:showLegendKey val="0"/>
          <c:showVal val="0"/>
          <c:showCatName val="0"/>
          <c:showSerName val="0"/>
          <c:showPercent val="0"/>
          <c:showBubbleSize val="0"/>
        </c:dLbls>
        <c:gapWidth val="150"/>
        <c:axId val="153742336"/>
        <c:axId val="153744128"/>
      </c:barChart>
      <c:catAx>
        <c:axId val="153742336"/>
        <c:scaling>
          <c:orientation val="minMax"/>
        </c:scaling>
        <c:delete val="0"/>
        <c:axPos val="l"/>
        <c:numFmt formatCode="General" sourceLinked="0"/>
        <c:majorTickMark val="out"/>
        <c:minorTickMark val="none"/>
        <c:tickLblPos val="nextTo"/>
        <c:crossAx val="153744128"/>
        <c:crosses val="autoZero"/>
        <c:auto val="1"/>
        <c:lblAlgn val="ctr"/>
        <c:lblOffset val="100"/>
        <c:noMultiLvlLbl val="0"/>
      </c:catAx>
      <c:valAx>
        <c:axId val="153744128"/>
        <c:scaling>
          <c:orientation val="minMax"/>
        </c:scaling>
        <c:delete val="0"/>
        <c:axPos val="b"/>
        <c:majorGridlines/>
        <c:numFmt formatCode="#,##0" sourceLinked="1"/>
        <c:majorTickMark val="out"/>
        <c:minorTickMark val="none"/>
        <c:tickLblPos val="nextTo"/>
        <c:crossAx val="153742336"/>
        <c:crosses val="autoZero"/>
        <c:crossBetween val="between"/>
        <c:majorUnit val="5000"/>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4801387417975368E-2"/>
          <c:y val="7.0165852804081302E-2"/>
          <c:w val="0.89072670203838078"/>
          <c:h val="0.61931285216164988"/>
        </c:manualLayout>
      </c:layout>
      <c:lineChart>
        <c:grouping val="standard"/>
        <c:varyColors val="0"/>
        <c:ser>
          <c:idx val="0"/>
          <c:order val="0"/>
          <c:tx>
            <c:strRef>
              <c:f>Sheet2!$CV$1</c:f>
              <c:strCache>
                <c:ptCount val="1"/>
                <c:pt idx="0">
                  <c:v>0-15</c:v>
                </c:pt>
              </c:strCache>
            </c:strRef>
          </c:tx>
          <c:marker>
            <c:symbol val="none"/>
          </c:marker>
          <c:cat>
            <c:numRef>
              <c:f>Sheet2!$CU$2:$CU$17</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Sheet2!$CV$2:$CV$17</c:f>
              <c:numCache>
                <c:formatCode>0.0%</c:formatCode>
                <c:ptCount val="16"/>
                <c:pt idx="0" formatCode="General">
                  <c:v>0</c:v>
                </c:pt>
                <c:pt idx="1">
                  <c:v>9.469634851455952E-3</c:v>
                </c:pt>
                <c:pt idx="2">
                  <c:v>2.4971422609620479E-2</c:v>
                </c:pt>
                <c:pt idx="3">
                  <c:v>3.8187668672628232E-2</c:v>
                </c:pt>
                <c:pt idx="4">
                  <c:v>5.3582230731234297E-2</c:v>
                </c:pt>
                <c:pt idx="5">
                  <c:v>6.6820084282072326E-2</c:v>
                </c:pt>
                <c:pt idx="6">
                  <c:v>7.9408452687649234E-2</c:v>
                </c:pt>
                <c:pt idx="7">
                  <c:v>8.5462752711983073E-2</c:v>
                </c:pt>
                <c:pt idx="8">
                  <c:v>9.5492001671900945E-2</c:v>
                </c:pt>
                <c:pt idx="9">
                  <c:v>9.8735884471038343E-2</c:v>
                </c:pt>
                <c:pt idx="10">
                  <c:v>0.10389343326607291</c:v>
                </c:pt>
                <c:pt idx="11">
                  <c:v>0.10580123706091565</c:v>
                </c:pt>
                <c:pt idx="12">
                  <c:v>0.10297243970168701</c:v>
                </c:pt>
                <c:pt idx="13">
                  <c:v>0.10229601487565811</c:v>
                </c:pt>
                <c:pt idx="14">
                  <c:v>9.9816538198207308E-2</c:v>
                </c:pt>
                <c:pt idx="15">
                  <c:v>9.9909878998101234E-2</c:v>
                </c:pt>
              </c:numCache>
            </c:numRef>
          </c:val>
          <c:smooth val="0"/>
        </c:ser>
        <c:ser>
          <c:idx val="1"/>
          <c:order val="1"/>
          <c:tx>
            <c:strRef>
              <c:f>Sheet2!$CW$1</c:f>
              <c:strCache>
                <c:ptCount val="1"/>
                <c:pt idx="0">
                  <c:v>16-64</c:v>
                </c:pt>
              </c:strCache>
            </c:strRef>
          </c:tx>
          <c:marker>
            <c:symbol val="none"/>
          </c:marker>
          <c:cat>
            <c:numRef>
              <c:f>Sheet2!$CU$2:$CU$17</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Sheet2!$CW$2:$CW$17</c:f>
              <c:numCache>
                <c:formatCode>0.0%</c:formatCode>
                <c:ptCount val="16"/>
                <c:pt idx="0" formatCode="General">
                  <c:v>0</c:v>
                </c:pt>
                <c:pt idx="1">
                  <c:v>4.6625017730487755E-3</c:v>
                </c:pt>
                <c:pt idx="2">
                  <c:v>1.2084233207442409E-2</c:v>
                </c:pt>
                <c:pt idx="3">
                  <c:v>1.9501569159394175E-2</c:v>
                </c:pt>
                <c:pt idx="4">
                  <c:v>3.2416968026448015E-2</c:v>
                </c:pt>
                <c:pt idx="5">
                  <c:v>4.1811925659745196E-2</c:v>
                </c:pt>
                <c:pt idx="6">
                  <c:v>5.257320734849541E-2</c:v>
                </c:pt>
                <c:pt idx="7">
                  <c:v>5.9897436197324065E-2</c:v>
                </c:pt>
                <c:pt idx="8">
                  <c:v>7.125035712541869E-2</c:v>
                </c:pt>
                <c:pt idx="9">
                  <c:v>7.8279610043428788E-2</c:v>
                </c:pt>
                <c:pt idx="10">
                  <c:v>8.5599291478566528E-2</c:v>
                </c:pt>
                <c:pt idx="11">
                  <c:v>9.0662206437217507E-2</c:v>
                </c:pt>
                <c:pt idx="12">
                  <c:v>9.2635453813654664E-2</c:v>
                </c:pt>
                <c:pt idx="13">
                  <c:v>9.656269196922751E-2</c:v>
                </c:pt>
                <c:pt idx="14">
                  <c:v>9.8805507407948426E-2</c:v>
                </c:pt>
                <c:pt idx="15">
                  <c:v>0.1040219102550617</c:v>
                </c:pt>
              </c:numCache>
            </c:numRef>
          </c:val>
          <c:smooth val="0"/>
        </c:ser>
        <c:ser>
          <c:idx val="2"/>
          <c:order val="2"/>
          <c:tx>
            <c:strRef>
              <c:f>Sheet2!$CX$1</c:f>
              <c:strCache>
                <c:ptCount val="1"/>
                <c:pt idx="0">
                  <c:v>65+</c:v>
                </c:pt>
              </c:strCache>
            </c:strRef>
          </c:tx>
          <c:marker>
            <c:symbol val="none"/>
          </c:marker>
          <c:cat>
            <c:numRef>
              <c:f>Sheet2!$CU$2:$CU$17</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Sheet2!$CX$2:$CX$17</c:f>
              <c:numCache>
                <c:formatCode>0.0%</c:formatCode>
                <c:ptCount val="16"/>
                <c:pt idx="0" formatCode="General">
                  <c:v>0</c:v>
                </c:pt>
                <c:pt idx="1">
                  <c:v>1.5048869734065199E-2</c:v>
                </c:pt>
                <c:pt idx="2">
                  <c:v>3.096632126947961E-2</c:v>
                </c:pt>
                <c:pt idx="3">
                  <c:v>4.733186491195631E-2</c:v>
                </c:pt>
                <c:pt idx="4">
                  <c:v>6.5208580560790888E-2</c:v>
                </c:pt>
                <c:pt idx="5">
                  <c:v>8.4186755884646025E-2</c:v>
                </c:pt>
                <c:pt idx="6">
                  <c:v>0.107074570404839</c:v>
                </c:pt>
                <c:pt idx="7">
                  <c:v>0.12809248902105141</c:v>
                </c:pt>
                <c:pt idx="8">
                  <c:v>0.15424823875183119</c:v>
                </c:pt>
                <c:pt idx="9">
                  <c:v>0.17926129807075192</c:v>
                </c:pt>
                <c:pt idx="10">
                  <c:v>0.20610150427874616</c:v>
                </c:pt>
                <c:pt idx="11">
                  <c:v>0.23264801489301526</c:v>
                </c:pt>
                <c:pt idx="12">
                  <c:v>0.25754614612072596</c:v>
                </c:pt>
                <c:pt idx="13">
                  <c:v>0.2862598034883061</c:v>
                </c:pt>
                <c:pt idx="14">
                  <c:v>0.31531596441100418</c:v>
                </c:pt>
                <c:pt idx="15">
                  <c:v>0.34490324931072175</c:v>
                </c:pt>
              </c:numCache>
            </c:numRef>
          </c:val>
          <c:smooth val="0"/>
        </c:ser>
        <c:dLbls>
          <c:showLegendKey val="0"/>
          <c:showVal val="0"/>
          <c:showCatName val="0"/>
          <c:showSerName val="0"/>
          <c:showPercent val="0"/>
          <c:showBubbleSize val="0"/>
        </c:dLbls>
        <c:marker val="1"/>
        <c:smooth val="0"/>
        <c:axId val="178634112"/>
        <c:axId val="178730880"/>
      </c:lineChart>
      <c:catAx>
        <c:axId val="178634112"/>
        <c:scaling>
          <c:orientation val="minMax"/>
        </c:scaling>
        <c:delete val="0"/>
        <c:axPos val="b"/>
        <c:numFmt formatCode="General" sourceLinked="1"/>
        <c:majorTickMark val="out"/>
        <c:minorTickMark val="none"/>
        <c:tickLblPos val="nextTo"/>
        <c:crossAx val="178730880"/>
        <c:crosses val="autoZero"/>
        <c:auto val="1"/>
        <c:lblAlgn val="ctr"/>
        <c:lblOffset val="100"/>
        <c:noMultiLvlLbl val="0"/>
      </c:catAx>
      <c:valAx>
        <c:axId val="178730880"/>
        <c:scaling>
          <c:orientation val="minMax"/>
        </c:scaling>
        <c:delete val="0"/>
        <c:axPos val="l"/>
        <c:title>
          <c:tx>
            <c:rich>
              <a:bodyPr rot="-5400000" vert="horz"/>
              <a:lstStyle/>
              <a:p>
                <a:pPr>
                  <a:defRPr/>
                </a:pPr>
                <a:r>
                  <a:rPr lang="en-GB"/>
                  <a:t>% Proportion of Population</a:t>
                </a:r>
              </a:p>
            </c:rich>
          </c:tx>
          <c:overlay val="0"/>
        </c:title>
        <c:numFmt formatCode="0%" sourceLinked="0"/>
        <c:majorTickMark val="out"/>
        <c:minorTickMark val="none"/>
        <c:tickLblPos val="nextTo"/>
        <c:crossAx val="178634112"/>
        <c:crosses val="autoZero"/>
        <c:crossBetween val="between"/>
      </c:valAx>
    </c:plotArea>
    <c:legend>
      <c:legendPos val="b"/>
      <c:overlay val="0"/>
    </c:legend>
    <c:plotVisOnly val="1"/>
    <c:dispBlanksAs val="gap"/>
    <c:showDLblsOverMax val="0"/>
  </c:chart>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3"/>
          <c:order val="0"/>
          <c:tx>
            <c:strRef>
              <c:f>'Org Barnet'!$I$2</c:f>
              <c:strCache>
                <c:ptCount val="1"/>
                <c:pt idx="0">
                  <c:v>Total</c:v>
                </c:pt>
              </c:strCache>
            </c:strRef>
          </c:tx>
          <c:marker>
            <c:symbol val="none"/>
          </c:marker>
          <c:trendline>
            <c:spPr>
              <a:ln>
                <a:prstDash val="dash"/>
              </a:ln>
            </c:spPr>
            <c:trendlineType val="linear"/>
            <c:dispRSqr val="0"/>
            <c:dispEq val="0"/>
          </c:trendline>
          <c:cat>
            <c:numRef>
              <c:f>'Org Barnet'!$A$3:$A$40</c:f>
              <c:numCache>
                <c:formatCode>mmm\-yy</c:formatCode>
                <c:ptCount val="38"/>
                <c:pt idx="0">
                  <c:v>42125</c:v>
                </c:pt>
                <c:pt idx="1">
                  <c:v>42095</c:v>
                </c:pt>
                <c:pt idx="2">
                  <c:v>42064</c:v>
                </c:pt>
                <c:pt idx="3">
                  <c:v>42036</c:v>
                </c:pt>
                <c:pt idx="4">
                  <c:v>42005</c:v>
                </c:pt>
                <c:pt idx="5">
                  <c:v>41974</c:v>
                </c:pt>
                <c:pt idx="6">
                  <c:v>41944</c:v>
                </c:pt>
                <c:pt idx="7">
                  <c:v>41913</c:v>
                </c:pt>
                <c:pt idx="8">
                  <c:v>41883</c:v>
                </c:pt>
                <c:pt idx="9">
                  <c:v>41852</c:v>
                </c:pt>
                <c:pt idx="10">
                  <c:v>41821</c:v>
                </c:pt>
                <c:pt idx="11">
                  <c:v>41791</c:v>
                </c:pt>
                <c:pt idx="12">
                  <c:v>41760</c:v>
                </c:pt>
                <c:pt idx="13">
                  <c:v>41730</c:v>
                </c:pt>
                <c:pt idx="14">
                  <c:v>41699</c:v>
                </c:pt>
                <c:pt idx="15">
                  <c:v>41671</c:v>
                </c:pt>
                <c:pt idx="16">
                  <c:v>41640</c:v>
                </c:pt>
                <c:pt idx="17">
                  <c:v>41609</c:v>
                </c:pt>
                <c:pt idx="18">
                  <c:v>41579</c:v>
                </c:pt>
                <c:pt idx="19">
                  <c:v>41548</c:v>
                </c:pt>
                <c:pt idx="20">
                  <c:v>41518</c:v>
                </c:pt>
                <c:pt idx="21">
                  <c:v>41487</c:v>
                </c:pt>
                <c:pt idx="22">
                  <c:v>41456</c:v>
                </c:pt>
                <c:pt idx="23">
                  <c:v>41426</c:v>
                </c:pt>
                <c:pt idx="24">
                  <c:v>41395</c:v>
                </c:pt>
                <c:pt idx="25">
                  <c:v>41365</c:v>
                </c:pt>
                <c:pt idx="26">
                  <c:v>41334</c:v>
                </c:pt>
                <c:pt idx="27">
                  <c:v>41306</c:v>
                </c:pt>
                <c:pt idx="28">
                  <c:v>41275</c:v>
                </c:pt>
                <c:pt idx="29">
                  <c:v>41244</c:v>
                </c:pt>
                <c:pt idx="30">
                  <c:v>41214</c:v>
                </c:pt>
                <c:pt idx="31">
                  <c:v>41183</c:v>
                </c:pt>
                <c:pt idx="32">
                  <c:v>41153</c:v>
                </c:pt>
                <c:pt idx="33">
                  <c:v>41122</c:v>
                </c:pt>
                <c:pt idx="34">
                  <c:v>41091</c:v>
                </c:pt>
                <c:pt idx="35">
                  <c:v>41061</c:v>
                </c:pt>
                <c:pt idx="36">
                  <c:v>41030</c:v>
                </c:pt>
                <c:pt idx="37">
                  <c:v>41000</c:v>
                </c:pt>
              </c:numCache>
            </c:numRef>
          </c:cat>
          <c:val>
            <c:numRef>
              <c:f>'Org Barnet'!$I$3:$I$40</c:f>
              <c:numCache>
                <c:formatCode>#,##0</c:formatCode>
                <c:ptCount val="38"/>
                <c:pt idx="0">
                  <c:v>646</c:v>
                </c:pt>
                <c:pt idx="1">
                  <c:v>582</c:v>
                </c:pt>
                <c:pt idx="2">
                  <c:v>599</c:v>
                </c:pt>
                <c:pt idx="3">
                  <c:v>420</c:v>
                </c:pt>
                <c:pt idx="4">
                  <c:v>556</c:v>
                </c:pt>
                <c:pt idx="5">
                  <c:v>485</c:v>
                </c:pt>
                <c:pt idx="6">
                  <c:v>702</c:v>
                </c:pt>
                <c:pt idx="7">
                  <c:v>511</c:v>
                </c:pt>
                <c:pt idx="8">
                  <c:v>343</c:v>
                </c:pt>
                <c:pt idx="9">
                  <c:v>542</c:v>
                </c:pt>
                <c:pt idx="10">
                  <c:v>461</c:v>
                </c:pt>
                <c:pt idx="11">
                  <c:v>609</c:v>
                </c:pt>
                <c:pt idx="12">
                  <c:v>719</c:v>
                </c:pt>
                <c:pt idx="13">
                  <c:v>656</c:v>
                </c:pt>
                <c:pt idx="14">
                  <c:v>520</c:v>
                </c:pt>
                <c:pt idx="15">
                  <c:v>480</c:v>
                </c:pt>
                <c:pt idx="16">
                  <c:v>641</c:v>
                </c:pt>
                <c:pt idx="17">
                  <c:v>594</c:v>
                </c:pt>
                <c:pt idx="18">
                  <c:v>487</c:v>
                </c:pt>
                <c:pt idx="19">
                  <c:v>563</c:v>
                </c:pt>
                <c:pt idx="20">
                  <c:v>655</c:v>
                </c:pt>
                <c:pt idx="21">
                  <c:v>759</c:v>
                </c:pt>
                <c:pt idx="22">
                  <c:v>481</c:v>
                </c:pt>
                <c:pt idx="23">
                  <c:v>593</c:v>
                </c:pt>
                <c:pt idx="24">
                  <c:v>735</c:v>
                </c:pt>
                <c:pt idx="25">
                  <c:v>699</c:v>
                </c:pt>
                <c:pt idx="26">
                  <c:v>601</c:v>
                </c:pt>
                <c:pt idx="27">
                  <c:v>567</c:v>
                </c:pt>
                <c:pt idx="28">
                  <c:v>752</c:v>
                </c:pt>
                <c:pt idx="29">
                  <c:v>670</c:v>
                </c:pt>
                <c:pt idx="30">
                  <c:v>770</c:v>
                </c:pt>
                <c:pt idx="31">
                  <c:v>639</c:v>
                </c:pt>
                <c:pt idx="32">
                  <c:v>626</c:v>
                </c:pt>
                <c:pt idx="33">
                  <c:v>766</c:v>
                </c:pt>
                <c:pt idx="34">
                  <c:v>659</c:v>
                </c:pt>
                <c:pt idx="35">
                  <c:v>429</c:v>
                </c:pt>
                <c:pt idx="36">
                  <c:v>612</c:v>
                </c:pt>
                <c:pt idx="37">
                  <c:v>503</c:v>
                </c:pt>
              </c:numCache>
            </c:numRef>
          </c:val>
          <c:smooth val="0"/>
        </c:ser>
        <c:dLbls>
          <c:showLegendKey val="0"/>
          <c:showVal val="0"/>
          <c:showCatName val="0"/>
          <c:showSerName val="0"/>
          <c:showPercent val="0"/>
          <c:showBubbleSize val="0"/>
        </c:dLbls>
        <c:marker val="1"/>
        <c:smooth val="0"/>
        <c:axId val="153830528"/>
        <c:axId val="153832064"/>
      </c:lineChart>
      <c:dateAx>
        <c:axId val="153830528"/>
        <c:scaling>
          <c:orientation val="minMax"/>
        </c:scaling>
        <c:delete val="0"/>
        <c:axPos val="b"/>
        <c:numFmt formatCode="mmm\-yy" sourceLinked="1"/>
        <c:majorTickMark val="out"/>
        <c:minorTickMark val="none"/>
        <c:tickLblPos val="nextTo"/>
        <c:crossAx val="153832064"/>
        <c:crosses val="autoZero"/>
        <c:auto val="1"/>
        <c:lblOffset val="100"/>
        <c:baseTimeUnit val="months"/>
      </c:dateAx>
      <c:valAx>
        <c:axId val="153832064"/>
        <c:scaling>
          <c:orientation val="minMax"/>
          <c:min val="300"/>
        </c:scaling>
        <c:delete val="0"/>
        <c:axPos val="l"/>
        <c:title>
          <c:tx>
            <c:rich>
              <a:bodyPr rot="-5400000" vert="horz"/>
              <a:lstStyle/>
              <a:p>
                <a:pPr>
                  <a:defRPr/>
                </a:pPr>
                <a:r>
                  <a:rPr lang="en-GB"/>
                  <a:t>Days each month</a:t>
                </a:r>
              </a:p>
            </c:rich>
          </c:tx>
          <c:overlay val="0"/>
        </c:title>
        <c:numFmt formatCode="#,##0" sourceLinked="1"/>
        <c:majorTickMark val="out"/>
        <c:minorTickMark val="none"/>
        <c:tickLblPos val="nextTo"/>
        <c:crossAx val="153830528"/>
        <c:crosses val="autoZero"/>
        <c:crossBetween val="between"/>
      </c:valAx>
    </c:plotArea>
    <c:plotVisOnly val="1"/>
    <c:dispBlanksAs val="gap"/>
    <c:showDLblsOverMax val="0"/>
  </c:chart>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areaChart>
        <c:grouping val="percentStacked"/>
        <c:varyColors val="0"/>
        <c:ser>
          <c:idx val="0"/>
          <c:order val="0"/>
          <c:tx>
            <c:strRef>
              <c:f>'Org Barnet'!$F$2</c:f>
              <c:strCache>
                <c:ptCount val="1"/>
                <c:pt idx="0">
                  <c:v>NHS</c:v>
                </c:pt>
              </c:strCache>
            </c:strRef>
          </c:tx>
          <c:cat>
            <c:numRef>
              <c:f>'Org Barnet'!$A$3:$A$40</c:f>
              <c:numCache>
                <c:formatCode>mmm\-yy</c:formatCode>
                <c:ptCount val="38"/>
                <c:pt idx="0">
                  <c:v>42125</c:v>
                </c:pt>
                <c:pt idx="1">
                  <c:v>42095</c:v>
                </c:pt>
                <c:pt idx="2">
                  <c:v>42064</c:v>
                </c:pt>
                <c:pt idx="3">
                  <c:v>42036</c:v>
                </c:pt>
                <c:pt idx="4">
                  <c:v>42005</c:v>
                </c:pt>
                <c:pt idx="5">
                  <c:v>41974</c:v>
                </c:pt>
                <c:pt idx="6">
                  <c:v>41944</c:v>
                </c:pt>
                <c:pt idx="7">
                  <c:v>41913</c:v>
                </c:pt>
                <c:pt idx="8">
                  <c:v>41883</c:v>
                </c:pt>
                <c:pt idx="9">
                  <c:v>41852</c:v>
                </c:pt>
                <c:pt idx="10">
                  <c:v>41821</c:v>
                </c:pt>
                <c:pt idx="11">
                  <c:v>41791</c:v>
                </c:pt>
                <c:pt idx="12">
                  <c:v>41760</c:v>
                </c:pt>
                <c:pt idx="13">
                  <c:v>41730</c:v>
                </c:pt>
                <c:pt idx="14">
                  <c:v>41699</c:v>
                </c:pt>
                <c:pt idx="15">
                  <c:v>41671</c:v>
                </c:pt>
                <c:pt idx="16">
                  <c:v>41640</c:v>
                </c:pt>
                <c:pt idx="17">
                  <c:v>41609</c:v>
                </c:pt>
                <c:pt idx="18">
                  <c:v>41579</c:v>
                </c:pt>
                <c:pt idx="19">
                  <c:v>41548</c:v>
                </c:pt>
                <c:pt idx="20">
                  <c:v>41518</c:v>
                </c:pt>
                <c:pt idx="21">
                  <c:v>41487</c:v>
                </c:pt>
                <c:pt idx="22">
                  <c:v>41456</c:v>
                </c:pt>
                <c:pt idx="23">
                  <c:v>41426</c:v>
                </c:pt>
                <c:pt idx="24">
                  <c:v>41395</c:v>
                </c:pt>
                <c:pt idx="25">
                  <c:v>41365</c:v>
                </c:pt>
                <c:pt idx="26">
                  <c:v>41334</c:v>
                </c:pt>
                <c:pt idx="27">
                  <c:v>41306</c:v>
                </c:pt>
                <c:pt idx="28">
                  <c:v>41275</c:v>
                </c:pt>
                <c:pt idx="29">
                  <c:v>41244</c:v>
                </c:pt>
                <c:pt idx="30">
                  <c:v>41214</c:v>
                </c:pt>
                <c:pt idx="31">
                  <c:v>41183</c:v>
                </c:pt>
                <c:pt idx="32">
                  <c:v>41153</c:v>
                </c:pt>
                <c:pt idx="33">
                  <c:v>41122</c:v>
                </c:pt>
                <c:pt idx="34">
                  <c:v>41091</c:v>
                </c:pt>
                <c:pt idx="35">
                  <c:v>41061</c:v>
                </c:pt>
                <c:pt idx="36">
                  <c:v>41030</c:v>
                </c:pt>
                <c:pt idx="37">
                  <c:v>41000</c:v>
                </c:pt>
              </c:numCache>
            </c:numRef>
          </c:cat>
          <c:val>
            <c:numRef>
              <c:f>'Org Barnet'!$F$3:$F$40</c:f>
              <c:numCache>
                <c:formatCode>#,##0</c:formatCode>
                <c:ptCount val="38"/>
                <c:pt idx="0">
                  <c:v>342</c:v>
                </c:pt>
                <c:pt idx="1">
                  <c:v>196</c:v>
                </c:pt>
                <c:pt idx="2">
                  <c:v>281</c:v>
                </c:pt>
                <c:pt idx="3">
                  <c:v>194</c:v>
                </c:pt>
                <c:pt idx="4">
                  <c:v>305</c:v>
                </c:pt>
                <c:pt idx="5">
                  <c:v>268</c:v>
                </c:pt>
                <c:pt idx="6">
                  <c:v>318</c:v>
                </c:pt>
                <c:pt idx="7">
                  <c:v>176</c:v>
                </c:pt>
                <c:pt idx="8">
                  <c:v>205</c:v>
                </c:pt>
                <c:pt idx="9">
                  <c:v>267</c:v>
                </c:pt>
                <c:pt idx="10">
                  <c:v>277</c:v>
                </c:pt>
                <c:pt idx="11">
                  <c:v>397</c:v>
                </c:pt>
                <c:pt idx="12">
                  <c:v>528</c:v>
                </c:pt>
                <c:pt idx="13">
                  <c:v>551</c:v>
                </c:pt>
                <c:pt idx="14">
                  <c:v>397</c:v>
                </c:pt>
                <c:pt idx="15">
                  <c:v>286</c:v>
                </c:pt>
                <c:pt idx="16">
                  <c:v>473</c:v>
                </c:pt>
                <c:pt idx="17">
                  <c:v>330</c:v>
                </c:pt>
                <c:pt idx="18">
                  <c:v>243</c:v>
                </c:pt>
                <c:pt idx="19">
                  <c:v>362</c:v>
                </c:pt>
                <c:pt idx="20">
                  <c:v>536</c:v>
                </c:pt>
                <c:pt idx="21">
                  <c:v>670</c:v>
                </c:pt>
                <c:pt idx="22">
                  <c:v>368</c:v>
                </c:pt>
                <c:pt idx="23">
                  <c:v>459</c:v>
                </c:pt>
                <c:pt idx="24">
                  <c:v>557</c:v>
                </c:pt>
                <c:pt idx="25">
                  <c:v>565</c:v>
                </c:pt>
                <c:pt idx="26">
                  <c:v>405</c:v>
                </c:pt>
                <c:pt idx="27">
                  <c:v>421</c:v>
                </c:pt>
                <c:pt idx="28">
                  <c:v>538</c:v>
                </c:pt>
                <c:pt idx="29">
                  <c:v>488</c:v>
                </c:pt>
                <c:pt idx="30">
                  <c:v>593</c:v>
                </c:pt>
                <c:pt idx="31">
                  <c:v>495</c:v>
                </c:pt>
                <c:pt idx="32">
                  <c:v>404</c:v>
                </c:pt>
                <c:pt idx="33">
                  <c:v>647</c:v>
                </c:pt>
                <c:pt idx="34">
                  <c:v>529</c:v>
                </c:pt>
                <c:pt idx="35">
                  <c:v>380</c:v>
                </c:pt>
                <c:pt idx="36">
                  <c:v>470</c:v>
                </c:pt>
                <c:pt idx="37">
                  <c:v>388</c:v>
                </c:pt>
              </c:numCache>
            </c:numRef>
          </c:val>
        </c:ser>
        <c:ser>
          <c:idx val="1"/>
          <c:order val="1"/>
          <c:tx>
            <c:strRef>
              <c:f>'Org Barnet'!$G$2</c:f>
              <c:strCache>
                <c:ptCount val="1"/>
                <c:pt idx="0">
                  <c:v>Social Care</c:v>
                </c:pt>
              </c:strCache>
            </c:strRef>
          </c:tx>
          <c:cat>
            <c:numRef>
              <c:f>'Org Barnet'!$A$3:$A$40</c:f>
              <c:numCache>
                <c:formatCode>mmm\-yy</c:formatCode>
                <c:ptCount val="38"/>
                <c:pt idx="0">
                  <c:v>42125</c:v>
                </c:pt>
                <c:pt idx="1">
                  <c:v>42095</c:v>
                </c:pt>
                <c:pt idx="2">
                  <c:v>42064</c:v>
                </c:pt>
                <c:pt idx="3">
                  <c:v>42036</c:v>
                </c:pt>
                <c:pt idx="4">
                  <c:v>42005</c:v>
                </c:pt>
                <c:pt idx="5">
                  <c:v>41974</c:v>
                </c:pt>
                <c:pt idx="6">
                  <c:v>41944</c:v>
                </c:pt>
                <c:pt idx="7">
                  <c:v>41913</c:v>
                </c:pt>
                <c:pt idx="8">
                  <c:v>41883</c:v>
                </c:pt>
                <c:pt idx="9">
                  <c:v>41852</c:v>
                </c:pt>
                <c:pt idx="10">
                  <c:v>41821</c:v>
                </c:pt>
                <c:pt idx="11">
                  <c:v>41791</c:v>
                </c:pt>
                <c:pt idx="12">
                  <c:v>41760</c:v>
                </c:pt>
                <c:pt idx="13">
                  <c:v>41730</c:v>
                </c:pt>
                <c:pt idx="14">
                  <c:v>41699</c:v>
                </c:pt>
                <c:pt idx="15">
                  <c:v>41671</c:v>
                </c:pt>
                <c:pt idx="16">
                  <c:v>41640</c:v>
                </c:pt>
                <c:pt idx="17">
                  <c:v>41609</c:v>
                </c:pt>
                <c:pt idx="18">
                  <c:v>41579</c:v>
                </c:pt>
                <c:pt idx="19">
                  <c:v>41548</c:v>
                </c:pt>
                <c:pt idx="20">
                  <c:v>41518</c:v>
                </c:pt>
                <c:pt idx="21">
                  <c:v>41487</c:v>
                </c:pt>
                <c:pt idx="22">
                  <c:v>41456</c:v>
                </c:pt>
                <c:pt idx="23">
                  <c:v>41426</c:v>
                </c:pt>
                <c:pt idx="24">
                  <c:v>41395</c:v>
                </c:pt>
                <c:pt idx="25">
                  <c:v>41365</c:v>
                </c:pt>
                <c:pt idx="26">
                  <c:v>41334</c:v>
                </c:pt>
                <c:pt idx="27">
                  <c:v>41306</c:v>
                </c:pt>
                <c:pt idx="28">
                  <c:v>41275</c:v>
                </c:pt>
                <c:pt idx="29">
                  <c:v>41244</c:v>
                </c:pt>
                <c:pt idx="30">
                  <c:v>41214</c:v>
                </c:pt>
                <c:pt idx="31">
                  <c:v>41183</c:v>
                </c:pt>
                <c:pt idx="32">
                  <c:v>41153</c:v>
                </c:pt>
                <c:pt idx="33">
                  <c:v>41122</c:v>
                </c:pt>
                <c:pt idx="34">
                  <c:v>41091</c:v>
                </c:pt>
                <c:pt idx="35">
                  <c:v>41061</c:v>
                </c:pt>
                <c:pt idx="36">
                  <c:v>41030</c:v>
                </c:pt>
                <c:pt idx="37">
                  <c:v>41000</c:v>
                </c:pt>
              </c:numCache>
            </c:numRef>
          </c:cat>
          <c:val>
            <c:numRef>
              <c:f>'Org Barnet'!$G$3:$G$40</c:f>
              <c:numCache>
                <c:formatCode>#,##0</c:formatCode>
                <c:ptCount val="38"/>
                <c:pt idx="0" formatCode="0">
                  <c:v>304</c:v>
                </c:pt>
                <c:pt idx="1">
                  <c:v>379</c:v>
                </c:pt>
                <c:pt idx="2">
                  <c:v>300</c:v>
                </c:pt>
                <c:pt idx="3">
                  <c:v>198</c:v>
                </c:pt>
                <c:pt idx="4">
                  <c:v>221</c:v>
                </c:pt>
                <c:pt idx="5">
                  <c:v>158</c:v>
                </c:pt>
                <c:pt idx="6">
                  <c:v>326</c:v>
                </c:pt>
                <c:pt idx="7">
                  <c:v>264</c:v>
                </c:pt>
                <c:pt idx="8">
                  <c:v>131</c:v>
                </c:pt>
                <c:pt idx="9">
                  <c:v>264</c:v>
                </c:pt>
                <c:pt idx="10">
                  <c:v>153</c:v>
                </c:pt>
                <c:pt idx="11">
                  <c:v>212</c:v>
                </c:pt>
                <c:pt idx="12">
                  <c:v>191</c:v>
                </c:pt>
                <c:pt idx="13">
                  <c:v>105</c:v>
                </c:pt>
                <c:pt idx="14" formatCode="0">
                  <c:v>123</c:v>
                </c:pt>
                <c:pt idx="15" formatCode="0">
                  <c:v>194</c:v>
                </c:pt>
                <c:pt idx="16" formatCode="0">
                  <c:v>168</c:v>
                </c:pt>
                <c:pt idx="17" formatCode="0">
                  <c:v>264</c:v>
                </c:pt>
                <c:pt idx="18" formatCode="0">
                  <c:v>244</c:v>
                </c:pt>
                <c:pt idx="19" formatCode="0">
                  <c:v>201</c:v>
                </c:pt>
                <c:pt idx="20" formatCode="0">
                  <c:v>119</c:v>
                </c:pt>
                <c:pt idx="21" formatCode="0">
                  <c:v>89</c:v>
                </c:pt>
                <c:pt idx="22" formatCode="0">
                  <c:v>113</c:v>
                </c:pt>
                <c:pt idx="23" formatCode="0">
                  <c:v>134</c:v>
                </c:pt>
                <c:pt idx="24" formatCode="0">
                  <c:v>178</c:v>
                </c:pt>
                <c:pt idx="25" formatCode="0">
                  <c:v>134</c:v>
                </c:pt>
                <c:pt idx="26" formatCode="0">
                  <c:v>176</c:v>
                </c:pt>
                <c:pt idx="27" formatCode="0">
                  <c:v>143</c:v>
                </c:pt>
                <c:pt idx="28" formatCode="0">
                  <c:v>214</c:v>
                </c:pt>
                <c:pt idx="29" formatCode="0">
                  <c:v>182</c:v>
                </c:pt>
                <c:pt idx="30" formatCode="0">
                  <c:v>177</c:v>
                </c:pt>
                <c:pt idx="31" formatCode="0">
                  <c:v>144</c:v>
                </c:pt>
                <c:pt idx="32" formatCode="0">
                  <c:v>222</c:v>
                </c:pt>
                <c:pt idx="33" formatCode="0">
                  <c:v>119</c:v>
                </c:pt>
                <c:pt idx="34" formatCode="0">
                  <c:v>130</c:v>
                </c:pt>
                <c:pt idx="35" formatCode="0">
                  <c:v>49</c:v>
                </c:pt>
                <c:pt idx="36" formatCode="0">
                  <c:v>142</c:v>
                </c:pt>
                <c:pt idx="37" formatCode="0">
                  <c:v>115</c:v>
                </c:pt>
              </c:numCache>
            </c:numRef>
          </c:val>
        </c:ser>
        <c:ser>
          <c:idx val="2"/>
          <c:order val="2"/>
          <c:tx>
            <c:strRef>
              <c:f>'Org Barnet'!$H$2</c:f>
              <c:strCache>
                <c:ptCount val="1"/>
                <c:pt idx="0">
                  <c:v>Both</c:v>
                </c:pt>
              </c:strCache>
            </c:strRef>
          </c:tx>
          <c:cat>
            <c:numRef>
              <c:f>'Org Barnet'!$A$3:$A$40</c:f>
              <c:numCache>
                <c:formatCode>mmm\-yy</c:formatCode>
                <c:ptCount val="38"/>
                <c:pt idx="0">
                  <c:v>42125</c:v>
                </c:pt>
                <c:pt idx="1">
                  <c:v>42095</c:v>
                </c:pt>
                <c:pt idx="2">
                  <c:v>42064</c:v>
                </c:pt>
                <c:pt idx="3">
                  <c:v>42036</c:v>
                </c:pt>
                <c:pt idx="4">
                  <c:v>42005</c:v>
                </c:pt>
                <c:pt idx="5">
                  <c:v>41974</c:v>
                </c:pt>
                <c:pt idx="6">
                  <c:v>41944</c:v>
                </c:pt>
                <c:pt idx="7">
                  <c:v>41913</c:v>
                </c:pt>
                <c:pt idx="8">
                  <c:v>41883</c:v>
                </c:pt>
                <c:pt idx="9">
                  <c:v>41852</c:v>
                </c:pt>
                <c:pt idx="10">
                  <c:v>41821</c:v>
                </c:pt>
                <c:pt idx="11">
                  <c:v>41791</c:v>
                </c:pt>
                <c:pt idx="12">
                  <c:v>41760</c:v>
                </c:pt>
                <c:pt idx="13">
                  <c:v>41730</c:v>
                </c:pt>
                <c:pt idx="14">
                  <c:v>41699</c:v>
                </c:pt>
                <c:pt idx="15">
                  <c:v>41671</c:v>
                </c:pt>
                <c:pt idx="16">
                  <c:v>41640</c:v>
                </c:pt>
                <c:pt idx="17">
                  <c:v>41609</c:v>
                </c:pt>
                <c:pt idx="18">
                  <c:v>41579</c:v>
                </c:pt>
                <c:pt idx="19">
                  <c:v>41548</c:v>
                </c:pt>
                <c:pt idx="20">
                  <c:v>41518</c:v>
                </c:pt>
                <c:pt idx="21">
                  <c:v>41487</c:v>
                </c:pt>
                <c:pt idx="22">
                  <c:v>41456</c:v>
                </c:pt>
                <c:pt idx="23">
                  <c:v>41426</c:v>
                </c:pt>
                <c:pt idx="24">
                  <c:v>41395</c:v>
                </c:pt>
                <c:pt idx="25">
                  <c:v>41365</c:v>
                </c:pt>
                <c:pt idx="26">
                  <c:v>41334</c:v>
                </c:pt>
                <c:pt idx="27">
                  <c:v>41306</c:v>
                </c:pt>
                <c:pt idx="28">
                  <c:v>41275</c:v>
                </c:pt>
                <c:pt idx="29">
                  <c:v>41244</c:v>
                </c:pt>
                <c:pt idx="30">
                  <c:v>41214</c:v>
                </c:pt>
                <c:pt idx="31">
                  <c:v>41183</c:v>
                </c:pt>
                <c:pt idx="32">
                  <c:v>41153</c:v>
                </c:pt>
                <c:pt idx="33">
                  <c:v>41122</c:v>
                </c:pt>
                <c:pt idx="34">
                  <c:v>41091</c:v>
                </c:pt>
                <c:pt idx="35">
                  <c:v>41061</c:v>
                </c:pt>
                <c:pt idx="36">
                  <c:v>41030</c:v>
                </c:pt>
                <c:pt idx="37">
                  <c:v>41000</c:v>
                </c:pt>
              </c:numCache>
            </c:numRef>
          </c:cat>
          <c:val>
            <c:numRef>
              <c:f>'Org Barnet'!$H$3:$H$40</c:f>
              <c:numCache>
                <c:formatCode>#,##0</c:formatCode>
                <c:ptCount val="38"/>
                <c:pt idx="0" formatCode="0">
                  <c:v>0</c:v>
                </c:pt>
                <c:pt idx="1">
                  <c:v>7</c:v>
                </c:pt>
                <c:pt idx="2">
                  <c:v>18</c:v>
                </c:pt>
                <c:pt idx="3">
                  <c:v>28</c:v>
                </c:pt>
                <c:pt idx="4">
                  <c:v>30</c:v>
                </c:pt>
                <c:pt idx="5">
                  <c:v>59</c:v>
                </c:pt>
                <c:pt idx="6">
                  <c:v>58</c:v>
                </c:pt>
                <c:pt idx="7">
                  <c:v>71</c:v>
                </c:pt>
                <c:pt idx="8">
                  <c:v>7</c:v>
                </c:pt>
                <c:pt idx="9">
                  <c:v>11</c:v>
                </c:pt>
                <c:pt idx="10">
                  <c:v>31</c:v>
                </c:pt>
                <c:pt idx="11">
                  <c:v>0</c:v>
                </c:pt>
                <c:pt idx="12">
                  <c:v>0</c:v>
                </c:pt>
                <c:pt idx="13">
                  <c:v>0</c:v>
                </c:pt>
                <c:pt idx="14" formatCode="0">
                  <c:v>0</c:v>
                </c:pt>
                <c:pt idx="15" formatCode="0">
                  <c:v>0</c:v>
                </c:pt>
                <c:pt idx="16" formatCode="0">
                  <c:v>0</c:v>
                </c:pt>
                <c:pt idx="17" formatCode="0">
                  <c:v>0</c:v>
                </c:pt>
                <c:pt idx="18" formatCode="0">
                  <c:v>0</c:v>
                </c:pt>
                <c:pt idx="19" formatCode="0">
                  <c:v>0</c:v>
                </c:pt>
                <c:pt idx="20" formatCode="0">
                  <c:v>0</c:v>
                </c:pt>
                <c:pt idx="21" formatCode="0">
                  <c:v>0</c:v>
                </c:pt>
                <c:pt idx="22" formatCode="0">
                  <c:v>0</c:v>
                </c:pt>
                <c:pt idx="23" formatCode="0">
                  <c:v>0</c:v>
                </c:pt>
                <c:pt idx="24" formatCode="0">
                  <c:v>0</c:v>
                </c:pt>
                <c:pt idx="25" formatCode="0">
                  <c:v>0</c:v>
                </c:pt>
                <c:pt idx="26" formatCode="0">
                  <c:v>20</c:v>
                </c:pt>
                <c:pt idx="27" formatCode="0">
                  <c:v>3</c:v>
                </c:pt>
                <c:pt idx="28" formatCode="0">
                  <c:v>0</c:v>
                </c:pt>
                <c:pt idx="29" formatCode="0">
                  <c:v>0</c:v>
                </c:pt>
                <c:pt idx="30" formatCode="0">
                  <c:v>0</c:v>
                </c:pt>
                <c:pt idx="31" formatCode="0">
                  <c:v>0</c:v>
                </c:pt>
                <c:pt idx="32" formatCode="0">
                  <c:v>0</c:v>
                </c:pt>
                <c:pt idx="33" formatCode="0">
                  <c:v>0</c:v>
                </c:pt>
                <c:pt idx="34" formatCode="0">
                  <c:v>0</c:v>
                </c:pt>
                <c:pt idx="35" formatCode="0">
                  <c:v>0</c:v>
                </c:pt>
                <c:pt idx="36" formatCode="0">
                  <c:v>0</c:v>
                </c:pt>
                <c:pt idx="37" formatCode="0">
                  <c:v>0</c:v>
                </c:pt>
              </c:numCache>
            </c:numRef>
          </c:val>
        </c:ser>
        <c:dLbls>
          <c:showLegendKey val="0"/>
          <c:showVal val="0"/>
          <c:showCatName val="0"/>
          <c:showSerName val="0"/>
          <c:showPercent val="0"/>
          <c:showBubbleSize val="0"/>
        </c:dLbls>
        <c:axId val="153849856"/>
        <c:axId val="153851392"/>
      </c:areaChart>
      <c:dateAx>
        <c:axId val="153849856"/>
        <c:scaling>
          <c:orientation val="minMax"/>
        </c:scaling>
        <c:delete val="0"/>
        <c:axPos val="b"/>
        <c:numFmt formatCode="mmm\-yy" sourceLinked="1"/>
        <c:majorTickMark val="out"/>
        <c:minorTickMark val="none"/>
        <c:tickLblPos val="nextTo"/>
        <c:crossAx val="153851392"/>
        <c:crosses val="autoZero"/>
        <c:auto val="1"/>
        <c:lblOffset val="100"/>
        <c:baseTimeUnit val="months"/>
      </c:dateAx>
      <c:valAx>
        <c:axId val="153851392"/>
        <c:scaling>
          <c:orientation val="minMax"/>
        </c:scaling>
        <c:delete val="0"/>
        <c:axPos val="l"/>
        <c:numFmt formatCode="0%" sourceLinked="1"/>
        <c:majorTickMark val="out"/>
        <c:minorTickMark val="none"/>
        <c:tickLblPos val="nextTo"/>
        <c:crossAx val="153849856"/>
        <c:crosses val="autoZero"/>
        <c:crossBetween val="midCat"/>
      </c:valAx>
    </c:plotArea>
    <c:legend>
      <c:legendPos val="b"/>
      <c:overlay val="0"/>
    </c:legend>
    <c:plotVisOnly val="1"/>
    <c:dispBlanksAs val="gap"/>
    <c:showDLblsOverMax val="0"/>
  </c:chart>
  <c:spPr>
    <a:ln>
      <a:solidFill>
        <a:schemeClr val="tx1"/>
      </a:solidFill>
    </a:ln>
  </c:sp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406206520890862"/>
          <c:y val="3.8678384199336557E-2"/>
          <c:w val="0.75331286688674515"/>
          <c:h val="0.47748272499406436"/>
        </c:manualLayout>
      </c:layout>
      <c:barChart>
        <c:barDir val="col"/>
        <c:grouping val="clustered"/>
        <c:varyColors val="0"/>
        <c:ser>
          <c:idx val="0"/>
          <c:order val="0"/>
          <c:tx>
            <c:strRef>
              <c:f>special!$K$6</c:f>
              <c:strCache>
                <c:ptCount val="1"/>
                <c:pt idx="0">
                  <c:v>Primary</c:v>
                </c:pt>
              </c:strCache>
            </c:strRef>
          </c:tx>
          <c:invertIfNegative val="0"/>
          <c:cat>
            <c:strRef>
              <c:f>special!$H$7:$H$18</c:f>
              <c:strCache>
                <c:ptCount val="12"/>
                <c:pt idx="0">
                  <c:v>Autistic Spectrum Disorder</c:v>
                </c:pt>
                <c:pt idx="1">
                  <c:v>Behavioural, Emotional and Social Difficulty</c:v>
                </c:pt>
                <c:pt idx="2">
                  <c:v>Hearing Impairment</c:v>
                </c:pt>
                <c:pt idx="3">
                  <c:v>Moderate Learning Difficulties</c:v>
                </c:pt>
                <c:pt idx="4">
                  <c:v>Multi-Sensory Impairment</c:v>
                </c:pt>
                <c:pt idx="5">
                  <c:v>Other</c:v>
                </c:pt>
                <c:pt idx="6">
                  <c:v>Physical Disability</c:v>
                </c:pt>
                <c:pt idx="7">
                  <c:v>Profound and Multiple Learning Difficulties</c:v>
                </c:pt>
                <c:pt idx="8">
                  <c:v>Speech, Language and Communication Needs</c:v>
                </c:pt>
                <c:pt idx="9">
                  <c:v>Severe Learning Difficulties</c:v>
                </c:pt>
                <c:pt idx="10">
                  <c:v>Specific Learning Difficulties</c:v>
                </c:pt>
                <c:pt idx="11">
                  <c:v>Visual Impairment</c:v>
                </c:pt>
              </c:strCache>
            </c:strRef>
          </c:cat>
          <c:val>
            <c:numRef>
              <c:f>special!$K$7:$K$18</c:f>
              <c:numCache>
                <c:formatCode>0.0%</c:formatCode>
                <c:ptCount val="12"/>
                <c:pt idx="0">
                  <c:v>0.10622483741096314</c:v>
                </c:pt>
                <c:pt idx="1">
                  <c:v>0.20935274078662125</c:v>
                </c:pt>
                <c:pt idx="2">
                  <c:v>1.8891297615360791E-2</c:v>
                </c:pt>
                <c:pt idx="3">
                  <c:v>7.2158563022607619E-2</c:v>
                </c:pt>
                <c:pt idx="4">
                  <c:v>3.7163208423660575E-3</c:v>
                </c:pt>
                <c:pt idx="5">
                  <c:v>5.760297305667389E-2</c:v>
                </c:pt>
                <c:pt idx="6">
                  <c:v>6.0390213688448435E-2</c:v>
                </c:pt>
                <c:pt idx="7">
                  <c:v>1.486528336946423E-2</c:v>
                </c:pt>
                <c:pt idx="8">
                  <c:v>0.33415918240941467</c:v>
                </c:pt>
                <c:pt idx="9">
                  <c:v>1.7652524001238772E-2</c:v>
                </c:pt>
                <c:pt idx="10">
                  <c:v>9.2598327655620941E-2</c:v>
                </c:pt>
                <c:pt idx="11">
                  <c:v>1.2387736141220192E-2</c:v>
                </c:pt>
              </c:numCache>
            </c:numRef>
          </c:val>
        </c:ser>
        <c:ser>
          <c:idx val="1"/>
          <c:order val="1"/>
          <c:tx>
            <c:strRef>
              <c:f>special!$L$6</c:f>
              <c:strCache>
                <c:ptCount val="1"/>
                <c:pt idx="0">
                  <c:v>Secondary</c:v>
                </c:pt>
              </c:strCache>
            </c:strRef>
          </c:tx>
          <c:invertIfNegative val="0"/>
          <c:cat>
            <c:strRef>
              <c:f>special!$H$7:$H$18</c:f>
              <c:strCache>
                <c:ptCount val="12"/>
                <c:pt idx="0">
                  <c:v>Autistic Spectrum Disorder</c:v>
                </c:pt>
                <c:pt idx="1">
                  <c:v>Behavioural, Emotional and Social Difficulty</c:v>
                </c:pt>
                <c:pt idx="2">
                  <c:v>Hearing Impairment</c:v>
                </c:pt>
                <c:pt idx="3">
                  <c:v>Moderate Learning Difficulties</c:v>
                </c:pt>
                <c:pt idx="4">
                  <c:v>Multi-Sensory Impairment</c:v>
                </c:pt>
                <c:pt idx="5">
                  <c:v>Other</c:v>
                </c:pt>
                <c:pt idx="6">
                  <c:v>Physical Disability</c:v>
                </c:pt>
                <c:pt idx="7">
                  <c:v>Profound and Multiple Learning Difficulties</c:v>
                </c:pt>
                <c:pt idx="8">
                  <c:v>Speech, Language and Communication Needs</c:v>
                </c:pt>
                <c:pt idx="9">
                  <c:v>Severe Learning Difficulties</c:v>
                </c:pt>
                <c:pt idx="10">
                  <c:v>Specific Learning Difficulties</c:v>
                </c:pt>
                <c:pt idx="11">
                  <c:v>Visual Impairment</c:v>
                </c:pt>
              </c:strCache>
            </c:strRef>
          </c:cat>
          <c:val>
            <c:numRef>
              <c:f>special!$L$7:$L$18</c:f>
              <c:numCache>
                <c:formatCode>0.0%</c:formatCode>
                <c:ptCount val="12"/>
                <c:pt idx="0">
                  <c:v>0.10608078118064802</c:v>
                </c:pt>
                <c:pt idx="1">
                  <c:v>0.32268086995117623</c:v>
                </c:pt>
                <c:pt idx="2">
                  <c:v>1.9973368841544607E-2</c:v>
                </c:pt>
                <c:pt idx="3">
                  <c:v>8.7882822902796268E-2</c:v>
                </c:pt>
                <c:pt idx="4">
                  <c:v>8.8770528184642697E-4</c:v>
                </c:pt>
                <c:pt idx="5">
                  <c:v>8.9658233466489129E-2</c:v>
                </c:pt>
                <c:pt idx="6">
                  <c:v>5.7700843320017757E-2</c:v>
                </c:pt>
                <c:pt idx="7">
                  <c:v>1.5090989791389259E-2</c:v>
                </c:pt>
                <c:pt idx="8">
                  <c:v>0.13093652907234798</c:v>
                </c:pt>
                <c:pt idx="9">
                  <c:v>2.7518863737239236E-2</c:v>
                </c:pt>
                <c:pt idx="10">
                  <c:v>0.12960497114957834</c:v>
                </c:pt>
                <c:pt idx="11">
                  <c:v>1.1984021304926764E-2</c:v>
                </c:pt>
              </c:numCache>
            </c:numRef>
          </c:val>
        </c:ser>
        <c:dLbls>
          <c:showLegendKey val="0"/>
          <c:showVal val="0"/>
          <c:showCatName val="0"/>
          <c:showSerName val="0"/>
          <c:showPercent val="0"/>
          <c:showBubbleSize val="0"/>
        </c:dLbls>
        <c:gapWidth val="150"/>
        <c:axId val="153873024"/>
        <c:axId val="153948544"/>
      </c:barChart>
      <c:catAx>
        <c:axId val="153873024"/>
        <c:scaling>
          <c:orientation val="minMax"/>
        </c:scaling>
        <c:delete val="0"/>
        <c:axPos val="b"/>
        <c:majorTickMark val="out"/>
        <c:minorTickMark val="none"/>
        <c:tickLblPos val="low"/>
        <c:txPr>
          <a:bodyPr/>
          <a:lstStyle/>
          <a:p>
            <a:pPr>
              <a:defRPr sz="800"/>
            </a:pPr>
            <a:endParaRPr lang="en-US"/>
          </a:p>
        </c:txPr>
        <c:crossAx val="153948544"/>
        <c:crosses val="autoZero"/>
        <c:auto val="1"/>
        <c:lblAlgn val="ctr"/>
        <c:lblOffset val="100"/>
        <c:noMultiLvlLbl val="0"/>
      </c:catAx>
      <c:valAx>
        <c:axId val="153948544"/>
        <c:scaling>
          <c:orientation val="minMax"/>
        </c:scaling>
        <c:delete val="0"/>
        <c:axPos val="l"/>
        <c:majorGridlines>
          <c:spPr>
            <a:ln>
              <a:noFill/>
            </a:ln>
          </c:spPr>
        </c:majorGridlines>
        <c:numFmt formatCode="0.0%" sourceLinked="1"/>
        <c:majorTickMark val="out"/>
        <c:minorTickMark val="none"/>
        <c:tickLblPos val="nextTo"/>
        <c:crossAx val="153873024"/>
        <c:crosses val="autoZero"/>
        <c:crossBetween val="between"/>
      </c:valAx>
    </c:plotArea>
    <c:legend>
      <c:legendPos val="r"/>
      <c:overlay val="0"/>
    </c:legend>
    <c:plotVisOnly val="1"/>
    <c:dispBlanksAs val="gap"/>
    <c:showDLblsOverMax val="0"/>
  </c:chart>
  <c:spPr>
    <a:noFill/>
  </c:spPr>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'SEN Statement History'!$B$2</c:f>
              <c:strCache>
                <c:ptCount val="1"/>
                <c:pt idx="0">
                  <c:v>ASD</c:v>
                </c:pt>
              </c:strCache>
            </c:strRef>
          </c:tx>
          <c:spPr>
            <a:ln>
              <a:solidFill>
                <a:srgbClr val="FF0000"/>
              </a:solidFill>
            </a:ln>
          </c:spPr>
          <c:marker>
            <c:symbol val="none"/>
          </c:marker>
          <c:cat>
            <c:numRef>
              <c:f>'SEN Statement History'!$C$1:$G$1</c:f>
              <c:numCache>
                <c:formatCode>General</c:formatCode>
                <c:ptCount val="5"/>
                <c:pt idx="0">
                  <c:v>2010</c:v>
                </c:pt>
                <c:pt idx="1">
                  <c:v>2011</c:v>
                </c:pt>
                <c:pt idx="2">
                  <c:v>2012</c:v>
                </c:pt>
                <c:pt idx="3">
                  <c:v>2013</c:v>
                </c:pt>
                <c:pt idx="4">
                  <c:v>2014</c:v>
                </c:pt>
              </c:numCache>
            </c:numRef>
          </c:cat>
          <c:val>
            <c:numRef>
              <c:f>'SEN Statement History'!$C$2:$G$2</c:f>
              <c:numCache>
                <c:formatCode>General</c:formatCode>
                <c:ptCount val="5"/>
                <c:pt idx="0">
                  <c:v>341</c:v>
                </c:pt>
                <c:pt idx="1">
                  <c:v>413</c:v>
                </c:pt>
                <c:pt idx="2">
                  <c:v>446</c:v>
                </c:pt>
                <c:pt idx="3">
                  <c:v>468</c:v>
                </c:pt>
                <c:pt idx="4">
                  <c:v>492</c:v>
                </c:pt>
              </c:numCache>
            </c:numRef>
          </c:val>
          <c:smooth val="0"/>
        </c:ser>
        <c:ser>
          <c:idx val="1"/>
          <c:order val="1"/>
          <c:tx>
            <c:strRef>
              <c:f>'SEN Statement History'!$B$3</c:f>
              <c:strCache>
                <c:ptCount val="1"/>
                <c:pt idx="0">
                  <c:v>SLCN</c:v>
                </c:pt>
              </c:strCache>
            </c:strRef>
          </c:tx>
          <c:spPr>
            <a:ln>
              <a:solidFill>
                <a:srgbClr val="00B0F0"/>
              </a:solidFill>
            </a:ln>
          </c:spPr>
          <c:marker>
            <c:symbol val="none"/>
          </c:marker>
          <c:cat>
            <c:numRef>
              <c:f>'SEN Statement History'!$C$1:$G$1</c:f>
              <c:numCache>
                <c:formatCode>General</c:formatCode>
                <c:ptCount val="5"/>
                <c:pt idx="0">
                  <c:v>2010</c:v>
                </c:pt>
                <c:pt idx="1">
                  <c:v>2011</c:v>
                </c:pt>
                <c:pt idx="2">
                  <c:v>2012</c:v>
                </c:pt>
                <c:pt idx="3">
                  <c:v>2013</c:v>
                </c:pt>
                <c:pt idx="4">
                  <c:v>2014</c:v>
                </c:pt>
              </c:numCache>
            </c:numRef>
          </c:cat>
          <c:val>
            <c:numRef>
              <c:f>'SEN Statement History'!$C$3:$G$3</c:f>
              <c:numCache>
                <c:formatCode>General</c:formatCode>
                <c:ptCount val="5"/>
                <c:pt idx="0">
                  <c:v>390</c:v>
                </c:pt>
                <c:pt idx="1">
                  <c:v>400</c:v>
                </c:pt>
                <c:pt idx="2">
                  <c:v>398</c:v>
                </c:pt>
                <c:pt idx="3">
                  <c:v>418</c:v>
                </c:pt>
                <c:pt idx="4">
                  <c:v>449</c:v>
                </c:pt>
              </c:numCache>
            </c:numRef>
          </c:val>
          <c:smooth val="0"/>
        </c:ser>
        <c:ser>
          <c:idx val="2"/>
          <c:order val="2"/>
          <c:tx>
            <c:strRef>
              <c:f>'SEN Statement History'!$B$4</c:f>
              <c:strCache>
                <c:ptCount val="1"/>
                <c:pt idx="0">
                  <c:v>BESD</c:v>
                </c:pt>
              </c:strCache>
            </c:strRef>
          </c:tx>
          <c:spPr>
            <a:ln>
              <a:solidFill>
                <a:srgbClr val="7030A0"/>
              </a:solidFill>
            </a:ln>
          </c:spPr>
          <c:marker>
            <c:symbol val="none"/>
          </c:marker>
          <c:cat>
            <c:numRef>
              <c:f>'SEN Statement History'!$C$1:$G$1</c:f>
              <c:numCache>
                <c:formatCode>General</c:formatCode>
                <c:ptCount val="5"/>
                <c:pt idx="0">
                  <c:v>2010</c:v>
                </c:pt>
                <c:pt idx="1">
                  <c:v>2011</c:v>
                </c:pt>
                <c:pt idx="2">
                  <c:v>2012</c:v>
                </c:pt>
                <c:pt idx="3">
                  <c:v>2013</c:v>
                </c:pt>
                <c:pt idx="4">
                  <c:v>2014</c:v>
                </c:pt>
              </c:numCache>
            </c:numRef>
          </c:cat>
          <c:val>
            <c:numRef>
              <c:f>'SEN Statement History'!$C$4:$G$4</c:f>
              <c:numCache>
                <c:formatCode>General</c:formatCode>
                <c:ptCount val="5"/>
                <c:pt idx="0">
                  <c:v>212</c:v>
                </c:pt>
                <c:pt idx="1">
                  <c:v>206</c:v>
                </c:pt>
                <c:pt idx="2">
                  <c:v>217</c:v>
                </c:pt>
                <c:pt idx="3">
                  <c:v>222</c:v>
                </c:pt>
                <c:pt idx="4">
                  <c:v>225</c:v>
                </c:pt>
              </c:numCache>
            </c:numRef>
          </c:val>
          <c:smooth val="0"/>
        </c:ser>
        <c:ser>
          <c:idx val="3"/>
          <c:order val="3"/>
          <c:tx>
            <c:strRef>
              <c:f>'SEN Statement History'!$B$5</c:f>
              <c:strCache>
                <c:ptCount val="1"/>
                <c:pt idx="0">
                  <c:v>HI</c:v>
                </c:pt>
              </c:strCache>
            </c:strRef>
          </c:tx>
          <c:marker>
            <c:symbol val="none"/>
          </c:marker>
          <c:cat>
            <c:numRef>
              <c:f>'SEN Statement History'!$C$1:$G$1</c:f>
              <c:numCache>
                <c:formatCode>General</c:formatCode>
                <c:ptCount val="5"/>
                <c:pt idx="0">
                  <c:v>2010</c:v>
                </c:pt>
                <c:pt idx="1">
                  <c:v>2011</c:v>
                </c:pt>
                <c:pt idx="2">
                  <c:v>2012</c:v>
                </c:pt>
                <c:pt idx="3">
                  <c:v>2013</c:v>
                </c:pt>
                <c:pt idx="4">
                  <c:v>2014</c:v>
                </c:pt>
              </c:numCache>
            </c:numRef>
          </c:cat>
          <c:val>
            <c:numRef>
              <c:f>'SEN Statement History'!$C$5:$G$5</c:f>
              <c:numCache>
                <c:formatCode>General</c:formatCode>
                <c:ptCount val="5"/>
                <c:pt idx="0">
                  <c:v>56</c:v>
                </c:pt>
                <c:pt idx="1">
                  <c:v>51</c:v>
                </c:pt>
                <c:pt idx="2">
                  <c:v>52</c:v>
                </c:pt>
                <c:pt idx="3">
                  <c:v>51</c:v>
                </c:pt>
                <c:pt idx="4">
                  <c:v>51</c:v>
                </c:pt>
              </c:numCache>
            </c:numRef>
          </c:val>
          <c:smooth val="0"/>
        </c:ser>
        <c:ser>
          <c:idx val="4"/>
          <c:order val="4"/>
          <c:tx>
            <c:strRef>
              <c:f>'SEN Statement History'!$B$6</c:f>
              <c:strCache>
                <c:ptCount val="1"/>
                <c:pt idx="0">
                  <c:v>MLD</c:v>
                </c:pt>
              </c:strCache>
            </c:strRef>
          </c:tx>
          <c:spPr>
            <a:ln>
              <a:solidFill>
                <a:srgbClr val="FFFF00"/>
              </a:solidFill>
            </a:ln>
          </c:spPr>
          <c:marker>
            <c:symbol val="none"/>
          </c:marker>
          <c:cat>
            <c:numRef>
              <c:f>'SEN Statement History'!$C$1:$G$1</c:f>
              <c:numCache>
                <c:formatCode>General</c:formatCode>
                <c:ptCount val="5"/>
                <c:pt idx="0">
                  <c:v>2010</c:v>
                </c:pt>
                <c:pt idx="1">
                  <c:v>2011</c:v>
                </c:pt>
                <c:pt idx="2">
                  <c:v>2012</c:v>
                </c:pt>
                <c:pt idx="3">
                  <c:v>2013</c:v>
                </c:pt>
                <c:pt idx="4">
                  <c:v>2014</c:v>
                </c:pt>
              </c:numCache>
            </c:numRef>
          </c:cat>
          <c:val>
            <c:numRef>
              <c:f>'SEN Statement History'!$C$6:$G$6</c:f>
              <c:numCache>
                <c:formatCode>General</c:formatCode>
                <c:ptCount val="5"/>
                <c:pt idx="0">
                  <c:v>205</c:v>
                </c:pt>
                <c:pt idx="1">
                  <c:v>184</c:v>
                </c:pt>
                <c:pt idx="2">
                  <c:v>196</c:v>
                </c:pt>
                <c:pt idx="3">
                  <c:v>194</c:v>
                </c:pt>
                <c:pt idx="4">
                  <c:v>173</c:v>
                </c:pt>
              </c:numCache>
            </c:numRef>
          </c:val>
          <c:smooth val="0"/>
        </c:ser>
        <c:ser>
          <c:idx val="5"/>
          <c:order val="5"/>
          <c:tx>
            <c:strRef>
              <c:f>'SEN Statement History'!$B$7</c:f>
              <c:strCache>
                <c:ptCount val="1"/>
                <c:pt idx="0">
                  <c:v>MSI</c:v>
                </c:pt>
              </c:strCache>
            </c:strRef>
          </c:tx>
          <c:spPr>
            <a:ln>
              <a:solidFill>
                <a:srgbClr val="C00000"/>
              </a:solidFill>
            </a:ln>
          </c:spPr>
          <c:marker>
            <c:symbol val="none"/>
          </c:marker>
          <c:cat>
            <c:numRef>
              <c:f>'SEN Statement History'!$C$1:$G$1</c:f>
              <c:numCache>
                <c:formatCode>General</c:formatCode>
                <c:ptCount val="5"/>
                <c:pt idx="0">
                  <c:v>2010</c:v>
                </c:pt>
                <c:pt idx="1">
                  <c:v>2011</c:v>
                </c:pt>
                <c:pt idx="2">
                  <c:v>2012</c:v>
                </c:pt>
                <c:pt idx="3">
                  <c:v>2013</c:v>
                </c:pt>
                <c:pt idx="4">
                  <c:v>2014</c:v>
                </c:pt>
              </c:numCache>
            </c:numRef>
          </c:cat>
          <c:val>
            <c:numRef>
              <c:f>'SEN Statement History'!$C$7:$G$7</c:f>
              <c:numCache>
                <c:formatCode>General</c:formatCode>
                <c:ptCount val="5"/>
                <c:pt idx="0">
                  <c:v>6</c:v>
                </c:pt>
                <c:pt idx="1">
                  <c:v>6</c:v>
                </c:pt>
                <c:pt idx="2">
                  <c:v>6</c:v>
                </c:pt>
                <c:pt idx="3">
                  <c:v>6</c:v>
                </c:pt>
                <c:pt idx="4">
                  <c:v>6</c:v>
                </c:pt>
              </c:numCache>
            </c:numRef>
          </c:val>
          <c:smooth val="0"/>
        </c:ser>
        <c:ser>
          <c:idx val="6"/>
          <c:order val="6"/>
          <c:tx>
            <c:strRef>
              <c:f>'SEN Statement History'!$B$8</c:f>
              <c:strCache>
                <c:ptCount val="1"/>
                <c:pt idx="0">
                  <c:v>OD/D</c:v>
                </c:pt>
              </c:strCache>
            </c:strRef>
          </c:tx>
          <c:marker>
            <c:symbol val="none"/>
          </c:marker>
          <c:cat>
            <c:numRef>
              <c:f>'SEN Statement History'!$C$1:$G$1</c:f>
              <c:numCache>
                <c:formatCode>General</c:formatCode>
                <c:ptCount val="5"/>
                <c:pt idx="0">
                  <c:v>2010</c:v>
                </c:pt>
                <c:pt idx="1">
                  <c:v>2011</c:v>
                </c:pt>
                <c:pt idx="2">
                  <c:v>2012</c:v>
                </c:pt>
                <c:pt idx="3">
                  <c:v>2013</c:v>
                </c:pt>
                <c:pt idx="4">
                  <c:v>2014</c:v>
                </c:pt>
              </c:numCache>
            </c:numRef>
          </c:cat>
          <c:val>
            <c:numRef>
              <c:f>'SEN Statement History'!$C$8:$G$8</c:f>
              <c:numCache>
                <c:formatCode>General</c:formatCode>
                <c:ptCount val="5"/>
                <c:pt idx="0">
                  <c:v>28</c:v>
                </c:pt>
                <c:pt idx="1">
                  <c:v>32</c:v>
                </c:pt>
                <c:pt idx="2">
                  <c:v>29</c:v>
                </c:pt>
                <c:pt idx="3">
                  <c:v>26</c:v>
                </c:pt>
                <c:pt idx="4">
                  <c:v>30</c:v>
                </c:pt>
              </c:numCache>
            </c:numRef>
          </c:val>
          <c:smooth val="0"/>
        </c:ser>
        <c:ser>
          <c:idx val="7"/>
          <c:order val="7"/>
          <c:tx>
            <c:strRef>
              <c:f>'SEN Statement History'!$B$9</c:f>
              <c:strCache>
                <c:ptCount val="1"/>
                <c:pt idx="0">
                  <c:v>PD</c:v>
                </c:pt>
              </c:strCache>
            </c:strRef>
          </c:tx>
          <c:spPr>
            <a:ln>
              <a:solidFill>
                <a:srgbClr val="FFC000"/>
              </a:solidFill>
            </a:ln>
          </c:spPr>
          <c:marker>
            <c:symbol val="none"/>
          </c:marker>
          <c:cat>
            <c:numRef>
              <c:f>'SEN Statement History'!$C$1:$G$1</c:f>
              <c:numCache>
                <c:formatCode>General</c:formatCode>
                <c:ptCount val="5"/>
                <c:pt idx="0">
                  <c:v>2010</c:v>
                </c:pt>
                <c:pt idx="1">
                  <c:v>2011</c:v>
                </c:pt>
                <c:pt idx="2">
                  <c:v>2012</c:v>
                </c:pt>
                <c:pt idx="3">
                  <c:v>2013</c:v>
                </c:pt>
                <c:pt idx="4">
                  <c:v>2014</c:v>
                </c:pt>
              </c:numCache>
            </c:numRef>
          </c:cat>
          <c:val>
            <c:numRef>
              <c:f>'SEN Statement History'!$C$9:$G$9</c:f>
              <c:numCache>
                <c:formatCode>General</c:formatCode>
                <c:ptCount val="5"/>
                <c:pt idx="0">
                  <c:v>178</c:v>
                </c:pt>
                <c:pt idx="1">
                  <c:v>182</c:v>
                </c:pt>
                <c:pt idx="2">
                  <c:v>182</c:v>
                </c:pt>
                <c:pt idx="3">
                  <c:v>172</c:v>
                </c:pt>
                <c:pt idx="4">
                  <c:v>168</c:v>
                </c:pt>
              </c:numCache>
            </c:numRef>
          </c:val>
          <c:smooth val="0"/>
        </c:ser>
        <c:ser>
          <c:idx val="8"/>
          <c:order val="8"/>
          <c:tx>
            <c:strRef>
              <c:f>'SEN Statement History'!$B$10</c:f>
              <c:strCache>
                <c:ptCount val="1"/>
                <c:pt idx="0">
                  <c:v>PMLD</c:v>
                </c:pt>
              </c:strCache>
            </c:strRef>
          </c:tx>
          <c:spPr>
            <a:ln>
              <a:solidFill>
                <a:srgbClr val="FF6600"/>
              </a:solidFill>
            </a:ln>
          </c:spPr>
          <c:marker>
            <c:symbol val="none"/>
          </c:marker>
          <c:cat>
            <c:numRef>
              <c:f>'SEN Statement History'!$C$1:$G$1</c:f>
              <c:numCache>
                <c:formatCode>General</c:formatCode>
                <c:ptCount val="5"/>
                <c:pt idx="0">
                  <c:v>2010</c:v>
                </c:pt>
                <c:pt idx="1">
                  <c:v>2011</c:v>
                </c:pt>
                <c:pt idx="2">
                  <c:v>2012</c:v>
                </c:pt>
                <c:pt idx="3">
                  <c:v>2013</c:v>
                </c:pt>
                <c:pt idx="4">
                  <c:v>2014</c:v>
                </c:pt>
              </c:numCache>
            </c:numRef>
          </c:cat>
          <c:val>
            <c:numRef>
              <c:f>'SEN Statement History'!$C$10:$G$10</c:f>
              <c:numCache>
                <c:formatCode>General</c:formatCode>
                <c:ptCount val="5"/>
                <c:pt idx="0">
                  <c:v>29</c:v>
                </c:pt>
                <c:pt idx="1">
                  <c:v>30</c:v>
                </c:pt>
                <c:pt idx="2">
                  <c:v>30</c:v>
                </c:pt>
                <c:pt idx="3">
                  <c:v>30</c:v>
                </c:pt>
                <c:pt idx="4">
                  <c:v>31</c:v>
                </c:pt>
              </c:numCache>
            </c:numRef>
          </c:val>
          <c:smooth val="0"/>
        </c:ser>
        <c:ser>
          <c:idx val="9"/>
          <c:order val="9"/>
          <c:tx>
            <c:strRef>
              <c:f>'SEN Statement History'!$B$11</c:f>
              <c:strCache>
                <c:ptCount val="1"/>
                <c:pt idx="0">
                  <c:v>SLD</c:v>
                </c:pt>
              </c:strCache>
            </c:strRef>
          </c:tx>
          <c:marker>
            <c:symbol val="none"/>
          </c:marker>
          <c:cat>
            <c:numRef>
              <c:f>'SEN Statement History'!$C$1:$G$1</c:f>
              <c:numCache>
                <c:formatCode>General</c:formatCode>
                <c:ptCount val="5"/>
                <c:pt idx="0">
                  <c:v>2010</c:v>
                </c:pt>
                <c:pt idx="1">
                  <c:v>2011</c:v>
                </c:pt>
                <c:pt idx="2">
                  <c:v>2012</c:v>
                </c:pt>
                <c:pt idx="3">
                  <c:v>2013</c:v>
                </c:pt>
                <c:pt idx="4">
                  <c:v>2014</c:v>
                </c:pt>
              </c:numCache>
            </c:numRef>
          </c:cat>
          <c:val>
            <c:numRef>
              <c:f>'SEN Statement History'!$C$11:$G$11</c:f>
              <c:numCache>
                <c:formatCode>General</c:formatCode>
                <c:ptCount val="5"/>
                <c:pt idx="0">
                  <c:v>58</c:v>
                </c:pt>
                <c:pt idx="1">
                  <c:v>47</c:v>
                </c:pt>
                <c:pt idx="2">
                  <c:v>47</c:v>
                </c:pt>
                <c:pt idx="3">
                  <c:v>46</c:v>
                </c:pt>
                <c:pt idx="4">
                  <c:v>38</c:v>
                </c:pt>
              </c:numCache>
            </c:numRef>
          </c:val>
          <c:smooth val="0"/>
        </c:ser>
        <c:ser>
          <c:idx val="10"/>
          <c:order val="10"/>
          <c:tx>
            <c:strRef>
              <c:f>'SEN Statement History'!$B$12</c:f>
              <c:strCache>
                <c:ptCount val="1"/>
                <c:pt idx="0">
                  <c:v>SpLD</c:v>
                </c:pt>
              </c:strCache>
            </c:strRef>
          </c:tx>
          <c:spPr>
            <a:ln>
              <a:solidFill>
                <a:schemeClr val="tx2">
                  <a:lumMod val="60000"/>
                  <a:lumOff val="40000"/>
                </a:schemeClr>
              </a:solidFill>
            </a:ln>
          </c:spPr>
          <c:marker>
            <c:symbol val="none"/>
          </c:marker>
          <c:cat>
            <c:numRef>
              <c:f>'SEN Statement History'!$C$1:$G$1</c:f>
              <c:numCache>
                <c:formatCode>General</c:formatCode>
                <c:ptCount val="5"/>
                <c:pt idx="0">
                  <c:v>2010</c:v>
                </c:pt>
                <c:pt idx="1">
                  <c:v>2011</c:v>
                </c:pt>
                <c:pt idx="2">
                  <c:v>2012</c:v>
                </c:pt>
                <c:pt idx="3">
                  <c:v>2013</c:v>
                </c:pt>
                <c:pt idx="4">
                  <c:v>2014</c:v>
                </c:pt>
              </c:numCache>
            </c:numRef>
          </c:cat>
          <c:val>
            <c:numRef>
              <c:f>'SEN Statement History'!$C$12:$G$12</c:f>
              <c:numCache>
                <c:formatCode>General</c:formatCode>
                <c:ptCount val="5"/>
                <c:pt idx="0">
                  <c:v>51</c:v>
                </c:pt>
                <c:pt idx="1">
                  <c:v>49</c:v>
                </c:pt>
                <c:pt idx="2">
                  <c:v>46</c:v>
                </c:pt>
                <c:pt idx="3">
                  <c:v>47</c:v>
                </c:pt>
                <c:pt idx="4">
                  <c:v>46</c:v>
                </c:pt>
              </c:numCache>
            </c:numRef>
          </c:val>
          <c:smooth val="0"/>
        </c:ser>
        <c:ser>
          <c:idx val="11"/>
          <c:order val="11"/>
          <c:tx>
            <c:strRef>
              <c:f>'SEN Statement History'!$B$13</c:f>
              <c:strCache>
                <c:ptCount val="1"/>
                <c:pt idx="0">
                  <c:v>VI</c:v>
                </c:pt>
              </c:strCache>
            </c:strRef>
          </c:tx>
          <c:spPr>
            <a:ln>
              <a:solidFill>
                <a:srgbClr val="0070C0"/>
              </a:solidFill>
            </a:ln>
          </c:spPr>
          <c:marker>
            <c:symbol val="none"/>
          </c:marker>
          <c:cat>
            <c:numRef>
              <c:f>'SEN Statement History'!$C$1:$G$1</c:f>
              <c:numCache>
                <c:formatCode>General</c:formatCode>
                <c:ptCount val="5"/>
                <c:pt idx="0">
                  <c:v>2010</c:v>
                </c:pt>
                <c:pt idx="1">
                  <c:v>2011</c:v>
                </c:pt>
                <c:pt idx="2">
                  <c:v>2012</c:v>
                </c:pt>
                <c:pt idx="3">
                  <c:v>2013</c:v>
                </c:pt>
                <c:pt idx="4">
                  <c:v>2014</c:v>
                </c:pt>
              </c:numCache>
            </c:numRef>
          </c:cat>
          <c:val>
            <c:numRef>
              <c:f>'SEN Statement History'!$C$13:$G$13</c:f>
              <c:numCache>
                <c:formatCode>General</c:formatCode>
                <c:ptCount val="5"/>
                <c:pt idx="0">
                  <c:v>26</c:v>
                </c:pt>
                <c:pt idx="1">
                  <c:v>25</c:v>
                </c:pt>
                <c:pt idx="2">
                  <c:v>27</c:v>
                </c:pt>
                <c:pt idx="3">
                  <c:v>27</c:v>
                </c:pt>
                <c:pt idx="4">
                  <c:v>29</c:v>
                </c:pt>
              </c:numCache>
            </c:numRef>
          </c:val>
          <c:smooth val="0"/>
        </c:ser>
        <c:ser>
          <c:idx val="12"/>
          <c:order val="12"/>
          <c:tx>
            <c:strRef>
              <c:f>'SEN Statement History'!$B$14</c:f>
              <c:strCache>
                <c:ptCount val="1"/>
                <c:pt idx="0">
                  <c:v>Unknown</c:v>
                </c:pt>
              </c:strCache>
            </c:strRef>
          </c:tx>
          <c:spPr>
            <a:ln>
              <a:solidFill>
                <a:schemeClr val="tx1">
                  <a:lumMod val="50000"/>
                </a:schemeClr>
              </a:solidFill>
            </a:ln>
          </c:spPr>
          <c:marker>
            <c:symbol val="none"/>
          </c:marker>
          <c:cat>
            <c:numRef>
              <c:f>'SEN Statement History'!$C$1:$G$1</c:f>
              <c:numCache>
                <c:formatCode>General</c:formatCode>
                <c:ptCount val="5"/>
                <c:pt idx="0">
                  <c:v>2010</c:v>
                </c:pt>
                <c:pt idx="1">
                  <c:v>2011</c:v>
                </c:pt>
                <c:pt idx="2">
                  <c:v>2012</c:v>
                </c:pt>
                <c:pt idx="3">
                  <c:v>2013</c:v>
                </c:pt>
                <c:pt idx="4">
                  <c:v>2014</c:v>
                </c:pt>
              </c:numCache>
            </c:numRef>
          </c:cat>
          <c:val>
            <c:numRef>
              <c:f>'SEN Statement History'!$C$14:$G$14</c:f>
              <c:numCache>
                <c:formatCode>General</c:formatCode>
                <c:ptCount val="5"/>
                <c:pt idx="3">
                  <c:v>2</c:v>
                </c:pt>
                <c:pt idx="4">
                  <c:v>13</c:v>
                </c:pt>
              </c:numCache>
            </c:numRef>
          </c:val>
          <c:smooth val="0"/>
        </c:ser>
        <c:dLbls>
          <c:showLegendKey val="0"/>
          <c:showVal val="0"/>
          <c:showCatName val="0"/>
          <c:showSerName val="0"/>
          <c:showPercent val="0"/>
          <c:showBubbleSize val="0"/>
        </c:dLbls>
        <c:marker val="1"/>
        <c:smooth val="0"/>
        <c:axId val="171623936"/>
        <c:axId val="171625472"/>
      </c:lineChart>
      <c:catAx>
        <c:axId val="171623936"/>
        <c:scaling>
          <c:orientation val="minMax"/>
        </c:scaling>
        <c:delete val="0"/>
        <c:axPos val="b"/>
        <c:numFmt formatCode="General" sourceLinked="1"/>
        <c:majorTickMark val="out"/>
        <c:minorTickMark val="none"/>
        <c:tickLblPos val="nextTo"/>
        <c:crossAx val="171625472"/>
        <c:crosses val="autoZero"/>
        <c:auto val="1"/>
        <c:lblAlgn val="ctr"/>
        <c:lblOffset val="100"/>
        <c:noMultiLvlLbl val="0"/>
      </c:catAx>
      <c:valAx>
        <c:axId val="171625472"/>
        <c:scaling>
          <c:orientation val="minMax"/>
        </c:scaling>
        <c:delete val="0"/>
        <c:axPos val="l"/>
        <c:majorGridlines/>
        <c:numFmt formatCode="General" sourceLinked="1"/>
        <c:majorTickMark val="out"/>
        <c:minorTickMark val="none"/>
        <c:tickLblPos val="nextTo"/>
        <c:crossAx val="171623936"/>
        <c:crosses val="autoZero"/>
        <c:crossBetween val="between"/>
      </c:valAx>
      <c:spPr>
        <a:ln>
          <a:solidFill>
            <a:schemeClr val="tx2">
              <a:lumMod val="60000"/>
              <a:lumOff val="40000"/>
            </a:schemeClr>
          </a:solidFill>
        </a:ln>
      </c:spPr>
    </c:plotArea>
    <c:legend>
      <c:legendPos val="r"/>
      <c:layout>
        <c:manualLayout>
          <c:xMode val="edge"/>
          <c:yMode val="edge"/>
          <c:x val="0.83199142360726031"/>
          <c:y val="5.1509186351706024E-2"/>
          <c:w val="0.154594760162022"/>
          <c:h val="0.94849081364829402"/>
        </c:manualLayout>
      </c:layout>
      <c:overlay val="0"/>
      <c:spPr>
        <a:ln>
          <a:solidFill>
            <a:srgbClr val="00B050"/>
          </a:solidFill>
        </a:ln>
      </c:spPr>
    </c:legend>
    <c:plotVisOnly val="1"/>
    <c:dispBlanksAs val="gap"/>
    <c:showDLblsOverMax val="0"/>
  </c:chart>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1083540389036637E-2"/>
          <c:y val="0.11589268982295793"/>
          <c:w val="0.90694063302021322"/>
          <c:h val="0.56739612210797952"/>
        </c:manualLayout>
      </c:layout>
      <c:barChart>
        <c:barDir val="col"/>
        <c:grouping val="clustered"/>
        <c:varyColors val="0"/>
        <c:ser>
          <c:idx val="0"/>
          <c:order val="0"/>
          <c:tx>
            <c:strRef>
              <c:f>Sheet1!$B$4</c:f>
              <c:strCache>
                <c:ptCount val="1"/>
                <c:pt idx="0">
                  <c:v>Barnet</c:v>
                </c:pt>
              </c:strCache>
            </c:strRef>
          </c:tx>
          <c:invertIfNegative val="0"/>
          <c:cat>
            <c:numRef>
              <c:f>Sheet1!$F$3:$K$3</c:f>
              <c:numCache>
                <c:formatCode>General</c:formatCode>
                <c:ptCount val="6"/>
                <c:pt idx="0">
                  <c:v>2009</c:v>
                </c:pt>
                <c:pt idx="1">
                  <c:v>2010</c:v>
                </c:pt>
                <c:pt idx="2">
                  <c:v>2011</c:v>
                </c:pt>
                <c:pt idx="3">
                  <c:v>2012</c:v>
                </c:pt>
                <c:pt idx="4">
                  <c:v>2013</c:v>
                </c:pt>
                <c:pt idx="5">
                  <c:v>2014</c:v>
                </c:pt>
              </c:numCache>
            </c:numRef>
          </c:cat>
          <c:val>
            <c:numRef>
              <c:f>Sheet1!$F$4:$K$4</c:f>
              <c:numCache>
                <c:formatCode>0.0</c:formatCode>
                <c:ptCount val="6"/>
                <c:pt idx="0">
                  <c:v>745.4</c:v>
                </c:pt>
                <c:pt idx="1">
                  <c:v>761.3</c:v>
                </c:pt>
                <c:pt idx="2">
                  <c:v>773.5</c:v>
                </c:pt>
                <c:pt idx="3">
                  <c:v>748.8</c:v>
                </c:pt>
                <c:pt idx="4">
                  <c:v>722.7</c:v>
                </c:pt>
                <c:pt idx="5">
                  <c:v>731</c:v>
                </c:pt>
              </c:numCache>
            </c:numRef>
          </c:val>
        </c:ser>
        <c:ser>
          <c:idx val="1"/>
          <c:order val="1"/>
          <c:tx>
            <c:strRef>
              <c:f>Sheet1!$B$5</c:f>
              <c:strCache>
                <c:ptCount val="1"/>
                <c:pt idx="0">
                  <c:v>London</c:v>
                </c:pt>
              </c:strCache>
            </c:strRef>
          </c:tx>
          <c:invertIfNegative val="0"/>
          <c:dLbls>
            <c:delete val="1"/>
          </c:dLbls>
          <c:cat>
            <c:numRef>
              <c:f>Sheet1!$F$3:$K$3</c:f>
              <c:numCache>
                <c:formatCode>General</c:formatCode>
                <c:ptCount val="6"/>
                <c:pt idx="0">
                  <c:v>2009</c:v>
                </c:pt>
                <c:pt idx="1">
                  <c:v>2010</c:v>
                </c:pt>
                <c:pt idx="2">
                  <c:v>2011</c:v>
                </c:pt>
                <c:pt idx="3">
                  <c:v>2012</c:v>
                </c:pt>
                <c:pt idx="4">
                  <c:v>2013</c:v>
                </c:pt>
                <c:pt idx="5">
                  <c:v>2014</c:v>
                </c:pt>
              </c:numCache>
            </c:numRef>
          </c:cat>
          <c:val>
            <c:numRef>
              <c:f>Sheet1!$F$5:$K$5</c:f>
              <c:numCache>
                <c:formatCode>0.0</c:formatCode>
                <c:ptCount val="6"/>
                <c:pt idx="0">
                  <c:v>691.3</c:v>
                </c:pt>
                <c:pt idx="1">
                  <c:v>698.8</c:v>
                </c:pt>
                <c:pt idx="2">
                  <c:v>712.8</c:v>
                </c:pt>
                <c:pt idx="3">
                  <c:v>695.1</c:v>
                </c:pt>
                <c:pt idx="4">
                  <c:v>682.7</c:v>
                </c:pt>
                <c:pt idx="5">
                  <c:v>688.2</c:v>
                </c:pt>
              </c:numCache>
            </c:numRef>
          </c:val>
        </c:ser>
        <c:ser>
          <c:idx val="2"/>
          <c:order val="2"/>
          <c:tx>
            <c:strRef>
              <c:f>Sheet1!$B$6</c:f>
              <c:strCache>
                <c:ptCount val="1"/>
                <c:pt idx="0">
                  <c:v>Statistical Neighbours</c:v>
                </c:pt>
              </c:strCache>
            </c:strRef>
          </c:tx>
          <c:invertIfNegative val="0"/>
          <c:dLbls>
            <c:delete val="1"/>
          </c:dLbls>
          <c:cat>
            <c:numRef>
              <c:f>Sheet1!$F$3:$K$3</c:f>
              <c:numCache>
                <c:formatCode>General</c:formatCode>
                <c:ptCount val="6"/>
                <c:pt idx="0">
                  <c:v>2009</c:v>
                </c:pt>
                <c:pt idx="1">
                  <c:v>2010</c:v>
                </c:pt>
                <c:pt idx="2">
                  <c:v>2011</c:v>
                </c:pt>
                <c:pt idx="3">
                  <c:v>2012</c:v>
                </c:pt>
                <c:pt idx="4">
                  <c:v>2013</c:v>
                </c:pt>
                <c:pt idx="5">
                  <c:v>2014</c:v>
                </c:pt>
              </c:numCache>
            </c:numRef>
          </c:cat>
          <c:val>
            <c:numRef>
              <c:f>Sheet1!$F$6:$K$6</c:f>
              <c:numCache>
                <c:formatCode>0.0</c:formatCode>
                <c:ptCount val="6"/>
                <c:pt idx="0">
                  <c:v>739.04</c:v>
                </c:pt>
                <c:pt idx="1">
                  <c:v>754.43</c:v>
                </c:pt>
                <c:pt idx="2">
                  <c:v>761.57</c:v>
                </c:pt>
                <c:pt idx="3">
                  <c:v>749.73</c:v>
                </c:pt>
                <c:pt idx="4">
                  <c:v>743.35</c:v>
                </c:pt>
                <c:pt idx="5">
                  <c:v>736.01</c:v>
                </c:pt>
              </c:numCache>
            </c:numRef>
          </c:val>
        </c:ser>
        <c:ser>
          <c:idx val="3"/>
          <c:order val="3"/>
          <c:tx>
            <c:strRef>
              <c:f>Sheet1!$B$7</c:f>
              <c:strCache>
                <c:ptCount val="1"/>
                <c:pt idx="0">
                  <c:v>England</c:v>
                </c:pt>
              </c:strCache>
            </c:strRef>
          </c:tx>
          <c:invertIfNegative val="0"/>
          <c:dLbls>
            <c:delete val="1"/>
          </c:dLbls>
          <c:cat>
            <c:numRef>
              <c:f>Sheet1!$F$3:$K$3</c:f>
              <c:numCache>
                <c:formatCode>General</c:formatCode>
                <c:ptCount val="6"/>
                <c:pt idx="0">
                  <c:v>2009</c:v>
                </c:pt>
                <c:pt idx="1">
                  <c:v>2010</c:v>
                </c:pt>
                <c:pt idx="2">
                  <c:v>2011</c:v>
                </c:pt>
                <c:pt idx="3">
                  <c:v>2012</c:v>
                </c:pt>
                <c:pt idx="4">
                  <c:v>2013</c:v>
                </c:pt>
                <c:pt idx="5">
                  <c:v>2014</c:v>
                </c:pt>
              </c:numCache>
            </c:numRef>
          </c:cat>
          <c:val>
            <c:numRef>
              <c:f>Sheet1!$F$7:$K$7</c:f>
              <c:numCache>
                <c:formatCode>0.0</c:formatCode>
                <c:ptCount val="6"/>
                <c:pt idx="0">
                  <c:v>739.1</c:v>
                </c:pt>
                <c:pt idx="1">
                  <c:v>744.8</c:v>
                </c:pt>
                <c:pt idx="2">
                  <c:v>745.9</c:v>
                </c:pt>
                <c:pt idx="3">
                  <c:v>733</c:v>
                </c:pt>
                <c:pt idx="4">
                  <c:v>724.3</c:v>
                </c:pt>
                <c:pt idx="5">
                  <c:v>714</c:v>
                </c:pt>
              </c:numCache>
            </c:numRef>
          </c:val>
        </c:ser>
        <c:dLbls>
          <c:dLblPos val="outEnd"/>
          <c:showLegendKey val="0"/>
          <c:showVal val="1"/>
          <c:showCatName val="0"/>
          <c:showSerName val="0"/>
          <c:showPercent val="0"/>
          <c:showBubbleSize val="0"/>
        </c:dLbls>
        <c:gapWidth val="150"/>
        <c:axId val="171739008"/>
        <c:axId val="171740544"/>
      </c:barChart>
      <c:catAx>
        <c:axId val="171739008"/>
        <c:scaling>
          <c:orientation val="minMax"/>
        </c:scaling>
        <c:delete val="0"/>
        <c:axPos val="b"/>
        <c:numFmt formatCode="General" sourceLinked="1"/>
        <c:majorTickMark val="out"/>
        <c:minorTickMark val="none"/>
        <c:tickLblPos val="nextTo"/>
        <c:crossAx val="171740544"/>
        <c:crosses val="autoZero"/>
        <c:auto val="1"/>
        <c:lblAlgn val="ctr"/>
        <c:lblOffset val="100"/>
        <c:noMultiLvlLbl val="0"/>
      </c:catAx>
      <c:valAx>
        <c:axId val="171740544"/>
        <c:scaling>
          <c:orientation val="minMax"/>
        </c:scaling>
        <c:delete val="0"/>
        <c:axPos val="l"/>
        <c:majorGridlines>
          <c:spPr>
            <a:ln>
              <a:noFill/>
            </a:ln>
          </c:spPr>
        </c:majorGridlines>
        <c:numFmt formatCode="0" sourceLinked="0"/>
        <c:majorTickMark val="out"/>
        <c:minorTickMark val="none"/>
        <c:tickLblPos val="nextTo"/>
        <c:crossAx val="171739008"/>
        <c:crosses val="autoZero"/>
        <c:crossBetween val="between"/>
      </c:valAx>
    </c:plotArea>
    <c:legend>
      <c:legendPos val="b"/>
      <c:overlay val="0"/>
    </c:legend>
    <c:plotVisOnly val="1"/>
    <c:dispBlanksAs val="gap"/>
    <c:showDLblsOverMax val="0"/>
  </c:chart>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Sheet1!$B$28</c:f>
              <c:strCache>
                <c:ptCount val="1"/>
                <c:pt idx="0">
                  <c:v>Barnet</c:v>
                </c:pt>
              </c:strCache>
            </c:strRef>
          </c:tx>
          <c:invertIfNegative val="0"/>
          <c:cat>
            <c:numRef>
              <c:f>Sheet1!$C$27:$E$27</c:f>
              <c:numCache>
                <c:formatCode>General</c:formatCode>
                <c:ptCount val="3"/>
                <c:pt idx="0">
                  <c:v>2011</c:v>
                </c:pt>
                <c:pt idx="1">
                  <c:v>2012</c:v>
                </c:pt>
                <c:pt idx="2">
                  <c:v>2013</c:v>
                </c:pt>
              </c:numCache>
            </c:numRef>
          </c:cat>
          <c:val>
            <c:numRef>
              <c:f>Sheet1!$C$28:$E$28</c:f>
              <c:numCache>
                <c:formatCode>General</c:formatCode>
                <c:ptCount val="3"/>
                <c:pt idx="0">
                  <c:v>4.0999999999999996</c:v>
                </c:pt>
                <c:pt idx="1">
                  <c:v>3.5</c:v>
                </c:pt>
                <c:pt idx="2">
                  <c:v>2.2999999999999998</c:v>
                </c:pt>
              </c:numCache>
            </c:numRef>
          </c:val>
        </c:ser>
        <c:ser>
          <c:idx val="1"/>
          <c:order val="1"/>
          <c:tx>
            <c:strRef>
              <c:f>Sheet1!$B$29</c:f>
              <c:strCache>
                <c:ptCount val="1"/>
                <c:pt idx="0">
                  <c:v>London</c:v>
                </c:pt>
              </c:strCache>
            </c:strRef>
          </c:tx>
          <c:invertIfNegative val="0"/>
          <c:cat>
            <c:numRef>
              <c:f>Sheet1!$C$27:$E$27</c:f>
              <c:numCache>
                <c:formatCode>General</c:formatCode>
                <c:ptCount val="3"/>
                <c:pt idx="0">
                  <c:v>2011</c:v>
                </c:pt>
                <c:pt idx="1">
                  <c:v>2012</c:v>
                </c:pt>
                <c:pt idx="2">
                  <c:v>2013</c:v>
                </c:pt>
              </c:numCache>
            </c:numRef>
          </c:cat>
          <c:val>
            <c:numRef>
              <c:f>Sheet1!$C$29:$E$29</c:f>
              <c:numCache>
                <c:formatCode>General</c:formatCode>
                <c:ptCount val="3"/>
                <c:pt idx="0">
                  <c:v>4.5</c:v>
                </c:pt>
                <c:pt idx="1">
                  <c:v>4.7</c:v>
                </c:pt>
                <c:pt idx="2">
                  <c:v>3.8</c:v>
                </c:pt>
              </c:numCache>
            </c:numRef>
          </c:val>
        </c:ser>
        <c:ser>
          <c:idx val="2"/>
          <c:order val="2"/>
          <c:tx>
            <c:strRef>
              <c:f>Sheet1!$B$30</c:f>
              <c:strCache>
                <c:ptCount val="1"/>
                <c:pt idx="0">
                  <c:v>Statistical Neighbours</c:v>
                </c:pt>
              </c:strCache>
            </c:strRef>
          </c:tx>
          <c:invertIfNegative val="0"/>
          <c:cat>
            <c:numRef>
              <c:f>Sheet1!$C$27:$E$27</c:f>
              <c:numCache>
                <c:formatCode>General</c:formatCode>
                <c:ptCount val="3"/>
                <c:pt idx="0">
                  <c:v>2011</c:v>
                </c:pt>
                <c:pt idx="1">
                  <c:v>2012</c:v>
                </c:pt>
                <c:pt idx="2">
                  <c:v>2013</c:v>
                </c:pt>
              </c:numCache>
            </c:numRef>
          </c:cat>
          <c:val>
            <c:numRef>
              <c:f>Sheet1!$C$30:$E$30</c:f>
              <c:numCache>
                <c:formatCode>0.0</c:formatCode>
                <c:ptCount val="3"/>
                <c:pt idx="0">
                  <c:v>4.7300000000000004</c:v>
                </c:pt>
                <c:pt idx="1">
                  <c:v>4.4000000000000004</c:v>
                </c:pt>
                <c:pt idx="2">
                  <c:v>4.3899999999999997</c:v>
                </c:pt>
              </c:numCache>
            </c:numRef>
          </c:val>
        </c:ser>
        <c:ser>
          <c:idx val="3"/>
          <c:order val="3"/>
          <c:tx>
            <c:strRef>
              <c:f>Sheet1!$B$31</c:f>
              <c:strCache>
                <c:ptCount val="1"/>
                <c:pt idx="0">
                  <c:v>England</c:v>
                </c:pt>
              </c:strCache>
            </c:strRef>
          </c:tx>
          <c:invertIfNegative val="0"/>
          <c:cat>
            <c:numRef>
              <c:f>Sheet1!$C$27:$E$27</c:f>
              <c:numCache>
                <c:formatCode>General</c:formatCode>
                <c:ptCount val="3"/>
                <c:pt idx="0">
                  <c:v>2011</c:v>
                </c:pt>
                <c:pt idx="1">
                  <c:v>2012</c:v>
                </c:pt>
                <c:pt idx="2">
                  <c:v>2013</c:v>
                </c:pt>
              </c:numCache>
            </c:numRef>
          </c:cat>
          <c:val>
            <c:numRef>
              <c:f>Sheet1!$C$31:$E$31</c:f>
              <c:numCache>
                <c:formatCode>General</c:formatCode>
                <c:ptCount val="3"/>
                <c:pt idx="0">
                  <c:v>6.1</c:v>
                </c:pt>
                <c:pt idx="1">
                  <c:v>5.8</c:v>
                </c:pt>
                <c:pt idx="2">
                  <c:v>5.3</c:v>
                </c:pt>
              </c:numCache>
            </c:numRef>
          </c:val>
        </c:ser>
        <c:dLbls>
          <c:dLblPos val="inEnd"/>
          <c:showLegendKey val="0"/>
          <c:showVal val="1"/>
          <c:showCatName val="0"/>
          <c:showSerName val="0"/>
          <c:showPercent val="0"/>
          <c:showBubbleSize val="0"/>
        </c:dLbls>
        <c:gapWidth val="150"/>
        <c:axId val="172047744"/>
        <c:axId val="172053632"/>
      </c:barChart>
      <c:catAx>
        <c:axId val="172047744"/>
        <c:scaling>
          <c:orientation val="minMax"/>
        </c:scaling>
        <c:delete val="0"/>
        <c:axPos val="b"/>
        <c:numFmt formatCode="General" sourceLinked="1"/>
        <c:majorTickMark val="out"/>
        <c:minorTickMark val="none"/>
        <c:tickLblPos val="nextTo"/>
        <c:crossAx val="172053632"/>
        <c:crosses val="autoZero"/>
        <c:auto val="1"/>
        <c:lblAlgn val="ctr"/>
        <c:lblOffset val="100"/>
        <c:noMultiLvlLbl val="0"/>
      </c:catAx>
      <c:valAx>
        <c:axId val="172053632"/>
        <c:scaling>
          <c:orientation val="minMax"/>
        </c:scaling>
        <c:delete val="0"/>
        <c:axPos val="l"/>
        <c:majorGridlines>
          <c:spPr>
            <a:ln>
              <a:noFill/>
            </a:ln>
          </c:spPr>
        </c:majorGridlines>
        <c:numFmt formatCode="General" sourceLinked="1"/>
        <c:majorTickMark val="out"/>
        <c:minorTickMark val="none"/>
        <c:tickLblPos val="nextTo"/>
        <c:crossAx val="172047744"/>
        <c:crosses val="autoZero"/>
        <c:crossBetween val="between"/>
      </c:valAx>
    </c:plotArea>
    <c:legend>
      <c:legendPos val="b"/>
      <c:overlay val="0"/>
    </c:legend>
    <c:plotVisOnly val="1"/>
    <c:dispBlanksAs val="gap"/>
    <c:showDLblsOverMax val="0"/>
  </c:chart>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Sheet1!$B$15</c:f>
              <c:strCache>
                <c:ptCount val="1"/>
                <c:pt idx="0">
                  <c:v>Barnet</c:v>
                </c:pt>
              </c:strCache>
            </c:strRef>
          </c:tx>
          <c:invertIfNegative val="0"/>
          <c:cat>
            <c:strRef>
              <c:f>Sheet1!$C$14:$D$14</c:f>
              <c:strCache>
                <c:ptCount val="2"/>
                <c:pt idx="0">
                  <c:v>2013 (Dec)</c:v>
                </c:pt>
                <c:pt idx="1">
                  <c:v>2014 (March)</c:v>
                </c:pt>
              </c:strCache>
            </c:strRef>
          </c:cat>
          <c:val>
            <c:numRef>
              <c:f>Sheet1!$C$15:$D$15</c:f>
              <c:numCache>
                <c:formatCode>General</c:formatCode>
                <c:ptCount val="2"/>
                <c:pt idx="0">
                  <c:v>94.1</c:v>
                </c:pt>
                <c:pt idx="1">
                  <c:v>94.5</c:v>
                </c:pt>
              </c:numCache>
            </c:numRef>
          </c:val>
        </c:ser>
        <c:ser>
          <c:idx val="2"/>
          <c:order val="1"/>
          <c:tx>
            <c:strRef>
              <c:f>Sheet1!$B$16</c:f>
              <c:strCache>
                <c:ptCount val="1"/>
                <c:pt idx="0">
                  <c:v>Statistical Neighbours</c:v>
                </c:pt>
              </c:strCache>
            </c:strRef>
          </c:tx>
          <c:invertIfNegative val="0"/>
          <c:cat>
            <c:strRef>
              <c:f>Sheet1!$C$14:$D$14</c:f>
              <c:strCache>
                <c:ptCount val="2"/>
                <c:pt idx="0">
                  <c:v>2013 (Dec)</c:v>
                </c:pt>
                <c:pt idx="1">
                  <c:v>2014 (March)</c:v>
                </c:pt>
              </c:strCache>
            </c:strRef>
          </c:cat>
          <c:val>
            <c:numRef>
              <c:f>Sheet1!$C$16:$D$16</c:f>
              <c:numCache>
                <c:formatCode>General</c:formatCode>
                <c:ptCount val="2"/>
                <c:pt idx="0">
                  <c:v>90.03</c:v>
                </c:pt>
                <c:pt idx="1">
                  <c:v>89.81</c:v>
                </c:pt>
              </c:numCache>
            </c:numRef>
          </c:val>
        </c:ser>
        <c:ser>
          <c:idx val="3"/>
          <c:order val="2"/>
          <c:tx>
            <c:strRef>
              <c:f>Sheet1!$B$17</c:f>
              <c:strCache>
                <c:ptCount val="1"/>
                <c:pt idx="0">
                  <c:v>England</c:v>
                </c:pt>
              </c:strCache>
            </c:strRef>
          </c:tx>
          <c:invertIfNegative val="0"/>
          <c:cat>
            <c:strRef>
              <c:f>Sheet1!$C$14:$D$14</c:f>
              <c:strCache>
                <c:ptCount val="2"/>
                <c:pt idx="0">
                  <c:v>2013 (Dec)</c:v>
                </c:pt>
                <c:pt idx="1">
                  <c:v>2014 (March)</c:v>
                </c:pt>
              </c:strCache>
            </c:strRef>
          </c:cat>
          <c:val>
            <c:numRef>
              <c:f>Sheet1!$C$17:$D$17</c:f>
              <c:numCache>
                <c:formatCode>General</c:formatCode>
                <c:ptCount val="2"/>
                <c:pt idx="0">
                  <c:v>85.9</c:v>
                </c:pt>
                <c:pt idx="1">
                  <c:v>85.8</c:v>
                </c:pt>
              </c:numCache>
            </c:numRef>
          </c:val>
        </c:ser>
        <c:dLbls>
          <c:dLblPos val="inEnd"/>
          <c:showLegendKey val="0"/>
          <c:showVal val="1"/>
          <c:showCatName val="0"/>
          <c:showSerName val="0"/>
          <c:showPercent val="0"/>
          <c:showBubbleSize val="0"/>
        </c:dLbls>
        <c:gapWidth val="150"/>
        <c:axId val="172445696"/>
        <c:axId val="172447232"/>
      </c:barChart>
      <c:catAx>
        <c:axId val="172445696"/>
        <c:scaling>
          <c:orientation val="minMax"/>
        </c:scaling>
        <c:delete val="0"/>
        <c:axPos val="b"/>
        <c:majorTickMark val="out"/>
        <c:minorTickMark val="none"/>
        <c:tickLblPos val="nextTo"/>
        <c:crossAx val="172447232"/>
        <c:crosses val="autoZero"/>
        <c:auto val="1"/>
        <c:lblAlgn val="ctr"/>
        <c:lblOffset val="100"/>
        <c:noMultiLvlLbl val="0"/>
      </c:catAx>
      <c:valAx>
        <c:axId val="172447232"/>
        <c:scaling>
          <c:orientation val="minMax"/>
        </c:scaling>
        <c:delete val="0"/>
        <c:axPos val="l"/>
        <c:majorGridlines>
          <c:spPr>
            <a:ln>
              <a:noFill/>
            </a:ln>
          </c:spPr>
        </c:majorGridlines>
        <c:numFmt formatCode="General" sourceLinked="1"/>
        <c:majorTickMark val="out"/>
        <c:minorTickMark val="none"/>
        <c:tickLblPos val="nextTo"/>
        <c:crossAx val="172445696"/>
        <c:crosses val="autoZero"/>
        <c:crossBetween val="between"/>
      </c:valAx>
    </c:plotArea>
    <c:legend>
      <c:legendPos val="b"/>
      <c:overlay val="0"/>
    </c:legend>
    <c:plotVisOnly val="1"/>
    <c:dispBlanksAs val="gap"/>
    <c:showDLblsOverMax val="0"/>
  </c:chart>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5513490226054085E-2"/>
          <c:y val="0.16800459859872888"/>
          <c:w val="0.87140227079836574"/>
          <c:h val="0.46859508446196901"/>
        </c:manualLayout>
      </c:layout>
      <c:lineChart>
        <c:grouping val="standard"/>
        <c:varyColors val="0"/>
        <c:ser>
          <c:idx val="0"/>
          <c:order val="0"/>
          <c:tx>
            <c:strRef>
              <c:f>Sheet2!$B$4</c:f>
              <c:strCache>
                <c:ptCount val="1"/>
                <c:pt idx="0">
                  <c:v>Barnet</c:v>
                </c:pt>
              </c:strCache>
            </c:strRef>
          </c:tx>
          <c:marker>
            <c:symbol val="none"/>
          </c:marker>
          <c:cat>
            <c:numRef>
              <c:f>Sheet2!$C$3:$E$3</c:f>
              <c:numCache>
                <c:formatCode>0</c:formatCode>
                <c:ptCount val="3"/>
                <c:pt idx="0">
                  <c:v>2012</c:v>
                </c:pt>
                <c:pt idx="1">
                  <c:v>2013</c:v>
                </c:pt>
                <c:pt idx="2">
                  <c:v>2014</c:v>
                </c:pt>
              </c:numCache>
            </c:numRef>
          </c:cat>
          <c:val>
            <c:numRef>
              <c:f>Sheet2!$C$4:$E$4</c:f>
              <c:numCache>
                <c:formatCode>0.00</c:formatCode>
                <c:ptCount val="3"/>
                <c:pt idx="0">
                  <c:v>398.40000000000003</c:v>
                </c:pt>
                <c:pt idx="1">
                  <c:v>379.3</c:v>
                </c:pt>
                <c:pt idx="2">
                  <c:v>405.90000000000003</c:v>
                </c:pt>
              </c:numCache>
            </c:numRef>
          </c:val>
          <c:smooth val="0"/>
        </c:ser>
        <c:ser>
          <c:idx val="1"/>
          <c:order val="1"/>
          <c:tx>
            <c:strRef>
              <c:f>Sheet2!$B$5</c:f>
              <c:strCache>
                <c:ptCount val="1"/>
                <c:pt idx="0">
                  <c:v>London</c:v>
                </c:pt>
              </c:strCache>
            </c:strRef>
          </c:tx>
          <c:marker>
            <c:symbol val="none"/>
          </c:marker>
          <c:cat>
            <c:numRef>
              <c:f>Sheet2!$C$3:$E$3</c:f>
              <c:numCache>
                <c:formatCode>0</c:formatCode>
                <c:ptCount val="3"/>
                <c:pt idx="0">
                  <c:v>2012</c:v>
                </c:pt>
                <c:pt idx="1">
                  <c:v>2013</c:v>
                </c:pt>
                <c:pt idx="2">
                  <c:v>2014</c:v>
                </c:pt>
              </c:numCache>
            </c:numRef>
          </c:cat>
          <c:val>
            <c:numRef>
              <c:f>Sheet2!$C$5:$E$5</c:f>
              <c:numCache>
                <c:formatCode>0.00</c:formatCode>
                <c:ptCount val="3"/>
                <c:pt idx="0">
                  <c:v>463.90000000000003</c:v>
                </c:pt>
                <c:pt idx="1">
                  <c:v>458.5</c:v>
                </c:pt>
                <c:pt idx="2">
                  <c:v>469.6</c:v>
                </c:pt>
              </c:numCache>
            </c:numRef>
          </c:val>
          <c:smooth val="0"/>
        </c:ser>
        <c:ser>
          <c:idx val="2"/>
          <c:order val="2"/>
          <c:tx>
            <c:strRef>
              <c:f>Sheet2!$B$6</c:f>
              <c:strCache>
                <c:ptCount val="1"/>
                <c:pt idx="0">
                  <c:v>Statistical Neighbours</c:v>
                </c:pt>
              </c:strCache>
            </c:strRef>
          </c:tx>
          <c:marker>
            <c:symbol val="none"/>
          </c:marker>
          <c:cat>
            <c:numRef>
              <c:f>Sheet2!$C$3:$E$3</c:f>
              <c:numCache>
                <c:formatCode>0</c:formatCode>
                <c:ptCount val="3"/>
                <c:pt idx="0">
                  <c:v>2012</c:v>
                </c:pt>
                <c:pt idx="1">
                  <c:v>2013</c:v>
                </c:pt>
                <c:pt idx="2">
                  <c:v>2014</c:v>
                </c:pt>
              </c:numCache>
            </c:numRef>
          </c:cat>
          <c:val>
            <c:numRef>
              <c:f>Sheet2!$C$6:$E$6</c:f>
              <c:numCache>
                <c:formatCode>0.00</c:formatCode>
                <c:ptCount val="3"/>
                <c:pt idx="0">
                  <c:v>436.13</c:v>
                </c:pt>
                <c:pt idx="1">
                  <c:v>435.17000000000007</c:v>
                </c:pt>
                <c:pt idx="2">
                  <c:v>458.96000000000015</c:v>
                </c:pt>
              </c:numCache>
            </c:numRef>
          </c:val>
          <c:smooth val="0"/>
        </c:ser>
        <c:ser>
          <c:idx val="3"/>
          <c:order val="3"/>
          <c:tx>
            <c:strRef>
              <c:f>Sheet2!$B$7</c:f>
              <c:strCache>
                <c:ptCount val="1"/>
                <c:pt idx="0">
                  <c:v>England</c:v>
                </c:pt>
              </c:strCache>
            </c:strRef>
          </c:tx>
          <c:marker>
            <c:symbol val="none"/>
          </c:marker>
          <c:cat>
            <c:numRef>
              <c:f>Sheet2!$C$3:$E$3</c:f>
              <c:numCache>
                <c:formatCode>0</c:formatCode>
                <c:ptCount val="3"/>
                <c:pt idx="0">
                  <c:v>2012</c:v>
                </c:pt>
                <c:pt idx="1">
                  <c:v>2013</c:v>
                </c:pt>
                <c:pt idx="2">
                  <c:v>2014</c:v>
                </c:pt>
              </c:numCache>
            </c:numRef>
          </c:cat>
          <c:val>
            <c:numRef>
              <c:f>Sheet2!$C$7:$E$7</c:f>
              <c:numCache>
                <c:formatCode>0.00</c:formatCode>
                <c:ptCount val="3"/>
                <c:pt idx="0">
                  <c:v>533.5</c:v>
                </c:pt>
                <c:pt idx="1">
                  <c:v>520.70000000000005</c:v>
                </c:pt>
                <c:pt idx="2">
                  <c:v>573</c:v>
                </c:pt>
              </c:numCache>
            </c:numRef>
          </c:val>
          <c:smooth val="0"/>
        </c:ser>
        <c:dLbls>
          <c:showLegendKey val="0"/>
          <c:showVal val="0"/>
          <c:showCatName val="0"/>
          <c:showSerName val="0"/>
          <c:showPercent val="0"/>
          <c:showBubbleSize val="0"/>
        </c:dLbls>
        <c:marker val="1"/>
        <c:smooth val="0"/>
        <c:axId val="172944768"/>
        <c:axId val="173212800"/>
      </c:lineChart>
      <c:catAx>
        <c:axId val="172944768"/>
        <c:scaling>
          <c:orientation val="minMax"/>
        </c:scaling>
        <c:delete val="0"/>
        <c:axPos val="b"/>
        <c:numFmt formatCode="0" sourceLinked="1"/>
        <c:majorTickMark val="none"/>
        <c:minorTickMark val="none"/>
        <c:tickLblPos val="nextTo"/>
        <c:crossAx val="173212800"/>
        <c:crosses val="autoZero"/>
        <c:auto val="1"/>
        <c:lblAlgn val="ctr"/>
        <c:lblOffset val="100"/>
        <c:noMultiLvlLbl val="0"/>
      </c:catAx>
      <c:valAx>
        <c:axId val="173212800"/>
        <c:scaling>
          <c:orientation val="minMax"/>
        </c:scaling>
        <c:delete val="0"/>
        <c:axPos val="l"/>
        <c:majorGridlines>
          <c:spPr>
            <a:ln>
              <a:noFill/>
            </a:ln>
          </c:spPr>
        </c:majorGridlines>
        <c:numFmt formatCode="0" sourceLinked="0"/>
        <c:majorTickMark val="none"/>
        <c:minorTickMark val="none"/>
        <c:tickLblPos val="nextTo"/>
        <c:spPr>
          <a:ln w="9525">
            <a:solidFill>
              <a:sysClr val="window" lastClr="FFFFFF">
                <a:lumMod val="65000"/>
              </a:sysClr>
            </a:solidFill>
          </a:ln>
        </c:spPr>
        <c:crossAx val="172944768"/>
        <c:crosses val="autoZero"/>
        <c:crossBetween val="between"/>
      </c:valAx>
    </c:plotArea>
    <c:legend>
      <c:legendPos val="b"/>
      <c:overlay val="0"/>
    </c:legend>
    <c:plotVisOnly val="1"/>
    <c:dispBlanksAs val="gap"/>
    <c:showDLblsOverMax val="0"/>
  </c:chart>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invertIfNegative val="0"/>
          <c:dLbls>
            <c:showLegendKey val="0"/>
            <c:showVal val="1"/>
            <c:showCatName val="0"/>
            <c:showSerName val="0"/>
            <c:showPercent val="0"/>
            <c:showBubbleSize val="0"/>
            <c:showLeaderLines val="0"/>
          </c:dLbls>
          <c:cat>
            <c:strRef>
              <c:f>Sheet1!$B$2:$B$24</c:f>
              <c:strCache>
                <c:ptCount val="23"/>
                <c:pt idx="0">
                  <c:v>ANONYMOUS</c:v>
                </c:pt>
                <c:pt idx="1">
                  <c:v>EDUCATION SERVICES</c:v>
                </c:pt>
                <c:pt idx="2">
                  <c:v>HEALTH SERVICES - A &amp; E</c:v>
                </c:pt>
                <c:pt idx="3">
                  <c:v>HEALTH SERVICES - GP</c:v>
                </c:pt>
                <c:pt idx="4">
                  <c:v>HEALTH SERVICES - Health Visitor</c:v>
                </c:pt>
                <c:pt idx="5">
                  <c:v>Health Services - Maternity Services</c:v>
                </c:pt>
                <c:pt idx="6">
                  <c:v>Health Services - Mental Health</c:v>
                </c:pt>
                <c:pt idx="7">
                  <c:v>HEALTH SERVICES - Other (e.g. hospice)</c:v>
                </c:pt>
                <c:pt idx="8">
                  <c:v>HEALTH SERVICES - Other primary health services</c:v>
                </c:pt>
                <c:pt idx="9">
                  <c:v>HEALTH SERVICES - School Nurse</c:v>
                </c:pt>
                <c:pt idx="10">
                  <c:v>HOUSING - Local Authority or housing association</c:v>
                </c:pt>
                <c:pt idx="11">
                  <c:v>INDIVIDUAL - Acquaintance (including neighbours and child minder</c:v>
                </c:pt>
                <c:pt idx="12">
                  <c:v>INDIVIDUAL - Family member, relative, carer</c:v>
                </c:pt>
                <c:pt idx="13">
                  <c:v>INDIVIDUAL - Other (including strangers, MPs)</c:v>
                </c:pt>
                <c:pt idx="14">
                  <c:v>INDIVIDUAL - Self</c:v>
                </c:pt>
                <c:pt idx="15">
                  <c:v>LA services – External e.g. from another LAs adult social care</c:v>
                </c:pt>
                <c:pt idx="16">
                  <c:v>LA SERVICES - Other internal departments e.g. youth offending, </c:v>
                </c:pt>
                <c:pt idx="17">
                  <c:v>LA SERVICES - Social care (i.e. adults social care)</c:v>
                </c:pt>
                <c:pt idx="18">
                  <c:v>OTHER - including children’s centres, independent agency providers, voluntary organisations</c:v>
                </c:pt>
                <c:pt idx="19">
                  <c:v>OTHER LEGAL AGENCY - including courts, probation, immigration, CAFCASS, prison</c:v>
                </c:pt>
                <c:pt idx="20">
                  <c:v>POLICE</c:v>
                </c:pt>
                <c:pt idx="21">
                  <c:v>SCHOOLS</c:v>
                </c:pt>
                <c:pt idx="22">
                  <c:v>UNKNOWN</c:v>
                </c:pt>
              </c:strCache>
            </c:strRef>
          </c:cat>
          <c:val>
            <c:numRef>
              <c:f>Sheet1!$C$2:$C$24</c:f>
              <c:numCache>
                <c:formatCode>General</c:formatCode>
                <c:ptCount val="23"/>
                <c:pt idx="0">
                  <c:v>34</c:v>
                </c:pt>
                <c:pt idx="1">
                  <c:v>14</c:v>
                </c:pt>
                <c:pt idx="2">
                  <c:v>105</c:v>
                </c:pt>
                <c:pt idx="3">
                  <c:v>56</c:v>
                </c:pt>
                <c:pt idx="4">
                  <c:v>44</c:v>
                </c:pt>
                <c:pt idx="5">
                  <c:v>45</c:v>
                </c:pt>
                <c:pt idx="6">
                  <c:v>95</c:v>
                </c:pt>
                <c:pt idx="7">
                  <c:v>7</c:v>
                </c:pt>
                <c:pt idx="8">
                  <c:v>131</c:v>
                </c:pt>
                <c:pt idx="9">
                  <c:v>1</c:v>
                </c:pt>
                <c:pt idx="10">
                  <c:v>81</c:v>
                </c:pt>
                <c:pt idx="11">
                  <c:v>16</c:v>
                </c:pt>
                <c:pt idx="12">
                  <c:v>178</c:v>
                </c:pt>
                <c:pt idx="13">
                  <c:v>13</c:v>
                </c:pt>
                <c:pt idx="14">
                  <c:v>25</c:v>
                </c:pt>
                <c:pt idx="15">
                  <c:v>148</c:v>
                </c:pt>
                <c:pt idx="16">
                  <c:v>152</c:v>
                </c:pt>
                <c:pt idx="17">
                  <c:v>89</c:v>
                </c:pt>
                <c:pt idx="18">
                  <c:v>147</c:v>
                </c:pt>
                <c:pt idx="19">
                  <c:v>248</c:v>
                </c:pt>
                <c:pt idx="20">
                  <c:v>1614</c:v>
                </c:pt>
                <c:pt idx="21">
                  <c:v>503</c:v>
                </c:pt>
                <c:pt idx="22">
                  <c:v>3</c:v>
                </c:pt>
              </c:numCache>
            </c:numRef>
          </c:val>
        </c:ser>
        <c:dLbls>
          <c:showLegendKey val="0"/>
          <c:showVal val="0"/>
          <c:showCatName val="0"/>
          <c:showSerName val="0"/>
          <c:showPercent val="0"/>
          <c:showBubbleSize val="0"/>
        </c:dLbls>
        <c:gapWidth val="150"/>
        <c:axId val="173258240"/>
        <c:axId val="173259776"/>
      </c:barChart>
      <c:catAx>
        <c:axId val="173258240"/>
        <c:scaling>
          <c:orientation val="minMax"/>
        </c:scaling>
        <c:delete val="0"/>
        <c:axPos val="l"/>
        <c:majorTickMark val="out"/>
        <c:minorTickMark val="none"/>
        <c:tickLblPos val="nextTo"/>
        <c:crossAx val="173259776"/>
        <c:crosses val="autoZero"/>
        <c:auto val="1"/>
        <c:lblAlgn val="ctr"/>
        <c:lblOffset val="100"/>
        <c:noMultiLvlLbl val="0"/>
      </c:catAx>
      <c:valAx>
        <c:axId val="173259776"/>
        <c:scaling>
          <c:orientation val="minMax"/>
        </c:scaling>
        <c:delete val="0"/>
        <c:axPos val="b"/>
        <c:majorGridlines/>
        <c:numFmt formatCode="General" sourceLinked="1"/>
        <c:majorTickMark val="out"/>
        <c:minorTickMark val="none"/>
        <c:tickLblPos val="nextTo"/>
        <c:crossAx val="173258240"/>
        <c:crosses val="autoZero"/>
        <c:crossBetween val="between"/>
      </c:valAx>
    </c:plotArea>
    <c:plotVisOnly val="1"/>
    <c:dispBlanksAs val="gap"/>
    <c:showDLblsOverMax val="0"/>
  </c:chart>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pivotSource>
    <c:name>[CS-SSC183_Clients_Who_Have_A_Disability_And_An_Active_Category_Of_Need_At_Any_Point_Between_2_Dates__V01(1).xlsx]Sheet1!PivotTable1</c:name>
    <c:fmtId val="-1"/>
  </c:pivotSource>
  <c:chart>
    <c:autoTitleDeleted val="1"/>
    <c:pivotFmts>
      <c:pivotFmt>
        <c:idx val="0"/>
        <c:marker>
          <c:symbol val="none"/>
        </c:marker>
        <c:dLbl>
          <c:idx val="0"/>
          <c:numFmt formatCode="0%" sourceLinked="0"/>
          <c:spPr/>
          <c:txPr>
            <a:bodyPr/>
            <a:lstStyle/>
            <a:p>
              <a:pPr>
                <a:defRPr/>
              </a:pPr>
              <a:endParaRPr lang="en-US"/>
            </a:p>
          </c:txPr>
          <c:showLegendKey val="0"/>
          <c:showVal val="1"/>
          <c:showCatName val="0"/>
          <c:showSerName val="0"/>
          <c:showPercent val="0"/>
          <c:showBubbleSize val="0"/>
        </c:dLbl>
      </c:pivotFmt>
      <c:pivotFmt>
        <c:idx val="1"/>
        <c:marker>
          <c:symbol val="none"/>
        </c:marker>
        <c:dLbl>
          <c:idx val="0"/>
          <c:numFmt formatCode="0%" sourceLinked="0"/>
          <c:spPr/>
          <c:txPr>
            <a:bodyPr/>
            <a:lstStyle/>
            <a:p>
              <a:pPr>
                <a:defRPr/>
              </a:pPr>
              <a:endParaRPr lang="en-US"/>
            </a:p>
          </c:txPr>
          <c:showLegendKey val="0"/>
          <c:showVal val="1"/>
          <c:showCatName val="0"/>
          <c:showSerName val="0"/>
          <c:showPercent val="0"/>
          <c:showBubbleSize val="0"/>
        </c:dLbl>
      </c:pivotFmt>
      <c:pivotFmt>
        <c:idx val="2"/>
        <c:marker>
          <c:symbol val="none"/>
        </c:marker>
        <c:dLbl>
          <c:idx val="0"/>
          <c:numFmt formatCode="0%" sourceLinked="0"/>
          <c:spPr/>
          <c:txPr>
            <a:bodyPr/>
            <a:lstStyle/>
            <a:p>
              <a:pPr>
                <a:defRPr/>
              </a:pPr>
              <a:endParaRPr lang="en-US"/>
            </a:p>
          </c:txPr>
          <c:showLegendKey val="0"/>
          <c:showVal val="1"/>
          <c:showCatName val="0"/>
          <c:showSerName val="0"/>
          <c:showPercent val="0"/>
          <c:showBubbleSize val="0"/>
        </c:dLbl>
      </c:pivotFmt>
    </c:pivotFmts>
    <c:plotArea>
      <c:layout>
        <c:manualLayout>
          <c:layoutTarget val="inner"/>
          <c:xMode val="edge"/>
          <c:yMode val="edge"/>
          <c:x val="6.9980585760113317E-2"/>
          <c:y val="4.684607462041928E-2"/>
          <c:w val="0.90673899095946342"/>
          <c:h val="0.4009691351872155"/>
        </c:manualLayout>
      </c:layout>
      <c:barChart>
        <c:barDir val="col"/>
        <c:grouping val="clustered"/>
        <c:varyColors val="0"/>
        <c:ser>
          <c:idx val="0"/>
          <c:order val="0"/>
          <c:tx>
            <c:strRef>
              <c:f>Sheet1!$B$3</c:f>
              <c:strCache>
                <c:ptCount val="1"/>
                <c:pt idx="0">
                  <c:v>Total</c:v>
                </c:pt>
              </c:strCache>
            </c:strRef>
          </c:tx>
          <c:invertIfNegative val="0"/>
          <c:dLbls>
            <c:numFmt formatCode="0%" sourceLinked="0"/>
            <c:txPr>
              <a:bodyPr/>
              <a:lstStyle/>
              <a:p>
                <a:pPr>
                  <a:defRPr/>
                </a:pPr>
                <a:endParaRPr lang="en-US"/>
              </a:p>
            </c:txPr>
            <c:showLegendKey val="0"/>
            <c:showVal val="1"/>
            <c:showCatName val="0"/>
            <c:showSerName val="0"/>
            <c:showPercent val="0"/>
            <c:showBubbleSize val="0"/>
            <c:showLeaderLines val="0"/>
          </c:dLbls>
          <c:cat>
            <c:strRef>
              <c:f>Sheet1!$A$4:$A$16</c:f>
              <c:strCache>
                <c:ptCount val="12"/>
                <c:pt idx="0">
                  <c:v>Behaviour</c:v>
                </c:pt>
                <c:pt idx="1">
                  <c:v>Communication</c:v>
                </c:pt>
                <c:pt idx="2">
                  <c:v>Consciousness</c:v>
                </c:pt>
                <c:pt idx="3">
                  <c:v>Diagnosed with autism or Asperger</c:v>
                </c:pt>
                <c:pt idx="4">
                  <c:v>Hand function</c:v>
                </c:pt>
                <c:pt idx="5">
                  <c:v>Hearing</c:v>
                </c:pt>
                <c:pt idx="6">
                  <c:v>Incontinence</c:v>
                </c:pt>
                <c:pt idx="7">
                  <c:v>Learning</c:v>
                </c:pt>
                <c:pt idx="8">
                  <c:v>Mobility</c:v>
                </c:pt>
                <c:pt idx="9">
                  <c:v>Other DDA</c:v>
                </c:pt>
                <c:pt idx="10">
                  <c:v>Personal care</c:v>
                </c:pt>
                <c:pt idx="11">
                  <c:v>Vision</c:v>
                </c:pt>
              </c:strCache>
            </c:strRef>
          </c:cat>
          <c:val>
            <c:numRef>
              <c:f>Sheet1!$B$4:$B$16</c:f>
              <c:numCache>
                <c:formatCode>0.00%</c:formatCode>
                <c:ptCount val="12"/>
                <c:pt idx="0">
                  <c:v>0.11428571428571428</c:v>
                </c:pt>
                <c:pt idx="1">
                  <c:v>0.12747252747252746</c:v>
                </c:pt>
                <c:pt idx="2">
                  <c:v>2.1978021978021978E-3</c:v>
                </c:pt>
                <c:pt idx="3">
                  <c:v>0.24615384615384617</c:v>
                </c:pt>
                <c:pt idx="4">
                  <c:v>6.5934065934065934E-3</c:v>
                </c:pt>
                <c:pt idx="5">
                  <c:v>1.7582417582417582E-2</c:v>
                </c:pt>
                <c:pt idx="6">
                  <c:v>1.098901098901099E-2</c:v>
                </c:pt>
                <c:pt idx="7">
                  <c:v>0.25494505494505493</c:v>
                </c:pt>
                <c:pt idx="8">
                  <c:v>8.3516483516483511E-2</c:v>
                </c:pt>
                <c:pt idx="9">
                  <c:v>0.1076923076923077</c:v>
                </c:pt>
                <c:pt idx="10">
                  <c:v>1.098901098901099E-2</c:v>
                </c:pt>
                <c:pt idx="11">
                  <c:v>1.7582417582417582E-2</c:v>
                </c:pt>
              </c:numCache>
            </c:numRef>
          </c:val>
        </c:ser>
        <c:dLbls>
          <c:showLegendKey val="0"/>
          <c:showVal val="0"/>
          <c:showCatName val="0"/>
          <c:showSerName val="0"/>
          <c:showPercent val="0"/>
          <c:showBubbleSize val="0"/>
        </c:dLbls>
        <c:gapWidth val="150"/>
        <c:axId val="173313408"/>
        <c:axId val="173319296"/>
      </c:barChart>
      <c:catAx>
        <c:axId val="173313408"/>
        <c:scaling>
          <c:orientation val="minMax"/>
        </c:scaling>
        <c:delete val="0"/>
        <c:axPos val="b"/>
        <c:majorTickMark val="out"/>
        <c:minorTickMark val="none"/>
        <c:tickLblPos val="nextTo"/>
        <c:crossAx val="173319296"/>
        <c:crosses val="autoZero"/>
        <c:auto val="1"/>
        <c:lblAlgn val="ctr"/>
        <c:lblOffset val="100"/>
        <c:noMultiLvlLbl val="0"/>
      </c:catAx>
      <c:valAx>
        <c:axId val="173319296"/>
        <c:scaling>
          <c:orientation val="minMax"/>
        </c:scaling>
        <c:delete val="0"/>
        <c:axPos val="l"/>
        <c:majorGridlines/>
        <c:numFmt formatCode="0%" sourceLinked="0"/>
        <c:majorTickMark val="out"/>
        <c:minorTickMark val="none"/>
        <c:tickLblPos val="nextTo"/>
        <c:crossAx val="173313408"/>
        <c:crosses val="autoZero"/>
        <c:crossBetween val="between"/>
        <c:minorUnit val="1.0000000000000002E-2"/>
      </c:valAx>
    </c:plotArea>
    <c:plotVisOnly val="1"/>
    <c:dispBlanksAs val="gap"/>
    <c:showDLblsOverMax val="0"/>
  </c:chart>
  <c:externalData r:id="rId1">
    <c:autoUpdate val="0"/>
  </c:externalData>
  <c:extLst>
    <c:ext xmlns:c14="http://schemas.microsoft.com/office/drawing/2007/8/2/chart" uri="{781A3756-C4B2-4CAC-9D66-4F8BD8637D16}">
      <c14:pivotOptions>
        <c14:dropZoneFilter val="1"/>
        <c14:dropZoneCategories val="1"/>
        <c14:dropZoneData val="1"/>
      </c14:pivotOptions>
    </c:ext>
  </c:extLst>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002511313992728"/>
          <c:y val="1.6325655922223205E-2"/>
          <c:w val="0.71646445357121058"/>
          <c:h val="0.83347941057929553"/>
        </c:manualLayout>
      </c:layout>
      <c:barChart>
        <c:barDir val="bar"/>
        <c:grouping val="clustered"/>
        <c:varyColors val="0"/>
        <c:ser>
          <c:idx val="0"/>
          <c:order val="0"/>
          <c:tx>
            <c:strRef>
              <c:f>Sheet6!$B$64</c:f>
              <c:strCache>
                <c:ptCount val="1"/>
                <c:pt idx="0">
                  <c:v>BAME</c:v>
                </c:pt>
              </c:strCache>
            </c:strRef>
          </c:tx>
          <c:spPr>
            <a:solidFill>
              <a:srgbClr val="92D050"/>
            </a:solidFill>
          </c:spPr>
          <c:invertIfNegative val="0"/>
          <c:dPt>
            <c:idx val="4"/>
            <c:invertIfNegative val="0"/>
            <c:bubble3D val="0"/>
            <c:spPr>
              <a:solidFill>
                <a:srgbClr val="FF0000"/>
              </a:solidFill>
            </c:spPr>
          </c:dPt>
          <c:dLbls>
            <c:numFmt formatCode="0%" sourceLinked="0"/>
            <c:dLblPos val="outEnd"/>
            <c:showLegendKey val="0"/>
            <c:showVal val="1"/>
            <c:showCatName val="0"/>
            <c:showSerName val="0"/>
            <c:showPercent val="0"/>
            <c:showBubbleSize val="0"/>
            <c:showLeaderLines val="0"/>
          </c:dLbls>
          <c:cat>
            <c:strRef>
              <c:f>Sheet6!$A$65:$A$77</c:f>
              <c:strCache>
                <c:ptCount val="13"/>
                <c:pt idx="0">
                  <c:v>Bromley</c:v>
                </c:pt>
                <c:pt idx="1">
                  <c:v>Sutton</c:v>
                </c:pt>
                <c:pt idx="2">
                  <c:v>Kingston upon Thames</c:v>
                </c:pt>
                <c:pt idx="3">
                  <c:v>Merton</c:v>
                </c:pt>
                <c:pt idx="4">
                  <c:v>Barnet</c:v>
                </c:pt>
                <c:pt idx="5">
                  <c:v>Outer London</c:v>
                </c:pt>
                <c:pt idx="6">
                  <c:v>Enfield</c:v>
                </c:pt>
                <c:pt idx="7">
                  <c:v>Hillingdon</c:v>
                </c:pt>
                <c:pt idx="8">
                  <c:v>Hounslow</c:v>
                </c:pt>
                <c:pt idx="9">
                  <c:v>Ealing</c:v>
                </c:pt>
                <c:pt idx="10">
                  <c:v>Harrow</c:v>
                </c:pt>
                <c:pt idx="11">
                  <c:v>Redbridge</c:v>
                </c:pt>
                <c:pt idx="12">
                  <c:v>Brent</c:v>
                </c:pt>
              </c:strCache>
            </c:strRef>
          </c:cat>
          <c:val>
            <c:numRef>
              <c:f>Sheet6!$B$65:$B$77</c:f>
              <c:numCache>
                <c:formatCode>0.0%</c:formatCode>
                <c:ptCount val="13"/>
                <c:pt idx="0">
                  <c:v>0.17942990622357019</c:v>
                </c:pt>
                <c:pt idx="1">
                  <c:v>0.24535351076355932</c:v>
                </c:pt>
                <c:pt idx="2">
                  <c:v>0.28197130015450173</c:v>
                </c:pt>
                <c:pt idx="3">
                  <c:v>0.37668855556980013</c:v>
                </c:pt>
                <c:pt idx="4">
                  <c:v>0.38684978652958102</c:v>
                </c:pt>
                <c:pt idx="5">
                  <c:v>0.42171438697435443</c:v>
                </c:pt>
                <c:pt idx="6">
                  <c:v>0.43279864591364697</c:v>
                </c:pt>
                <c:pt idx="7">
                  <c:v>0.44875747132626137</c:v>
                </c:pt>
                <c:pt idx="8">
                  <c:v>0.51646236598485085</c:v>
                </c:pt>
                <c:pt idx="9">
                  <c:v>0.5350951854058501</c:v>
                </c:pt>
                <c:pt idx="10">
                  <c:v>0.62280569307914246</c:v>
                </c:pt>
                <c:pt idx="11">
                  <c:v>0.6334268398037366</c:v>
                </c:pt>
                <c:pt idx="12">
                  <c:v>0.65920771268194323</c:v>
                </c:pt>
              </c:numCache>
            </c:numRef>
          </c:val>
        </c:ser>
        <c:dLbls>
          <c:showLegendKey val="0"/>
          <c:showVal val="1"/>
          <c:showCatName val="0"/>
          <c:showSerName val="0"/>
          <c:showPercent val="0"/>
          <c:showBubbleSize val="0"/>
        </c:dLbls>
        <c:gapWidth val="74"/>
        <c:axId val="179431680"/>
        <c:axId val="179566080"/>
      </c:barChart>
      <c:catAx>
        <c:axId val="179431680"/>
        <c:scaling>
          <c:orientation val="minMax"/>
        </c:scaling>
        <c:delete val="0"/>
        <c:axPos val="l"/>
        <c:majorTickMark val="out"/>
        <c:minorTickMark val="none"/>
        <c:tickLblPos val="nextTo"/>
        <c:crossAx val="179566080"/>
        <c:crosses val="autoZero"/>
        <c:auto val="1"/>
        <c:lblAlgn val="ctr"/>
        <c:lblOffset val="100"/>
        <c:noMultiLvlLbl val="0"/>
      </c:catAx>
      <c:valAx>
        <c:axId val="179566080"/>
        <c:scaling>
          <c:orientation val="minMax"/>
        </c:scaling>
        <c:delete val="0"/>
        <c:axPos val="b"/>
        <c:title>
          <c:tx>
            <c:rich>
              <a:bodyPr/>
              <a:lstStyle/>
              <a:p>
                <a:pPr>
                  <a:defRPr/>
                </a:pPr>
                <a:r>
                  <a:rPr lang="en-GB"/>
                  <a:t>% BAME Population</a:t>
                </a:r>
              </a:p>
            </c:rich>
          </c:tx>
          <c:layout>
            <c:manualLayout>
              <c:xMode val="edge"/>
              <c:yMode val="edge"/>
              <c:x val="0.37145228939405828"/>
              <c:y val="0.92487245342874924"/>
            </c:manualLayout>
          </c:layout>
          <c:overlay val="0"/>
        </c:title>
        <c:numFmt formatCode="0%" sourceLinked="0"/>
        <c:majorTickMark val="out"/>
        <c:minorTickMark val="none"/>
        <c:tickLblPos val="nextTo"/>
        <c:crossAx val="179431680"/>
        <c:crosses val="autoZero"/>
        <c:crossBetween val="between"/>
      </c:valAx>
    </c:plotArea>
    <c:plotVisOnly val="1"/>
    <c:dispBlanksAs val="gap"/>
    <c:showDLblsOverMax val="0"/>
  </c:chart>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5309315487013537E-2"/>
          <c:y val="0.14643142869173439"/>
          <c:w val="0.89496194724324141"/>
          <c:h val="0.60940560645475561"/>
        </c:manualLayout>
      </c:layout>
      <c:lineChart>
        <c:grouping val="standard"/>
        <c:varyColors val="0"/>
        <c:ser>
          <c:idx val="2"/>
          <c:order val="0"/>
          <c:tx>
            <c:strRef>
              <c:f>'LA Level'!$C$9</c:f>
              <c:strCache>
                <c:ptCount val="1"/>
                <c:pt idx="0">
                  <c:v>Barnet</c:v>
                </c:pt>
              </c:strCache>
            </c:strRef>
          </c:tx>
          <c:spPr>
            <a:ln w="25400">
              <a:solidFill>
                <a:srgbClr val="008080"/>
              </a:solidFill>
              <a:prstDash val="solid"/>
            </a:ln>
            <a:effectLst/>
          </c:spPr>
          <c:marker>
            <c:symbol val="triangle"/>
            <c:size val="6"/>
            <c:spPr>
              <a:solidFill>
                <a:srgbClr val="008080"/>
              </a:solidFill>
              <a:ln>
                <a:solidFill>
                  <a:srgbClr val="008080"/>
                </a:solidFill>
                <a:prstDash val="solid"/>
              </a:ln>
            </c:spPr>
          </c:marker>
          <c:cat>
            <c:strRef>
              <c:f>'LA Level'!$S$21:$AB$22</c:f>
              <c:strCache>
                <c:ptCount val="10"/>
                <c:pt idx="0">
                  <c:v>2005</c:v>
                </c:pt>
                <c:pt idx="1">
                  <c:v>2006</c:v>
                </c:pt>
                <c:pt idx="2">
                  <c:v>2007</c:v>
                </c:pt>
                <c:pt idx="3">
                  <c:v>2008</c:v>
                </c:pt>
                <c:pt idx="4">
                  <c:v>2009</c:v>
                </c:pt>
                <c:pt idx="5">
                  <c:v>2010</c:v>
                </c:pt>
                <c:pt idx="6">
                  <c:v>2011</c:v>
                </c:pt>
                <c:pt idx="7">
                  <c:v>2012</c:v>
                </c:pt>
                <c:pt idx="8">
                  <c:v>2013</c:v>
                </c:pt>
                <c:pt idx="9">
                  <c:v>2014</c:v>
                </c:pt>
              </c:strCache>
            </c:strRef>
          </c:cat>
          <c:val>
            <c:numRef>
              <c:f>'LA Level'!$S$23:$AB$23</c:f>
              <c:numCache>
                <c:formatCode>General</c:formatCode>
                <c:ptCount val="10"/>
                <c:pt idx="0">
                  <c:v>55</c:v>
                </c:pt>
                <c:pt idx="1">
                  <c:v>50</c:v>
                </c:pt>
                <c:pt idx="2">
                  <c:v>46</c:v>
                </c:pt>
                <c:pt idx="3">
                  <c:v>43</c:v>
                </c:pt>
                <c:pt idx="4">
                  <c:v>42</c:v>
                </c:pt>
                <c:pt idx="5">
                  <c:v>39</c:v>
                </c:pt>
                <c:pt idx="6">
                  <c:v>37</c:v>
                </c:pt>
                <c:pt idx="7">
                  <c:v>36</c:v>
                </c:pt>
                <c:pt idx="8">
                  <c:v>36</c:v>
                </c:pt>
                <c:pt idx="9">
                  <c:v>36</c:v>
                </c:pt>
              </c:numCache>
            </c:numRef>
          </c:val>
          <c:smooth val="0"/>
        </c:ser>
        <c:ser>
          <c:idx val="0"/>
          <c:order val="1"/>
          <c:tx>
            <c:strRef>
              <c:f>'LA Level'!$C$10</c:f>
              <c:strCache>
                <c:ptCount val="1"/>
                <c:pt idx="0">
                  <c:v>London</c:v>
                </c:pt>
              </c:strCache>
            </c:strRef>
          </c:tx>
          <c:spPr>
            <a:ln w="25400">
              <a:solidFill>
                <a:schemeClr val="accent6">
                  <a:lumMod val="75000"/>
                </a:schemeClr>
              </a:solidFill>
              <a:prstDash val="solid"/>
            </a:ln>
          </c:spPr>
          <c:marker>
            <c:symbol val="diamond"/>
            <c:size val="7"/>
            <c:spPr>
              <a:solidFill>
                <a:schemeClr val="accent6">
                  <a:lumMod val="75000"/>
                </a:schemeClr>
              </a:solidFill>
              <a:ln>
                <a:solidFill>
                  <a:schemeClr val="accent6">
                    <a:lumMod val="75000"/>
                  </a:schemeClr>
                </a:solidFill>
              </a:ln>
            </c:spPr>
          </c:marker>
          <c:cat>
            <c:strRef>
              <c:f>'LA Level'!$S$21:$AB$22</c:f>
              <c:strCache>
                <c:ptCount val="10"/>
                <c:pt idx="0">
                  <c:v>2005</c:v>
                </c:pt>
                <c:pt idx="1">
                  <c:v>2006</c:v>
                </c:pt>
                <c:pt idx="2">
                  <c:v>2007</c:v>
                </c:pt>
                <c:pt idx="3">
                  <c:v>2008</c:v>
                </c:pt>
                <c:pt idx="4">
                  <c:v>2009</c:v>
                </c:pt>
                <c:pt idx="5">
                  <c:v>2010</c:v>
                </c:pt>
                <c:pt idx="6">
                  <c:v>2011</c:v>
                </c:pt>
                <c:pt idx="7">
                  <c:v>2012</c:v>
                </c:pt>
                <c:pt idx="8">
                  <c:v>2013</c:v>
                </c:pt>
                <c:pt idx="9">
                  <c:v>2014</c:v>
                </c:pt>
              </c:strCache>
            </c:strRef>
          </c:cat>
          <c:val>
            <c:numRef>
              <c:f>'LA Level'!$S$24:$AB$24</c:f>
              <c:numCache>
                <c:formatCode>General</c:formatCode>
                <c:ptCount val="10"/>
                <c:pt idx="0">
                  <c:v>70</c:v>
                </c:pt>
                <c:pt idx="1">
                  <c:v>73</c:v>
                </c:pt>
                <c:pt idx="2">
                  <c:v>70</c:v>
                </c:pt>
                <c:pt idx="3">
                  <c:v>66</c:v>
                </c:pt>
                <c:pt idx="4">
                  <c:v>62</c:v>
                </c:pt>
                <c:pt idx="5">
                  <c:v>62</c:v>
                </c:pt>
                <c:pt idx="6">
                  <c:v>58</c:v>
                </c:pt>
                <c:pt idx="7">
                  <c:v>57</c:v>
                </c:pt>
                <c:pt idx="8">
                  <c:v>54</c:v>
                </c:pt>
                <c:pt idx="9">
                  <c:v>54</c:v>
                </c:pt>
              </c:numCache>
            </c:numRef>
          </c:val>
          <c:smooth val="0"/>
        </c:ser>
        <c:ser>
          <c:idx val="1"/>
          <c:order val="2"/>
          <c:tx>
            <c:strRef>
              <c:f>'LA Level'!$C$11</c:f>
              <c:strCache>
                <c:ptCount val="1"/>
                <c:pt idx="0">
                  <c:v>Statistical Neighbours</c:v>
                </c:pt>
              </c:strCache>
            </c:strRef>
          </c:tx>
          <c:spPr>
            <a:ln w="25400">
              <a:solidFill>
                <a:schemeClr val="accent1">
                  <a:lumMod val="60000"/>
                  <a:lumOff val="40000"/>
                </a:schemeClr>
              </a:solidFill>
              <a:prstDash val="solid"/>
            </a:ln>
          </c:spPr>
          <c:marker>
            <c:symbol val="square"/>
            <c:size val="7"/>
            <c:spPr>
              <a:solidFill>
                <a:schemeClr val="accent1"/>
              </a:solidFill>
              <a:ln>
                <a:solidFill>
                  <a:schemeClr val="accent1">
                    <a:lumMod val="60000"/>
                    <a:lumOff val="40000"/>
                  </a:schemeClr>
                </a:solidFill>
              </a:ln>
            </c:spPr>
          </c:marker>
          <c:cat>
            <c:strRef>
              <c:f>'LA Level'!$S$21:$AB$22</c:f>
              <c:strCache>
                <c:ptCount val="10"/>
                <c:pt idx="0">
                  <c:v>2005</c:v>
                </c:pt>
                <c:pt idx="1">
                  <c:v>2006</c:v>
                </c:pt>
                <c:pt idx="2">
                  <c:v>2007</c:v>
                </c:pt>
                <c:pt idx="3">
                  <c:v>2008</c:v>
                </c:pt>
                <c:pt idx="4">
                  <c:v>2009</c:v>
                </c:pt>
                <c:pt idx="5">
                  <c:v>2010</c:v>
                </c:pt>
                <c:pt idx="6">
                  <c:v>2011</c:v>
                </c:pt>
                <c:pt idx="7">
                  <c:v>2012</c:v>
                </c:pt>
                <c:pt idx="8">
                  <c:v>2013</c:v>
                </c:pt>
                <c:pt idx="9">
                  <c:v>2014</c:v>
                </c:pt>
              </c:strCache>
            </c:strRef>
          </c:cat>
          <c:val>
            <c:numRef>
              <c:f>'LA Level'!$S$25:$AB$25</c:f>
              <c:numCache>
                <c:formatCode>General</c:formatCode>
                <c:ptCount val="10"/>
                <c:pt idx="0">
                  <c:v>52.5</c:v>
                </c:pt>
                <c:pt idx="1">
                  <c:v>51.9</c:v>
                </c:pt>
                <c:pt idx="2">
                  <c:v>48.8</c:v>
                </c:pt>
                <c:pt idx="3">
                  <c:v>47.3</c:v>
                </c:pt>
                <c:pt idx="4">
                  <c:v>45.3</c:v>
                </c:pt>
                <c:pt idx="5">
                  <c:v>47.6</c:v>
                </c:pt>
                <c:pt idx="6">
                  <c:v>45.4</c:v>
                </c:pt>
                <c:pt idx="7">
                  <c:v>45.8</c:v>
                </c:pt>
                <c:pt idx="8">
                  <c:v>44.5</c:v>
                </c:pt>
                <c:pt idx="9">
                  <c:v>44.2</c:v>
                </c:pt>
              </c:numCache>
            </c:numRef>
          </c:val>
          <c:smooth val="0"/>
        </c:ser>
        <c:ser>
          <c:idx val="3"/>
          <c:order val="3"/>
          <c:tx>
            <c:strRef>
              <c:f>'LA Level'!$C$12</c:f>
              <c:strCache>
                <c:ptCount val="1"/>
                <c:pt idx="0">
                  <c:v>England</c:v>
                </c:pt>
              </c:strCache>
            </c:strRef>
          </c:tx>
          <c:spPr>
            <a:ln w="25400">
              <a:solidFill>
                <a:schemeClr val="tx1"/>
              </a:solidFill>
              <a:prstDash val="solid"/>
            </a:ln>
          </c:spPr>
          <c:marker>
            <c:symbol val="circle"/>
            <c:size val="7"/>
            <c:spPr>
              <a:solidFill>
                <a:schemeClr val="tx1"/>
              </a:solidFill>
            </c:spPr>
          </c:marker>
          <c:cat>
            <c:strRef>
              <c:f>'LA Level'!$S$21:$AB$22</c:f>
              <c:strCache>
                <c:ptCount val="10"/>
                <c:pt idx="0">
                  <c:v>2005</c:v>
                </c:pt>
                <c:pt idx="1">
                  <c:v>2006</c:v>
                </c:pt>
                <c:pt idx="2">
                  <c:v>2007</c:v>
                </c:pt>
                <c:pt idx="3">
                  <c:v>2008</c:v>
                </c:pt>
                <c:pt idx="4">
                  <c:v>2009</c:v>
                </c:pt>
                <c:pt idx="5">
                  <c:v>2010</c:v>
                </c:pt>
                <c:pt idx="6">
                  <c:v>2011</c:v>
                </c:pt>
                <c:pt idx="7">
                  <c:v>2012</c:v>
                </c:pt>
                <c:pt idx="8">
                  <c:v>2013</c:v>
                </c:pt>
                <c:pt idx="9">
                  <c:v>2014</c:v>
                </c:pt>
              </c:strCache>
            </c:strRef>
          </c:cat>
          <c:val>
            <c:numRef>
              <c:f>'LA Level'!$S$26:$AB$26</c:f>
              <c:numCache>
                <c:formatCode>General</c:formatCode>
                <c:ptCount val="10"/>
                <c:pt idx="0">
                  <c:v>55</c:v>
                </c:pt>
                <c:pt idx="1">
                  <c:v>55</c:v>
                </c:pt>
                <c:pt idx="2">
                  <c:v>55</c:v>
                </c:pt>
                <c:pt idx="3">
                  <c:v>54</c:v>
                </c:pt>
                <c:pt idx="4">
                  <c:v>54</c:v>
                </c:pt>
                <c:pt idx="5">
                  <c:v>57</c:v>
                </c:pt>
                <c:pt idx="6">
                  <c:v>58</c:v>
                </c:pt>
                <c:pt idx="7">
                  <c:v>59</c:v>
                </c:pt>
                <c:pt idx="8">
                  <c:v>60</c:v>
                </c:pt>
                <c:pt idx="9">
                  <c:v>60</c:v>
                </c:pt>
              </c:numCache>
            </c:numRef>
          </c:val>
          <c:smooth val="0"/>
        </c:ser>
        <c:dLbls>
          <c:showLegendKey val="0"/>
          <c:showVal val="0"/>
          <c:showCatName val="0"/>
          <c:showSerName val="0"/>
          <c:showPercent val="0"/>
          <c:showBubbleSize val="0"/>
        </c:dLbls>
        <c:marker val="1"/>
        <c:smooth val="0"/>
        <c:axId val="173410560"/>
        <c:axId val="173420928"/>
      </c:lineChart>
      <c:catAx>
        <c:axId val="173410560"/>
        <c:scaling>
          <c:orientation val="minMax"/>
        </c:scaling>
        <c:delete val="0"/>
        <c:axPos val="b"/>
        <c:numFmt formatCode="General" sourceLinked="1"/>
        <c:majorTickMark val="none"/>
        <c:minorTickMark val="none"/>
        <c:tickLblPos val="nextTo"/>
        <c:spPr>
          <a:ln w="3175">
            <a:solidFill>
              <a:srgbClr val="000000"/>
            </a:solidFill>
            <a:prstDash val="solid"/>
          </a:ln>
        </c:spPr>
        <c:txPr>
          <a:bodyPr rot="0" vert="horz"/>
          <a:lstStyle/>
          <a:p>
            <a:pPr>
              <a:defRPr sz="1000" b="1" i="0" u="none" strike="noStrike" baseline="0">
                <a:solidFill>
                  <a:srgbClr val="000000"/>
                </a:solidFill>
                <a:latin typeface="Verdana"/>
                <a:ea typeface="Verdana"/>
                <a:cs typeface="Verdana"/>
              </a:defRPr>
            </a:pPr>
            <a:endParaRPr lang="en-US"/>
          </a:p>
        </c:txPr>
        <c:crossAx val="173420928"/>
        <c:crossesAt val="0"/>
        <c:auto val="1"/>
        <c:lblAlgn val="ctr"/>
        <c:lblOffset val="100"/>
        <c:noMultiLvlLbl val="0"/>
      </c:catAx>
      <c:valAx>
        <c:axId val="173420928"/>
        <c:scaling>
          <c:orientation val="minMax"/>
        </c:scaling>
        <c:delete val="0"/>
        <c:axPos val="l"/>
        <c:majorGridlines>
          <c:spPr>
            <a:ln w="3175">
              <a:noFill/>
              <a:prstDash val="sysDash"/>
            </a:ln>
          </c:spPr>
        </c:majorGridlines>
        <c:title>
          <c:tx>
            <c:rich>
              <a:bodyPr/>
              <a:lstStyle/>
              <a:p>
                <a:pPr>
                  <a:defRPr/>
                </a:pPr>
                <a:r>
                  <a:rPr lang="en-GB"/>
                  <a:t>No. of LAC</a:t>
                </a:r>
              </a:p>
            </c:rich>
          </c:tx>
          <c:overlay val="0"/>
        </c:title>
        <c:numFmt formatCode="0" sourceLinked="0"/>
        <c:majorTickMark val="none"/>
        <c:minorTickMark val="none"/>
        <c:tickLblPos val="nextTo"/>
        <c:spPr>
          <a:ln w="3175">
            <a:solidFill>
              <a:srgbClr val="000000"/>
            </a:solidFill>
            <a:prstDash val="solid"/>
          </a:ln>
        </c:spPr>
        <c:txPr>
          <a:bodyPr rot="0" vert="horz"/>
          <a:lstStyle/>
          <a:p>
            <a:pPr>
              <a:defRPr sz="1000" b="1" i="0" u="none" strike="noStrike" baseline="0">
                <a:solidFill>
                  <a:srgbClr val="000000"/>
                </a:solidFill>
                <a:latin typeface="Verdana"/>
                <a:ea typeface="Verdana"/>
                <a:cs typeface="Verdana"/>
              </a:defRPr>
            </a:pPr>
            <a:endParaRPr lang="en-US"/>
          </a:p>
        </c:txPr>
        <c:crossAx val="173410560"/>
        <c:crosses val="autoZero"/>
        <c:crossBetween val="between"/>
      </c:valAx>
      <c:spPr>
        <a:solidFill>
          <a:srgbClr val="FFFFFF"/>
        </a:solidFill>
        <a:ln w="3175">
          <a:noFill/>
          <a:prstDash val="solid"/>
        </a:ln>
      </c:spPr>
    </c:plotArea>
    <c:legend>
      <c:legendPos val="r"/>
      <c:layout>
        <c:manualLayout>
          <c:xMode val="edge"/>
          <c:yMode val="edge"/>
          <c:x val="0.1537855092579794"/>
          <c:y val="0.90138985609110667"/>
          <c:w val="0.6726915268412923"/>
          <c:h val="9.6191391068226814E-2"/>
        </c:manualLayout>
      </c:layout>
      <c:overlay val="0"/>
      <c:spPr>
        <a:solidFill>
          <a:srgbClr val="FFFFFF"/>
        </a:solidFill>
        <a:ln w="3175">
          <a:noFill/>
          <a:prstDash val="solid"/>
        </a:ln>
      </c:spPr>
      <c:txPr>
        <a:bodyPr/>
        <a:lstStyle/>
        <a:p>
          <a:pPr>
            <a:defRPr sz="800" b="0" i="0" u="none" strike="noStrike" baseline="0">
              <a:solidFill>
                <a:srgbClr val="000000"/>
              </a:solidFill>
              <a:latin typeface="Arial"/>
              <a:ea typeface="Arial"/>
              <a:cs typeface="Arial"/>
            </a:defRPr>
          </a:pPr>
          <a:endParaRPr lang="en-US"/>
        </a:p>
      </c:txPr>
    </c:legend>
    <c:plotVisOnly val="1"/>
    <c:dispBlanksAs val="gap"/>
    <c:showDLblsOverMax val="0"/>
  </c:chart>
  <c:spPr>
    <a:solidFill>
      <a:srgbClr val="FFFFFF"/>
    </a:solidFill>
  </c:spPr>
  <c:txPr>
    <a:bodyPr/>
    <a:lstStyle/>
    <a:p>
      <a:pPr>
        <a:defRPr sz="1125" b="0" i="0" u="none" strike="noStrike" baseline="0">
          <a:solidFill>
            <a:srgbClr val="000000"/>
          </a:solidFill>
          <a:latin typeface="Arial"/>
          <a:ea typeface="Arial"/>
          <a:cs typeface="Arial"/>
        </a:defRPr>
      </a:pPr>
      <a:endParaRPr lang="en-US"/>
    </a:p>
  </c:txPr>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752759584958421"/>
          <c:y val="6.2667724088445773E-2"/>
          <c:w val="0.83132557640421878"/>
          <c:h val="0.55885893706872425"/>
        </c:manualLayout>
      </c:layout>
      <c:lineChart>
        <c:grouping val="standard"/>
        <c:varyColors val="0"/>
        <c:ser>
          <c:idx val="2"/>
          <c:order val="0"/>
          <c:tx>
            <c:strRef>
              <c:f>'LA Level'!$C$9</c:f>
              <c:strCache>
                <c:ptCount val="1"/>
                <c:pt idx="0">
                  <c:v>Barnet</c:v>
                </c:pt>
              </c:strCache>
            </c:strRef>
          </c:tx>
          <c:spPr>
            <a:ln w="25400">
              <a:solidFill>
                <a:srgbClr val="008080"/>
              </a:solidFill>
              <a:prstDash val="solid"/>
            </a:ln>
            <a:effectLst/>
          </c:spPr>
          <c:marker>
            <c:symbol val="triangle"/>
            <c:size val="6"/>
            <c:spPr>
              <a:solidFill>
                <a:srgbClr val="008080"/>
              </a:solidFill>
              <a:ln>
                <a:solidFill>
                  <a:srgbClr val="008080"/>
                </a:solidFill>
                <a:prstDash val="solid"/>
              </a:ln>
            </c:spPr>
          </c:marker>
          <c:cat>
            <c:strRef>
              <c:f>'LA Level'!$S$21:$AB$22</c:f>
              <c:strCache>
                <c:ptCount val="10"/>
                <c:pt idx="0">
                  <c:v>2005</c:v>
                </c:pt>
                <c:pt idx="1">
                  <c:v>2006</c:v>
                </c:pt>
                <c:pt idx="2">
                  <c:v>2007</c:v>
                </c:pt>
                <c:pt idx="3">
                  <c:v>2008</c:v>
                </c:pt>
                <c:pt idx="4">
                  <c:v>2009</c:v>
                </c:pt>
                <c:pt idx="5">
                  <c:v>2010</c:v>
                </c:pt>
                <c:pt idx="6">
                  <c:v>2011</c:v>
                </c:pt>
                <c:pt idx="7">
                  <c:v>2012</c:v>
                </c:pt>
                <c:pt idx="8">
                  <c:v>2013</c:v>
                </c:pt>
                <c:pt idx="9">
                  <c:v>2014</c:v>
                </c:pt>
              </c:strCache>
            </c:strRef>
          </c:cat>
          <c:val>
            <c:numRef>
              <c:f>'LA Level'!$S$23:$AB$23</c:f>
              <c:numCache>
                <c:formatCode>General</c:formatCode>
                <c:ptCount val="10"/>
                <c:pt idx="0">
                  <c:v>53.1</c:v>
                </c:pt>
                <c:pt idx="1">
                  <c:v>44.4</c:v>
                </c:pt>
                <c:pt idx="2">
                  <c:v>55.6</c:v>
                </c:pt>
                <c:pt idx="3">
                  <c:v>58.8</c:v>
                </c:pt>
                <c:pt idx="4">
                  <c:v>55.3</c:v>
                </c:pt>
                <c:pt idx="5">
                  <c:v>57.5</c:v>
                </c:pt>
                <c:pt idx="6">
                  <c:v>67</c:v>
                </c:pt>
                <c:pt idx="7">
                  <c:v>51</c:v>
                </c:pt>
                <c:pt idx="8">
                  <c:v>62</c:v>
                </c:pt>
                <c:pt idx="9">
                  <c:v>49</c:v>
                </c:pt>
              </c:numCache>
            </c:numRef>
          </c:val>
          <c:smooth val="0"/>
        </c:ser>
        <c:ser>
          <c:idx val="0"/>
          <c:order val="1"/>
          <c:tx>
            <c:strRef>
              <c:f>'LA Level'!$C$10</c:f>
              <c:strCache>
                <c:ptCount val="1"/>
                <c:pt idx="0">
                  <c:v>London</c:v>
                </c:pt>
              </c:strCache>
            </c:strRef>
          </c:tx>
          <c:spPr>
            <a:ln w="25400">
              <a:solidFill>
                <a:schemeClr val="accent6">
                  <a:lumMod val="75000"/>
                </a:schemeClr>
              </a:solidFill>
              <a:prstDash val="solid"/>
            </a:ln>
          </c:spPr>
          <c:marker>
            <c:symbol val="diamond"/>
            <c:size val="7"/>
            <c:spPr>
              <a:solidFill>
                <a:schemeClr val="accent6">
                  <a:lumMod val="75000"/>
                </a:schemeClr>
              </a:solidFill>
              <a:ln>
                <a:solidFill>
                  <a:schemeClr val="accent6">
                    <a:lumMod val="75000"/>
                  </a:schemeClr>
                </a:solidFill>
              </a:ln>
            </c:spPr>
          </c:marker>
          <c:cat>
            <c:strRef>
              <c:f>'LA Level'!$S$21:$AB$22</c:f>
              <c:strCache>
                <c:ptCount val="10"/>
                <c:pt idx="0">
                  <c:v>2005</c:v>
                </c:pt>
                <c:pt idx="1">
                  <c:v>2006</c:v>
                </c:pt>
                <c:pt idx="2">
                  <c:v>2007</c:v>
                </c:pt>
                <c:pt idx="3">
                  <c:v>2008</c:v>
                </c:pt>
                <c:pt idx="4">
                  <c:v>2009</c:v>
                </c:pt>
                <c:pt idx="5">
                  <c:v>2010</c:v>
                </c:pt>
                <c:pt idx="6">
                  <c:v>2011</c:v>
                </c:pt>
                <c:pt idx="7">
                  <c:v>2012</c:v>
                </c:pt>
                <c:pt idx="8">
                  <c:v>2013</c:v>
                </c:pt>
                <c:pt idx="9">
                  <c:v>2014</c:v>
                </c:pt>
              </c:strCache>
            </c:strRef>
          </c:cat>
          <c:val>
            <c:numRef>
              <c:f>'LA Level'!$S$24:$AB$24</c:f>
              <c:numCache>
                <c:formatCode>General</c:formatCode>
                <c:ptCount val="10"/>
                <c:pt idx="0">
                  <c:v>57.5</c:v>
                </c:pt>
                <c:pt idx="1">
                  <c:v>66.3</c:v>
                </c:pt>
                <c:pt idx="2">
                  <c:v>65.2</c:v>
                </c:pt>
                <c:pt idx="3">
                  <c:v>68.3</c:v>
                </c:pt>
                <c:pt idx="4">
                  <c:v>65.2</c:v>
                </c:pt>
                <c:pt idx="5">
                  <c:v>61.6</c:v>
                </c:pt>
                <c:pt idx="6">
                  <c:v>66</c:v>
                </c:pt>
                <c:pt idx="7">
                  <c:v>59</c:v>
                </c:pt>
                <c:pt idx="8">
                  <c:v>64</c:v>
                </c:pt>
                <c:pt idx="9">
                  <c:v>54</c:v>
                </c:pt>
              </c:numCache>
            </c:numRef>
          </c:val>
          <c:smooth val="0"/>
        </c:ser>
        <c:ser>
          <c:idx val="1"/>
          <c:order val="2"/>
          <c:tx>
            <c:strRef>
              <c:f>'LA Level'!$C$11</c:f>
              <c:strCache>
                <c:ptCount val="1"/>
                <c:pt idx="0">
                  <c:v>Statistical Neighbours</c:v>
                </c:pt>
              </c:strCache>
            </c:strRef>
          </c:tx>
          <c:spPr>
            <a:ln w="25400">
              <a:solidFill>
                <a:schemeClr val="accent1">
                  <a:lumMod val="60000"/>
                  <a:lumOff val="40000"/>
                </a:schemeClr>
              </a:solidFill>
              <a:prstDash val="solid"/>
            </a:ln>
          </c:spPr>
          <c:marker>
            <c:symbol val="square"/>
            <c:size val="7"/>
            <c:spPr>
              <a:solidFill>
                <a:schemeClr val="accent1"/>
              </a:solidFill>
              <a:ln>
                <a:solidFill>
                  <a:schemeClr val="accent1">
                    <a:lumMod val="60000"/>
                    <a:lumOff val="40000"/>
                  </a:schemeClr>
                </a:solidFill>
              </a:ln>
            </c:spPr>
          </c:marker>
          <c:cat>
            <c:strRef>
              <c:f>'LA Level'!$S$21:$AB$22</c:f>
              <c:strCache>
                <c:ptCount val="10"/>
                <c:pt idx="0">
                  <c:v>2005</c:v>
                </c:pt>
                <c:pt idx="1">
                  <c:v>2006</c:v>
                </c:pt>
                <c:pt idx="2">
                  <c:v>2007</c:v>
                </c:pt>
                <c:pt idx="3">
                  <c:v>2008</c:v>
                </c:pt>
                <c:pt idx="4">
                  <c:v>2009</c:v>
                </c:pt>
                <c:pt idx="5">
                  <c:v>2010</c:v>
                </c:pt>
                <c:pt idx="6">
                  <c:v>2011</c:v>
                </c:pt>
                <c:pt idx="7">
                  <c:v>2012</c:v>
                </c:pt>
                <c:pt idx="8">
                  <c:v>2013</c:v>
                </c:pt>
                <c:pt idx="9">
                  <c:v>2014</c:v>
                </c:pt>
              </c:strCache>
            </c:strRef>
          </c:cat>
          <c:val>
            <c:numRef>
              <c:f>'LA Level'!$S$25:$AB$25</c:f>
              <c:numCache>
                <c:formatCode>General</c:formatCode>
                <c:ptCount val="10"/>
                <c:pt idx="0">
                  <c:v>60.012500000000003</c:v>
                </c:pt>
                <c:pt idx="1">
                  <c:v>58.777777777777779</c:v>
                </c:pt>
                <c:pt idx="2">
                  <c:v>58.260000000000005</c:v>
                </c:pt>
                <c:pt idx="3">
                  <c:v>59.260000000000005</c:v>
                </c:pt>
                <c:pt idx="4">
                  <c:v>65.37</c:v>
                </c:pt>
                <c:pt idx="5">
                  <c:v>64.411111111111111</c:v>
                </c:pt>
                <c:pt idx="6">
                  <c:v>64.8</c:v>
                </c:pt>
                <c:pt idx="7">
                  <c:v>62.1</c:v>
                </c:pt>
                <c:pt idx="8">
                  <c:v>63.7</c:v>
                </c:pt>
                <c:pt idx="9">
                  <c:v>51</c:v>
                </c:pt>
              </c:numCache>
            </c:numRef>
          </c:val>
          <c:smooth val="0"/>
        </c:ser>
        <c:ser>
          <c:idx val="3"/>
          <c:order val="3"/>
          <c:tx>
            <c:strRef>
              <c:f>'LA Level'!$C$12</c:f>
              <c:strCache>
                <c:ptCount val="1"/>
                <c:pt idx="0">
                  <c:v>England</c:v>
                </c:pt>
              </c:strCache>
            </c:strRef>
          </c:tx>
          <c:spPr>
            <a:ln w="25400">
              <a:solidFill>
                <a:schemeClr val="tx1"/>
              </a:solidFill>
              <a:prstDash val="solid"/>
            </a:ln>
          </c:spPr>
          <c:marker>
            <c:symbol val="circle"/>
            <c:size val="7"/>
            <c:spPr>
              <a:solidFill>
                <a:schemeClr val="tx1"/>
              </a:solidFill>
            </c:spPr>
          </c:marker>
          <c:cat>
            <c:strRef>
              <c:f>'LA Level'!$S$21:$AB$22</c:f>
              <c:strCache>
                <c:ptCount val="10"/>
                <c:pt idx="0">
                  <c:v>2005</c:v>
                </c:pt>
                <c:pt idx="1">
                  <c:v>2006</c:v>
                </c:pt>
                <c:pt idx="2">
                  <c:v>2007</c:v>
                </c:pt>
                <c:pt idx="3">
                  <c:v>2008</c:v>
                </c:pt>
                <c:pt idx="4">
                  <c:v>2009</c:v>
                </c:pt>
                <c:pt idx="5">
                  <c:v>2010</c:v>
                </c:pt>
                <c:pt idx="6">
                  <c:v>2011</c:v>
                </c:pt>
                <c:pt idx="7">
                  <c:v>2012</c:v>
                </c:pt>
                <c:pt idx="8">
                  <c:v>2013</c:v>
                </c:pt>
                <c:pt idx="9">
                  <c:v>2014</c:v>
                </c:pt>
              </c:strCache>
            </c:strRef>
          </c:cat>
          <c:val>
            <c:numRef>
              <c:f>'LA Level'!$S$26:$AB$26</c:f>
              <c:numCache>
                <c:formatCode>General</c:formatCode>
                <c:ptCount val="10"/>
                <c:pt idx="0">
                  <c:v>58.4</c:v>
                </c:pt>
                <c:pt idx="1">
                  <c:v>62.7</c:v>
                </c:pt>
                <c:pt idx="2">
                  <c:v>62.6</c:v>
                </c:pt>
                <c:pt idx="3">
                  <c:v>64.900000000000006</c:v>
                </c:pt>
                <c:pt idx="4">
                  <c:v>63</c:v>
                </c:pt>
                <c:pt idx="5">
                  <c:v>62.1</c:v>
                </c:pt>
                <c:pt idx="6">
                  <c:v>61</c:v>
                </c:pt>
                <c:pt idx="7">
                  <c:v>58</c:v>
                </c:pt>
                <c:pt idx="8">
                  <c:v>58</c:v>
                </c:pt>
                <c:pt idx="9">
                  <c:v>45</c:v>
                </c:pt>
              </c:numCache>
            </c:numRef>
          </c:val>
          <c:smooth val="0"/>
        </c:ser>
        <c:dLbls>
          <c:showLegendKey val="0"/>
          <c:showVal val="0"/>
          <c:showCatName val="0"/>
          <c:showSerName val="0"/>
          <c:showPercent val="0"/>
          <c:showBubbleSize val="0"/>
        </c:dLbls>
        <c:marker val="1"/>
        <c:smooth val="0"/>
        <c:axId val="173472000"/>
        <c:axId val="173482368"/>
      </c:lineChart>
      <c:catAx>
        <c:axId val="173472000"/>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1000" b="1" i="0" u="none" strike="noStrike" baseline="0">
                <a:solidFill>
                  <a:srgbClr val="000000"/>
                </a:solidFill>
                <a:latin typeface="Verdana"/>
                <a:ea typeface="Verdana"/>
                <a:cs typeface="Verdana"/>
              </a:defRPr>
            </a:pPr>
            <a:endParaRPr lang="en-US"/>
          </a:p>
        </c:txPr>
        <c:crossAx val="173482368"/>
        <c:crossesAt val="0"/>
        <c:auto val="1"/>
        <c:lblAlgn val="ctr"/>
        <c:lblOffset val="100"/>
        <c:noMultiLvlLbl val="0"/>
      </c:catAx>
      <c:valAx>
        <c:axId val="173482368"/>
        <c:scaling>
          <c:orientation val="minMax"/>
        </c:scaling>
        <c:delete val="0"/>
        <c:axPos val="l"/>
        <c:majorGridlines>
          <c:spPr>
            <a:ln w="3175">
              <a:noFill/>
              <a:prstDash val="sysDash"/>
            </a:ln>
          </c:spPr>
        </c:majorGridlines>
        <c:title>
          <c:tx>
            <c:strRef>
              <c:f>"% of leavers"</c:f>
              <c:strCache>
                <c:ptCount val="1"/>
                <c:pt idx="0">
                  <c:v>% of leavers</c:v>
                </c:pt>
              </c:strCache>
            </c:strRef>
          </c:tx>
          <c:layout>
            <c:manualLayout>
              <c:xMode val="edge"/>
              <c:yMode val="edge"/>
              <c:x val="1.7738379936227615E-2"/>
              <c:y val="0.14850799688030852"/>
            </c:manualLayout>
          </c:layout>
          <c:overlay val="0"/>
          <c:spPr>
            <a:noFill/>
            <a:ln w="25400">
              <a:noFill/>
            </a:ln>
          </c:spPr>
          <c:txPr>
            <a:bodyPr/>
            <a:lstStyle/>
            <a:p>
              <a:pPr>
                <a:defRPr sz="1000" b="1" i="0" u="none" strike="noStrike" baseline="0">
                  <a:solidFill>
                    <a:srgbClr val="000000"/>
                  </a:solidFill>
                  <a:latin typeface="Verdana"/>
                  <a:ea typeface="Verdana"/>
                  <a:cs typeface="Verdana"/>
                </a:defRPr>
              </a:pPr>
              <a:endParaRPr lang="en-US"/>
            </a:p>
          </c:txPr>
        </c:title>
        <c:numFmt formatCode="0" sourceLinked="0"/>
        <c:majorTickMark val="out"/>
        <c:minorTickMark val="none"/>
        <c:tickLblPos val="nextTo"/>
        <c:spPr>
          <a:ln w="3175">
            <a:solidFill>
              <a:srgbClr val="000000"/>
            </a:solidFill>
            <a:prstDash val="solid"/>
          </a:ln>
        </c:spPr>
        <c:txPr>
          <a:bodyPr rot="0" vert="horz"/>
          <a:lstStyle/>
          <a:p>
            <a:pPr>
              <a:defRPr sz="1000" b="1" i="0" u="none" strike="noStrike" baseline="0">
                <a:solidFill>
                  <a:srgbClr val="000000"/>
                </a:solidFill>
                <a:latin typeface="Verdana"/>
                <a:ea typeface="Verdana"/>
                <a:cs typeface="Verdana"/>
              </a:defRPr>
            </a:pPr>
            <a:endParaRPr lang="en-US"/>
          </a:p>
        </c:txPr>
        <c:crossAx val="173472000"/>
        <c:crosses val="autoZero"/>
        <c:crossBetween val="between"/>
      </c:valAx>
      <c:spPr>
        <a:solidFill>
          <a:srgbClr val="FFFFFF"/>
        </a:solidFill>
        <a:ln w="3175">
          <a:noFill/>
          <a:prstDash val="solid"/>
        </a:ln>
      </c:spPr>
    </c:plotArea>
    <c:legend>
      <c:legendPos val="b"/>
      <c:layout>
        <c:manualLayout>
          <c:xMode val="edge"/>
          <c:yMode val="edge"/>
          <c:x val="0.20738283820717102"/>
          <c:y val="0.77897737009677903"/>
          <c:w val="0.59508655898152918"/>
          <c:h val="0.16260248396785451"/>
        </c:manualLayout>
      </c:layout>
      <c:overlay val="0"/>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en-US"/>
        </a:p>
      </c:txPr>
    </c:legend>
    <c:plotVisOnly val="1"/>
    <c:dispBlanksAs val="gap"/>
    <c:showDLblsOverMax val="0"/>
  </c:chart>
  <c:spPr>
    <a:noFill/>
  </c:spPr>
  <c:txPr>
    <a:bodyPr/>
    <a:lstStyle/>
    <a:p>
      <a:pPr>
        <a:defRPr sz="1125" b="0" i="0" u="none" strike="noStrike" baseline="0">
          <a:solidFill>
            <a:srgbClr val="000000"/>
          </a:solidFill>
          <a:latin typeface="Arial"/>
          <a:ea typeface="Arial"/>
          <a:cs typeface="Arial"/>
        </a:defRPr>
      </a:pPr>
      <a:endParaRPr lang="en-US"/>
    </a:p>
  </c:txPr>
  <c:externalData r:id="rId2">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3805262666011191E-2"/>
          <c:y val="7.0558050032071842E-2"/>
          <c:w val="0.88496536360051392"/>
          <c:h val="0.56225871766029245"/>
        </c:manualLayout>
      </c:layout>
      <c:lineChart>
        <c:grouping val="standard"/>
        <c:varyColors val="0"/>
        <c:ser>
          <c:idx val="0"/>
          <c:order val="0"/>
          <c:tx>
            <c:strRef>
              <c:f>'4. NI'!$U$3</c:f>
              <c:strCache>
                <c:ptCount val="1"/>
                <c:pt idx="0">
                  <c:v>Barnet</c:v>
                </c:pt>
              </c:strCache>
            </c:strRef>
          </c:tx>
          <c:spPr>
            <a:ln w="34925">
              <a:solidFill>
                <a:srgbClr val="1B9D97"/>
              </a:solidFill>
            </a:ln>
          </c:spPr>
          <c:marker>
            <c:symbol val="none"/>
          </c:marker>
          <c:cat>
            <c:strRef>
              <c:f>'4. NI'!$V$2:$AB$2</c:f>
              <c:strCache>
                <c:ptCount val="7"/>
                <c:pt idx="0">
                  <c:v>Oct 07 - Sep 08</c:v>
                </c:pt>
                <c:pt idx="1">
                  <c:v>Oct 08 - Sep 09</c:v>
                </c:pt>
                <c:pt idx="2">
                  <c:v>Oct 09 - Sep 10</c:v>
                </c:pt>
                <c:pt idx="3">
                  <c:v>Oct 10 - Sep 11</c:v>
                </c:pt>
                <c:pt idx="4">
                  <c:v>Oct 11 - Sep 12</c:v>
                </c:pt>
                <c:pt idx="5">
                  <c:v>Oct 12 - Sep 13</c:v>
                </c:pt>
                <c:pt idx="6">
                  <c:v>Oct 13 - Sep 14</c:v>
                </c:pt>
              </c:strCache>
            </c:strRef>
          </c:cat>
          <c:val>
            <c:numRef>
              <c:f>'4. NI'!$V$3:$AB$3</c:f>
              <c:numCache>
                <c:formatCode>#,##0</c:formatCode>
                <c:ptCount val="7"/>
                <c:pt idx="0">
                  <c:v>962.24334932732415</c:v>
                </c:pt>
                <c:pt idx="1">
                  <c:v>904.48671361284869</c:v>
                </c:pt>
                <c:pt idx="2">
                  <c:v>634.20198905381073</c:v>
                </c:pt>
                <c:pt idx="3">
                  <c:v>596.20961341000179</c:v>
                </c:pt>
                <c:pt idx="4">
                  <c:v>449.28967837511004</c:v>
                </c:pt>
                <c:pt idx="5">
                  <c:v>331.9163208595586</c:v>
                </c:pt>
                <c:pt idx="6">
                  <c:v>281.53491312324576</c:v>
                </c:pt>
              </c:numCache>
            </c:numRef>
          </c:val>
          <c:smooth val="0"/>
        </c:ser>
        <c:ser>
          <c:idx val="1"/>
          <c:order val="1"/>
          <c:tx>
            <c:strRef>
              <c:f>'4. NI'!$U$4</c:f>
              <c:strCache>
                <c:ptCount val="1"/>
                <c:pt idx="0">
                  <c:v>National</c:v>
                </c:pt>
              </c:strCache>
            </c:strRef>
          </c:tx>
          <c:spPr>
            <a:ln w="34925">
              <a:solidFill>
                <a:schemeClr val="bg2">
                  <a:lumMod val="50000"/>
                </a:schemeClr>
              </a:solidFill>
            </a:ln>
          </c:spPr>
          <c:marker>
            <c:symbol val="none"/>
          </c:marker>
          <c:cat>
            <c:strRef>
              <c:f>'4. NI'!$V$2:$AB$2</c:f>
              <c:strCache>
                <c:ptCount val="7"/>
                <c:pt idx="0">
                  <c:v>Oct 07 - Sep 08</c:v>
                </c:pt>
                <c:pt idx="1">
                  <c:v>Oct 08 - Sep 09</c:v>
                </c:pt>
                <c:pt idx="2">
                  <c:v>Oct 09 - Sep 10</c:v>
                </c:pt>
                <c:pt idx="3">
                  <c:v>Oct 10 - Sep 11</c:v>
                </c:pt>
                <c:pt idx="4">
                  <c:v>Oct 11 - Sep 12</c:v>
                </c:pt>
                <c:pt idx="5">
                  <c:v>Oct 12 - Sep 13</c:v>
                </c:pt>
                <c:pt idx="6">
                  <c:v>Oct 13 - Sep 14</c:v>
                </c:pt>
              </c:strCache>
            </c:strRef>
          </c:cat>
          <c:val>
            <c:numRef>
              <c:f>'4. NI'!$V$4:$AB$4</c:f>
              <c:numCache>
                <c:formatCode>#,##0</c:formatCode>
                <c:ptCount val="7"/>
                <c:pt idx="0">
                  <c:v>1619.8449454179336</c:v>
                </c:pt>
                <c:pt idx="1">
                  <c:v>1319.0235524119855</c:v>
                </c:pt>
                <c:pt idx="2">
                  <c:v>957.65774866629954</c:v>
                </c:pt>
                <c:pt idx="3">
                  <c:v>763.34916079643267</c:v>
                </c:pt>
                <c:pt idx="4">
                  <c:v>597.76601646794256</c:v>
                </c:pt>
                <c:pt idx="5">
                  <c:v>464.90225355193849</c:v>
                </c:pt>
                <c:pt idx="6">
                  <c:v>417.19885198784613</c:v>
                </c:pt>
              </c:numCache>
            </c:numRef>
          </c:val>
          <c:smooth val="0"/>
        </c:ser>
        <c:ser>
          <c:idx val="2"/>
          <c:order val="2"/>
          <c:tx>
            <c:strRef>
              <c:f>'4. NI'!$U$5</c:f>
              <c:strCache>
                <c:ptCount val="1"/>
                <c:pt idx="0">
                  <c:v>London</c:v>
                </c:pt>
              </c:strCache>
            </c:strRef>
          </c:tx>
          <c:spPr>
            <a:ln w="34925"/>
          </c:spPr>
          <c:marker>
            <c:symbol val="none"/>
          </c:marker>
          <c:cat>
            <c:strRef>
              <c:f>'4. NI'!$V$2:$AB$2</c:f>
              <c:strCache>
                <c:ptCount val="7"/>
                <c:pt idx="0">
                  <c:v>Oct 07 - Sep 08</c:v>
                </c:pt>
                <c:pt idx="1">
                  <c:v>Oct 08 - Sep 09</c:v>
                </c:pt>
                <c:pt idx="2">
                  <c:v>Oct 09 - Sep 10</c:v>
                </c:pt>
                <c:pt idx="3">
                  <c:v>Oct 10 - Sep 11</c:v>
                </c:pt>
                <c:pt idx="4">
                  <c:v>Oct 11 - Sep 12</c:v>
                </c:pt>
                <c:pt idx="5">
                  <c:v>Oct 12 - Sep 13</c:v>
                </c:pt>
                <c:pt idx="6">
                  <c:v>Oct 13 - Sep 14</c:v>
                </c:pt>
              </c:strCache>
            </c:strRef>
          </c:cat>
          <c:val>
            <c:numRef>
              <c:f>'4. NI'!$V$5:$AB$5</c:f>
              <c:numCache>
                <c:formatCode>#,##0</c:formatCode>
                <c:ptCount val="7"/>
                <c:pt idx="0">
                  <c:v>1570.8279029368371</c:v>
                </c:pt>
                <c:pt idx="1">
                  <c:v>1392.0675004761183</c:v>
                </c:pt>
                <c:pt idx="2">
                  <c:v>1026.1363371239418</c:v>
                </c:pt>
                <c:pt idx="3">
                  <c:v>835.59962744639381</c:v>
                </c:pt>
                <c:pt idx="4">
                  <c:v>636.66094645448766</c:v>
                </c:pt>
                <c:pt idx="5">
                  <c:v>487.31619532468756</c:v>
                </c:pt>
                <c:pt idx="6">
                  <c:v>430.20153872032063</c:v>
                </c:pt>
              </c:numCache>
            </c:numRef>
          </c:val>
          <c:smooth val="0"/>
        </c:ser>
        <c:dLbls>
          <c:showLegendKey val="0"/>
          <c:showVal val="0"/>
          <c:showCatName val="0"/>
          <c:showSerName val="0"/>
          <c:showPercent val="0"/>
          <c:showBubbleSize val="0"/>
        </c:dLbls>
        <c:marker val="1"/>
        <c:smooth val="0"/>
        <c:axId val="173541632"/>
        <c:axId val="173547904"/>
      </c:lineChart>
      <c:catAx>
        <c:axId val="173541632"/>
        <c:scaling>
          <c:orientation val="minMax"/>
        </c:scaling>
        <c:delete val="0"/>
        <c:axPos val="b"/>
        <c:title>
          <c:tx>
            <c:rich>
              <a:bodyPr/>
              <a:lstStyle/>
              <a:p>
                <a:pPr>
                  <a:defRPr sz="900" b="0">
                    <a:latin typeface="Arial" pitchFamily="34" charset="0"/>
                    <a:cs typeface="Arial" pitchFamily="34" charset="0"/>
                  </a:defRPr>
                </a:pPr>
                <a:r>
                  <a:rPr lang="en-US" sz="900" b="0">
                    <a:latin typeface="Arial" pitchFamily="34" charset="0"/>
                    <a:cs typeface="Arial" pitchFamily="34" charset="0"/>
                  </a:rPr>
                  <a:t>Reporting period</a:t>
                </a:r>
              </a:p>
            </c:rich>
          </c:tx>
          <c:overlay val="0"/>
        </c:title>
        <c:majorTickMark val="out"/>
        <c:minorTickMark val="none"/>
        <c:tickLblPos val="nextTo"/>
        <c:txPr>
          <a:bodyPr/>
          <a:lstStyle/>
          <a:p>
            <a:pPr>
              <a:defRPr sz="900">
                <a:latin typeface="Arial" pitchFamily="34" charset="0"/>
                <a:cs typeface="Arial" pitchFamily="34" charset="0"/>
              </a:defRPr>
            </a:pPr>
            <a:endParaRPr lang="en-US"/>
          </a:p>
        </c:txPr>
        <c:crossAx val="173547904"/>
        <c:crosses val="autoZero"/>
        <c:auto val="1"/>
        <c:lblAlgn val="ctr"/>
        <c:lblOffset val="100"/>
        <c:noMultiLvlLbl val="0"/>
      </c:catAx>
      <c:valAx>
        <c:axId val="173547904"/>
        <c:scaling>
          <c:orientation val="minMax"/>
        </c:scaling>
        <c:delete val="0"/>
        <c:axPos val="l"/>
        <c:title>
          <c:tx>
            <c:rich>
              <a:bodyPr rot="-5400000" vert="horz"/>
              <a:lstStyle/>
              <a:p>
                <a:pPr>
                  <a:defRPr sz="900" b="0">
                    <a:latin typeface="Arial" pitchFamily="34" charset="0"/>
                    <a:cs typeface="Arial" pitchFamily="34" charset="0"/>
                  </a:defRPr>
                </a:pPr>
                <a:r>
                  <a:rPr lang="en-US" sz="900" b="0">
                    <a:latin typeface="Arial" pitchFamily="34" charset="0"/>
                    <a:cs typeface="Arial" pitchFamily="34" charset="0"/>
                  </a:rPr>
                  <a:t>FTE's per 100,000</a:t>
                </a:r>
              </a:p>
            </c:rich>
          </c:tx>
          <c:overlay val="0"/>
        </c:title>
        <c:numFmt formatCode="0" sourceLinked="0"/>
        <c:majorTickMark val="out"/>
        <c:minorTickMark val="none"/>
        <c:tickLblPos val="nextTo"/>
        <c:txPr>
          <a:bodyPr/>
          <a:lstStyle/>
          <a:p>
            <a:pPr>
              <a:defRPr sz="900">
                <a:latin typeface="Arial" pitchFamily="34" charset="0"/>
                <a:cs typeface="Arial" pitchFamily="34" charset="0"/>
              </a:defRPr>
            </a:pPr>
            <a:endParaRPr lang="en-US"/>
          </a:p>
        </c:txPr>
        <c:crossAx val="173541632"/>
        <c:crosses val="autoZero"/>
        <c:crossBetween val="between"/>
      </c:valAx>
    </c:plotArea>
    <c:legend>
      <c:legendPos val="b"/>
      <c:layout>
        <c:manualLayout>
          <c:xMode val="edge"/>
          <c:yMode val="edge"/>
          <c:x val="0.3029064163302474"/>
          <c:y val="0.89613548306461699"/>
          <c:w val="0.39418716733950532"/>
          <c:h val="0.10153058513704391"/>
        </c:manualLayout>
      </c:layout>
      <c:overlay val="0"/>
      <c:txPr>
        <a:bodyPr/>
        <a:lstStyle/>
        <a:p>
          <a:pPr>
            <a:defRPr sz="900">
              <a:latin typeface="Arial" pitchFamily="34" charset="0"/>
              <a:cs typeface="Arial" pitchFamily="34" charset="0"/>
            </a:defRPr>
          </a:pPr>
          <a:endParaRPr lang="en-US"/>
        </a:p>
      </c:txPr>
    </c:legend>
    <c:plotVisOnly val="1"/>
    <c:dispBlanksAs val="gap"/>
    <c:showDLblsOverMax val="0"/>
  </c:chart>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509356684396751"/>
          <c:y val="6.8322981366459631E-2"/>
          <c:w val="0.87327449523101697"/>
          <c:h val="0.60080989876265467"/>
        </c:manualLayout>
      </c:layout>
      <c:lineChart>
        <c:grouping val="standard"/>
        <c:varyColors val="0"/>
        <c:ser>
          <c:idx val="0"/>
          <c:order val="0"/>
          <c:tx>
            <c:strRef>
              <c:f>'4. NI'!$K$3</c:f>
              <c:strCache>
                <c:ptCount val="1"/>
                <c:pt idx="0">
                  <c:v>Barnet</c:v>
                </c:pt>
              </c:strCache>
            </c:strRef>
          </c:tx>
          <c:spPr>
            <a:ln w="34925">
              <a:solidFill>
                <a:srgbClr val="1B9D97"/>
              </a:solidFill>
            </a:ln>
          </c:spPr>
          <c:marker>
            <c:symbol val="none"/>
          </c:marker>
          <c:cat>
            <c:strRef>
              <c:f>'4. NI'!$L$2:$Q$2</c:f>
              <c:strCache>
                <c:ptCount val="6"/>
                <c:pt idx="0">
                  <c:v>Apr 07 - Mar 08</c:v>
                </c:pt>
                <c:pt idx="1">
                  <c:v>Apr 08 - Mar 09</c:v>
                </c:pt>
                <c:pt idx="2">
                  <c:v>Apr 09 - Mar 10</c:v>
                </c:pt>
                <c:pt idx="3">
                  <c:v>Apr 10 - Mar 11</c:v>
                </c:pt>
                <c:pt idx="4">
                  <c:v>Apr 11 - Mar 12</c:v>
                </c:pt>
                <c:pt idx="5">
                  <c:v>Apr 12 - Mar 13</c:v>
                </c:pt>
              </c:strCache>
            </c:strRef>
          </c:cat>
          <c:val>
            <c:numRef>
              <c:f>'4. NI'!$L$3:$Q$3</c:f>
              <c:numCache>
                <c:formatCode>0.00</c:formatCode>
                <c:ptCount val="6"/>
                <c:pt idx="0">
                  <c:v>0.79799666110183598</c:v>
                </c:pt>
                <c:pt idx="1">
                  <c:v>0.70621468926553599</c:v>
                </c:pt>
                <c:pt idx="2">
                  <c:v>0.730941704035874</c:v>
                </c:pt>
                <c:pt idx="3">
                  <c:v>0.93788819875776297</c:v>
                </c:pt>
                <c:pt idx="4">
                  <c:v>0.87213114754098298</c:v>
                </c:pt>
                <c:pt idx="5">
                  <c:v>0.80288461538461497</c:v>
                </c:pt>
              </c:numCache>
            </c:numRef>
          </c:val>
          <c:smooth val="0"/>
        </c:ser>
        <c:ser>
          <c:idx val="1"/>
          <c:order val="1"/>
          <c:tx>
            <c:strRef>
              <c:f>'4. NI'!$K$4</c:f>
              <c:strCache>
                <c:ptCount val="1"/>
                <c:pt idx="0">
                  <c:v>National</c:v>
                </c:pt>
              </c:strCache>
            </c:strRef>
          </c:tx>
          <c:spPr>
            <a:ln w="34925">
              <a:solidFill>
                <a:schemeClr val="bg2">
                  <a:lumMod val="50000"/>
                </a:schemeClr>
              </a:solidFill>
            </a:ln>
          </c:spPr>
          <c:marker>
            <c:symbol val="none"/>
          </c:marker>
          <c:cat>
            <c:strRef>
              <c:f>'4. NI'!$L$2:$Q$2</c:f>
              <c:strCache>
                <c:ptCount val="6"/>
                <c:pt idx="0">
                  <c:v>Apr 07 - Mar 08</c:v>
                </c:pt>
                <c:pt idx="1">
                  <c:v>Apr 08 - Mar 09</c:v>
                </c:pt>
                <c:pt idx="2">
                  <c:v>Apr 09 - Mar 10</c:v>
                </c:pt>
                <c:pt idx="3">
                  <c:v>Apr 10 - Mar 11</c:v>
                </c:pt>
                <c:pt idx="4">
                  <c:v>Apr 11 - Mar 12</c:v>
                </c:pt>
                <c:pt idx="5">
                  <c:v>Apr 12 - Mar 13</c:v>
                </c:pt>
              </c:strCache>
            </c:strRef>
          </c:cat>
          <c:val>
            <c:numRef>
              <c:f>'4. NI'!$L$4:$Q$4</c:f>
              <c:numCache>
                <c:formatCode>0.00</c:formatCode>
                <c:ptCount val="6"/>
                <c:pt idx="0">
                  <c:v>0.89363474427485812</c:v>
                </c:pt>
                <c:pt idx="1">
                  <c:v>0.90408921365969752</c:v>
                </c:pt>
                <c:pt idx="2">
                  <c:v>0.92447016383586356</c:v>
                </c:pt>
                <c:pt idx="3">
                  <c:v>1.0301408824131988</c:v>
                </c:pt>
                <c:pt idx="4">
                  <c:v>1.0195591290992863</c:v>
                </c:pt>
                <c:pt idx="5">
                  <c:v>1.0755194621086315</c:v>
                </c:pt>
              </c:numCache>
            </c:numRef>
          </c:val>
          <c:smooth val="0"/>
        </c:ser>
        <c:ser>
          <c:idx val="2"/>
          <c:order val="2"/>
          <c:tx>
            <c:strRef>
              <c:f>'4. NI'!$K$5</c:f>
              <c:strCache>
                <c:ptCount val="1"/>
                <c:pt idx="0">
                  <c:v>London</c:v>
                </c:pt>
              </c:strCache>
            </c:strRef>
          </c:tx>
          <c:spPr>
            <a:ln w="34925"/>
          </c:spPr>
          <c:marker>
            <c:symbol val="none"/>
          </c:marker>
          <c:cat>
            <c:strRef>
              <c:f>'4. NI'!$L$2:$Q$2</c:f>
              <c:strCache>
                <c:ptCount val="6"/>
                <c:pt idx="0">
                  <c:v>Apr 07 - Mar 08</c:v>
                </c:pt>
                <c:pt idx="1">
                  <c:v>Apr 08 - Mar 09</c:v>
                </c:pt>
                <c:pt idx="2">
                  <c:v>Apr 09 - Mar 10</c:v>
                </c:pt>
                <c:pt idx="3">
                  <c:v>Apr 10 - Mar 11</c:v>
                </c:pt>
                <c:pt idx="4">
                  <c:v>Apr 11 - Mar 12</c:v>
                </c:pt>
                <c:pt idx="5">
                  <c:v>Apr 12 - Mar 13</c:v>
                </c:pt>
              </c:strCache>
            </c:strRef>
          </c:cat>
          <c:val>
            <c:numRef>
              <c:f>'4. NI'!$L$5:$Q$5</c:f>
              <c:numCache>
                <c:formatCode>0.00</c:formatCode>
                <c:ptCount val="6"/>
                <c:pt idx="0">
                  <c:v>0.92182269733290145</c:v>
                </c:pt>
                <c:pt idx="1">
                  <c:v>0.89304233859479176</c:v>
                </c:pt>
                <c:pt idx="2">
                  <c:v>0.94919479819419172</c:v>
                </c:pt>
                <c:pt idx="3">
                  <c:v>1.097294185377087</c:v>
                </c:pt>
                <c:pt idx="4">
                  <c:v>1.0570226917057903</c:v>
                </c:pt>
                <c:pt idx="5">
                  <c:v>1.1599684791174152</c:v>
                </c:pt>
              </c:numCache>
            </c:numRef>
          </c:val>
          <c:smooth val="0"/>
        </c:ser>
        <c:dLbls>
          <c:showLegendKey val="0"/>
          <c:showVal val="0"/>
          <c:showCatName val="0"/>
          <c:showSerName val="0"/>
          <c:showPercent val="0"/>
          <c:showBubbleSize val="0"/>
        </c:dLbls>
        <c:marker val="1"/>
        <c:smooth val="0"/>
        <c:axId val="173561728"/>
        <c:axId val="173568000"/>
      </c:lineChart>
      <c:catAx>
        <c:axId val="173561728"/>
        <c:scaling>
          <c:orientation val="minMax"/>
        </c:scaling>
        <c:delete val="0"/>
        <c:axPos val="b"/>
        <c:title>
          <c:tx>
            <c:rich>
              <a:bodyPr/>
              <a:lstStyle/>
              <a:p>
                <a:pPr>
                  <a:defRPr sz="900" b="0">
                    <a:solidFill>
                      <a:schemeClr val="tx1"/>
                    </a:solidFill>
                    <a:latin typeface="Arial" pitchFamily="34" charset="0"/>
                    <a:cs typeface="Arial" pitchFamily="34" charset="0"/>
                  </a:defRPr>
                </a:pPr>
                <a:r>
                  <a:rPr lang="en-US" sz="900" b="0">
                    <a:solidFill>
                      <a:schemeClr val="tx1"/>
                    </a:solidFill>
                    <a:latin typeface="Arial" pitchFamily="34" charset="0"/>
                    <a:cs typeface="Arial" pitchFamily="34" charset="0"/>
                  </a:rPr>
                  <a:t>Reporting period</a:t>
                </a:r>
              </a:p>
            </c:rich>
          </c:tx>
          <c:overlay val="0"/>
        </c:title>
        <c:majorTickMark val="out"/>
        <c:minorTickMark val="none"/>
        <c:tickLblPos val="nextTo"/>
        <c:txPr>
          <a:bodyPr/>
          <a:lstStyle/>
          <a:p>
            <a:pPr>
              <a:defRPr sz="900">
                <a:solidFill>
                  <a:schemeClr val="tx1"/>
                </a:solidFill>
                <a:latin typeface="Arial" pitchFamily="34" charset="0"/>
                <a:cs typeface="Arial" pitchFamily="34" charset="0"/>
              </a:defRPr>
            </a:pPr>
            <a:endParaRPr lang="en-US"/>
          </a:p>
        </c:txPr>
        <c:crossAx val="173568000"/>
        <c:crosses val="autoZero"/>
        <c:auto val="1"/>
        <c:lblAlgn val="ctr"/>
        <c:lblOffset val="100"/>
        <c:noMultiLvlLbl val="0"/>
      </c:catAx>
      <c:valAx>
        <c:axId val="173568000"/>
        <c:scaling>
          <c:orientation val="minMax"/>
        </c:scaling>
        <c:delete val="0"/>
        <c:axPos val="l"/>
        <c:title>
          <c:tx>
            <c:rich>
              <a:bodyPr rot="-5400000" vert="horz"/>
              <a:lstStyle/>
              <a:p>
                <a:pPr>
                  <a:defRPr sz="900" b="0">
                    <a:solidFill>
                      <a:schemeClr val="tx1"/>
                    </a:solidFill>
                    <a:latin typeface="Arial" pitchFamily="34" charset="0"/>
                    <a:cs typeface="Arial" pitchFamily="34" charset="0"/>
                  </a:defRPr>
                </a:pPr>
                <a:r>
                  <a:rPr lang="en-US" sz="900" b="0">
                    <a:solidFill>
                      <a:schemeClr val="tx1"/>
                    </a:solidFill>
                    <a:latin typeface="Arial" pitchFamily="34" charset="0"/>
                    <a:cs typeface="Arial" pitchFamily="34" charset="0"/>
                  </a:rPr>
                  <a:t>Offences per offender in cohort</a:t>
                </a:r>
              </a:p>
            </c:rich>
          </c:tx>
          <c:overlay val="0"/>
        </c:title>
        <c:numFmt formatCode="0.0" sourceLinked="0"/>
        <c:majorTickMark val="out"/>
        <c:minorTickMark val="none"/>
        <c:tickLblPos val="nextTo"/>
        <c:txPr>
          <a:bodyPr/>
          <a:lstStyle/>
          <a:p>
            <a:pPr>
              <a:defRPr sz="900">
                <a:solidFill>
                  <a:schemeClr val="tx1"/>
                </a:solidFill>
                <a:latin typeface="Arial" pitchFamily="34" charset="0"/>
                <a:cs typeface="Arial" pitchFamily="34" charset="0"/>
              </a:defRPr>
            </a:pPr>
            <a:endParaRPr lang="en-US"/>
          </a:p>
        </c:txPr>
        <c:crossAx val="173561728"/>
        <c:crosses val="autoZero"/>
        <c:crossBetween val="between"/>
      </c:valAx>
    </c:plotArea>
    <c:legend>
      <c:legendPos val="b"/>
      <c:overlay val="0"/>
      <c:txPr>
        <a:bodyPr/>
        <a:lstStyle/>
        <a:p>
          <a:pPr>
            <a:defRPr sz="900">
              <a:solidFill>
                <a:schemeClr val="tx1"/>
              </a:solidFill>
              <a:latin typeface="Arial" pitchFamily="34" charset="0"/>
              <a:cs typeface="Arial" pitchFamily="34" charset="0"/>
            </a:defRPr>
          </a:pPr>
          <a:endParaRPr lang="en-US"/>
        </a:p>
      </c:txPr>
    </c:legend>
    <c:plotVisOnly val="1"/>
    <c:dispBlanksAs val="gap"/>
    <c:showDLblsOverMax val="0"/>
  </c:chart>
  <c:externalData r:id="rId2">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Sheet1!$C$2</c:f>
              <c:strCache>
                <c:ptCount val="1"/>
                <c:pt idx="0">
                  <c:v>Number of statutory programme started </c:v>
                </c:pt>
              </c:strCache>
            </c:strRef>
          </c:tx>
          <c:marker>
            <c:symbol val="none"/>
          </c:marker>
          <c:dLbls>
            <c:showLegendKey val="0"/>
            <c:showVal val="1"/>
            <c:showCatName val="0"/>
            <c:showSerName val="0"/>
            <c:showPercent val="0"/>
            <c:showBubbleSize val="0"/>
            <c:showLeaderLines val="0"/>
          </c:dLbls>
          <c:cat>
            <c:strRef>
              <c:f>Sheet1!$B$3:$B$8</c:f>
              <c:strCache>
                <c:ptCount val="6"/>
                <c:pt idx="0">
                  <c:v>2010       </c:v>
                </c:pt>
                <c:pt idx="1">
                  <c:v>2011      </c:v>
                </c:pt>
                <c:pt idx="2">
                  <c:v>2012      </c:v>
                </c:pt>
                <c:pt idx="3">
                  <c:v>2013      </c:v>
                </c:pt>
                <c:pt idx="4">
                  <c:v>2014    </c:v>
                </c:pt>
                <c:pt idx="5">
                  <c:v>2015       </c:v>
                </c:pt>
              </c:strCache>
            </c:strRef>
          </c:cat>
          <c:val>
            <c:numRef>
              <c:f>Sheet1!$C$3:$C$8</c:f>
              <c:numCache>
                <c:formatCode>General</c:formatCode>
                <c:ptCount val="6"/>
                <c:pt idx="0">
                  <c:v>244</c:v>
                </c:pt>
                <c:pt idx="1">
                  <c:v>261</c:v>
                </c:pt>
                <c:pt idx="2">
                  <c:v>187</c:v>
                </c:pt>
                <c:pt idx="3">
                  <c:v>186</c:v>
                </c:pt>
                <c:pt idx="4">
                  <c:v>144</c:v>
                </c:pt>
                <c:pt idx="5">
                  <c:v>68</c:v>
                </c:pt>
              </c:numCache>
            </c:numRef>
          </c:val>
          <c:smooth val="0"/>
        </c:ser>
        <c:dLbls>
          <c:showLegendKey val="0"/>
          <c:showVal val="0"/>
          <c:showCatName val="0"/>
          <c:showSerName val="0"/>
          <c:showPercent val="0"/>
          <c:showBubbleSize val="0"/>
        </c:dLbls>
        <c:marker val="1"/>
        <c:smooth val="0"/>
        <c:axId val="173592960"/>
        <c:axId val="173594496"/>
      </c:lineChart>
      <c:catAx>
        <c:axId val="173592960"/>
        <c:scaling>
          <c:orientation val="minMax"/>
        </c:scaling>
        <c:delete val="0"/>
        <c:axPos val="b"/>
        <c:majorTickMark val="out"/>
        <c:minorTickMark val="none"/>
        <c:tickLblPos val="nextTo"/>
        <c:crossAx val="173594496"/>
        <c:crosses val="autoZero"/>
        <c:auto val="1"/>
        <c:lblAlgn val="ctr"/>
        <c:lblOffset val="100"/>
        <c:noMultiLvlLbl val="0"/>
      </c:catAx>
      <c:valAx>
        <c:axId val="173594496"/>
        <c:scaling>
          <c:orientation val="minMax"/>
        </c:scaling>
        <c:delete val="0"/>
        <c:axPos val="l"/>
        <c:majorGridlines/>
        <c:numFmt formatCode="General" sourceLinked="1"/>
        <c:majorTickMark val="out"/>
        <c:minorTickMark val="none"/>
        <c:tickLblPos val="nextTo"/>
        <c:crossAx val="173592960"/>
        <c:crosses val="autoZero"/>
        <c:crossBetween val="between"/>
      </c:valAx>
    </c:plotArea>
    <c:plotVisOnly val="1"/>
    <c:dispBlanksAs val="gap"/>
    <c:showDLblsOverMax val="0"/>
  </c:chart>
  <c:externalData r:id="rId2">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Sheet1!$B$18</c:f>
              <c:strCache>
                <c:ptCount val="1"/>
                <c:pt idx="0">
                  <c:v>%</c:v>
                </c:pt>
              </c:strCache>
            </c:strRef>
          </c:tx>
          <c:dLbls>
            <c:showLegendKey val="0"/>
            <c:showVal val="0"/>
            <c:showCatName val="0"/>
            <c:showSerName val="0"/>
            <c:showPercent val="1"/>
            <c:showBubbleSize val="0"/>
            <c:showLeaderLines val="1"/>
          </c:dLbls>
          <c:cat>
            <c:strRef>
              <c:f>Sheet1!$A$19:$A$24</c:f>
              <c:strCache>
                <c:ptCount val="6"/>
                <c:pt idx="0">
                  <c:v>Asian or Asian British</c:v>
                </c:pt>
                <c:pt idx="1">
                  <c:v>Black or Black British</c:v>
                </c:pt>
                <c:pt idx="2">
                  <c:v>Chinese or other ethnic group</c:v>
                </c:pt>
                <c:pt idx="3">
                  <c:v>Mixed</c:v>
                </c:pt>
                <c:pt idx="4">
                  <c:v>Unknown</c:v>
                </c:pt>
                <c:pt idx="5">
                  <c:v>White</c:v>
                </c:pt>
              </c:strCache>
            </c:strRef>
          </c:cat>
          <c:val>
            <c:numRef>
              <c:f>Sheet1!$B$19:$B$24</c:f>
              <c:numCache>
                <c:formatCode>General</c:formatCode>
                <c:ptCount val="6"/>
                <c:pt idx="0">
                  <c:v>3</c:v>
                </c:pt>
                <c:pt idx="1">
                  <c:v>46</c:v>
                </c:pt>
                <c:pt idx="2">
                  <c:v>6</c:v>
                </c:pt>
                <c:pt idx="3">
                  <c:v>18</c:v>
                </c:pt>
                <c:pt idx="4">
                  <c:v>3</c:v>
                </c:pt>
                <c:pt idx="5">
                  <c:v>24</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56033019531864514"/>
          <c:y val="0.1095360824742268"/>
          <c:w val="0.43624673098827954"/>
          <c:h val="0.75676303604111794"/>
        </c:manualLayout>
      </c:layout>
      <c:overlay val="0"/>
    </c:legend>
    <c:plotVisOnly val="1"/>
    <c:dispBlanksAs val="gap"/>
    <c:showDLblsOverMax val="0"/>
  </c:chart>
  <c:externalData r:id="rId2">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881933508311461"/>
          <c:y val="2.7197665684634657E-2"/>
          <c:w val="0.47213888888888889"/>
          <c:h val="0.96711237553342821"/>
        </c:manualLayout>
      </c:layout>
      <c:pieChart>
        <c:varyColors val="1"/>
        <c:ser>
          <c:idx val="0"/>
          <c:order val="0"/>
          <c:tx>
            <c:strRef>
              <c:f>Sheet2!$B$15</c:f>
              <c:strCache>
                <c:ptCount val="1"/>
                <c:pt idx="0">
                  <c:v>%</c:v>
                </c:pt>
              </c:strCache>
            </c:strRef>
          </c:tx>
          <c:dLbls>
            <c:showLegendKey val="0"/>
            <c:showVal val="0"/>
            <c:showCatName val="0"/>
            <c:showSerName val="0"/>
            <c:showPercent val="1"/>
            <c:showBubbleSize val="0"/>
            <c:showLeaderLines val="1"/>
          </c:dLbls>
          <c:cat>
            <c:strRef>
              <c:f>Sheet2!$A$16:$A$20</c:f>
              <c:strCache>
                <c:ptCount val="5"/>
                <c:pt idx="0">
                  <c:v>White</c:v>
                </c:pt>
                <c:pt idx="1">
                  <c:v>Mixed</c:v>
                </c:pt>
                <c:pt idx="2">
                  <c:v>Black or Black British</c:v>
                </c:pt>
                <c:pt idx="3">
                  <c:v>Asian or Asian British</c:v>
                </c:pt>
                <c:pt idx="4">
                  <c:v>Other ethnic group</c:v>
                </c:pt>
              </c:strCache>
            </c:strRef>
          </c:cat>
          <c:val>
            <c:numRef>
              <c:f>Sheet2!$B$16:$B$20</c:f>
              <c:numCache>
                <c:formatCode>General</c:formatCode>
                <c:ptCount val="5"/>
                <c:pt idx="0">
                  <c:v>49</c:v>
                </c:pt>
                <c:pt idx="1">
                  <c:v>22</c:v>
                </c:pt>
                <c:pt idx="2">
                  <c:v>16</c:v>
                </c:pt>
                <c:pt idx="3">
                  <c:v>7</c:v>
                </c:pt>
                <c:pt idx="4">
                  <c:v>6</c:v>
                </c:pt>
              </c:numCache>
            </c:numRef>
          </c:val>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2">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3592313905777915"/>
          <c:y val="6.2570120366739632E-2"/>
          <c:w val="0.47174823015489992"/>
          <c:h val="0.929351659243567"/>
        </c:manualLayout>
      </c:layout>
      <c:pieChart>
        <c:varyColors val="1"/>
        <c:ser>
          <c:idx val="0"/>
          <c:order val="0"/>
          <c:tx>
            <c:strRef>
              <c:f>Sheet2!$B$2</c:f>
              <c:strCache>
                <c:ptCount val="1"/>
                <c:pt idx="0">
                  <c:v>%</c:v>
                </c:pt>
              </c:strCache>
            </c:strRef>
          </c:tx>
          <c:dLbls>
            <c:dLbl>
              <c:idx val="0"/>
              <c:tx>
                <c:rich>
                  <a:bodyPr/>
                  <a:lstStyle/>
                  <a:p>
                    <a:r>
                      <a:rPr lang="en-US"/>
                      <a:t>60%</a:t>
                    </a:r>
                  </a:p>
                </c:rich>
              </c:tx>
              <c:showLegendKey val="0"/>
              <c:showVal val="1"/>
              <c:showCatName val="0"/>
              <c:showSerName val="0"/>
              <c:showPercent val="1"/>
              <c:showBubbleSize val="0"/>
            </c:dLbl>
            <c:dLbl>
              <c:idx val="1"/>
              <c:tx>
                <c:rich>
                  <a:bodyPr/>
                  <a:lstStyle/>
                  <a:p>
                    <a:r>
                      <a:rPr lang="en-US"/>
                      <a:t>40%</a:t>
                    </a:r>
                  </a:p>
                </c:rich>
              </c:tx>
              <c:showLegendKey val="0"/>
              <c:showVal val="1"/>
              <c:showCatName val="0"/>
              <c:showSerName val="0"/>
              <c:showPercent val="1"/>
              <c:showBubbleSize val="0"/>
            </c:dLbl>
            <c:showLegendKey val="0"/>
            <c:showVal val="0"/>
            <c:showCatName val="0"/>
            <c:showSerName val="0"/>
            <c:showPercent val="1"/>
            <c:showBubbleSize val="0"/>
            <c:showLeaderLines val="1"/>
          </c:dLbls>
          <c:cat>
            <c:strRef>
              <c:f>Sheet2!$A$3:$A$4</c:f>
              <c:strCache>
                <c:ptCount val="2"/>
                <c:pt idx="0">
                  <c:v>Female</c:v>
                </c:pt>
                <c:pt idx="1">
                  <c:v>Male</c:v>
                </c:pt>
              </c:strCache>
            </c:strRef>
          </c:cat>
          <c:val>
            <c:numRef>
              <c:f>Sheet2!$B$3:$B$4</c:f>
              <c:numCache>
                <c:formatCode>General</c:formatCode>
                <c:ptCount val="2"/>
                <c:pt idx="0">
                  <c:v>60</c:v>
                </c:pt>
                <c:pt idx="1">
                  <c:v>40</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76524161341206265"/>
          <c:y val="0.38348638282328112"/>
          <c:w val="0.14975006353402026"/>
          <c:h val="0.23302723435343778"/>
        </c:manualLayout>
      </c:layout>
      <c:overlay val="0"/>
    </c:legend>
    <c:plotVisOnly val="1"/>
    <c:dispBlanksAs val="gap"/>
    <c:showDLblsOverMax val="0"/>
  </c:chart>
  <c:externalData r:id="rId2">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5999664286150284E-2"/>
          <c:y val="4.6116384984587207E-2"/>
          <c:w val="0.90866861756690509"/>
          <c:h val="0.4883193019038925"/>
        </c:manualLayout>
      </c:layout>
      <c:barChart>
        <c:barDir val="col"/>
        <c:grouping val="stacked"/>
        <c:varyColors val="0"/>
        <c:ser>
          <c:idx val="0"/>
          <c:order val="0"/>
          <c:tx>
            <c:strRef>
              <c:f>'Fig 11 ChildPopDep+Pov'!$G$297</c:f>
              <c:strCache>
                <c:ptCount val="1"/>
                <c:pt idx="0">
                  <c:v>Children 10-14</c:v>
                </c:pt>
              </c:strCache>
            </c:strRef>
          </c:tx>
          <c:invertIfNegative val="0"/>
          <c:cat>
            <c:strRef>
              <c:f>'Fig 11 ChildPopDep+Pov'!$F$298:$F$318</c:f>
              <c:strCache>
                <c:ptCount val="21"/>
                <c:pt idx="0">
                  <c:v>Burnt Oak</c:v>
                </c:pt>
                <c:pt idx="1">
                  <c:v>Colindale</c:v>
                </c:pt>
                <c:pt idx="2">
                  <c:v>Edgware</c:v>
                </c:pt>
                <c:pt idx="3">
                  <c:v>Mill Hill</c:v>
                </c:pt>
                <c:pt idx="4">
                  <c:v>Golders Green</c:v>
                </c:pt>
                <c:pt idx="5">
                  <c:v>Hale</c:v>
                </c:pt>
                <c:pt idx="6">
                  <c:v>Childs Hill</c:v>
                </c:pt>
                <c:pt idx="7">
                  <c:v>Coppetts Wood</c:v>
                </c:pt>
                <c:pt idx="8">
                  <c:v>Underhill</c:v>
                </c:pt>
                <c:pt idx="9">
                  <c:v>West Hendon</c:v>
                </c:pt>
                <c:pt idx="10">
                  <c:v>Woodhouse</c:v>
                </c:pt>
                <c:pt idx="11">
                  <c:v>East Finchley</c:v>
                </c:pt>
                <c:pt idx="12">
                  <c:v>Hendon</c:v>
                </c:pt>
                <c:pt idx="13">
                  <c:v>Brunswick Park</c:v>
                </c:pt>
                <c:pt idx="14">
                  <c:v>East Barnet</c:v>
                </c:pt>
                <c:pt idx="15">
                  <c:v>Oakleigh</c:v>
                </c:pt>
                <c:pt idx="16">
                  <c:v>West Finchley</c:v>
                </c:pt>
                <c:pt idx="17">
                  <c:v>Finchley Church End</c:v>
                </c:pt>
                <c:pt idx="18">
                  <c:v>Totteridge</c:v>
                </c:pt>
                <c:pt idx="19">
                  <c:v>High Barnet</c:v>
                </c:pt>
                <c:pt idx="20">
                  <c:v>Garden Suburb</c:v>
                </c:pt>
              </c:strCache>
            </c:strRef>
          </c:cat>
          <c:val>
            <c:numRef>
              <c:f>'Fig 11 ChildPopDep+Pov'!$G$298:$G$318</c:f>
              <c:numCache>
                <c:formatCode>General</c:formatCode>
                <c:ptCount val="21"/>
                <c:pt idx="0">
                  <c:v>562</c:v>
                </c:pt>
                <c:pt idx="1">
                  <c:v>476</c:v>
                </c:pt>
                <c:pt idx="2">
                  <c:v>319</c:v>
                </c:pt>
                <c:pt idx="3">
                  <c:v>308</c:v>
                </c:pt>
                <c:pt idx="4">
                  <c:v>301</c:v>
                </c:pt>
                <c:pt idx="5">
                  <c:v>288</c:v>
                </c:pt>
                <c:pt idx="6">
                  <c:v>256</c:v>
                </c:pt>
                <c:pt idx="7">
                  <c:v>251</c:v>
                </c:pt>
                <c:pt idx="8">
                  <c:v>294</c:v>
                </c:pt>
                <c:pt idx="9">
                  <c:v>205</c:v>
                </c:pt>
                <c:pt idx="10">
                  <c:v>249</c:v>
                </c:pt>
                <c:pt idx="11">
                  <c:v>208</c:v>
                </c:pt>
                <c:pt idx="12">
                  <c:v>180</c:v>
                </c:pt>
                <c:pt idx="13">
                  <c:v>214</c:v>
                </c:pt>
                <c:pt idx="14">
                  <c:v>183</c:v>
                </c:pt>
                <c:pt idx="15">
                  <c:v>164</c:v>
                </c:pt>
                <c:pt idx="16">
                  <c:v>100</c:v>
                </c:pt>
                <c:pt idx="17">
                  <c:v>106</c:v>
                </c:pt>
                <c:pt idx="18">
                  <c:v>79</c:v>
                </c:pt>
                <c:pt idx="19">
                  <c:v>84</c:v>
                </c:pt>
                <c:pt idx="20">
                  <c:v>46</c:v>
                </c:pt>
              </c:numCache>
            </c:numRef>
          </c:val>
        </c:ser>
        <c:ser>
          <c:idx val="1"/>
          <c:order val="1"/>
          <c:tx>
            <c:strRef>
              <c:f>'Fig 11 ChildPopDep+Pov'!$H$297</c:f>
              <c:strCache>
                <c:ptCount val="1"/>
                <c:pt idx="0">
                  <c:v>Children 5-9</c:v>
                </c:pt>
              </c:strCache>
            </c:strRef>
          </c:tx>
          <c:invertIfNegative val="0"/>
          <c:cat>
            <c:strRef>
              <c:f>'Fig 11 ChildPopDep+Pov'!$F$298:$F$318</c:f>
              <c:strCache>
                <c:ptCount val="21"/>
                <c:pt idx="0">
                  <c:v>Burnt Oak</c:v>
                </c:pt>
                <c:pt idx="1">
                  <c:v>Colindale</c:v>
                </c:pt>
                <c:pt idx="2">
                  <c:v>Edgware</c:v>
                </c:pt>
                <c:pt idx="3">
                  <c:v>Mill Hill</c:v>
                </c:pt>
                <c:pt idx="4">
                  <c:v>Golders Green</c:v>
                </c:pt>
                <c:pt idx="5">
                  <c:v>Hale</c:v>
                </c:pt>
                <c:pt idx="6">
                  <c:v>Childs Hill</c:v>
                </c:pt>
                <c:pt idx="7">
                  <c:v>Coppetts Wood</c:v>
                </c:pt>
                <c:pt idx="8">
                  <c:v>Underhill</c:v>
                </c:pt>
                <c:pt idx="9">
                  <c:v>West Hendon</c:v>
                </c:pt>
                <c:pt idx="10">
                  <c:v>Woodhouse</c:v>
                </c:pt>
                <c:pt idx="11">
                  <c:v>East Finchley</c:v>
                </c:pt>
                <c:pt idx="12">
                  <c:v>Hendon</c:v>
                </c:pt>
                <c:pt idx="13">
                  <c:v>Brunswick Park</c:v>
                </c:pt>
                <c:pt idx="14">
                  <c:v>East Barnet</c:v>
                </c:pt>
                <c:pt idx="15">
                  <c:v>Oakleigh</c:v>
                </c:pt>
                <c:pt idx="16">
                  <c:v>West Finchley</c:v>
                </c:pt>
                <c:pt idx="17">
                  <c:v>Finchley Church End</c:v>
                </c:pt>
                <c:pt idx="18">
                  <c:v>Totteridge</c:v>
                </c:pt>
                <c:pt idx="19">
                  <c:v>High Barnet</c:v>
                </c:pt>
                <c:pt idx="20">
                  <c:v>Garden Suburb</c:v>
                </c:pt>
              </c:strCache>
            </c:strRef>
          </c:cat>
          <c:val>
            <c:numRef>
              <c:f>'Fig 11 ChildPopDep+Pov'!$H$298:$H$318</c:f>
              <c:numCache>
                <c:formatCode>General</c:formatCode>
                <c:ptCount val="21"/>
                <c:pt idx="0">
                  <c:v>571</c:v>
                </c:pt>
                <c:pt idx="1">
                  <c:v>532</c:v>
                </c:pt>
                <c:pt idx="2">
                  <c:v>320</c:v>
                </c:pt>
                <c:pt idx="3">
                  <c:v>335</c:v>
                </c:pt>
                <c:pt idx="4">
                  <c:v>330</c:v>
                </c:pt>
                <c:pt idx="5">
                  <c:v>269</c:v>
                </c:pt>
                <c:pt idx="6">
                  <c:v>282</c:v>
                </c:pt>
                <c:pt idx="7">
                  <c:v>268</c:v>
                </c:pt>
                <c:pt idx="8">
                  <c:v>272</c:v>
                </c:pt>
                <c:pt idx="9">
                  <c:v>238</c:v>
                </c:pt>
                <c:pt idx="10">
                  <c:v>235</c:v>
                </c:pt>
                <c:pt idx="11">
                  <c:v>227</c:v>
                </c:pt>
                <c:pt idx="12">
                  <c:v>216</c:v>
                </c:pt>
                <c:pt idx="13">
                  <c:v>208</c:v>
                </c:pt>
                <c:pt idx="14">
                  <c:v>199</c:v>
                </c:pt>
                <c:pt idx="15">
                  <c:v>174</c:v>
                </c:pt>
                <c:pt idx="16">
                  <c:v>124</c:v>
                </c:pt>
                <c:pt idx="17">
                  <c:v>126</c:v>
                </c:pt>
                <c:pt idx="18">
                  <c:v>89</c:v>
                </c:pt>
                <c:pt idx="19">
                  <c:v>86</c:v>
                </c:pt>
                <c:pt idx="20">
                  <c:v>57</c:v>
                </c:pt>
              </c:numCache>
            </c:numRef>
          </c:val>
        </c:ser>
        <c:ser>
          <c:idx val="2"/>
          <c:order val="2"/>
          <c:tx>
            <c:strRef>
              <c:f>'Fig 11 ChildPopDep+Pov'!$I$297</c:f>
              <c:strCache>
                <c:ptCount val="1"/>
                <c:pt idx="0">
                  <c:v>Children 0-4</c:v>
                </c:pt>
              </c:strCache>
            </c:strRef>
          </c:tx>
          <c:invertIfNegative val="0"/>
          <c:cat>
            <c:strRef>
              <c:f>'Fig 11 ChildPopDep+Pov'!$F$298:$F$318</c:f>
              <c:strCache>
                <c:ptCount val="21"/>
                <c:pt idx="0">
                  <c:v>Burnt Oak</c:v>
                </c:pt>
                <c:pt idx="1">
                  <c:v>Colindale</c:v>
                </c:pt>
                <c:pt idx="2">
                  <c:v>Edgware</c:v>
                </c:pt>
                <c:pt idx="3">
                  <c:v>Mill Hill</c:v>
                </c:pt>
                <c:pt idx="4">
                  <c:v>Golders Green</c:v>
                </c:pt>
                <c:pt idx="5">
                  <c:v>Hale</c:v>
                </c:pt>
                <c:pt idx="6">
                  <c:v>Childs Hill</c:v>
                </c:pt>
                <c:pt idx="7">
                  <c:v>Coppetts Wood</c:v>
                </c:pt>
                <c:pt idx="8">
                  <c:v>Underhill</c:v>
                </c:pt>
                <c:pt idx="9">
                  <c:v>West Hendon</c:v>
                </c:pt>
                <c:pt idx="10">
                  <c:v>Woodhouse</c:v>
                </c:pt>
                <c:pt idx="11">
                  <c:v>East Finchley</c:v>
                </c:pt>
                <c:pt idx="12">
                  <c:v>Hendon</c:v>
                </c:pt>
                <c:pt idx="13">
                  <c:v>Brunswick Park</c:v>
                </c:pt>
                <c:pt idx="14">
                  <c:v>East Barnet</c:v>
                </c:pt>
                <c:pt idx="15">
                  <c:v>Oakleigh</c:v>
                </c:pt>
                <c:pt idx="16">
                  <c:v>West Finchley</c:v>
                </c:pt>
                <c:pt idx="17">
                  <c:v>Finchley Church End</c:v>
                </c:pt>
                <c:pt idx="18">
                  <c:v>Totteridge</c:v>
                </c:pt>
                <c:pt idx="19">
                  <c:v>High Barnet</c:v>
                </c:pt>
                <c:pt idx="20">
                  <c:v>Garden Suburb</c:v>
                </c:pt>
              </c:strCache>
            </c:strRef>
          </c:cat>
          <c:val>
            <c:numRef>
              <c:f>'Fig 11 ChildPopDep+Pov'!$I$298:$I$318</c:f>
              <c:numCache>
                <c:formatCode>General</c:formatCode>
                <c:ptCount val="21"/>
                <c:pt idx="0">
                  <c:v>651</c:v>
                </c:pt>
                <c:pt idx="1">
                  <c:v>661</c:v>
                </c:pt>
                <c:pt idx="2">
                  <c:v>394</c:v>
                </c:pt>
                <c:pt idx="3">
                  <c:v>359</c:v>
                </c:pt>
                <c:pt idx="4">
                  <c:v>342</c:v>
                </c:pt>
                <c:pt idx="5">
                  <c:v>342</c:v>
                </c:pt>
                <c:pt idx="6">
                  <c:v>358</c:v>
                </c:pt>
                <c:pt idx="7">
                  <c:v>342</c:v>
                </c:pt>
                <c:pt idx="8">
                  <c:v>255</c:v>
                </c:pt>
                <c:pt idx="9">
                  <c:v>305</c:v>
                </c:pt>
                <c:pt idx="10">
                  <c:v>259</c:v>
                </c:pt>
                <c:pt idx="11">
                  <c:v>264</c:v>
                </c:pt>
                <c:pt idx="12">
                  <c:v>284</c:v>
                </c:pt>
                <c:pt idx="13">
                  <c:v>208</c:v>
                </c:pt>
                <c:pt idx="14">
                  <c:v>241</c:v>
                </c:pt>
                <c:pt idx="15">
                  <c:v>220</c:v>
                </c:pt>
                <c:pt idx="16">
                  <c:v>184</c:v>
                </c:pt>
                <c:pt idx="17">
                  <c:v>137</c:v>
                </c:pt>
                <c:pt idx="18">
                  <c:v>122</c:v>
                </c:pt>
                <c:pt idx="19">
                  <c:v>108</c:v>
                </c:pt>
                <c:pt idx="20">
                  <c:v>75</c:v>
                </c:pt>
              </c:numCache>
            </c:numRef>
          </c:val>
        </c:ser>
        <c:dLbls>
          <c:showLegendKey val="0"/>
          <c:showVal val="0"/>
          <c:showCatName val="0"/>
          <c:showSerName val="0"/>
          <c:showPercent val="0"/>
          <c:showBubbleSize val="0"/>
        </c:dLbls>
        <c:gapWidth val="150"/>
        <c:overlap val="100"/>
        <c:axId val="175062016"/>
        <c:axId val="175067904"/>
      </c:barChart>
      <c:catAx>
        <c:axId val="175062016"/>
        <c:scaling>
          <c:orientation val="minMax"/>
        </c:scaling>
        <c:delete val="0"/>
        <c:axPos val="b"/>
        <c:majorTickMark val="out"/>
        <c:minorTickMark val="none"/>
        <c:tickLblPos val="nextTo"/>
        <c:txPr>
          <a:bodyPr rot="-3360000" vert="horz"/>
          <a:lstStyle/>
          <a:p>
            <a:pPr>
              <a:defRPr/>
            </a:pPr>
            <a:endParaRPr lang="en-US"/>
          </a:p>
        </c:txPr>
        <c:crossAx val="175067904"/>
        <c:crosses val="autoZero"/>
        <c:auto val="1"/>
        <c:lblAlgn val="ctr"/>
        <c:lblOffset val="100"/>
        <c:tickLblSkip val="1"/>
        <c:noMultiLvlLbl val="0"/>
      </c:catAx>
      <c:valAx>
        <c:axId val="175067904"/>
        <c:scaling>
          <c:orientation val="minMax"/>
        </c:scaling>
        <c:delete val="0"/>
        <c:axPos val="l"/>
        <c:majorGridlines>
          <c:spPr>
            <a:ln>
              <a:noFill/>
            </a:ln>
          </c:spPr>
        </c:majorGridlines>
        <c:numFmt formatCode="General" sourceLinked="1"/>
        <c:majorTickMark val="out"/>
        <c:minorTickMark val="none"/>
        <c:tickLblPos val="nextTo"/>
        <c:crossAx val="175062016"/>
        <c:crosses val="autoZero"/>
        <c:crossBetween val="between"/>
      </c:valAx>
    </c:plotArea>
    <c:legend>
      <c:legendPos val="b"/>
      <c:layout>
        <c:manualLayout>
          <c:xMode val="edge"/>
          <c:yMode val="edge"/>
          <c:x val="0.24895785085687819"/>
          <c:y val="0.90681414735775989"/>
          <c:w val="0.50057842052430113"/>
          <c:h val="5.5897722985554163E-2"/>
        </c:manualLayout>
      </c:layout>
      <c:overlay val="0"/>
    </c:legend>
    <c:plotVisOnly val="1"/>
    <c:dispBlanksAs val="gap"/>
    <c:showDLblsOverMax val="0"/>
  </c:chart>
  <c:externalData r:id="rId2">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Sheet1!$B$6</c:f>
              <c:strCache>
                <c:ptCount val="1"/>
                <c:pt idx="0">
                  <c:v>No. of Service Users Contacting Adult Social Care</c:v>
                </c:pt>
              </c:strCache>
            </c:strRef>
          </c:tx>
          <c:spPr>
            <a:solidFill>
              <a:srgbClr val="FF0000"/>
            </a:solidFill>
          </c:spPr>
          <c:invertIfNegative val="0"/>
          <c:dLbls>
            <c:numFmt formatCode="#,##0" sourceLinked="0"/>
            <c:dLblPos val="outEnd"/>
            <c:showLegendKey val="0"/>
            <c:showVal val="1"/>
            <c:showCatName val="0"/>
            <c:showSerName val="0"/>
            <c:showPercent val="0"/>
            <c:showBubbleSize val="0"/>
            <c:showLeaderLines val="0"/>
          </c:dLbls>
          <c:cat>
            <c:strRef>
              <c:f>Sheet1!$A$7:$A$9</c:f>
              <c:strCache>
                <c:ptCount val="3"/>
                <c:pt idx="0">
                  <c:v>2011/12</c:v>
                </c:pt>
                <c:pt idx="1">
                  <c:v>2012/13</c:v>
                </c:pt>
                <c:pt idx="2">
                  <c:v>2013/14</c:v>
                </c:pt>
              </c:strCache>
            </c:strRef>
          </c:cat>
          <c:val>
            <c:numRef>
              <c:f>Sheet1!$B$7:$B$9</c:f>
              <c:numCache>
                <c:formatCode>General</c:formatCode>
                <c:ptCount val="3"/>
                <c:pt idx="0">
                  <c:v>9748</c:v>
                </c:pt>
                <c:pt idx="1">
                  <c:v>8658</c:v>
                </c:pt>
                <c:pt idx="2">
                  <c:v>9140</c:v>
                </c:pt>
              </c:numCache>
            </c:numRef>
          </c:val>
        </c:ser>
        <c:dLbls>
          <c:showLegendKey val="0"/>
          <c:showVal val="0"/>
          <c:showCatName val="0"/>
          <c:showSerName val="0"/>
          <c:showPercent val="0"/>
          <c:showBubbleSize val="0"/>
        </c:dLbls>
        <c:gapWidth val="150"/>
        <c:axId val="175047040"/>
        <c:axId val="175048576"/>
      </c:barChart>
      <c:catAx>
        <c:axId val="175047040"/>
        <c:scaling>
          <c:orientation val="minMax"/>
        </c:scaling>
        <c:delete val="0"/>
        <c:axPos val="l"/>
        <c:majorTickMark val="out"/>
        <c:minorTickMark val="none"/>
        <c:tickLblPos val="nextTo"/>
        <c:crossAx val="175048576"/>
        <c:crosses val="autoZero"/>
        <c:auto val="1"/>
        <c:lblAlgn val="ctr"/>
        <c:lblOffset val="100"/>
        <c:noMultiLvlLbl val="0"/>
      </c:catAx>
      <c:valAx>
        <c:axId val="175048576"/>
        <c:scaling>
          <c:orientation val="minMax"/>
        </c:scaling>
        <c:delete val="0"/>
        <c:axPos val="b"/>
        <c:numFmt formatCode="#,##0" sourceLinked="0"/>
        <c:majorTickMark val="out"/>
        <c:minorTickMark val="none"/>
        <c:tickLblPos val="nextTo"/>
        <c:crossAx val="175047040"/>
        <c:crosses val="autoZero"/>
        <c:crossBetween val="between"/>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134173920187489"/>
          <c:y val="7.5778350981989304E-2"/>
          <c:w val="0.8744957127476034"/>
          <c:h val="0.61659549313092632"/>
        </c:manualLayout>
      </c:layout>
      <c:lineChart>
        <c:grouping val="standard"/>
        <c:varyColors val="0"/>
        <c:ser>
          <c:idx val="0"/>
          <c:order val="0"/>
          <c:tx>
            <c:strRef>
              <c:f>Sheet1!$A$31</c:f>
              <c:strCache>
                <c:ptCount val="1"/>
                <c:pt idx="0">
                  <c:v>White</c:v>
                </c:pt>
              </c:strCache>
            </c:strRef>
          </c:tx>
          <c:spPr>
            <a:ln>
              <a:solidFill>
                <a:srgbClr val="FF0000"/>
              </a:solidFill>
            </a:ln>
          </c:spPr>
          <c:marker>
            <c:symbol val="none"/>
          </c:marker>
          <c:cat>
            <c:strRef>
              <c:f>Sheet1!$B$30:$T$30</c:f>
              <c:strCache>
                <c:ptCount val="19"/>
                <c:pt idx="0">
                  <c:v>0 - 4</c:v>
                </c:pt>
                <c:pt idx="1">
                  <c:v>5 - 9</c:v>
                </c:pt>
                <c:pt idx="2">
                  <c:v>10 - 14</c:v>
                </c:pt>
                <c:pt idx="3">
                  <c:v>15 - 19</c:v>
                </c:pt>
                <c:pt idx="4">
                  <c:v>20 - 24</c:v>
                </c:pt>
                <c:pt idx="5">
                  <c:v>25 - 29</c:v>
                </c:pt>
                <c:pt idx="6">
                  <c:v>30 - 34</c:v>
                </c:pt>
                <c:pt idx="7">
                  <c:v>35 - 39</c:v>
                </c:pt>
                <c:pt idx="8">
                  <c:v>40 - 44</c:v>
                </c:pt>
                <c:pt idx="9">
                  <c:v>45 - 49</c:v>
                </c:pt>
                <c:pt idx="10">
                  <c:v>50 - 54</c:v>
                </c:pt>
                <c:pt idx="11">
                  <c:v>55 - 59</c:v>
                </c:pt>
                <c:pt idx="12">
                  <c:v>60 - 64</c:v>
                </c:pt>
                <c:pt idx="13">
                  <c:v>65 - 69</c:v>
                </c:pt>
                <c:pt idx="14">
                  <c:v>70 - 74</c:v>
                </c:pt>
                <c:pt idx="15">
                  <c:v>75 - 79</c:v>
                </c:pt>
                <c:pt idx="16">
                  <c:v>80 - 84</c:v>
                </c:pt>
                <c:pt idx="17">
                  <c:v>85 - 89</c:v>
                </c:pt>
                <c:pt idx="18">
                  <c:v>90+</c:v>
                </c:pt>
              </c:strCache>
            </c:strRef>
          </c:cat>
          <c:val>
            <c:numRef>
              <c:f>Sheet1!$B$31:$T$31</c:f>
              <c:numCache>
                <c:formatCode>0.0%</c:formatCode>
                <c:ptCount val="19"/>
                <c:pt idx="0">
                  <c:v>0.446466918907864</c:v>
                </c:pt>
                <c:pt idx="1">
                  <c:v>0.45984197606627802</c:v>
                </c:pt>
                <c:pt idx="2">
                  <c:v>0.49767777427064103</c:v>
                </c:pt>
                <c:pt idx="3">
                  <c:v>0.55873472989920558</c:v>
                </c:pt>
                <c:pt idx="4">
                  <c:v>0.64190615048152577</c:v>
                </c:pt>
                <c:pt idx="5">
                  <c:v>0.64312212931339063</c:v>
                </c:pt>
                <c:pt idx="6">
                  <c:v>0.61132346601523202</c:v>
                </c:pt>
                <c:pt idx="7">
                  <c:v>0.59013062409288819</c:v>
                </c:pt>
                <c:pt idx="8">
                  <c:v>0.59991355712433359</c:v>
                </c:pt>
                <c:pt idx="9">
                  <c:v>0.62022850721108846</c:v>
                </c:pt>
                <c:pt idx="10">
                  <c:v>0.64044565902880013</c:v>
                </c:pt>
                <c:pt idx="11">
                  <c:v>0.65257371314342871</c:v>
                </c:pt>
                <c:pt idx="12">
                  <c:v>0.67355346864586485</c:v>
                </c:pt>
                <c:pt idx="13">
                  <c:v>0.73636074944426777</c:v>
                </c:pt>
                <c:pt idx="14">
                  <c:v>0.76230058774139353</c:v>
                </c:pt>
                <c:pt idx="15">
                  <c:v>0.77501055297593924</c:v>
                </c:pt>
                <c:pt idx="16">
                  <c:v>0.81604150039904255</c:v>
                </c:pt>
                <c:pt idx="17">
                  <c:v>0.87298427234720311</c:v>
                </c:pt>
                <c:pt idx="18">
                  <c:v>0.93282359366466439</c:v>
                </c:pt>
              </c:numCache>
            </c:numRef>
          </c:val>
          <c:smooth val="0"/>
        </c:ser>
        <c:ser>
          <c:idx val="1"/>
          <c:order val="1"/>
          <c:tx>
            <c:strRef>
              <c:f>Sheet1!$A$32</c:f>
              <c:strCache>
                <c:ptCount val="1"/>
                <c:pt idx="0">
                  <c:v>BAME</c:v>
                </c:pt>
              </c:strCache>
            </c:strRef>
          </c:tx>
          <c:spPr>
            <a:ln>
              <a:solidFill>
                <a:srgbClr val="92D050"/>
              </a:solidFill>
            </a:ln>
          </c:spPr>
          <c:marker>
            <c:symbol val="none"/>
          </c:marker>
          <c:cat>
            <c:strRef>
              <c:f>Sheet1!$B$30:$T$30</c:f>
              <c:strCache>
                <c:ptCount val="19"/>
                <c:pt idx="0">
                  <c:v>0 - 4</c:v>
                </c:pt>
                <c:pt idx="1">
                  <c:v>5 - 9</c:v>
                </c:pt>
                <c:pt idx="2">
                  <c:v>10 - 14</c:v>
                </c:pt>
                <c:pt idx="3">
                  <c:v>15 - 19</c:v>
                </c:pt>
                <c:pt idx="4">
                  <c:v>20 - 24</c:v>
                </c:pt>
                <c:pt idx="5">
                  <c:v>25 - 29</c:v>
                </c:pt>
                <c:pt idx="6">
                  <c:v>30 - 34</c:v>
                </c:pt>
                <c:pt idx="7">
                  <c:v>35 - 39</c:v>
                </c:pt>
                <c:pt idx="8">
                  <c:v>40 - 44</c:v>
                </c:pt>
                <c:pt idx="9">
                  <c:v>45 - 49</c:v>
                </c:pt>
                <c:pt idx="10">
                  <c:v>50 - 54</c:v>
                </c:pt>
                <c:pt idx="11">
                  <c:v>55 - 59</c:v>
                </c:pt>
                <c:pt idx="12">
                  <c:v>60 - 64</c:v>
                </c:pt>
                <c:pt idx="13">
                  <c:v>65 - 69</c:v>
                </c:pt>
                <c:pt idx="14">
                  <c:v>70 - 74</c:v>
                </c:pt>
                <c:pt idx="15">
                  <c:v>75 - 79</c:v>
                </c:pt>
                <c:pt idx="16">
                  <c:v>80 - 84</c:v>
                </c:pt>
                <c:pt idx="17">
                  <c:v>85 - 89</c:v>
                </c:pt>
                <c:pt idx="18">
                  <c:v>90+</c:v>
                </c:pt>
              </c:strCache>
            </c:strRef>
          </c:cat>
          <c:val>
            <c:numRef>
              <c:f>Sheet1!$B$32:$T$32</c:f>
              <c:numCache>
                <c:formatCode>0.0%</c:formatCode>
                <c:ptCount val="19"/>
                <c:pt idx="0">
                  <c:v>0.55353308109213595</c:v>
                </c:pt>
                <c:pt idx="1">
                  <c:v>0.54015802393372203</c:v>
                </c:pt>
                <c:pt idx="2">
                  <c:v>0.50227713396762386</c:v>
                </c:pt>
                <c:pt idx="3">
                  <c:v>0.44131171907659444</c:v>
                </c:pt>
                <c:pt idx="4">
                  <c:v>0.35809384951847445</c:v>
                </c:pt>
                <c:pt idx="5">
                  <c:v>0.35690731362619244</c:v>
                </c:pt>
                <c:pt idx="6">
                  <c:v>0.3886765339847682</c:v>
                </c:pt>
                <c:pt idx="7">
                  <c:v>0.40986937590711192</c:v>
                </c:pt>
                <c:pt idx="8">
                  <c:v>0.40005042501080545</c:v>
                </c:pt>
                <c:pt idx="9">
                  <c:v>0.37977149278891181</c:v>
                </c:pt>
                <c:pt idx="10">
                  <c:v>0.35955434097120031</c:v>
                </c:pt>
                <c:pt idx="11">
                  <c:v>0.3474262868565719</c:v>
                </c:pt>
                <c:pt idx="12">
                  <c:v>0.32644653135413532</c:v>
                </c:pt>
                <c:pt idx="13">
                  <c:v>0.26363925055573173</c:v>
                </c:pt>
                <c:pt idx="14">
                  <c:v>0.23769941225860622</c:v>
                </c:pt>
                <c:pt idx="15">
                  <c:v>0.22498944702406082</c:v>
                </c:pt>
                <c:pt idx="16">
                  <c:v>0.18409151370045224</c:v>
                </c:pt>
                <c:pt idx="17">
                  <c:v>0.12701572765279714</c:v>
                </c:pt>
                <c:pt idx="18">
                  <c:v>6.7449481157837304E-2</c:v>
                </c:pt>
              </c:numCache>
            </c:numRef>
          </c:val>
          <c:smooth val="0"/>
        </c:ser>
        <c:dLbls>
          <c:showLegendKey val="0"/>
          <c:showVal val="0"/>
          <c:showCatName val="0"/>
          <c:showSerName val="0"/>
          <c:showPercent val="0"/>
          <c:showBubbleSize val="0"/>
        </c:dLbls>
        <c:marker val="1"/>
        <c:smooth val="0"/>
        <c:axId val="183648256"/>
        <c:axId val="183649792"/>
      </c:lineChart>
      <c:catAx>
        <c:axId val="183648256"/>
        <c:scaling>
          <c:orientation val="minMax"/>
        </c:scaling>
        <c:delete val="0"/>
        <c:axPos val="b"/>
        <c:majorTickMark val="out"/>
        <c:minorTickMark val="none"/>
        <c:tickLblPos val="nextTo"/>
        <c:txPr>
          <a:bodyPr rot="-2520000"/>
          <a:lstStyle/>
          <a:p>
            <a:pPr>
              <a:defRPr/>
            </a:pPr>
            <a:endParaRPr lang="en-US"/>
          </a:p>
        </c:txPr>
        <c:crossAx val="183649792"/>
        <c:crosses val="autoZero"/>
        <c:auto val="1"/>
        <c:lblAlgn val="ctr"/>
        <c:lblOffset val="100"/>
        <c:noMultiLvlLbl val="0"/>
      </c:catAx>
      <c:valAx>
        <c:axId val="183649792"/>
        <c:scaling>
          <c:orientation val="minMax"/>
        </c:scaling>
        <c:delete val="0"/>
        <c:axPos val="l"/>
        <c:title>
          <c:tx>
            <c:rich>
              <a:bodyPr rot="-5400000" vert="horz"/>
              <a:lstStyle/>
              <a:p>
                <a:pPr>
                  <a:defRPr/>
                </a:pPr>
                <a:r>
                  <a:rPr lang="en-GB"/>
                  <a:t>% of the Population</a:t>
                </a:r>
              </a:p>
            </c:rich>
          </c:tx>
          <c:overlay val="0"/>
        </c:title>
        <c:numFmt formatCode="0%" sourceLinked="0"/>
        <c:majorTickMark val="out"/>
        <c:minorTickMark val="none"/>
        <c:tickLblPos val="nextTo"/>
        <c:crossAx val="183648256"/>
        <c:crosses val="autoZero"/>
        <c:crossBetween val="between"/>
      </c:valAx>
    </c:plotArea>
    <c:legend>
      <c:legendPos val="b"/>
      <c:layout>
        <c:manualLayout>
          <c:xMode val="edge"/>
          <c:yMode val="edge"/>
          <c:x val="0.37159110465392814"/>
          <c:y val="0.89607521042628313"/>
          <c:w val="0.25681761773188577"/>
          <c:h val="0.10392471211368853"/>
        </c:manualLayout>
      </c:layout>
      <c:overlay val="0"/>
    </c:legend>
    <c:plotVisOnly val="1"/>
    <c:dispBlanksAs val="gap"/>
    <c:showDLblsOverMax val="0"/>
  </c:chart>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Sheet1!$B$27</c:f>
              <c:strCache>
                <c:ptCount val="1"/>
                <c:pt idx="0">
                  <c:v>18-64</c:v>
                </c:pt>
              </c:strCache>
            </c:strRef>
          </c:tx>
          <c:spPr>
            <a:solidFill>
              <a:srgbClr val="FF0000"/>
            </a:solidFill>
          </c:spPr>
          <c:invertIfNegative val="0"/>
          <c:dLbls>
            <c:numFmt formatCode="#,##0" sourceLinked="0"/>
            <c:dLblPos val="outEnd"/>
            <c:showLegendKey val="0"/>
            <c:showVal val="1"/>
            <c:showCatName val="0"/>
            <c:showSerName val="0"/>
            <c:showPercent val="0"/>
            <c:showBubbleSize val="0"/>
            <c:showLeaderLines val="0"/>
          </c:dLbls>
          <c:cat>
            <c:strRef>
              <c:f>Sheet1!$A$28:$A$30</c:f>
              <c:strCache>
                <c:ptCount val="3"/>
                <c:pt idx="0">
                  <c:v>2011/12</c:v>
                </c:pt>
                <c:pt idx="1">
                  <c:v>2012/13</c:v>
                </c:pt>
                <c:pt idx="2">
                  <c:v>2013/14</c:v>
                </c:pt>
              </c:strCache>
            </c:strRef>
          </c:cat>
          <c:val>
            <c:numRef>
              <c:f>Sheet1!$B$28:$B$30</c:f>
              <c:numCache>
                <c:formatCode>General</c:formatCode>
                <c:ptCount val="3"/>
                <c:pt idx="0">
                  <c:v>2663</c:v>
                </c:pt>
                <c:pt idx="1">
                  <c:v>2768</c:v>
                </c:pt>
                <c:pt idx="2">
                  <c:v>2696</c:v>
                </c:pt>
              </c:numCache>
            </c:numRef>
          </c:val>
        </c:ser>
        <c:ser>
          <c:idx val="1"/>
          <c:order val="1"/>
          <c:tx>
            <c:strRef>
              <c:f>Sheet1!$C$27</c:f>
              <c:strCache>
                <c:ptCount val="1"/>
                <c:pt idx="0">
                  <c:v>65+</c:v>
                </c:pt>
              </c:strCache>
            </c:strRef>
          </c:tx>
          <c:spPr>
            <a:solidFill>
              <a:srgbClr val="92D050"/>
            </a:solidFill>
          </c:spPr>
          <c:invertIfNegative val="0"/>
          <c:dLbls>
            <c:numFmt formatCode="#,##0" sourceLinked="0"/>
            <c:dLblPos val="outEnd"/>
            <c:showLegendKey val="0"/>
            <c:showVal val="1"/>
            <c:showCatName val="0"/>
            <c:showSerName val="0"/>
            <c:showPercent val="0"/>
            <c:showBubbleSize val="0"/>
            <c:showLeaderLines val="0"/>
          </c:dLbls>
          <c:cat>
            <c:strRef>
              <c:f>Sheet1!$A$28:$A$30</c:f>
              <c:strCache>
                <c:ptCount val="3"/>
                <c:pt idx="0">
                  <c:v>2011/12</c:v>
                </c:pt>
                <c:pt idx="1">
                  <c:v>2012/13</c:v>
                </c:pt>
                <c:pt idx="2">
                  <c:v>2013/14</c:v>
                </c:pt>
              </c:strCache>
            </c:strRef>
          </c:cat>
          <c:val>
            <c:numRef>
              <c:f>Sheet1!$C$28:$C$30</c:f>
              <c:numCache>
                <c:formatCode>General</c:formatCode>
                <c:ptCount val="3"/>
                <c:pt idx="0">
                  <c:v>4862</c:v>
                </c:pt>
                <c:pt idx="1">
                  <c:v>4771</c:v>
                </c:pt>
                <c:pt idx="2">
                  <c:v>4744</c:v>
                </c:pt>
              </c:numCache>
            </c:numRef>
          </c:val>
        </c:ser>
        <c:ser>
          <c:idx val="2"/>
          <c:order val="2"/>
          <c:tx>
            <c:strRef>
              <c:f>Sheet1!$D$27</c:f>
              <c:strCache>
                <c:ptCount val="1"/>
                <c:pt idx="0">
                  <c:v>Total</c:v>
                </c:pt>
              </c:strCache>
            </c:strRef>
          </c:tx>
          <c:spPr>
            <a:solidFill>
              <a:srgbClr val="00B0F0"/>
            </a:solidFill>
          </c:spPr>
          <c:invertIfNegative val="0"/>
          <c:dLbls>
            <c:numFmt formatCode="#,##0" sourceLinked="0"/>
            <c:dLblPos val="outEnd"/>
            <c:showLegendKey val="0"/>
            <c:showVal val="1"/>
            <c:showCatName val="0"/>
            <c:showSerName val="0"/>
            <c:showPercent val="0"/>
            <c:showBubbleSize val="0"/>
            <c:showLeaderLines val="0"/>
          </c:dLbls>
          <c:cat>
            <c:strRef>
              <c:f>Sheet1!$A$28:$A$30</c:f>
              <c:strCache>
                <c:ptCount val="3"/>
                <c:pt idx="0">
                  <c:v>2011/12</c:v>
                </c:pt>
                <c:pt idx="1">
                  <c:v>2012/13</c:v>
                </c:pt>
                <c:pt idx="2">
                  <c:v>2013/14</c:v>
                </c:pt>
              </c:strCache>
            </c:strRef>
          </c:cat>
          <c:val>
            <c:numRef>
              <c:f>Sheet1!$D$28:$D$30</c:f>
              <c:numCache>
                <c:formatCode>General</c:formatCode>
                <c:ptCount val="3"/>
                <c:pt idx="0">
                  <c:v>7525</c:v>
                </c:pt>
                <c:pt idx="1">
                  <c:v>7539</c:v>
                </c:pt>
                <c:pt idx="2">
                  <c:v>7440</c:v>
                </c:pt>
              </c:numCache>
            </c:numRef>
          </c:val>
        </c:ser>
        <c:dLbls>
          <c:dLblPos val="outEnd"/>
          <c:showLegendKey val="0"/>
          <c:showVal val="1"/>
          <c:showCatName val="0"/>
          <c:showSerName val="0"/>
          <c:showPercent val="0"/>
          <c:showBubbleSize val="0"/>
        </c:dLbls>
        <c:gapWidth val="150"/>
        <c:axId val="175300608"/>
        <c:axId val="175302144"/>
      </c:barChart>
      <c:catAx>
        <c:axId val="175300608"/>
        <c:scaling>
          <c:orientation val="minMax"/>
        </c:scaling>
        <c:delete val="0"/>
        <c:axPos val="b"/>
        <c:majorTickMark val="out"/>
        <c:minorTickMark val="none"/>
        <c:tickLblPos val="nextTo"/>
        <c:crossAx val="175302144"/>
        <c:crosses val="autoZero"/>
        <c:auto val="1"/>
        <c:lblAlgn val="ctr"/>
        <c:lblOffset val="100"/>
        <c:noMultiLvlLbl val="0"/>
      </c:catAx>
      <c:valAx>
        <c:axId val="175302144"/>
        <c:scaling>
          <c:orientation val="minMax"/>
        </c:scaling>
        <c:delete val="0"/>
        <c:axPos val="l"/>
        <c:numFmt formatCode="#,##0" sourceLinked="0"/>
        <c:majorTickMark val="out"/>
        <c:minorTickMark val="none"/>
        <c:tickLblPos val="nextTo"/>
        <c:crossAx val="175300608"/>
        <c:crosses val="autoZero"/>
        <c:crossBetween val="between"/>
      </c:valAx>
    </c:plotArea>
    <c:legend>
      <c:legendPos val="r"/>
      <c:overlay val="0"/>
    </c:legend>
    <c:plotVisOnly val="1"/>
    <c:dispBlanksAs val="gap"/>
    <c:showDLblsOverMax val="0"/>
  </c:chart>
  <c:externalData r:id="rId1">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0.17978210890969307"/>
          <c:y val="7.0977917981072558E-2"/>
          <c:w val="0.33495377320862779"/>
          <c:h val="0.92825517275640235"/>
        </c:manualLayout>
      </c:layout>
      <c:pieChart>
        <c:varyColors val="1"/>
        <c:ser>
          <c:idx val="0"/>
          <c:order val="0"/>
          <c:tx>
            <c:strRef>
              <c:f>Sheet1!$B$48</c:f>
              <c:strCache>
                <c:ptCount val="1"/>
                <c:pt idx="0">
                  <c:v>% of Referrals in 2013/14</c:v>
                </c:pt>
              </c:strCache>
            </c:strRef>
          </c:tx>
          <c:dLbls>
            <c:showLegendKey val="0"/>
            <c:showVal val="0"/>
            <c:showCatName val="0"/>
            <c:showSerName val="0"/>
            <c:showPercent val="1"/>
            <c:showBubbleSize val="0"/>
            <c:showLeaderLines val="1"/>
          </c:dLbls>
          <c:cat>
            <c:strRef>
              <c:f>Sheet1!$A$49:$A$56</c:f>
              <c:strCache>
                <c:ptCount val="8"/>
                <c:pt idx="0">
                  <c:v>Secondary Health Care</c:v>
                </c:pt>
                <c:pt idx="1">
                  <c:v>Primary Health Care</c:v>
                </c:pt>
                <c:pt idx="2">
                  <c:v>Family, friend or Neighbour</c:v>
                </c:pt>
                <c:pt idx="3">
                  <c:v>Other Route</c:v>
                </c:pt>
                <c:pt idx="4">
                  <c:v>Self Referral</c:v>
                </c:pt>
                <c:pt idx="5">
                  <c:v>Internal Referral</c:v>
                </c:pt>
                <c:pt idx="6">
                  <c:v>Legal</c:v>
                </c:pt>
                <c:pt idx="7">
                  <c:v>Other Department / Local Authority</c:v>
                </c:pt>
              </c:strCache>
            </c:strRef>
          </c:cat>
          <c:val>
            <c:numRef>
              <c:f>Sheet1!$B$49:$B$56</c:f>
              <c:numCache>
                <c:formatCode>0%</c:formatCode>
                <c:ptCount val="8"/>
                <c:pt idx="0">
                  <c:v>0.37</c:v>
                </c:pt>
                <c:pt idx="1">
                  <c:v>0.18</c:v>
                </c:pt>
                <c:pt idx="2">
                  <c:v>0.14000000000000001</c:v>
                </c:pt>
                <c:pt idx="3">
                  <c:v>0.11</c:v>
                </c:pt>
                <c:pt idx="4">
                  <c:v>0.1</c:v>
                </c:pt>
                <c:pt idx="5">
                  <c:v>0.05</c:v>
                </c:pt>
                <c:pt idx="6">
                  <c:v>0.03</c:v>
                </c:pt>
                <c:pt idx="7">
                  <c:v>0.02</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55863539445628996"/>
          <c:y val="0"/>
          <c:w val="0.44136460554371004"/>
          <c:h val="1"/>
        </c:manualLayout>
      </c:layout>
      <c:overlay val="0"/>
    </c:legend>
    <c:plotVisOnly val="1"/>
    <c:dispBlanksAs val="gap"/>
    <c:showDLblsOverMax val="0"/>
  </c:chart>
  <c:externalData r:id="rId1">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264129483814524"/>
          <c:y val="9.5037814534707152E-2"/>
          <c:w val="0.86235870516185475"/>
          <c:h val="0.71632950867030609"/>
        </c:manualLayout>
      </c:layout>
      <c:barChart>
        <c:barDir val="col"/>
        <c:grouping val="clustered"/>
        <c:varyColors val="0"/>
        <c:ser>
          <c:idx val="0"/>
          <c:order val="0"/>
          <c:tx>
            <c:strRef>
              <c:f>Sheet1!$B$1</c:f>
              <c:strCache>
                <c:ptCount val="1"/>
                <c:pt idx="0">
                  <c:v>Community Care</c:v>
                </c:pt>
              </c:strCache>
            </c:strRef>
          </c:tx>
          <c:spPr>
            <a:solidFill>
              <a:srgbClr val="FF0000"/>
            </a:solidFill>
          </c:spPr>
          <c:invertIfNegative val="0"/>
          <c:cat>
            <c:strRef>
              <c:f>Sheet1!$A$2:$A$4</c:f>
              <c:strCache>
                <c:ptCount val="3"/>
                <c:pt idx="0">
                  <c:v>2011/12</c:v>
                </c:pt>
                <c:pt idx="1">
                  <c:v>2012/13</c:v>
                </c:pt>
                <c:pt idx="2">
                  <c:v>2013/14</c:v>
                </c:pt>
              </c:strCache>
            </c:strRef>
          </c:cat>
          <c:val>
            <c:numRef>
              <c:f>Sheet1!$B$2:$B$4</c:f>
              <c:numCache>
                <c:formatCode>#,##0</c:formatCode>
                <c:ptCount val="3"/>
                <c:pt idx="0">
                  <c:v>6292</c:v>
                </c:pt>
                <c:pt idx="1">
                  <c:v>6310</c:v>
                </c:pt>
                <c:pt idx="2">
                  <c:v>6278</c:v>
                </c:pt>
              </c:numCache>
            </c:numRef>
          </c:val>
        </c:ser>
        <c:dLbls>
          <c:dLblPos val="outEnd"/>
          <c:showLegendKey val="0"/>
          <c:showVal val="1"/>
          <c:showCatName val="0"/>
          <c:showSerName val="0"/>
          <c:showPercent val="0"/>
          <c:showBubbleSize val="0"/>
        </c:dLbls>
        <c:gapWidth val="150"/>
        <c:axId val="175428736"/>
        <c:axId val="175430272"/>
      </c:barChart>
      <c:catAx>
        <c:axId val="175428736"/>
        <c:scaling>
          <c:orientation val="minMax"/>
        </c:scaling>
        <c:delete val="0"/>
        <c:axPos val="b"/>
        <c:majorTickMark val="out"/>
        <c:minorTickMark val="none"/>
        <c:tickLblPos val="nextTo"/>
        <c:crossAx val="175430272"/>
        <c:crosses val="autoZero"/>
        <c:auto val="1"/>
        <c:lblAlgn val="ctr"/>
        <c:lblOffset val="100"/>
        <c:noMultiLvlLbl val="0"/>
      </c:catAx>
      <c:valAx>
        <c:axId val="175430272"/>
        <c:scaling>
          <c:orientation val="minMax"/>
          <c:min val="0"/>
        </c:scaling>
        <c:delete val="0"/>
        <c:axPos val="l"/>
        <c:numFmt formatCode="#,##0" sourceLinked="1"/>
        <c:majorTickMark val="out"/>
        <c:minorTickMark val="none"/>
        <c:tickLblPos val="nextTo"/>
        <c:crossAx val="175428736"/>
        <c:crosses val="autoZero"/>
        <c:crossBetween val="between"/>
      </c:valAx>
    </c:plotArea>
    <c:plotVisOnly val="1"/>
    <c:dispBlanksAs val="gap"/>
    <c:showDLblsOverMax val="0"/>
  </c:chart>
  <c:externalData r:id="rId1">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Sheet2!$A$3</c:f>
              <c:strCache>
                <c:ptCount val="1"/>
                <c:pt idx="0">
                  <c:v>Female</c:v>
                </c:pt>
              </c:strCache>
            </c:strRef>
          </c:tx>
          <c:spPr>
            <a:solidFill>
              <a:srgbClr val="FF0000"/>
            </a:solidFill>
          </c:spPr>
          <c:invertIfNegative val="0"/>
          <c:cat>
            <c:multiLvlStrRef>
              <c:f>Sheet2!$B$1:$G$2</c:f>
              <c:multiLvlStrCache>
                <c:ptCount val="6"/>
                <c:lvl>
                  <c:pt idx="0">
                    <c:v>18-64</c:v>
                  </c:pt>
                  <c:pt idx="1">
                    <c:v>65+</c:v>
                  </c:pt>
                  <c:pt idx="2">
                    <c:v>18-64</c:v>
                  </c:pt>
                  <c:pt idx="3">
                    <c:v>65+</c:v>
                  </c:pt>
                  <c:pt idx="4">
                    <c:v>18-64</c:v>
                  </c:pt>
                  <c:pt idx="5">
                    <c:v>65+</c:v>
                  </c:pt>
                </c:lvl>
                <c:lvl>
                  <c:pt idx="0">
                    <c:v>2011/12</c:v>
                  </c:pt>
                  <c:pt idx="2">
                    <c:v>2012/13</c:v>
                  </c:pt>
                  <c:pt idx="4">
                    <c:v>2013/14</c:v>
                  </c:pt>
                </c:lvl>
              </c:multiLvlStrCache>
            </c:multiLvlStrRef>
          </c:cat>
          <c:val>
            <c:numRef>
              <c:f>Sheet2!$B$3:$G$3</c:f>
              <c:numCache>
                <c:formatCode>General</c:formatCode>
                <c:ptCount val="6"/>
                <c:pt idx="0">
                  <c:v>1120</c:v>
                </c:pt>
                <c:pt idx="1">
                  <c:v>2707</c:v>
                </c:pt>
                <c:pt idx="2">
                  <c:v>1192</c:v>
                </c:pt>
                <c:pt idx="3">
                  <c:v>2590</c:v>
                </c:pt>
                <c:pt idx="4">
                  <c:v>1162</c:v>
                </c:pt>
                <c:pt idx="5">
                  <c:v>2560</c:v>
                </c:pt>
              </c:numCache>
            </c:numRef>
          </c:val>
        </c:ser>
        <c:ser>
          <c:idx val="1"/>
          <c:order val="1"/>
          <c:tx>
            <c:strRef>
              <c:f>Sheet2!$A$4</c:f>
              <c:strCache>
                <c:ptCount val="1"/>
                <c:pt idx="0">
                  <c:v>Male</c:v>
                </c:pt>
              </c:strCache>
            </c:strRef>
          </c:tx>
          <c:spPr>
            <a:solidFill>
              <a:srgbClr val="92D050"/>
            </a:solidFill>
          </c:spPr>
          <c:invertIfNegative val="0"/>
          <c:cat>
            <c:multiLvlStrRef>
              <c:f>Sheet2!$B$1:$G$2</c:f>
              <c:multiLvlStrCache>
                <c:ptCount val="6"/>
                <c:lvl>
                  <c:pt idx="0">
                    <c:v>18-64</c:v>
                  </c:pt>
                  <c:pt idx="1">
                    <c:v>65+</c:v>
                  </c:pt>
                  <c:pt idx="2">
                    <c:v>18-64</c:v>
                  </c:pt>
                  <c:pt idx="3">
                    <c:v>65+</c:v>
                  </c:pt>
                  <c:pt idx="4">
                    <c:v>18-64</c:v>
                  </c:pt>
                  <c:pt idx="5">
                    <c:v>65+</c:v>
                  </c:pt>
                </c:lvl>
                <c:lvl>
                  <c:pt idx="0">
                    <c:v>2011/12</c:v>
                  </c:pt>
                  <c:pt idx="2">
                    <c:v>2012/13</c:v>
                  </c:pt>
                  <c:pt idx="4">
                    <c:v>2013/14</c:v>
                  </c:pt>
                </c:lvl>
              </c:multiLvlStrCache>
            </c:multiLvlStrRef>
          </c:cat>
          <c:val>
            <c:numRef>
              <c:f>Sheet2!$B$4:$G$4</c:f>
              <c:numCache>
                <c:formatCode>General</c:formatCode>
                <c:ptCount val="6"/>
                <c:pt idx="0">
                  <c:v>1193</c:v>
                </c:pt>
                <c:pt idx="1">
                  <c:v>1272</c:v>
                </c:pt>
                <c:pt idx="2">
                  <c:v>1250</c:v>
                </c:pt>
                <c:pt idx="3">
                  <c:v>1278</c:v>
                </c:pt>
                <c:pt idx="4">
                  <c:v>1222</c:v>
                </c:pt>
                <c:pt idx="5">
                  <c:v>1334</c:v>
                </c:pt>
              </c:numCache>
            </c:numRef>
          </c:val>
        </c:ser>
        <c:dLbls>
          <c:showLegendKey val="0"/>
          <c:showVal val="0"/>
          <c:showCatName val="0"/>
          <c:showSerName val="0"/>
          <c:showPercent val="0"/>
          <c:showBubbleSize val="0"/>
        </c:dLbls>
        <c:gapWidth val="150"/>
        <c:axId val="175512192"/>
        <c:axId val="175518080"/>
      </c:barChart>
      <c:catAx>
        <c:axId val="175512192"/>
        <c:scaling>
          <c:orientation val="minMax"/>
        </c:scaling>
        <c:delete val="0"/>
        <c:axPos val="b"/>
        <c:majorTickMark val="out"/>
        <c:minorTickMark val="none"/>
        <c:tickLblPos val="nextTo"/>
        <c:crossAx val="175518080"/>
        <c:crosses val="autoZero"/>
        <c:auto val="1"/>
        <c:lblAlgn val="ctr"/>
        <c:lblOffset val="100"/>
        <c:noMultiLvlLbl val="0"/>
      </c:catAx>
      <c:valAx>
        <c:axId val="175518080"/>
        <c:scaling>
          <c:orientation val="minMax"/>
        </c:scaling>
        <c:delete val="0"/>
        <c:axPos val="l"/>
        <c:numFmt formatCode="#,##0" sourceLinked="0"/>
        <c:majorTickMark val="out"/>
        <c:minorTickMark val="none"/>
        <c:tickLblPos val="nextTo"/>
        <c:crossAx val="175512192"/>
        <c:crosses val="autoZero"/>
        <c:crossBetween val="between"/>
      </c:valAx>
    </c:plotArea>
    <c:legend>
      <c:legendPos val="r"/>
      <c:overlay val="0"/>
    </c:legend>
    <c:plotVisOnly val="1"/>
    <c:dispBlanksAs val="gap"/>
    <c:showDLblsOverMax val="0"/>
  </c:chart>
  <c:externalData r:id="rId1">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Sheet2!$A$2</c:f>
              <c:strCache>
                <c:ptCount val="1"/>
                <c:pt idx="0">
                  <c:v>Bad or very bad health</c:v>
                </c:pt>
              </c:strCache>
            </c:strRef>
          </c:tx>
          <c:spPr>
            <a:solidFill>
              <a:srgbClr val="FF0000"/>
            </a:solidFill>
          </c:spPr>
          <c:invertIfNegative val="0"/>
          <c:cat>
            <c:strRef>
              <c:f>Sheet2!$C$1:$G$1</c:f>
              <c:strCache>
                <c:ptCount val="5"/>
                <c:pt idx="0">
                  <c:v>Provides no unpaid care</c:v>
                </c:pt>
                <c:pt idx="1">
                  <c:v>Provides unpaid care: Total</c:v>
                </c:pt>
                <c:pt idx="2">
                  <c:v>Provides 1 to 19 hours unpaid care a week</c:v>
                </c:pt>
                <c:pt idx="3">
                  <c:v>Provides 20 to 49 hours unpaid care a week</c:v>
                </c:pt>
                <c:pt idx="4">
                  <c:v>Provides 50 or more hours unpaid care a week</c:v>
                </c:pt>
              </c:strCache>
            </c:strRef>
          </c:cat>
          <c:val>
            <c:numRef>
              <c:f>Sheet2!$C$2:$G$2</c:f>
              <c:numCache>
                <c:formatCode>0.0%</c:formatCode>
                <c:ptCount val="5"/>
                <c:pt idx="0">
                  <c:v>4.2392325677949434E-2</c:v>
                </c:pt>
                <c:pt idx="1">
                  <c:v>5.2207341269841272E-2</c:v>
                </c:pt>
                <c:pt idx="2">
                  <c:v>3.5294666169339801E-2</c:v>
                </c:pt>
                <c:pt idx="3">
                  <c:v>6.6535776614310649E-2</c:v>
                </c:pt>
                <c:pt idx="4">
                  <c:v>9.9935732647814912E-2</c:v>
                </c:pt>
              </c:numCache>
            </c:numRef>
          </c:val>
        </c:ser>
        <c:dLbls>
          <c:dLblPos val="outEnd"/>
          <c:showLegendKey val="0"/>
          <c:showVal val="1"/>
          <c:showCatName val="0"/>
          <c:showSerName val="0"/>
          <c:showPercent val="0"/>
          <c:showBubbleSize val="0"/>
        </c:dLbls>
        <c:gapWidth val="150"/>
        <c:axId val="175526656"/>
        <c:axId val="175528192"/>
      </c:barChart>
      <c:catAx>
        <c:axId val="175526656"/>
        <c:scaling>
          <c:orientation val="minMax"/>
        </c:scaling>
        <c:delete val="0"/>
        <c:axPos val="b"/>
        <c:majorTickMark val="out"/>
        <c:minorTickMark val="none"/>
        <c:tickLblPos val="nextTo"/>
        <c:crossAx val="175528192"/>
        <c:crosses val="autoZero"/>
        <c:auto val="1"/>
        <c:lblAlgn val="ctr"/>
        <c:lblOffset val="100"/>
        <c:noMultiLvlLbl val="0"/>
      </c:catAx>
      <c:valAx>
        <c:axId val="175528192"/>
        <c:scaling>
          <c:orientation val="minMax"/>
        </c:scaling>
        <c:delete val="0"/>
        <c:axPos val="l"/>
        <c:numFmt formatCode="0%" sourceLinked="0"/>
        <c:majorTickMark val="out"/>
        <c:minorTickMark val="none"/>
        <c:tickLblPos val="nextTo"/>
        <c:crossAx val="175526656"/>
        <c:crosses val="autoZero"/>
        <c:crossBetween val="between"/>
      </c:valAx>
    </c:plotArea>
    <c:plotVisOnly val="1"/>
    <c:dispBlanksAs val="gap"/>
    <c:showDLblsOverMax val="0"/>
  </c:chart>
  <c:externalData r:id="rId1">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Sheet6!$B$18</c:f>
              <c:strCache>
                <c:ptCount val="1"/>
                <c:pt idx="0">
                  <c:v>Barnet</c:v>
                </c:pt>
              </c:strCache>
            </c:strRef>
          </c:tx>
          <c:spPr>
            <a:solidFill>
              <a:srgbClr val="FF0000"/>
            </a:solidFill>
          </c:spPr>
          <c:invertIfNegative val="0"/>
          <c:dLbls>
            <c:numFmt formatCode="0.0%" sourceLinked="0"/>
            <c:dLblPos val="outEnd"/>
            <c:showLegendKey val="0"/>
            <c:showVal val="1"/>
            <c:showCatName val="0"/>
            <c:showSerName val="0"/>
            <c:showPercent val="0"/>
            <c:showBubbleSize val="0"/>
            <c:showLeaderLines val="0"/>
          </c:dLbls>
          <c:cat>
            <c:strRef>
              <c:f>Sheet6!$D$17:$E$17</c:f>
              <c:strCache>
                <c:ptCount val="2"/>
                <c:pt idx="0">
                  <c:v>2012/13</c:v>
                </c:pt>
                <c:pt idx="1">
                  <c:v>2013/14</c:v>
                </c:pt>
              </c:strCache>
            </c:strRef>
          </c:cat>
          <c:val>
            <c:numRef>
              <c:f>Sheet6!$D$18:$E$18</c:f>
              <c:numCache>
                <c:formatCode>0.00%</c:formatCode>
                <c:ptCount val="2"/>
                <c:pt idx="0">
                  <c:v>0.71099999999999997</c:v>
                </c:pt>
                <c:pt idx="1">
                  <c:v>0.71</c:v>
                </c:pt>
              </c:numCache>
            </c:numRef>
          </c:val>
        </c:ser>
        <c:ser>
          <c:idx val="1"/>
          <c:order val="1"/>
          <c:tx>
            <c:strRef>
              <c:f>Sheet6!$B$19</c:f>
              <c:strCache>
                <c:ptCount val="1"/>
                <c:pt idx="0">
                  <c:v>London</c:v>
                </c:pt>
              </c:strCache>
            </c:strRef>
          </c:tx>
          <c:spPr>
            <a:solidFill>
              <a:srgbClr val="92D050"/>
            </a:solidFill>
          </c:spPr>
          <c:invertIfNegative val="0"/>
          <c:dLbls>
            <c:numFmt formatCode="0.0%" sourceLinked="0"/>
            <c:dLblPos val="outEnd"/>
            <c:showLegendKey val="0"/>
            <c:showVal val="1"/>
            <c:showCatName val="0"/>
            <c:showSerName val="0"/>
            <c:showPercent val="0"/>
            <c:showBubbleSize val="0"/>
            <c:showLeaderLines val="0"/>
          </c:dLbls>
          <c:cat>
            <c:strRef>
              <c:f>Sheet6!$D$17:$E$17</c:f>
              <c:strCache>
                <c:ptCount val="2"/>
                <c:pt idx="0">
                  <c:v>2012/13</c:v>
                </c:pt>
                <c:pt idx="1">
                  <c:v>2013/14</c:v>
                </c:pt>
              </c:strCache>
            </c:strRef>
          </c:cat>
          <c:val>
            <c:numRef>
              <c:f>Sheet6!$D$19:$E$19</c:f>
              <c:numCache>
                <c:formatCode>0.00%</c:formatCode>
                <c:ptCount val="2"/>
                <c:pt idx="0">
                  <c:v>0.79400000000000004</c:v>
                </c:pt>
                <c:pt idx="1">
                  <c:v>0.78700000000000003</c:v>
                </c:pt>
              </c:numCache>
            </c:numRef>
          </c:val>
        </c:ser>
        <c:ser>
          <c:idx val="2"/>
          <c:order val="2"/>
          <c:tx>
            <c:strRef>
              <c:f>Sheet6!$B$20</c:f>
              <c:strCache>
                <c:ptCount val="1"/>
                <c:pt idx="0">
                  <c:v>National</c:v>
                </c:pt>
              </c:strCache>
            </c:strRef>
          </c:tx>
          <c:spPr>
            <a:solidFill>
              <a:srgbClr val="00B0F0"/>
            </a:solidFill>
          </c:spPr>
          <c:invertIfNegative val="0"/>
          <c:dLbls>
            <c:numFmt formatCode="0.0%" sourceLinked="0"/>
            <c:dLblPos val="outEnd"/>
            <c:showLegendKey val="0"/>
            <c:showVal val="1"/>
            <c:showCatName val="0"/>
            <c:showSerName val="0"/>
            <c:showPercent val="0"/>
            <c:showBubbleSize val="0"/>
            <c:showLeaderLines val="0"/>
          </c:dLbls>
          <c:cat>
            <c:strRef>
              <c:f>Sheet6!$D$17:$E$17</c:f>
              <c:strCache>
                <c:ptCount val="2"/>
                <c:pt idx="0">
                  <c:v>2012/13</c:v>
                </c:pt>
                <c:pt idx="1">
                  <c:v>2013/14</c:v>
                </c:pt>
              </c:strCache>
            </c:strRef>
          </c:cat>
          <c:val>
            <c:numRef>
              <c:f>Sheet6!$D$20:$E$20</c:f>
              <c:numCache>
                <c:formatCode>0.00%</c:formatCode>
                <c:ptCount val="2"/>
                <c:pt idx="0">
                  <c:v>0.58499999999999996</c:v>
                </c:pt>
                <c:pt idx="1">
                  <c:v>0.60899999999999999</c:v>
                </c:pt>
              </c:numCache>
            </c:numRef>
          </c:val>
        </c:ser>
        <c:dLbls>
          <c:dLblPos val="outEnd"/>
          <c:showLegendKey val="0"/>
          <c:showVal val="1"/>
          <c:showCatName val="0"/>
          <c:showSerName val="0"/>
          <c:showPercent val="0"/>
          <c:showBubbleSize val="0"/>
        </c:dLbls>
        <c:gapWidth val="150"/>
        <c:axId val="175559040"/>
        <c:axId val="175560576"/>
      </c:barChart>
      <c:catAx>
        <c:axId val="175559040"/>
        <c:scaling>
          <c:orientation val="minMax"/>
        </c:scaling>
        <c:delete val="0"/>
        <c:axPos val="b"/>
        <c:majorTickMark val="out"/>
        <c:minorTickMark val="none"/>
        <c:tickLblPos val="nextTo"/>
        <c:crossAx val="175560576"/>
        <c:crosses val="autoZero"/>
        <c:auto val="1"/>
        <c:lblAlgn val="ctr"/>
        <c:lblOffset val="100"/>
        <c:noMultiLvlLbl val="0"/>
      </c:catAx>
      <c:valAx>
        <c:axId val="175560576"/>
        <c:scaling>
          <c:orientation val="minMax"/>
          <c:min val="0.35000000000000003"/>
        </c:scaling>
        <c:delete val="0"/>
        <c:axPos val="l"/>
        <c:numFmt formatCode="0%" sourceLinked="0"/>
        <c:majorTickMark val="out"/>
        <c:minorTickMark val="none"/>
        <c:tickLblPos val="nextTo"/>
        <c:crossAx val="175559040"/>
        <c:crosses val="autoZero"/>
        <c:crossBetween val="between"/>
      </c:valAx>
    </c:plotArea>
    <c:legend>
      <c:legendPos val="r"/>
      <c:overlay val="0"/>
    </c:legend>
    <c:plotVisOnly val="1"/>
    <c:dispBlanksAs val="gap"/>
    <c:showDLblsOverMax val="0"/>
  </c:chart>
  <c:externalData r:id="rId1">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Sheet7!$B$18</c:f>
              <c:strCache>
                <c:ptCount val="1"/>
                <c:pt idx="0">
                  <c:v>Barnet</c:v>
                </c:pt>
              </c:strCache>
            </c:strRef>
          </c:tx>
          <c:spPr>
            <a:solidFill>
              <a:srgbClr val="FF0000"/>
            </a:solidFill>
          </c:spPr>
          <c:invertIfNegative val="0"/>
          <c:dLbls>
            <c:numFmt formatCode="0.0%" sourceLinked="0"/>
            <c:dLblPos val="outEnd"/>
            <c:showLegendKey val="0"/>
            <c:showVal val="1"/>
            <c:showCatName val="0"/>
            <c:showSerName val="0"/>
            <c:showPercent val="0"/>
            <c:showBubbleSize val="0"/>
            <c:showLeaderLines val="0"/>
          </c:dLbls>
          <c:cat>
            <c:strRef>
              <c:f>Sheet7!$C$17:$E$17</c:f>
              <c:strCache>
                <c:ptCount val="3"/>
                <c:pt idx="0">
                  <c:v>2011/12</c:v>
                </c:pt>
                <c:pt idx="1">
                  <c:v>2012/13</c:v>
                </c:pt>
                <c:pt idx="2">
                  <c:v>2013/14</c:v>
                </c:pt>
              </c:strCache>
            </c:strRef>
          </c:cat>
          <c:val>
            <c:numRef>
              <c:f>Sheet7!$C$18:$E$18</c:f>
              <c:numCache>
                <c:formatCode>0.00%</c:formatCode>
                <c:ptCount val="3"/>
                <c:pt idx="0">
                  <c:v>0.49199999999999999</c:v>
                </c:pt>
                <c:pt idx="1">
                  <c:v>0.61699999999999999</c:v>
                </c:pt>
                <c:pt idx="2">
                  <c:v>0.58099999999999996</c:v>
                </c:pt>
              </c:numCache>
            </c:numRef>
          </c:val>
        </c:ser>
        <c:ser>
          <c:idx val="1"/>
          <c:order val="1"/>
          <c:tx>
            <c:strRef>
              <c:f>Sheet7!$B$19</c:f>
              <c:strCache>
                <c:ptCount val="1"/>
                <c:pt idx="0">
                  <c:v>London</c:v>
                </c:pt>
              </c:strCache>
            </c:strRef>
          </c:tx>
          <c:spPr>
            <a:solidFill>
              <a:srgbClr val="92D050"/>
            </a:solidFill>
          </c:spPr>
          <c:invertIfNegative val="0"/>
          <c:dLbls>
            <c:numFmt formatCode="0.0%" sourceLinked="0"/>
            <c:dLblPos val="outEnd"/>
            <c:showLegendKey val="0"/>
            <c:showVal val="1"/>
            <c:showCatName val="0"/>
            <c:showSerName val="0"/>
            <c:showPercent val="0"/>
            <c:showBubbleSize val="0"/>
            <c:showLeaderLines val="0"/>
          </c:dLbls>
          <c:cat>
            <c:strRef>
              <c:f>Sheet7!$C$17:$E$17</c:f>
              <c:strCache>
                <c:ptCount val="3"/>
                <c:pt idx="0">
                  <c:v>2011/12</c:v>
                </c:pt>
                <c:pt idx="1">
                  <c:v>2012/13</c:v>
                </c:pt>
                <c:pt idx="2">
                  <c:v>2013/14</c:v>
                </c:pt>
              </c:strCache>
            </c:strRef>
          </c:cat>
          <c:val>
            <c:numRef>
              <c:f>Sheet7!$C$19:$E$19</c:f>
              <c:numCache>
                <c:formatCode>0.00%</c:formatCode>
                <c:ptCount val="3"/>
                <c:pt idx="0">
                  <c:v>0.65700000000000003</c:v>
                </c:pt>
                <c:pt idx="1">
                  <c:v>0.68100000000000005</c:v>
                </c:pt>
                <c:pt idx="2">
                  <c:v>0.68500000000000005</c:v>
                </c:pt>
              </c:numCache>
            </c:numRef>
          </c:val>
        </c:ser>
        <c:ser>
          <c:idx val="2"/>
          <c:order val="2"/>
          <c:tx>
            <c:strRef>
              <c:f>Sheet7!$B$20</c:f>
              <c:strCache>
                <c:ptCount val="1"/>
                <c:pt idx="0">
                  <c:v>National</c:v>
                </c:pt>
              </c:strCache>
            </c:strRef>
          </c:tx>
          <c:spPr>
            <a:solidFill>
              <a:srgbClr val="00B0F0"/>
            </a:solidFill>
          </c:spPr>
          <c:invertIfNegative val="0"/>
          <c:cat>
            <c:strRef>
              <c:f>Sheet7!$C$17:$E$17</c:f>
              <c:strCache>
                <c:ptCount val="3"/>
                <c:pt idx="0">
                  <c:v>2011/12</c:v>
                </c:pt>
                <c:pt idx="1">
                  <c:v>2012/13</c:v>
                </c:pt>
                <c:pt idx="2">
                  <c:v>2013/14</c:v>
                </c:pt>
              </c:strCache>
            </c:strRef>
          </c:cat>
          <c:val>
            <c:numRef>
              <c:f>Sheet7!$C$20:$E$20</c:f>
              <c:numCache>
                <c:formatCode>0.00%</c:formatCode>
                <c:ptCount val="3"/>
                <c:pt idx="0">
                  <c:v>0.7</c:v>
                </c:pt>
                <c:pt idx="1">
                  <c:v>0.73499999999999999</c:v>
                </c:pt>
                <c:pt idx="2">
                  <c:v>0.748</c:v>
                </c:pt>
              </c:numCache>
            </c:numRef>
          </c:val>
        </c:ser>
        <c:dLbls>
          <c:dLblPos val="outEnd"/>
          <c:showLegendKey val="0"/>
          <c:showVal val="1"/>
          <c:showCatName val="0"/>
          <c:showSerName val="0"/>
          <c:showPercent val="0"/>
          <c:showBubbleSize val="0"/>
        </c:dLbls>
        <c:gapWidth val="150"/>
        <c:axId val="175592192"/>
        <c:axId val="175593728"/>
      </c:barChart>
      <c:catAx>
        <c:axId val="175592192"/>
        <c:scaling>
          <c:orientation val="minMax"/>
        </c:scaling>
        <c:delete val="0"/>
        <c:axPos val="b"/>
        <c:majorTickMark val="out"/>
        <c:minorTickMark val="none"/>
        <c:tickLblPos val="nextTo"/>
        <c:crossAx val="175593728"/>
        <c:crosses val="autoZero"/>
        <c:auto val="1"/>
        <c:lblAlgn val="ctr"/>
        <c:lblOffset val="100"/>
        <c:noMultiLvlLbl val="0"/>
      </c:catAx>
      <c:valAx>
        <c:axId val="175593728"/>
        <c:scaling>
          <c:orientation val="minMax"/>
          <c:min val="0.30000000000000004"/>
        </c:scaling>
        <c:delete val="0"/>
        <c:axPos val="l"/>
        <c:numFmt formatCode="0%" sourceLinked="0"/>
        <c:majorTickMark val="out"/>
        <c:minorTickMark val="none"/>
        <c:tickLblPos val="nextTo"/>
        <c:crossAx val="175592192"/>
        <c:crosses val="autoZero"/>
        <c:crossBetween val="between"/>
      </c:valAx>
    </c:plotArea>
    <c:legend>
      <c:legendPos val="r"/>
      <c:overlay val="0"/>
    </c:legend>
    <c:plotVisOnly val="1"/>
    <c:dispBlanksAs val="gap"/>
    <c:showDLblsOverMax val="0"/>
  </c:chart>
  <c:externalData r:id="rId1">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9465922816737722E-2"/>
          <c:y val="6.7952955341636187E-2"/>
          <c:w val="0.75211103659617395"/>
          <c:h val="0.60011291041449999"/>
        </c:manualLayout>
      </c:layout>
      <c:barChart>
        <c:barDir val="col"/>
        <c:grouping val="clustered"/>
        <c:varyColors val="0"/>
        <c:ser>
          <c:idx val="0"/>
          <c:order val="0"/>
          <c:tx>
            <c:strRef>
              <c:f>Sheet2!$C$10</c:f>
              <c:strCache>
                <c:ptCount val="1"/>
                <c:pt idx="0">
                  <c:v>2011/12</c:v>
                </c:pt>
              </c:strCache>
            </c:strRef>
          </c:tx>
          <c:spPr>
            <a:solidFill>
              <a:srgbClr val="FF0000"/>
            </a:solidFill>
          </c:spPr>
          <c:invertIfNegative val="0"/>
          <c:cat>
            <c:multiLvlStrRef>
              <c:f>Sheet2!$A$11:$B$14</c:f>
              <c:multiLvlStrCache>
                <c:ptCount val="4"/>
                <c:lvl>
                  <c:pt idx="0">
                    <c:v>Female</c:v>
                  </c:pt>
                  <c:pt idx="1">
                    <c:v>Male</c:v>
                  </c:pt>
                  <c:pt idx="2">
                    <c:v>Female</c:v>
                  </c:pt>
                  <c:pt idx="3">
                    <c:v>Male</c:v>
                  </c:pt>
                </c:lvl>
                <c:lvl>
                  <c:pt idx="0">
                    <c:v>18-64</c:v>
                  </c:pt>
                  <c:pt idx="2">
                    <c:v>65+</c:v>
                  </c:pt>
                </c:lvl>
              </c:multiLvlStrCache>
            </c:multiLvlStrRef>
          </c:cat>
          <c:val>
            <c:numRef>
              <c:f>Sheet2!$C$11:$C$14</c:f>
              <c:numCache>
                <c:formatCode>General</c:formatCode>
                <c:ptCount val="4"/>
                <c:pt idx="0">
                  <c:v>458</c:v>
                </c:pt>
                <c:pt idx="1">
                  <c:v>358</c:v>
                </c:pt>
                <c:pt idx="2" formatCode="#,##0">
                  <c:v>2646</c:v>
                </c:pt>
                <c:pt idx="3" formatCode="#,##0">
                  <c:v>1184</c:v>
                </c:pt>
              </c:numCache>
            </c:numRef>
          </c:val>
        </c:ser>
        <c:ser>
          <c:idx val="1"/>
          <c:order val="1"/>
          <c:tx>
            <c:strRef>
              <c:f>Sheet2!$D$10</c:f>
              <c:strCache>
                <c:ptCount val="1"/>
                <c:pt idx="0">
                  <c:v>2012/13</c:v>
                </c:pt>
              </c:strCache>
            </c:strRef>
          </c:tx>
          <c:spPr>
            <a:solidFill>
              <a:srgbClr val="92D050"/>
            </a:solidFill>
          </c:spPr>
          <c:invertIfNegative val="0"/>
          <c:cat>
            <c:multiLvlStrRef>
              <c:f>Sheet2!$A$11:$B$14</c:f>
              <c:multiLvlStrCache>
                <c:ptCount val="4"/>
                <c:lvl>
                  <c:pt idx="0">
                    <c:v>Female</c:v>
                  </c:pt>
                  <c:pt idx="1">
                    <c:v>Male</c:v>
                  </c:pt>
                  <c:pt idx="2">
                    <c:v>Female</c:v>
                  </c:pt>
                  <c:pt idx="3">
                    <c:v>Male</c:v>
                  </c:pt>
                </c:lvl>
                <c:lvl>
                  <c:pt idx="0">
                    <c:v>18-64</c:v>
                  </c:pt>
                  <c:pt idx="2">
                    <c:v>65+</c:v>
                  </c:pt>
                </c:lvl>
              </c:multiLvlStrCache>
            </c:multiLvlStrRef>
          </c:cat>
          <c:val>
            <c:numRef>
              <c:f>Sheet2!$D$11:$D$14</c:f>
              <c:numCache>
                <c:formatCode>General</c:formatCode>
                <c:ptCount val="4"/>
                <c:pt idx="0">
                  <c:v>458</c:v>
                </c:pt>
                <c:pt idx="1">
                  <c:v>336</c:v>
                </c:pt>
                <c:pt idx="2" formatCode="#,##0">
                  <c:v>2607</c:v>
                </c:pt>
                <c:pt idx="3" formatCode="#,##0">
                  <c:v>1188</c:v>
                </c:pt>
              </c:numCache>
            </c:numRef>
          </c:val>
        </c:ser>
        <c:ser>
          <c:idx val="2"/>
          <c:order val="2"/>
          <c:tx>
            <c:strRef>
              <c:f>Sheet2!$E$10</c:f>
              <c:strCache>
                <c:ptCount val="1"/>
                <c:pt idx="0">
                  <c:v>2013/14</c:v>
                </c:pt>
              </c:strCache>
            </c:strRef>
          </c:tx>
          <c:spPr>
            <a:solidFill>
              <a:srgbClr val="00B0F0"/>
            </a:solidFill>
          </c:spPr>
          <c:invertIfNegative val="0"/>
          <c:cat>
            <c:multiLvlStrRef>
              <c:f>Sheet2!$A$11:$B$14</c:f>
              <c:multiLvlStrCache>
                <c:ptCount val="4"/>
                <c:lvl>
                  <c:pt idx="0">
                    <c:v>Female</c:v>
                  </c:pt>
                  <c:pt idx="1">
                    <c:v>Male</c:v>
                  </c:pt>
                  <c:pt idx="2">
                    <c:v>Female</c:v>
                  </c:pt>
                  <c:pt idx="3">
                    <c:v>Male</c:v>
                  </c:pt>
                </c:lvl>
                <c:lvl>
                  <c:pt idx="0">
                    <c:v>18-64</c:v>
                  </c:pt>
                  <c:pt idx="2">
                    <c:v>65+</c:v>
                  </c:pt>
                </c:lvl>
              </c:multiLvlStrCache>
            </c:multiLvlStrRef>
          </c:cat>
          <c:val>
            <c:numRef>
              <c:f>Sheet2!$E$11:$E$14</c:f>
              <c:numCache>
                <c:formatCode>General</c:formatCode>
                <c:ptCount val="4"/>
                <c:pt idx="0">
                  <c:v>439</c:v>
                </c:pt>
                <c:pt idx="1">
                  <c:v>321</c:v>
                </c:pt>
                <c:pt idx="2" formatCode="#,##0">
                  <c:v>2538</c:v>
                </c:pt>
                <c:pt idx="3" formatCode="#,##0">
                  <c:v>1266</c:v>
                </c:pt>
              </c:numCache>
            </c:numRef>
          </c:val>
        </c:ser>
        <c:dLbls>
          <c:showLegendKey val="0"/>
          <c:showVal val="0"/>
          <c:showCatName val="0"/>
          <c:showSerName val="0"/>
          <c:showPercent val="0"/>
          <c:showBubbleSize val="0"/>
        </c:dLbls>
        <c:gapWidth val="150"/>
        <c:axId val="175641344"/>
        <c:axId val="175642880"/>
      </c:barChart>
      <c:catAx>
        <c:axId val="175641344"/>
        <c:scaling>
          <c:orientation val="minMax"/>
        </c:scaling>
        <c:delete val="0"/>
        <c:axPos val="b"/>
        <c:majorTickMark val="out"/>
        <c:minorTickMark val="none"/>
        <c:tickLblPos val="nextTo"/>
        <c:crossAx val="175642880"/>
        <c:crosses val="autoZero"/>
        <c:auto val="1"/>
        <c:lblAlgn val="ctr"/>
        <c:lblOffset val="100"/>
        <c:noMultiLvlLbl val="0"/>
      </c:catAx>
      <c:valAx>
        <c:axId val="175642880"/>
        <c:scaling>
          <c:orientation val="minMax"/>
        </c:scaling>
        <c:delete val="0"/>
        <c:axPos val="l"/>
        <c:numFmt formatCode="#,##0" sourceLinked="0"/>
        <c:majorTickMark val="out"/>
        <c:minorTickMark val="none"/>
        <c:tickLblPos val="nextTo"/>
        <c:crossAx val="175641344"/>
        <c:crosses val="autoZero"/>
        <c:crossBetween val="between"/>
      </c:valAx>
    </c:plotArea>
    <c:legend>
      <c:legendPos val="r"/>
      <c:overlay val="0"/>
    </c:legend>
    <c:plotVisOnly val="1"/>
    <c:dispBlanksAs val="gap"/>
    <c:showDLblsOverMax val="0"/>
  </c:chart>
  <c:externalData r:id="rId1">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'Safeguarding Alerts'!$B$1</c:f>
              <c:strCache>
                <c:ptCount val="1"/>
                <c:pt idx="0">
                  <c:v>No</c:v>
                </c:pt>
              </c:strCache>
            </c:strRef>
          </c:tx>
          <c:spPr>
            <a:solidFill>
              <a:srgbClr val="FF0000"/>
            </a:solidFill>
          </c:spPr>
          <c:invertIfNegative val="0"/>
          <c:cat>
            <c:strRef>
              <c:f>'Safeguarding Alerts'!$A$2:$A$9</c:f>
              <c:strCache>
                <c:ptCount val="8"/>
                <c:pt idx="0">
                  <c:v>2006/07</c:v>
                </c:pt>
                <c:pt idx="1">
                  <c:v>2007/08</c:v>
                </c:pt>
                <c:pt idx="2">
                  <c:v>2008/09</c:v>
                </c:pt>
                <c:pt idx="3">
                  <c:v>2009/10</c:v>
                </c:pt>
                <c:pt idx="4">
                  <c:v>2010/11</c:v>
                </c:pt>
                <c:pt idx="5">
                  <c:v>2011/12</c:v>
                </c:pt>
                <c:pt idx="6">
                  <c:v>2012/13</c:v>
                </c:pt>
                <c:pt idx="7">
                  <c:v>2013/14</c:v>
                </c:pt>
              </c:strCache>
            </c:strRef>
          </c:cat>
          <c:val>
            <c:numRef>
              <c:f>'Safeguarding Alerts'!$B$2:$B$9</c:f>
              <c:numCache>
                <c:formatCode>General</c:formatCode>
                <c:ptCount val="8"/>
                <c:pt idx="0">
                  <c:v>145</c:v>
                </c:pt>
                <c:pt idx="1">
                  <c:v>289</c:v>
                </c:pt>
                <c:pt idx="2">
                  <c:v>345</c:v>
                </c:pt>
                <c:pt idx="3">
                  <c:v>420</c:v>
                </c:pt>
                <c:pt idx="4">
                  <c:v>495</c:v>
                </c:pt>
                <c:pt idx="5">
                  <c:v>540</c:v>
                </c:pt>
                <c:pt idx="6">
                  <c:v>612</c:v>
                </c:pt>
                <c:pt idx="7">
                  <c:v>565</c:v>
                </c:pt>
              </c:numCache>
            </c:numRef>
          </c:val>
        </c:ser>
        <c:dLbls>
          <c:dLblPos val="outEnd"/>
          <c:showLegendKey val="0"/>
          <c:showVal val="1"/>
          <c:showCatName val="0"/>
          <c:showSerName val="0"/>
          <c:showPercent val="0"/>
          <c:showBubbleSize val="0"/>
        </c:dLbls>
        <c:gapWidth val="150"/>
        <c:axId val="175667840"/>
        <c:axId val="175673728"/>
      </c:barChart>
      <c:catAx>
        <c:axId val="175667840"/>
        <c:scaling>
          <c:orientation val="minMax"/>
        </c:scaling>
        <c:delete val="0"/>
        <c:axPos val="b"/>
        <c:majorTickMark val="out"/>
        <c:minorTickMark val="none"/>
        <c:tickLblPos val="nextTo"/>
        <c:crossAx val="175673728"/>
        <c:crosses val="autoZero"/>
        <c:auto val="1"/>
        <c:lblAlgn val="ctr"/>
        <c:lblOffset val="100"/>
        <c:noMultiLvlLbl val="0"/>
      </c:catAx>
      <c:valAx>
        <c:axId val="175673728"/>
        <c:scaling>
          <c:orientation val="minMax"/>
        </c:scaling>
        <c:delete val="0"/>
        <c:axPos val="l"/>
        <c:numFmt formatCode="General" sourceLinked="1"/>
        <c:majorTickMark val="out"/>
        <c:minorTickMark val="none"/>
        <c:tickLblPos val="nextTo"/>
        <c:crossAx val="175667840"/>
        <c:crosses val="autoZero"/>
        <c:crossBetween val="between"/>
      </c:valAx>
    </c:plotArea>
    <c:plotVisOnly val="1"/>
    <c:dispBlanksAs val="gap"/>
    <c:showDLblsOverMax val="0"/>
  </c:chart>
  <c:externalData r:id="rId1">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Sheet5!$A$3</c:f>
              <c:strCache>
                <c:ptCount val="1"/>
                <c:pt idx="0">
                  <c:v>Barnet</c:v>
                </c:pt>
              </c:strCache>
            </c:strRef>
          </c:tx>
          <c:invertIfNegative val="0"/>
          <c:dLbls>
            <c:numFmt formatCode="0.0%" sourceLinked="0"/>
            <c:dLblPos val="outEnd"/>
            <c:showLegendKey val="0"/>
            <c:showVal val="1"/>
            <c:showCatName val="0"/>
            <c:showSerName val="0"/>
            <c:showPercent val="0"/>
            <c:showBubbleSize val="0"/>
            <c:showLeaderLines val="0"/>
          </c:dLbls>
          <c:cat>
            <c:strRef>
              <c:f>Sheet5!$B$1:$E$2</c:f>
              <c:strCache>
                <c:ptCount val="4"/>
                <c:pt idx="0">
                  <c:v>2010/11</c:v>
                </c:pt>
                <c:pt idx="1">
                  <c:v>2011/12</c:v>
                </c:pt>
                <c:pt idx="2">
                  <c:v>2012/13</c:v>
                </c:pt>
                <c:pt idx="3">
                  <c:v>2013/14</c:v>
                </c:pt>
              </c:strCache>
            </c:strRef>
          </c:cat>
          <c:val>
            <c:numRef>
              <c:f>Sheet5!$B$3:$E$3</c:f>
              <c:numCache>
                <c:formatCode>0.00%</c:formatCode>
                <c:ptCount val="4"/>
                <c:pt idx="0">
                  <c:v>0.58199999999999996</c:v>
                </c:pt>
                <c:pt idx="1">
                  <c:v>0.54</c:v>
                </c:pt>
                <c:pt idx="2">
                  <c:v>0.64500000000000002</c:v>
                </c:pt>
                <c:pt idx="3">
                  <c:v>0.61799999999999999</c:v>
                </c:pt>
              </c:numCache>
            </c:numRef>
          </c:val>
        </c:ser>
        <c:ser>
          <c:idx val="1"/>
          <c:order val="1"/>
          <c:tx>
            <c:strRef>
              <c:f>Sheet5!$A$4</c:f>
              <c:strCache>
                <c:ptCount val="1"/>
                <c:pt idx="0">
                  <c:v>London</c:v>
                </c:pt>
              </c:strCache>
            </c:strRef>
          </c:tx>
          <c:invertIfNegative val="0"/>
          <c:dLbls>
            <c:numFmt formatCode="0.0%" sourceLinked="0"/>
            <c:dLblPos val="outEnd"/>
            <c:showLegendKey val="0"/>
            <c:showVal val="1"/>
            <c:showCatName val="0"/>
            <c:showSerName val="0"/>
            <c:showPercent val="0"/>
            <c:showBubbleSize val="0"/>
            <c:showLeaderLines val="0"/>
          </c:dLbls>
          <c:cat>
            <c:strRef>
              <c:f>Sheet5!$B$1:$E$2</c:f>
              <c:strCache>
                <c:ptCount val="4"/>
                <c:pt idx="0">
                  <c:v>2010/11</c:v>
                </c:pt>
                <c:pt idx="1">
                  <c:v>2011/12</c:v>
                </c:pt>
                <c:pt idx="2">
                  <c:v>2012/13</c:v>
                </c:pt>
                <c:pt idx="3">
                  <c:v>2013/14</c:v>
                </c:pt>
              </c:strCache>
            </c:strRef>
          </c:cat>
          <c:val>
            <c:numRef>
              <c:f>Sheet5!$B$4:$E$4</c:f>
              <c:numCache>
                <c:formatCode>0.00%</c:formatCode>
                <c:ptCount val="4"/>
                <c:pt idx="0">
                  <c:v>0.56799999999999995</c:v>
                </c:pt>
                <c:pt idx="1">
                  <c:v>0.57199999999999995</c:v>
                </c:pt>
                <c:pt idx="2">
                  <c:v>0.59299999999999997</c:v>
                </c:pt>
                <c:pt idx="3">
                  <c:v>0.60099999999999998</c:v>
                </c:pt>
              </c:numCache>
            </c:numRef>
          </c:val>
        </c:ser>
        <c:ser>
          <c:idx val="2"/>
          <c:order val="2"/>
          <c:tx>
            <c:strRef>
              <c:f>Sheet5!$A$5</c:f>
              <c:strCache>
                <c:ptCount val="1"/>
                <c:pt idx="0">
                  <c:v>National</c:v>
                </c:pt>
              </c:strCache>
            </c:strRef>
          </c:tx>
          <c:invertIfNegative val="0"/>
          <c:dLbls>
            <c:numFmt formatCode="0.0%" sourceLinked="0"/>
            <c:dLblPos val="outEnd"/>
            <c:showLegendKey val="0"/>
            <c:showVal val="1"/>
            <c:showCatName val="0"/>
            <c:showSerName val="0"/>
            <c:showPercent val="0"/>
            <c:showBubbleSize val="0"/>
            <c:showLeaderLines val="0"/>
          </c:dLbls>
          <c:cat>
            <c:strRef>
              <c:f>Sheet5!$B$1:$E$2</c:f>
              <c:strCache>
                <c:ptCount val="4"/>
                <c:pt idx="0">
                  <c:v>2010/11</c:v>
                </c:pt>
                <c:pt idx="1">
                  <c:v>2011/12</c:v>
                </c:pt>
                <c:pt idx="2">
                  <c:v>2012/13</c:v>
                </c:pt>
                <c:pt idx="3">
                  <c:v>2013/14</c:v>
                </c:pt>
              </c:strCache>
            </c:strRef>
          </c:cat>
          <c:val>
            <c:numRef>
              <c:f>Sheet5!$B$5:$E$5</c:f>
              <c:numCache>
                <c:formatCode>0.00%</c:formatCode>
                <c:ptCount val="4"/>
                <c:pt idx="0">
                  <c:v>0.621</c:v>
                </c:pt>
                <c:pt idx="1">
                  <c:v>0.628</c:v>
                </c:pt>
                <c:pt idx="2">
                  <c:v>0.64100000000000001</c:v>
                </c:pt>
                <c:pt idx="3">
                  <c:v>0.64900000000000002</c:v>
                </c:pt>
              </c:numCache>
            </c:numRef>
          </c:val>
        </c:ser>
        <c:dLbls>
          <c:dLblPos val="outEnd"/>
          <c:showLegendKey val="0"/>
          <c:showVal val="1"/>
          <c:showCatName val="0"/>
          <c:showSerName val="0"/>
          <c:showPercent val="0"/>
          <c:showBubbleSize val="0"/>
        </c:dLbls>
        <c:gapWidth val="150"/>
        <c:axId val="175696128"/>
        <c:axId val="177143808"/>
      </c:barChart>
      <c:catAx>
        <c:axId val="175696128"/>
        <c:scaling>
          <c:orientation val="minMax"/>
        </c:scaling>
        <c:delete val="0"/>
        <c:axPos val="b"/>
        <c:majorTickMark val="out"/>
        <c:minorTickMark val="none"/>
        <c:tickLblPos val="nextTo"/>
        <c:crossAx val="177143808"/>
        <c:crosses val="autoZero"/>
        <c:auto val="1"/>
        <c:lblAlgn val="ctr"/>
        <c:lblOffset val="100"/>
        <c:noMultiLvlLbl val="0"/>
      </c:catAx>
      <c:valAx>
        <c:axId val="177143808"/>
        <c:scaling>
          <c:orientation val="minMax"/>
          <c:min val="0.45"/>
        </c:scaling>
        <c:delete val="0"/>
        <c:axPos val="l"/>
        <c:numFmt formatCode="0%" sourceLinked="0"/>
        <c:majorTickMark val="out"/>
        <c:minorTickMark val="none"/>
        <c:tickLblPos val="nextTo"/>
        <c:crossAx val="175696128"/>
        <c:crosses val="autoZero"/>
        <c:crossBetween val="between"/>
      </c:valAx>
    </c:plotArea>
    <c:legend>
      <c:legendPos val="r"/>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27496642184153"/>
          <c:y val="3.4507307608621689E-2"/>
          <c:w val="0.75672542492703343"/>
          <c:h val="0.92415395882479034"/>
        </c:manualLayout>
      </c:layout>
      <c:barChart>
        <c:barDir val="col"/>
        <c:grouping val="stacked"/>
        <c:varyColors val="0"/>
        <c:ser>
          <c:idx val="0"/>
          <c:order val="0"/>
          <c:tx>
            <c:strRef>
              <c:f>Sheet2!$E$1</c:f>
              <c:strCache>
                <c:ptCount val="1"/>
                <c:pt idx="0">
                  <c:v>Natural Change</c:v>
                </c:pt>
              </c:strCache>
            </c:strRef>
          </c:tx>
          <c:spPr>
            <a:solidFill>
              <a:srgbClr val="92D050"/>
            </a:solidFill>
          </c:spPr>
          <c:invertIfNegative val="0"/>
          <c:cat>
            <c:numRef>
              <c:f>Sheet2!$A$16:$A$31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Sheet2!$E$16:$E$31</c:f>
              <c:numCache>
                <c:formatCode>#,##0</c:formatCode>
                <c:ptCount val="16"/>
                <c:pt idx="0">
                  <c:v>3195</c:v>
                </c:pt>
                <c:pt idx="1">
                  <c:v>3200</c:v>
                </c:pt>
                <c:pt idx="2">
                  <c:v>3218</c:v>
                </c:pt>
                <c:pt idx="3">
                  <c:v>3232</c:v>
                </c:pt>
                <c:pt idx="4">
                  <c:v>3265</c:v>
                </c:pt>
                <c:pt idx="5">
                  <c:v>3277</c:v>
                </c:pt>
                <c:pt idx="6">
                  <c:v>3298</c:v>
                </c:pt>
                <c:pt idx="7">
                  <c:v>3293</c:v>
                </c:pt>
                <c:pt idx="8">
                  <c:v>3308</c:v>
                </c:pt>
                <c:pt idx="9">
                  <c:v>3290</c:v>
                </c:pt>
                <c:pt idx="10">
                  <c:v>3270</c:v>
                </c:pt>
                <c:pt idx="11">
                  <c:v>3232</c:v>
                </c:pt>
                <c:pt idx="12">
                  <c:v>3174</c:v>
                </c:pt>
                <c:pt idx="13">
                  <c:v>3125</c:v>
                </c:pt>
                <c:pt idx="14">
                  <c:v>3070</c:v>
                </c:pt>
                <c:pt idx="15">
                  <c:v>3028</c:v>
                </c:pt>
              </c:numCache>
            </c:numRef>
          </c:val>
        </c:ser>
        <c:ser>
          <c:idx val="1"/>
          <c:order val="1"/>
          <c:tx>
            <c:strRef>
              <c:f>Sheet2!$F$1</c:f>
              <c:strCache>
                <c:ptCount val="1"/>
                <c:pt idx="0">
                  <c:v>Net Migration</c:v>
                </c:pt>
              </c:strCache>
            </c:strRef>
          </c:tx>
          <c:spPr>
            <a:solidFill>
              <a:srgbClr val="FF0000"/>
            </a:solidFill>
          </c:spPr>
          <c:invertIfNegative val="0"/>
          <c:cat>
            <c:numRef>
              <c:f>Sheet2!$A$16:$A$31</c:f>
              <c:numCache>
                <c:formatCode>General</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Sheet2!$F$16:$F$31</c:f>
              <c:numCache>
                <c:formatCode>General</c:formatCode>
                <c:ptCount val="16"/>
                <c:pt idx="0">
                  <c:v>-411</c:v>
                </c:pt>
                <c:pt idx="1">
                  <c:v>-578</c:v>
                </c:pt>
                <c:pt idx="2">
                  <c:v>574</c:v>
                </c:pt>
                <c:pt idx="3">
                  <c:v>405</c:v>
                </c:pt>
                <c:pt idx="4" formatCode="#,##0">
                  <c:v>1927</c:v>
                </c:pt>
                <c:pt idx="5">
                  <c:v>967</c:v>
                </c:pt>
                <c:pt idx="6" formatCode="#,##0">
                  <c:v>1422</c:v>
                </c:pt>
                <c:pt idx="7">
                  <c:v>5</c:v>
                </c:pt>
                <c:pt idx="8" formatCode="#,##0">
                  <c:v>1523</c:v>
                </c:pt>
                <c:pt idx="9">
                  <c:v>-75</c:v>
                </c:pt>
                <c:pt idx="10">
                  <c:v>257</c:v>
                </c:pt>
                <c:pt idx="11">
                  <c:v>-510</c:v>
                </c:pt>
                <c:pt idx="12" formatCode="#,##0">
                  <c:v>-1640</c:v>
                </c:pt>
                <c:pt idx="13">
                  <c:v>-763</c:v>
                </c:pt>
                <c:pt idx="14" formatCode="#,##0">
                  <c:v>-1231</c:v>
                </c:pt>
                <c:pt idx="15">
                  <c:v>-254</c:v>
                </c:pt>
              </c:numCache>
            </c:numRef>
          </c:val>
        </c:ser>
        <c:dLbls>
          <c:showLegendKey val="0"/>
          <c:showVal val="0"/>
          <c:showCatName val="0"/>
          <c:showSerName val="0"/>
          <c:showPercent val="0"/>
          <c:showBubbleSize val="0"/>
        </c:dLbls>
        <c:gapWidth val="150"/>
        <c:overlap val="100"/>
        <c:axId val="188200832"/>
        <c:axId val="189575168"/>
      </c:barChart>
      <c:lineChart>
        <c:grouping val="standard"/>
        <c:varyColors val="0"/>
        <c:ser>
          <c:idx val="2"/>
          <c:order val="2"/>
          <c:tx>
            <c:strRef>
              <c:f>Sheet2!$B$1</c:f>
              <c:strCache>
                <c:ptCount val="1"/>
                <c:pt idx="0">
                  <c:v>Total Population</c:v>
                </c:pt>
              </c:strCache>
            </c:strRef>
          </c:tx>
          <c:spPr>
            <a:ln>
              <a:solidFill>
                <a:schemeClr val="tx2"/>
              </a:solidFill>
            </a:ln>
          </c:spPr>
          <c:marker>
            <c:symbol val="none"/>
          </c:marker>
          <c:val>
            <c:numRef>
              <c:f>Sheet2!$B$16:$B$31</c:f>
              <c:numCache>
                <c:formatCode>#,##0</c:formatCode>
                <c:ptCount val="16"/>
                <c:pt idx="0">
                  <c:v>367265</c:v>
                </c:pt>
                <c:pt idx="1">
                  <c:v>369887</c:v>
                </c:pt>
                <c:pt idx="2">
                  <c:v>373680</c:v>
                </c:pt>
                <c:pt idx="3">
                  <c:v>377316</c:v>
                </c:pt>
                <c:pt idx="4">
                  <c:v>382508</c:v>
                </c:pt>
                <c:pt idx="5">
                  <c:v>386752</c:v>
                </c:pt>
                <c:pt idx="6">
                  <c:v>391472</c:v>
                </c:pt>
                <c:pt idx="7">
                  <c:v>394769</c:v>
                </c:pt>
                <c:pt idx="8">
                  <c:v>399599</c:v>
                </c:pt>
                <c:pt idx="9">
                  <c:v>402814</c:v>
                </c:pt>
                <c:pt idx="10">
                  <c:v>406341</c:v>
                </c:pt>
                <c:pt idx="11">
                  <c:v>409063</c:v>
                </c:pt>
                <c:pt idx="12">
                  <c:v>410596</c:v>
                </c:pt>
                <c:pt idx="13">
                  <c:v>412959</c:v>
                </c:pt>
                <c:pt idx="14">
                  <c:v>414798</c:v>
                </c:pt>
                <c:pt idx="15">
                  <c:v>417573</c:v>
                </c:pt>
              </c:numCache>
            </c:numRef>
          </c:val>
          <c:smooth val="0"/>
        </c:ser>
        <c:dLbls>
          <c:showLegendKey val="0"/>
          <c:showVal val="0"/>
          <c:showCatName val="0"/>
          <c:showSerName val="0"/>
          <c:showPercent val="0"/>
          <c:showBubbleSize val="0"/>
        </c:dLbls>
        <c:marker val="1"/>
        <c:smooth val="0"/>
        <c:axId val="191226624"/>
        <c:axId val="189577856"/>
      </c:lineChart>
      <c:catAx>
        <c:axId val="188200832"/>
        <c:scaling>
          <c:orientation val="minMax"/>
        </c:scaling>
        <c:delete val="0"/>
        <c:axPos val="b"/>
        <c:numFmt formatCode="General" sourceLinked="1"/>
        <c:majorTickMark val="out"/>
        <c:minorTickMark val="none"/>
        <c:tickLblPos val="nextTo"/>
        <c:crossAx val="189575168"/>
        <c:crosses val="autoZero"/>
        <c:auto val="1"/>
        <c:lblAlgn val="ctr"/>
        <c:lblOffset val="100"/>
        <c:noMultiLvlLbl val="0"/>
      </c:catAx>
      <c:valAx>
        <c:axId val="189575168"/>
        <c:scaling>
          <c:orientation val="minMax"/>
          <c:min val="-2000"/>
        </c:scaling>
        <c:delete val="0"/>
        <c:axPos val="l"/>
        <c:title>
          <c:tx>
            <c:rich>
              <a:bodyPr rot="-5400000" vert="horz"/>
              <a:lstStyle/>
              <a:p>
                <a:pPr>
                  <a:defRPr/>
                </a:pPr>
                <a:r>
                  <a:rPr lang="en-GB"/>
                  <a:t>Population Change</a:t>
                </a:r>
              </a:p>
            </c:rich>
          </c:tx>
          <c:overlay val="0"/>
        </c:title>
        <c:numFmt formatCode="#,##0" sourceLinked="0"/>
        <c:majorTickMark val="out"/>
        <c:minorTickMark val="none"/>
        <c:tickLblPos val="nextTo"/>
        <c:crossAx val="188200832"/>
        <c:crosses val="autoZero"/>
        <c:crossBetween val="between"/>
        <c:majorUnit val="2000"/>
      </c:valAx>
      <c:valAx>
        <c:axId val="189577856"/>
        <c:scaling>
          <c:orientation val="minMax"/>
        </c:scaling>
        <c:delete val="0"/>
        <c:axPos val="r"/>
        <c:title>
          <c:tx>
            <c:rich>
              <a:bodyPr rot="-5400000" vert="horz"/>
              <a:lstStyle/>
              <a:p>
                <a:pPr>
                  <a:defRPr/>
                </a:pPr>
                <a:r>
                  <a:rPr lang="en-GB"/>
                  <a:t>Total Population</a:t>
                </a:r>
              </a:p>
            </c:rich>
          </c:tx>
          <c:overlay val="0"/>
        </c:title>
        <c:numFmt formatCode="#,##0" sourceLinked="1"/>
        <c:majorTickMark val="out"/>
        <c:minorTickMark val="none"/>
        <c:tickLblPos val="nextTo"/>
        <c:crossAx val="191226624"/>
        <c:crosses val="max"/>
        <c:crossBetween val="between"/>
      </c:valAx>
      <c:catAx>
        <c:axId val="191226624"/>
        <c:scaling>
          <c:orientation val="minMax"/>
        </c:scaling>
        <c:delete val="1"/>
        <c:axPos val="b"/>
        <c:majorTickMark val="out"/>
        <c:minorTickMark val="none"/>
        <c:tickLblPos val="nextTo"/>
        <c:crossAx val="189577856"/>
        <c:crosses val="autoZero"/>
        <c:auto val="1"/>
        <c:lblAlgn val="ctr"/>
        <c:lblOffset val="100"/>
        <c:noMultiLvlLbl val="0"/>
      </c:catAx>
    </c:plotArea>
    <c:legend>
      <c:legendPos val="b"/>
      <c:overlay val="0"/>
    </c:legend>
    <c:plotVisOnly val="1"/>
    <c:dispBlanksAs val="gap"/>
    <c:showDLblsOverMax val="0"/>
  </c:chart>
  <c:externalData r:id="rId1">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Sheet5!$A$21</c:f>
              <c:strCache>
                <c:ptCount val="1"/>
                <c:pt idx="0">
                  <c:v>Barnet</c:v>
                </c:pt>
              </c:strCache>
            </c:strRef>
          </c:tx>
          <c:invertIfNegative val="0"/>
          <c:dLbls>
            <c:numFmt formatCode="0.0%" sourceLinked="0"/>
            <c:dLblPos val="outEnd"/>
            <c:showLegendKey val="0"/>
            <c:showVal val="1"/>
            <c:showCatName val="0"/>
            <c:showSerName val="0"/>
            <c:showPercent val="0"/>
            <c:showBubbleSize val="0"/>
            <c:showLeaderLines val="0"/>
          </c:dLbls>
          <c:cat>
            <c:strRef>
              <c:f>Sheet5!$B$20:$E$20</c:f>
              <c:strCache>
                <c:ptCount val="4"/>
                <c:pt idx="0">
                  <c:v>2010/11</c:v>
                </c:pt>
                <c:pt idx="1">
                  <c:v>2011/12</c:v>
                </c:pt>
                <c:pt idx="2">
                  <c:v>2012/13</c:v>
                </c:pt>
                <c:pt idx="3">
                  <c:v>2013/14</c:v>
                </c:pt>
              </c:strCache>
            </c:strRef>
          </c:cat>
          <c:val>
            <c:numRef>
              <c:f>Sheet5!$B$21:$E$21</c:f>
              <c:numCache>
                <c:formatCode>0.00%</c:formatCode>
                <c:ptCount val="4"/>
                <c:pt idx="0">
                  <c:v>0.184</c:v>
                </c:pt>
                <c:pt idx="1">
                  <c:v>0.18</c:v>
                </c:pt>
                <c:pt idx="2">
                  <c:v>0.186</c:v>
                </c:pt>
                <c:pt idx="3">
                  <c:v>0.187</c:v>
                </c:pt>
              </c:numCache>
            </c:numRef>
          </c:val>
        </c:ser>
        <c:ser>
          <c:idx val="1"/>
          <c:order val="1"/>
          <c:tx>
            <c:strRef>
              <c:f>Sheet5!$A$22</c:f>
              <c:strCache>
                <c:ptCount val="1"/>
                <c:pt idx="0">
                  <c:v>London</c:v>
                </c:pt>
              </c:strCache>
            </c:strRef>
          </c:tx>
          <c:invertIfNegative val="0"/>
          <c:dLbls>
            <c:numFmt formatCode="0.0%" sourceLinked="0"/>
            <c:dLblPos val="outEnd"/>
            <c:showLegendKey val="0"/>
            <c:showVal val="1"/>
            <c:showCatName val="0"/>
            <c:showSerName val="0"/>
            <c:showPercent val="0"/>
            <c:showBubbleSize val="0"/>
            <c:showLeaderLines val="0"/>
          </c:dLbls>
          <c:cat>
            <c:strRef>
              <c:f>Sheet5!$B$20:$E$20</c:f>
              <c:strCache>
                <c:ptCount val="4"/>
                <c:pt idx="0">
                  <c:v>2010/11</c:v>
                </c:pt>
                <c:pt idx="1">
                  <c:v>2011/12</c:v>
                </c:pt>
                <c:pt idx="2">
                  <c:v>2012/13</c:v>
                </c:pt>
                <c:pt idx="3">
                  <c:v>2013/14</c:v>
                </c:pt>
              </c:strCache>
            </c:strRef>
          </c:cat>
          <c:val>
            <c:numRef>
              <c:f>Sheet5!$B$22:$E$22</c:f>
              <c:numCache>
                <c:formatCode>0.00%</c:formatCode>
                <c:ptCount val="4"/>
                <c:pt idx="0">
                  <c:v>0.18</c:v>
                </c:pt>
                <c:pt idx="1">
                  <c:v>0.18099999999999999</c:v>
                </c:pt>
                <c:pt idx="2">
                  <c:v>0.183</c:v>
                </c:pt>
                <c:pt idx="3">
                  <c:v>0.185</c:v>
                </c:pt>
              </c:numCache>
            </c:numRef>
          </c:val>
        </c:ser>
        <c:ser>
          <c:idx val="2"/>
          <c:order val="2"/>
          <c:tx>
            <c:strRef>
              <c:f>Sheet5!$A$23</c:f>
              <c:strCache>
                <c:ptCount val="1"/>
                <c:pt idx="0">
                  <c:v>National</c:v>
                </c:pt>
              </c:strCache>
            </c:strRef>
          </c:tx>
          <c:invertIfNegative val="0"/>
          <c:dLbls>
            <c:numFmt formatCode="0.0%" sourceLinked="0"/>
            <c:dLblPos val="outEnd"/>
            <c:showLegendKey val="0"/>
            <c:showVal val="1"/>
            <c:showCatName val="0"/>
            <c:showSerName val="0"/>
            <c:showPercent val="0"/>
            <c:showBubbleSize val="0"/>
            <c:showLeaderLines val="0"/>
          </c:dLbls>
          <c:cat>
            <c:strRef>
              <c:f>Sheet5!$B$20:$E$20</c:f>
              <c:strCache>
                <c:ptCount val="4"/>
                <c:pt idx="0">
                  <c:v>2010/11</c:v>
                </c:pt>
                <c:pt idx="1">
                  <c:v>2011/12</c:v>
                </c:pt>
                <c:pt idx="2">
                  <c:v>2012/13</c:v>
                </c:pt>
                <c:pt idx="3">
                  <c:v>2013/14</c:v>
                </c:pt>
              </c:strCache>
            </c:strRef>
          </c:cat>
          <c:val>
            <c:numRef>
              <c:f>Sheet5!$B$23:$E$23</c:f>
              <c:numCache>
                <c:formatCode>0.00%</c:formatCode>
                <c:ptCount val="4"/>
                <c:pt idx="0">
                  <c:v>0.187</c:v>
                </c:pt>
                <c:pt idx="1">
                  <c:v>0.187</c:v>
                </c:pt>
                <c:pt idx="2">
                  <c:v>0.188</c:v>
                </c:pt>
                <c:pt idx="3">
                  <c:v>0.19</c:v>
                </c:pt>
              </c:numCache>
            </c:numRef>
          </c:val>
        </c:ser>
        <c:dLbls>
          <c:dLblPos val="outEnd"/>
          <c:showLegendKey val="0"/>
          <c:showVal val="1"/>
          <c:showCatName val="0"/>
          <c:showSerName val="0"/>
          <c:showPercent val="0"/>
          <c:showBubbleSize val="0"/>
        </c:dLbls>
        <c:gapWidth val="150"/>
        <c:axId val="177187072"/>
        <c:axId val="177209344"/>
      </c:barChart>
      <c:catAx>
        <c:axId val="177187072"/>
        <c:scaling>
          <c:orientation val="minMax"/>
        </c:scaling>
        <c:delete val="0"/>
        <c:axPos val="b"/>
        <c:majorTickMark val="out"/>
        <c:minorTickMark val="none"/>
        <c:tickLblPos val="nextTo"/>
        <c:crossAx val="177209344"/>
        <c:crosses val="autoZero"/>
        <c:auto val="1"/>
        <c:lblAlgn val="ctr"/>
        <c:lblOffset val="100"/>
        <c:noMultiLvlLbl val="0"/>
      </c:catAx>
      <c:valAx>
        <c:axId val="177209344"/>
        <c:scaling>
          <c:orientation val="minMax"/>
          <c:min val="0.17800000000000002"/>
        </c:scaling>
        <c:delete val="0"/>
        <c:axPos val="l"/>
        <c:numFmt formatCode="0.0%" sourceLinked="0"/>
        <c:majorTickMark val="out"/>
        <c:minorTickMark val="none"/>
        <c:tickLblPos val="nextTo"/>
        <c:crossAx val="177187072"/>
        <c:crosses val="autoZero"/>
        <c:crossBetween val="between"/>
      </c:valAx>
    </c:plotArea>
    <c:legend>
      <c:legendPos val="r"/>
      <c:overlay val="0"/>
    </c:legend>
    <c:plotVisOnly val="1"/>
    <c:dispBlanksAs val="gap"/>
    <c:showDLblsOverMax val="0"/>
  </c:chart>
  <c:externalData r:id="rId1">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Sheet5!$B$37</c:f>
              <c:strCache>
                <c:ptCount val="1"/>
                <c:pt idx="0">
                  <c:v>2012/13</c:v>
                </c:pt>
              </c:strCache>
            </c:strRef>
          </c:tx>
          <c:invertIfNegative val="0"/>
          <c:dLbls>
            <c:numFmt formatCode="0.0%" sourceLinked="0"/>
            <c:dLblPos val="outEnd"/>
            <c:showLegendKey val="0"/>
            <c:showVal val="1"/>
            <c:showCatName val="0"/>
            <c:showSerName val="0"/>
            <c:showPercent val="0"/>
            <c:showBubbleSize val="0"/>
            <c:showLeaderLines val="0"/>
          </c:dLbls>
          <c:cat>
            <c:strRef>
              <c:f>Sheet5!$A$38:$A$40</c:f>
              <c:strCache>
                <c:ptCount val="3"/>
                <c:pt idx="0">
                  <c:v>Barnet</c:v>
                </c:pt>
                <c:pt idx="1">
                  <c:v>London</c:v>
                </c:pt>
                <c:pt idx="2">
                  <c:v>National</c:v>
                </c:pt>
              </c:strCache>
            </c:strRef>
          </c:cat>
          <c:val>
            <c:numRef>
              <c:f>Sheet5!$B$38:$B$40</c:f>
              <c:numCache>
                <c:formatCode>0.00%</c:formatCode>
                <c:ptCount val="3"/>
                <c:pt idx="0">
                  <c:v>0.66</c:v>
                </c:pt>
                <c:pt idx="1">
                  <c:v>0.65900000000000003</c:v>
                </c:pt>
                <c:pt idx="2">
                  <c:v>0.72899999999999998</c:v>
                </c:pt>
              </c:numCache>
            </c:numRef>
          </c:val>
        </c:ser>
        <c:dLbls>
          <c:dLblPos val="outEnd"/>
          <c:showLegendKey val="0"/>
          <c:showVal val="1"/>
          <c:showCatName val="0"/>
          <c:showSerName val="0"/>
          <c:showPercent val="0"/>
          <c:showBubbleSize val="0"/>
        </c:dLbls>
        <c:gapWidth val="150"/>
        <c:axId val="177232512"/>
        <c:axId val="177612288"/>
      </c:barChart>
      <c:catAx>
        <c:axId val="177232512"/>
        <c:scaling>
          <c:orientation val="minMax"/>
        </c:scaling>
        <c:delete val="0"/>
        <c:axPos val="b"/>
        <c:majorTickMark val="out"/>
        <c:minorTickMark val="none"/>
        <c:tickLblPos val="nextTo"/>
        <c:crossAx val="177612288"/>
        <c:crosses val="autoZero"/>
        <c:auto val="1"/>
        <c:lblAlgn val="ctr"/>
        <c:lblOffset val="100"/>
        <c:noMultiLvlLbl val="0"/>
      </c:catAx>
      <c:valAx>
        <c:axId val="177612288"/>
        <c:scaling>
          <c:orientation val="minMax"/>
        </c:scaling>
        <c:delete val="0"/>
        <c:axPos val="l"/>
        <c:numFmt formatCode="0%" sourceLinked="0"/>
        <c:majorTickMark val="out"/>
        <c:minorTickMark val="none"/>
        <c:tickLblPos val="nextTo"/>
        <c:crossAx val="177232512"/>
        <c:crosses val="autoZero"/>
        <c:crossBetween val="between"/>
      </c:valAx>
    </c:plotArea>
    <c:plotVisOnly val="1"/>
    <c:dispBlanksAs val="gap"/>
    <c:showDLblsOverMax val="0"/>
  </c:chart>
  <c:externalData r:id="rId1">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Sheet5!$B$53</c:f>
              <c:strCache>
                <c:ptCount val="1"/>
                <c:pt idx="0">
                  <c:v>2012/13</c:v>
                </c:pt>
              </c:strCache>
            </c:strRef>
          </c:tx>
          <c:invertIfNegative val="0"/>
          <c:dLbls>
            <c:numFmt formatCode="0.0%" sourceLinked="0"/>
            <c:dLblPos val="outEnd"/>
            <c:showLegendKey val="0"/>
            <c:showVal val="1"/>
            <c:showCatName val="0"/>
            <c:showSerName val="0"/>
            <c:showPercent val="0"/>
            <c:showBubbleSize val="0"/>
            <c:showLeaderLines val="0"/>
          </c:dLbls>
          <c:cat>
            <c:strRef>
              <c:f>Sheet5!$A$54:$A$56</c:f>
              <c:strCache>
                <c:ptCount val="3"/>
                <c:pt idx="0">
                  <c:v>Barnet</c:v>
                </c:pt>
                <c:pt idx="1">
                  <c:v>London</c:v>
                </c:pt>
                <c:pt idx="2">
                  <c:v>National</c:v>
                </c:pt>
              </c:strCache>
            </c:strRef>
          </c:cat>
          <c:val>
            <c:numRef>
              <c:f>Sheet5!$B$54:$B$56</c:f>
              <c:numCache>
                <c:formatCode>0.00%</c:formatCode>
                <c:ptCount val="3"/>
                <c:pt idx="0">
                  <c:v>7.6999999999999999E-2</c:v>
                </c:pt>
                <c:pt idx="1">
                  <c:v>7.6999999999999999E-2</c:v>
                </c:pt>
                <c:pt idx="2">
                  <c:v>8.1000000000000003E-2</c:v>
                </c:pt>
              </c:numCache>
            </c:numRef>
          </c:val>
        </c:ser>
        <c:dLbls>
          <c:dLblPos val="outEnd"/>
          <c:showLegendKey val="0"/>
          <c:showVal val="1"/>
          <c:showCatName val="0"/>
          <c:showSerName val="0"/>
          <c:showPercent val="0"/>
          <c:showBubbleSize val="0"/>
        </c:dLbls>
        <c:gapWidth val="150"/>
        <c:axId val="177627136"/>
        <c:axId val="177629824"/>
      </c:barChart>
      <c:catAx>
        <c:axId val="177627136"/>
        <c:scaling>
          <c:orientation val="minMax"/>
        </c:scaling>
        <c:delete val="0"/>
        <c:axPos val="b"/>
        <c:majorTickMark val="out"/>
        <c:minorTickMark val="none"/>
        <c:tickLblPos val="nextTo"/>
        <c:crossAx val="177629824"/>
        <c:crosses val="autoZero"/>
        <c:auto val="1"/>
        <c:lblAlgn val="ctr"/>
        <c:lblOffset val="100"/>
        <c:noMultiLvlLbl val="0"/>
      </c:catAx>
      <c:valAx>
        <c:axId val="177629824"/>
        <c:scaling>
          <c:orientation val="minMax"/>
        </c:scaling>
        <c:delete val="0"/>
        <c:axPos val="l"/>
        <c:numFmt formatCode="0.0%" sourceLinked="0"/>
        <c:majorTickMark val="out"/>
        <c:minorTickMark val="none"/>
        <c:tickLblPos val="nextTo"/>
        <c:crossAx val="177627136"/>
        <c:crosses val="autoZero"/>
        <c:crossBetween val="between"/>
      </c:valAx>
    </c:plotArea>
    <c:plotVisOnly val="1"/>
    <c:dispBlanksAs val="gap"/>
    <c:showDLblsOverMax val="0"/>
  </c:chart>
  <c:externalData r:id="rId1">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Sheet10!$B$3</c:f>
              <c:strCache>
                <c:ptCount val="1"/>
                <c:pt idx="0">
                  <c:v>Rate</c:v>
                </c:pt>
              </c:strCache>
            </c:strRef>
          </c:tx>
          <c:invertIfNegative val="0"/>
          <c:cat>
            <c:strRef>
              <c:f>Sheet10!$A$4:$A$7</c:f>
              <c:strCache>
                <c:ptCount val="4"/>
                <c:pt idx="0">
                  <c:v>Barnet </c:v>
                </c:pt>
                <c:pt idx="1">
                  <c:v>Metropolitan Police </c:v>
                </c:pt>
                <c:pt idx="2">
                  <c:v>Most similar Force group</c:v>
                </c:pt>
                <c:pt idx="3">
                  <c:v>National Data</c:v>
                </c:pt>
              </c:strCache>
            </c:strRef>
          </c:cat>
          <c:val>
            <c:numRef>
              <c:f>Sheet10!$B$4:$B$7</c:f>
              <c:numCache>
                <c:formatCode>General</c:formatCode>
                <c:ptCount val="4"/>
                <c:pt idx="0">
                  <c:v>21</c:v>
                </c:pt>
                <c:pt idx="1">
                  <c:v>29</c:v>
                </c:pt>
                <c:pt idx="2">
                  <c:v>31</c:v>
                </c:pt>
                <c:pt idx="3">
                  <c:v>32</c:v>
                </c:pt>
              </c:numCache>
            </c:numRef>
          </c:val>
        </c:ser>
        <c:dLbls>
          <c:showLegendKey val="0"/>
          <c:showVal val="0"/>
          <c:showCatName val="0"/>
          <c:showSerName val="0"/>
          <c:showPercent val="0"/>
          <c:showBubbleSize val="0"/>
        </c:dLbls>
        <c:gapWidth val="150"/>
        <c:axId val="177642112"/>
        <c:axId val="177652096"/>
      </c:barChart>
      <c:catAx>
        <c:axId val="177642112"/>
        <c:scaling>
          <c:orientation val="minMax"/>
        </c:scaling>
        <c:delete val="0"/>
        <c:axPos val="b"/>
        <c:majorTickMark val="out"/>
        <c:minorTickMark val="none"/>
        <c:tickLblPos val="nextTo"/>
        <c:crossAx val="177652096"/>
        <c:crosses val="autoZero"/>
        <c:auto val="1"/>
        <c:lblAlgn val="ctr"/>
        <c:lblOffset val="100"/>
        <c:noMultiLvlLbl val="0"/>
      </c:catAx>
      <c:valAx>
        <c:axId val="177652096"/>
        <c:scaling>
          <c:orientation val="minMax"/>
        </c:scaling>
        <c:delete val="0"/>
        <c:axPos val="l"/>
        <c:majorGridlines>
          <c:spPr>
            <a:ln>
              <a:noFill/>
            </a:ln>
          </c:spPr>
        </c:majorGridlines>
        <c:numFmt formatCode="General" sourceLinked="1"/>
        <c:majorTickMark val="out"/>
        <c:minorTickMark val="none"/>
        <c:tickLblPos val="nextTo"/>
        <c:crossAx val="177642112"/>
        <c:crosses val="autoZero"/>
        <c:crossBetween val="between"/>
      </c:valAx>
    </c:plotArea>
    <c:plotVisOnly val="1"/>
    <c:dispBlanksAs val="gap"/>
    <c:showDLblsOverMax val="0"/>
  </c:chart>
  <c:externalData r:id="rId1">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cat>
            <c:strRef>
              <c:f>Sheet1!$A$1:$A$20</c:f>
              <c:strCache>
                <c:ptCount val="20"/>
                <c:pt idx="0">
                  <c:v>Burnt Oak</c:v>
                </c:pt>
                <c:pt idx="1">
                  <c:v>OOB</c:v>
                </c:pt>
                <c:pt idx="2">
                  <c:v>Childs Hill</c:v>
                </c:pt>
                <c:pt idx="3">
                  <c:v>Colindale</c:v>
                </c:pt>
                <c:pt idx="4">
                  <c:v>Coppets</c:v>
                </c:pt>
                <c:pt idx="5">
                  <c:v>Underhill</c:v>
                </c:pt>
                <c:pt idx="6">
                  <c:v>Woodhouse</c:v>
                </c:pt>
                <c:pt idx="7">
                  <c:v>Mill Hill</c:v>
                </c:pt>
                <c:pt idx="8">
                  <c:v>Golders Green</c:v>
                </c:pt>
                <c:pt idx="9">
                  <c:v>Hale</c:v>
                </c:pt>
                <c:pt idx="10">
                  <c:v>Oakleigh</c:v>
                </c:pt>
                <c:pt idx="11">
                  <c:v>West Hendon</c:v>
                </c:pt>
                <c:pt idx="12">
                  <c:v>Hendon</c:v>
                </c:pt>
                <c:pt idx="13">
                  <c:v>Brunswick Park</c:v>
                </c:pt>
                <c:pt idx="14">
                  <c:v>East Finchley</c:v>
                </c:pt>
                <c:pt idx="15">
                  <c:v>West Finchley</c:v>
                </c:pt>
                <c:pt idx="16">
                  <c:v>Edgware</c:v>
                </c:pt>
                <c:pt idx="17">
                  <c:v>Totteridge</c:v>
                </c:pt>
                <c:pt idx="18">
                  <c:v>Garden Suburb</c:v>
                </c:pt>
                <c:pt idx="19">
                  <c:v>Other Wards</c:v>
                </c:pt>
              </c:strCache>
            </c:strRef>
          </c:cat>
          <c:val>
            <c:numRef>
              <c:f>Sheet1!$B$1:$B$20</c:f>
              <c:numCache>
                <c:formatCode>General</c:formatCode>
                <c:ptCount val="20"/>
                <c:pt idx="0">
                  <c:v>29</c:v>
                </c:pt>
                <c:pt idx="1">
                  <c:v>25</c:v>
                </c:pt>
                <c:pt idx="2">
                  <c:v>21</c:v>
                </c:pt>
                <c:pt idx="3">
                  <c:v>20</c:v>
                </c:pt>
                <c:pt idx="4">
                  <c:v>19</c:v>
                </c:pt>
                <c:pt idx="5">
                  <c:v>18</c:v>
                </c:pt>
                <c:pt idx="6">
                  <c:v>16</c:v>
                </c:pt>
                <c:pt idx="7">
                  <c:v>15</c:v>
                </c:pt>
                <c:pt idx="8">
                  <c:v>14</c:v>
                </c:pt>
                <c:pt idx="9">
                  <c:v>14</c:v>
                </c:pt>
                <c:pt idx="10">
                  <c:v>14</c:v>
                </c:pt>
                <c:pt idx="11">
                  <c:v>14</c:v>
                </c:pt>
                <c:pt idx="12">
                  <c:v>13</c:v>
                </c:pt>
                <c:pt idx="13">
                  <c:v>12</c:v>
                </c:pt>
                <c:pt idx="14">
                  <c:v>11</c:v>
                </c:pt>
                <c:pt idx="15">
                  <c:v>10</c:v>
                </c:pt>
                <c:pt idx="16">
                  <c:v>9</c:v>
                </c:pt>
                <c:pt idx="17">
                  <c:v>9</c:v>
                </c:pt>
                <c:pt idx="18">
                  <c:v>8</c:v>
                </c:pt>
                <c:pt idx="19">
                  <c:v>20</c:v>
                </c:pt>
              </c:numCache>
            </c:numRef>
          </c:val>
        </c:ser>
        <c:dLbls>
          <c:dLblPos val="outEnd"/>
          <c:showLegendKey val="0"/>
          <c:showVal val="1"/>
          <c:showCatName val="0"/>
          <c:showSerName val="0"/>
          <c:showPercent val="0"/>
          <c:showBubbleSize val="0"/>
        </c:dLbls>
        <c:gapWidth val="150"/>
        <c:axId val="177910144"/>
        <c:axId val="177911680"/>
      </c:barChart>
      <c:catAx>
        <c:axId val="177910144"/>
        <c:scaling>
          <c:orientation val="minMax"/>
        </c:scaling>
        <c:delete val="0"/>
        <c:axPos val="b"/>
        <c:majorTickMark val="out"/>
        <c:minorTickMark val="none"/>
        <c:tickLblPos val="nextTo"/>
        <c:crossAx val="177911680"/>
        <c:crosses val="autoZero"/>
        <c:auto val="1"/>
        <c:lblAlgn val="ctr"/>
        <c:lblOffset val="100"/>
        <c:noMultiLvlLbl val="0"/>
      </c:catAx>
      <c:valAx>
        <c:axId val="177911680"/>
        <c:scaling>
          <c:orientation val="minMax"/>
        </c:scaling>
        <c:delete val="0"/>
        <c:axPos val="l"/>
        <c:title>
          <c:tx>
            <c:rich>
              <a:bodyPr rot="-5400000" vert="horz"/>
              <a:lstStyle/>
              <a:p>
                <a:pPr>
                  <a:defRPr/>
                </a:pPr>
                <a:r>
                  <a:rPr lang="en-GB"/>
                  <a:t>Number of</a:t>
                </a:r>
                <a:r>
                  <a:rPr lang="en-GB" baseline="0"/>
                  <a:t> cases</a:t>
                </a:r>
                <a:endParaRPr lang="en-GB"/>
              </a:p>
            </c:rich>
          </c:tx>
          <c:overlay val="0"/>
        </c:title>
        <c:numFmt formatCode="General" sourceLinked="1"/>
        <c:majorTickMark val="out"/>
        <c:minorTickMark val="none"/>
        <c:tickLblPos val="nextTo"/>
        <c:crossAx val="177910144"/>
        <c:crosses val="autoZero"/>
        <c:crossBetween val="between"/>
      </c:valAx>
    </c:plotArea>
    <c:plotVisOnly val="1"/>
    <c:dispBlanksAs val="gap"/>
    <c:showDLblsOverMax val="0"/>
  </c:chart>
  <c:externalData r:id="rId1">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1103265101895703E-2"/>
          <c:y val="7.8021923296130502E-2"/>
          <c:w val="0.67213170260071997"/>
          <c:h val="0.73042181755816626"/>
        </c:manualLayout>
      </c:layout>
      <c:barChart>
        <c:barDir val="col"/>
        <c:grouping val="clustered"/>
        <c:varyColors val="0"/>
        <c:ser>
          <c:idx val="0"/>
          <c:order val="0"/>
          <c:tx>
            <c:strRef>
              <c:f>Sheet2!$A$10</c:f>
              <c:strCache>
                <c:ptCount val="1"/>
                <c:pt idx="0">
                  <c:v>Satisfied with area</c:v>
                </c:pt>
              </c:strCache>
            </c:strRef>
          </c:tx>
          <c:spPr>
            <a:solidFill>
              <a:srgbClr val="FF0000"/>
            </a:solidFill>
          </c:spPr>
          <c:invertIfNegative val="0"/>
          <c:cat>
            <c:strRef>
              <c:f>Sheet2!$C$9:$G$9</c:f>
              <c:strCache>
                <c:ptCount val="5"/>
                <c:pt idx="0">
                  <c:v>Autumn 2012</c:v>
                </c:pt>
                <c:pt idx="1">
                  <c:v>Autumn 2013</c:v>
                </c:pt>
                <c:pt idx="2">
                  <c:v>Spring 2014</c:v>
                </c:pt>
                <c:pt idx="3">
                  <c:v>Autumn 2014</c:v>
                </c:pt>
                <c:pt idx="4">
                  <c:v>Spring 2015</c:v>
                </c:pt>
              </c:strCache>
            </c:strRef>
          </c:cat>
          <c:val>
            <c:numRef>
              <c:f>Sheet2!$B$10:$F$10</c:f>
              <c:numCache>
                <c:formatCode>0%</c:formatCode>
                <c:ptCount val="5"/>
                <c:pt idx="0">
                  <c:v>0.88</c:v>
                </c:pt>
                <c:pt idx="1">
                  <c:v>0.86</c:v>
                </c:pt>
                <c:pt idx="2">
                  <c:v>0.87</c:v>
                </c:pt>
                <c:pt idx="3">
                  <c:v>0.88</c:v>
                </c:pt>
                <c:pt idx="4">
                  <c:v>0.88</c:v>
                </c:pt>
              </c:numCache>
            </c:numRef>
          </c:val>
        </c:ser>
        <c:ser>
          <c:idx val="1"/>
          <c:order val="1"/>
          <c:tx>
            <c:strRef>
              <c:f>Sheet2!$A$11</c:f>
              <c:strCache>
                <c:ptCount val="1"/>
                <c:pt idx="0">
                  <c:v>Value for money</c:v>
                </c:pt>
              </c:strCache>
            </c:strRef>
          </c:tx>
          <c:spPr>
            <a:solidFill>
              <a:srgbClr val="92D050"/>
            </a:solidFill>
          </c:spPr>
          <c:invertIfNegative val="0"/>
          <c:cat>
            <c:strRef>
              <c:f>Sheet2!$C$9:$G$9</c:f>
              <c:strCache>
                <c:ptCount val="5"/>
                <c:pt idx="0">
                  <c:v>Autumn 2012</c:v>
                </c:pt>
                <c:pt idx="1">
                  <c:v>Autumn 2013</c:v>
                </c:pt>
                <c:pt idx="2">
                  <c:v>Spring 2014</c:v>
                </c:pt>
                <c:pt idx="3">
                  <c:v>Autumn 2014</c:v>
                </c:pt>
                <c:pt idx="4">
                  <c:v>Spring 2015</c:v>
                </c:pt>
              </c:strCache>
            </c:strRef>
          </c:cat>
          <c:val>
            <c:numRef>
              <c:f>Sheet2!$B$11:$F$11</c:f>
              <c:numCache>
                <c:formatCode>0%</c:formatCode>
                <c:ptCount val="5"/>
                <c:pt idx="0">
                  <c:v>0.43</c:v>
                </c:pt>
                <c:pt idx="1">
                  <c:v>0.5</c:v>
                </c:pt>
                <c:pt idx="2">
                  <c:v>0.51</c:v>
                </c:pt>
                <c:pt idx="3">
                  <c:v>0.5</c:v>
                </c:pt>
                <c:pt idx="4">
                  <c:v>0.51</c:v>
                </c:pt>
              </c:numCache>
            </c:numRef>
          </c:val>
        </c:ser>
        <c:dLbls>
          <c:dLblPos val="outEnd"/>
          <c:showLegendKey val="0"/>
          <c:showVal val="1"/>
          <c:showCatName val="0"/>
          <c:showSerName val="0"/>
          <c:showPercent val="0"/>
          <c:showBubbleSize val="0"/>
        </c:dLbls>
        <c:gapWidth val="150"/>
        <c:axId val="177971584"/>
        <c:axId val="177973120"/>
      </c:barChart>
      <c:catAx>
        <c:axId val="177971584"/>
        <c:scaling>
          <c:orientation val="minMax"/>
        </c:scaling>
        <c:delete val="0"/>
        <c:axPos val="b"/>
        <c:majorTickMark val="out"/>
        <c:minorTickMark val="none"/>
        <c:tickLblPos val="nextTo"/>
        <c:crossAx val="177973120"/>
        <c:crosses val="autoZero"/>
        <c:auto val="1"/>
        <c:lblAlgn val="ctr"/>
        <c:lblOffset val="100"/>
        <c:noMultiLvlLbl val="0"/>
      </c:catAx>
      <c:valAx>
        <c:axId val="177973120"/>
        <c:scaling>
          <c:orientation val="minMax"/>
        </c:scaling>
        <c:delete val="0"/>
        <c:axPos val="l"/>
        <c:numFmt formatCode="0%" sourceLinked="1"/>
        <c:majorTickMark val="out"/>
        <c:minorTickMark val="none"/>
        <c:tickLblPos val="nextTo"/>
        <c:crossAx val="177971584"/>
        <c:crosses val="autoZero"/>
        <c:crossBetween val="between"/>
      </c:valAx>
    </c:plotArea>
    <c:legend>
      <c:legendPos val="r"/>
      <c:overlay val="0"/>
    </c:legend>
    <c:plotVisOnly val="1"/>
    <c:dispBlanksAs val="gap"/>
    <c:showDLblsOverMax val="0"/>
  </c:chart>
  <c:externalData r:id="rId1">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0.12188841532423127"/>
          <c:y val="4.1986997779123764E-2"/>
          <c:w val="0.41349510299539399"/>
          <c:h val="0.90827556811808774"/>
        </c:manualLayout>
      </c:layout>
      <c:pieChart>
        <c:varyColors val="1"/>
        <c:ser>
          <c:idx val="0"/>
          <c:order val="0"/>
          <c:tx>
            <c:strRef>
              <c:f>Sheet1!$B$1</c:f>
              <c:strCache>
                <c:ptCount val="1"/>
                <c:pt idx="0">
                  <c:v>No. of complaints</c:v>
                </c:pt>
              </c:strCache>
            </c:strRef>
          </c:tx>
          <c:dLbls>
            <c:showLegendKey val="0"/>
            <c:showVal val="0"/>
            <c:showCatName val="0"/>
            <c:showSerName val="0"/>
            <c:showPercent val="1"/>
            <c:showBubbleSize val="0"/>
            <c:showLeaderLines val="1"/>
          </c:dLbls>
          <c:cat>
            <c:strRef>
              <c:f>Sheet1!$A$2:$A$12</c:f>
              <c:strCache>
                <c:ptCount val="11"/>
                <c:pt idx="0">
                  <c:v>Recycling</c:v>
                </c:pt>
                <c:pt idx="1">
                  <c:v>Domestic Waste</c:v>
                </c:pt>
                <c:pt idx="2">
                  <c:v>Garden Waste</c:v>
                </c:pt>
                <c:pt idx="3">
                  <c:v>Greenspaces</c:v>
                </c:pt>
                <c:pt idx="4">
                  <c:v>Highways</c:v>
                </c:pt>
                <c:pt idx="5">
                  <c:v>Council Tax</c:v>
                </c:pt>
                <c:pt idx="6">
                  <c:v>Commercial Waste</c:v>
                </c:pt>
                <c:pt idx="7">
                  <c:v>Highways Maintenance</c:v>
                </c:pt>
                <c:pt idx="8">
                  <c:v>Housing Benefit</c:v>
                </c:pt>
                <c:pt idx="9">
                  <c:v>Parking (Street Scene)</c:v>
                </c:pt>
                <c:pt idx="10">
                  <c:v>Commercial Waste</c:v>
                </c:pt>
              </c:strCache>
            </c:strRef>
          </c:cat>
          <c:val>
            <c:numRef>
              <c:f>Sheet1!$B$2:$B$12</c:f>
              <c:numCache>
                <c:formatCode>General</c:formatCode>
                <c:ptCount val="11"/>
                <c:pt idx="0">
                  <c:v>176</c:v>
                </c:pt>
                <c:pt idx="1">
                  <c:v>152</c:v>
                </c:pt>
                <c:pt idx="2">
                  <c:v>122</c:v>
                </c:pt>
                <c:pt idx="3">
                  <c:v>40</c:v>
                </c:pt>
                <c:pt idx="4">
                  <c:v>40</c:v>
                </c:pt>
                <c:pt idx="5">
                  <c:v>80</c:v>
                </c:pt>
                <c:pt idx="6">
                  <c:v>30</c:v>
                </c:pt>
                <c:pt idx="7">
                  <c:v>30</c:v>
                </c:pt>
                <c:pt idx="8">
                  <c:v>20</c:v>
                </c:pt>
                <c:pt idx="9">
                  <c:v>10</c:v>
                </c:pt>
                <c:pt idx="10">
                  <c:v>32</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69435828303563218"/>
          <c:y val="4.2269780380016608E-2"/>
          <c:w val="0.29007751462973741"/>
          <c:h val="0.90976243354196107"/>
        </c:manualLayout>
      </c:layout>
      <c:overlay val="0"/>
    </c:legend>
    <c:plotVisOnly val="1"/>
    <c:dispBlanksAs val="gap"/>
    <c:showDLblsOverMax val="0"/>
  </c:chart>
  <c:spPr>
    <a:ln>
      <a:solidFill>
        <a:schemeClr val="tx1"/>
      </a:solidFill>
    </a:ln>
  </c:spPr>
  <c:externalData r:id="rId1">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GB"/>
              <a:t>Outturn £'000</a:t>
            </a: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1"/>
          <c:order val="1"/>
          <c:tx>
            <c:strRef>
              <c:f>Sheet1!$C$1:$C$2</c:f>
              <c:strCache>
                <c:ptCount val="1"/>
                <c:pt idx="0">
                  <c:v>Actual spend £'000</c:v>
                </c:pt>
              </c:strCache>
            </c:strRef>
          </c:tx>
          <c:dPt>
            <c:idx val="3"/>
            <c:bubble3D val="0"/>
            <c:spPr>
              <a:solidFill>
                <a:srgbClr val="7030A0"/>
              </a:solidFill>
            </c:spPr>
          </c:dPt>
          <c:dPt>
            <c:idx val="4"/>
            <c:bubble3D val="0"/>
            <c:spPr>
              <a:solidFill>
                <a:srgbClr val="FF0000"/>
              </a:solidFill>
            </c:spPr>
          </c:dPt>
          <c:dPt>
            <c:idx val="5"/>
            <c:bubble3D val="0"/>
            <c:spPr>
              <a:solidFill>
                <a:schemeClr val="accent6">
                  <a:lumMod val="75000"/>
                </a:schemeClr>
              </a:solidFill>
            </c:spPr>
          </c:dPt>
          <c:dPt>
            <c:idx val="7"/>
            <c:bubble3D val="0"/>
            <c:spPr>
              <a:solidFill>
                <a:srgbClr val="FFC000"/>
              </a:solidFill>
            </c:spPr>
          </c:dPt>
          <c:dPt>
            <c:idx val="8"/>
            <c:bubble3D val="0"/>
            <c:spPr>
              <a:solidFill>
                <a:srgbClr val="00B050"/>
              </a:solidFill>
            </c:spPr>
          </c:dPt>
          <c:dPt>
            <c:idx val="9"/>
            <c:bubble3D val="0"/>
            <c:spPr>
              <a:solidFill>
                <a:schemeClr val="accent5">
                  <a:lumMod val="50000"/>
                </a:schemeClr>
              </a:solidFill>
            </c:spPr>
          </c:dPt>
          <c:dPt>
            <c:idx val="11"/>
            <c:bubble3D val="0"/>
            <c:spPr>
              <a:solidFill>
                <a:schemeClr val="tx1">
                  <a:lumMod val="65000"/>
                  <a:lumOff val="35000"/>
                </a:schemeClr>
              </a:solidFill>
            </c:spPr>
          </c:dPt>
          <c:dLbls>
            <c:dLbl>
              <c:idx val="2"/>
              <c:tx>
                <c:rich>
                  <a:bodyPr/>
                  <a:lstStyle/>
                  <a:p>
                    <a:r>
                      <a:rPr lang="en-US"/>
                      <a:t>18%</a:t>
                    </a:r>
                  </a:p>
                </c:rich>
              </c:tx>
              <c:showLegendKey val="0"/>
              <c:showVal val="0"/>
              <c:showCatName val="0"/>
              <c:showSerName val="0"/>
              <c:showPercent val="1"/>
              <c:showBubbleSize val="0"/>
            </c:dLbl>
            <c:dLbl>
              <c:idx val="10"/>
              <c:tx>
                <c:rich>
                  <a:bodyPr/>
                  <a:lstStyle/>
                  <a:p>
                    <a:r>
                      <a:rPr lang="en-US"/>
                      <a:t>1%</a:t>
                    </a:r>
                  </a:p>
                </c:rich>
              </c:tx>
              <c:showLegendKey val="0"/>
              <c:showVal val="0"/>
              <c:showCatName val="0"/>
              <c:showSerName val="0"/>
              <c:showPercent val="1"/>
              <c:showBubbleSize val="0"/>
            </c:dLbl>
            <c:numFmt formatCode="0%" sourceLinked="0"/>
            <c:showLegendKey val="0"/>
            <c:showVal val="0"/>
            <c:showCatName val="0"/>
            <c:showSerName val="0"/>
            <c:showPercent val="1"/>
            <c:showBubbleSize val="0"/>
            <c:showLeaderLines val="1"/>
          </c:dLbls>
          <c:cat>
            <c:strRef>
              <c:f>Sheet1!$A$3:$A$15</c:f>
              <c:strCache>
                <c:ptCount val="13"/>
                <c:pt idx="0">
                  <c:v>Adults and Communities</c:v>
                </c:pt>
                <c:pt idx="1">
                  <c:v>Central expenses (including reserves/funding)</c:v>
                </c:pt>
                <c:pt idx="2">
                  <c:v>Children's Service (Family Services)</c:v>
                </c:pt>
                <c:pt idx="3">
                  <c:v>CSG</c:v>
                </c:pt>
                <c:pt idx="4">
                  <c:v>Public Health</c:v>
                </c:pt>
                <c:pt idx="5">
                  <c:v>Streetscene</c:v>
                </c:pt>
                <c:pt idx="6">
                  <c:v>Children's Service (Education and Skills)</c:v>
                </c:pt>
                <c:pt idx="7">
                  <c:v>Commissioning Group</c:v>
                </c:pt>
                <c:pt idx="8">
                  <c:v>Housing needs resources</c:v>
                </c:pt>
                <c:pt idx="9">
                  <c:v>HB Public Law</c:v>
                </c:pt>
                <c:pt idx="10">
                  <c:v>Assurance</c:v>
                </c:pt>
                <c:pt idx="11">
                  <c:v>Re</c:v>
                </c:pt>
                <c:pt idx="12">
                  <c:v>Commercial-Infrastructure and Parking</c:v>
                </c:pt>
              </c:strCache>
            </c:strRef>
          </c:cat>
          <c:val>
            <c:numRef>
              <c:f>Sheet1!$C$3:$C$15</c:f>
              <c:numCache>
                <c:formatCode>"£"#,##0_);[Red]\("£"#,##0\)</c:formatCode>
                <c:ptCount val="13"/>
                <c:pt idx="0">
                  <c:v>93218</c:v>
                </c:pt>
                <c:pt idx="1">
                  <c:v>64352</c:v>
                </c:pt>
                <c:pt idx="2">
                  <c:v>50505</c:v>
                </c:pt>
                <c:pt idx="3">
                  <c:v>23341</c:v>
                </c:pt>
                <c:pt idx="4">
                  <c:v>14335</c:v>
                </c:pt>
                <c:pt idx="5">
                  <c:v>15399</c:v>
                </c:pt>
                <c:pt idx="6">
                  <c:v>7211</c:v>
                </c:pt>
                <c:pt idx="7">
                  <c:v>7760</c:v>
                </c:pt>
                <c:pt idx="8">
                  <c:v>5170</c:v>
                </c:pt>
                <c:pt idx="9">
                  <c:v>1883</c:v>
                </c:pt>
                <c:pt idx="10">
                  <c:v>4186</c:v>
                </c:pt>
                <c:pt idx="11">
                  <c:v>1257</c:v>
                </c:pt>
                <c:pt idx="12">
                  <c:v>-1126</c:v>
                </c:pt>
              </c:numCache>
            </c:numRef>
          </c:val>
        </c:ser>
        <c:ser>
          <c:idx val="0"/>
          <c:order val="0"/>
          <c:tx>
            <c:strRef>
              <c:f>Sheet1!$B$1:$B$2</c:f>
              <c:strCache>
                <c:ptCount val="1"/>
                <c:pt idx="0">
                  <c:v>Budget £'000</c:v>
                </c:pt>
              </c:strCache>
            </c:strRef>
          </c:tx>
          <c:dLbls>
            <c:showLegendKey val="0"/>
            <c:showVal val="0"/>
            <c:showCatName val="0"/>
            <c:showSerName val="0"/>
            <c:showPercent val="1"/>
            <c:showBubbleSize val="0"/>
            <c:showLeaderLines val="1"/>
          </c:dLbls>
          <c:cat>
            <c:strRef>
              <c:f>Sheet1!$A$3:$A$15</c:f>
              <c:strCache>
                <c:ptCount val="13"/>
                <c:pt idx="0">
                  <c:v>Adults and Communities</c:v>
                </c:pt>
                <c:pt idx="1">
                  <c:v>Central expenses (including reserves/funding)</c:v>
                </c:pt>
                <c:pt idx="2">
                  <c:v>Children's Service (Family Services)</c:v>
                </c:pt>
                <c:pt idx="3">
                  <c:v>CSG</c:v>
                </c:pt>
                <c:pt idx="4">
                  <c:v>Public Health</c:v>
                </c:pt>
                <c:pt idx="5">
                  <c:v>Streetscene</c:v>
                </c:pt>
                <c:pt idx="6">
                  <c:v>Children's Service (Education and Skills)</c:v>
                </c:pt>
                <c:pt idx="7">
                  <c:v>Commissioning Group</c:v>
                </c:pt>
                <c:pt idx="8">
                  <c:v>Housing needs resources</c:v>
                </c:pt>
                <c:pt idx="9">
                  <c:v>HB Public Law</c:v>
                </c:pt>
                <c:pt idx="10">
                  <c:v>Assurance</c:v>
                </c:pt>
                <c:pt idx="11">
                  <c:v>Re</c:v>
                </c:pt>
                <c:pt idx="12">
                  <c:v>Commercial-Infrastructure and Parking</c:v>
                </c:pt>
              </c:strCache>
            </c:strRef>
          </c:cat>
          <c:val>
            <c:numRef>
              <c:f>Sheet1!$B$3:$B$15</c:f>
            </c:numRef>
          </c:val>
        </c:ser>
        <c:dLbls>
          <c:showLegendKey val="0"/>
          <c:showVal val="0"/>
          <c:showCatName val="0"/>
          <c:showSerName val="0"/>
          <c:showPercent val="1"/>
          <c:showBubbleSize val="0"/>
          <c:showLeaderLines val="1"/>
        </c:dLbls>
      </c:pie3DChart>
    </c:plotArea>
    <c:legend>
      <c:legendPos val="t"/>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spPr>
            <a:solidFill>
              <a:srgbClr val="FF0000"/>
            </a:solidFill>
          </c:spPr>
          <c:invertIfNegative val="0"/>
          <c:dLbls>
            <c:dLblPos val="outEnd"/>
            <c:showLegendKey val="0"/>
            <c:showVal val="1"/>
            <c:showCatName val="0"/>
            <c:showSerName val="0"/>
            <c:showPercent val="0"/>
            <c:showBubbleSize val="0"/>
            <c:showLeaderLines val="0"/>
          </c:dLbls>
          <c:cat>
            <c:strRef>
              <c:f>Sheet1!$J$2:$J$12</c:f>
              <c:strCache>
                <c:ptCount val="11"/>
                <c:pt idx="0">
                  <c:v>Romania (Joined EU in 2007)</c:v>
                </c:pt>
                <c:pt idx="1">
                  <c:v>Poland (Joined EU in 2004)</c:v>
                </c:pt>
                <c:pt idx="2">
                  <c:v>Italy</c:v>
                </c:pt>
                <c:pt idx="3">
                  <c:v>Hungary (Joined EU in 2004)</c:v>
                </c:pt>
                <c:pt idx="4">
                  <c:v>Spain</c:v>
                </c:pt>
                <c:pt idx="5">
                  <c:v>Portugal</c:v>
                </c:pt>
                <c:pt idx="6">
                  <c:v>France</c:v>
                </c:pt>
                <c:pt idx="7">
                  <c:v>Rep of Ireland</c:v>
                </c:pt>
                <c:pt idx="8">
                  <c:v>Bulgaria (Joined EU in 2007)</c:v>
                </c:pt>
                <c:pt idx="9">
                  <c:v>Iran</c:v>
                </c:pt>
                <c:pt idx="10">
                  <c:v>India</c:v>
                </c:pt>
              </c:strCache>
            </c:strRef>
          </c:cat>
          <c:val>
            <c:numRef>
              <c:f>Sheet1!$K$2:$K$12</c:f>
              <c:numCache>
                <c:formatCode>0.0%</c:formatCode>
                <c:ptCount val="11"/>
                <c:pt idx="0">
                  <c:v>0.19615139272804594</c:v>
                </c:pt>
                <c:pt idx="1">
                  <c:v>9.2281522432489896E-2</c:v>
                </c:pt>
                <c:pt idx="2">
                  <c:v>8.1650010631511796E-2</c:v>
                </c:pt>
                <c:pt idx="3">
                  <c:v>7.6546884967042317E-2</c:v>
                </c:pt>
                <c:pt idx="4">
                  <c:v>5.8154369551350199E-2</c:v>
                </c:pt>
                <c:pt idx="5">
                  <c:v>4.0612375079736342E-2</c:v>
                </c:pt>
                <c:pt idx="6">
                  <c:v>3.4977673825217943E-2</c:v>
                </c:pt>
                <c:pt idx="7">
                  <c:v>2.8173506272591964E-2</c:v>
                </c:pt>
                <c:pt idx="8">
                  <c:v>2.7322985328513714E-2</c:v>
                </c:pt>
                <c:pt idx="9">
                  <c:v>2.4239846906230066E-2</c:v>
                </c:pt>
                <c:pt idx="10">
                  <c:v>1.9987242185838826E-2</c:v>
                </c:pt>
              </c:numCache>
            </c:numRef>
          </c:val>
        </c:ser>
        <c:dLbls>
          <c:showLegendKey val="0"/>
          <c:showVal val="0"/>
          <c:showCatName val="0"/>
          <c:showSerName val="0"/>
          <c:showPercent val="0"/>
          <c:showBubbleSize val="0"/>
        </c:dLbls>
        <c:gapWidth val="150"/>
        <c:axId val="265959296"/>
        <c:axId val="266018816"/>
      </c:barChart>
      <c:catAx>
        <c:axId val="265959296"/>
        <c:scaling>
          <c:orientation val="minMax"/>
        </c:scaling>
        <c:delete val="0"/>
        <c:axPos val="b"/>
        <c:majorTickMark val="out"/>
        <c:minorTickMark val="none"/>
        <c:tickLblPos val="nextTo"/>
        <c:crossAx val="266018816"/>
        <c:crosses val="autoZero"/>
        <c:auto val="1"/>
        <c:lblAlgn val="ctr"/>
        <c:lblOffset val="100"/>
        <c:noMultiLvlLbl val="0"/>
      </c:catAx>
      <c:valAx>
        <c:axId val="266018816"/>
        <c:scaling>
          <c:orientation val="minMax"/>
        </c:scaling>
        <c:delete val="0"/>
        <c:axPos val="l"/>
        <c:numFmt formatCode="0%" sourceLinked="0"/>
        <c:majorTickMark val="out"/>
        <c:minorTickMark val="none"/>
        <c:tickLblPos val="nextTo"/>
        <c:crossAx val="265959296"/>
        <c:crosses val="autoZero"/>
        <c:crossBetween val="between"/>
      </c:valAx>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2275031194871137E-2"/>
          <c:y val="5.8098320532019389E-2"/>
          <c:w val="0.68486175293662066"/>
          <c:h val="0.77787997359225802"/>
        </c:manualLayout>
      </c:layout>
      <c:barChart>
        <c:barDir val="col"/>
        <c:grouping val="clustered"/>
        <c:varyColors val="0"/>
        <c:ser>
          <c:idx val="0"/>
          <c:order val="0"/>
          <c:tx>
            <c:strRef>
              <c:f>Sheet1!$A$17</c:f>
              <c:strCache>
                <c:ptCount val="1"/>
                <c:pt idx="0">
                  <c:v>Barnet</c:v>
                </c:pt>
              </c:strCache>
            </c:strRef>
          </c:tx>
          <c:invertIfNegative val="0"/>
          <c:cat>
            <c:strRef>
              <c:f>Sheet1!$B$16:$F$16</c:f>
              <c:strCache>
                <c:ptCount val="5"/>
                <c:pt idx="0">
                  <c:v>All Ages</c:v>
                </c:pt>
                <c:pt idx="1">
                  <c:v>0 - 15</c:v>
                </c:pt>
                <c:pt idx="2">
                  <c:v>16 - 49</c:v>
                </c:pt>
                <c:pt idx="3">
                  <c:v>50 - 64</c:v>
                </c:pt>
                <c:pt idx="4">
                  <c:v>65+</c:v>
                </c:pt>
              </c:strCache>
            </c:strRef>
          </c:cat>
          <c:val>
            <c:numRef>
              <c:f>Sheet1!$B$17:$F$17</c:f>
              <c:numCache>
                <c:formatCode>0.0%</c:formatCode>
                <c:ptCount val="5"/>
                <c:pt idx="0">
                  <c:v>0.14002514127939933</c:v>
                </c:pt>
                <c:pt idx="1">
                  <c:v>2.9622544925505829E-2</c:v>
                </c:pt>
                <c:pt idx="2">
                  <c:v>7.058095657456899E-2</c:v>
                </c:pt>
                <c:pt idx="3">
                  <c:v>0.19871991900052435</c:v>
                </c:pt>
                <c:pt idx="4">
                  <c:v>0.50704165963906234</c:v>
                </c:pt>
              </c:numCache>
            </c:numRef>
          </c:val>
        </c:ser>
        <c:ser>
          <c:idx val="1"/>
          <c:order val="1"/>
          <c:tx>
            <c:strRef>
              <c:f>Sheet1!$A$18</c:f>
              <c:strCache>
                <c:ptCount val="1"/>
                <c:pt idx="0">
                  <c:v>Outer London</c:v>
                </c:pt>
              </c:strCache>
            </c:strRef>
          </c:tx>
          <c:spPr>
            <a:solidFill>
              <a:srgbClr val="FF0000"/>
            </a:solidFill>
          </c:spPr>
          <c:invertIfNegative val="0"/>
          <c:cat>
            <c:strRef>
              <c:f>Sheet1!$B$16:$F$16</c:f>
              <c:strCache>
                <c:ptCount val="5"/>
                <c:pt idx="0">
                  <c:v>All Ages</c:v>
                </c:pt>
                <c:pt idx="1">
                  <c:v>0 - 15</c:v>
                </c:pt>
                <c:pt idx="2">
                  <c:v>16 - 49</c:v>
                </c:pt>
                <c:pt idx="3">
                  <c:v>50 - 64</c:v>
                </c:pt>
                <c:pt idx="4">
                  <c:v>65+</c:v>
                </c:pt>
              </c:strCache>
            </c:strRef>
          </c:cat>
          <c:val>
            <c:numRef>
              <c:f>Sheet1!$B$18:$F$18</c:f>
              <c:numCache>
                <c:formatCode>0.0%</c:formatCode>
                <c:ptCount val="5"/>
                <c:pt idx="0">
                  <c:v>0.14542091929648487</c:v>
                </c:pt>
                <c:pt idx="1">
                  <c:v>3.2917686361340945E-2</c:v>
                </c:pt>
                <c:pt idx="2">
                  <c:v>7.4694153723962251E-2</c:v>
                </c:pt>
                <c:pt idx="3">
                  <c:v>0.2183181509929753</c:v>
                </c:pt>
                <c:pt idx="4">
                  <c:v>0.52264457802509701</c:v>
                </c:pt>
              </c:numCache>
            </c:numRef>
          </c:val>
        </c:ser>
        <c:ser>
          <c:idx val="2"/>
          <c:order val="2"/>
          <c:tx>
            <c:strRef>
              <c:f>Sheet1!$A$19</c:f>
              <c:strCache>
                <c:ptCount val="1"/>
                <c:pt idx="0">
                  <c:v>England and Wales</c:v>
                </c:pt>
              </c:strCache>
            </c:strRef>
          </c:tx>
          <c:spPr>
            <a:solidFill>
              <a:srgbClr val="92D050"/>
            </a:solidFill>
          </c:spPr>
          <c:invertIfNegative val="0"/>
          <c:cat>
            <c:strRef>
              <c:f>Sheet1!$B$16:$F$16</c:f>
              <c:strCache>
                <c:ptCount val="5"/>
                <c:pt idx="0">
                  <c:v>All Ages</c:v>
                </c:pt>
                <c:pt idx="1">
                  <c:v>0 - 15</c:v>
                </c:pt>
                <c:pt idx="2">
                  <c:v>16 - 49</c:v>
                </c:pt>
                <c:pt idx="3">
                  <c:v>50 - 64</c:v>
                </c:pt>
                <c:pt idx="4">
                  <c:v>65+</c:v>
                </c:pt>
              </c:strCache>
            </c:strRef>
          </c:cat>
          <c:val>
            <c:numRef>
              <c:f>Sheet1!$B$19:$F$19</c:f>
              <c:numCache>
                <c:formatCode>0.0%</c:formatCode>
                <c:ptCount val="5"/>
                <c:pt idx="0">
                  <c:v>0.1791935367899144</c:v>
                </c:pt>
                <c:pt idx="1">
                  <c:v>3.7735137438496852E-2</c:v>
                </c:pt>
                <c:pt idx="2">
                  <c:v>8.7796201560909198E-2</c:v>
                </c:pt>
                <c:pt idx="3">
                  <c:v>0.23751012396127005</c:v>
                </c:pt>
                <c:pt idx="4">
                  <c:v>0.53594219627232698</c:v>
                </c:pt>
              </c:numCache>
            </c:numRef>
          </c:val>
        </c:ser>
        <c:dLbls>
          <c:showLegendKey val="0"/>
          <c:showVal val="0"/>
          <c:showCatName val="0"/>
          <c:showSerName val="0"/>
          <c:showPercent val="0"/>
          <c:showBubbleSize val="0"/>
        </c:dLbls>
        <c:gapWidth val="150"/>
        <c:axId val="274643584"/>
        <c:axId val="277156608"/>
      </c:barChart>
      <c:catAx>
        <c:axId val="274643584"/>
        <c:scaling>
          <c:orientation val="minMax"/>
        </c:scaling>
        <c:delete val="0"/>
        <c:axPos val="b"/>
        <c:majorTickMark val="out"/>
        <c:minorTickMark val="none"/>
        <c:tickLblPos val="nextTo"/>
        <c:crossAx val="277156608"/>
        <c:crosses val="autoZero"/>
        <c:auto val="1"/>
        <c:lblAlgn val="ctr"/>
        <c:lblOffset val="100"/>
        <c:noMultiLvlLbl val="0"/>
      </c:catAx>
      <c:valAx>
        <c:axId val="277156608"/>
        <c:scaling>
          <c:orientation val="minMax"/>
        </c:scaling>
        <c:delete val="0"/>
        <c:axPos val="l"/>
        <c:numFmt formatCode="0%" sourceLinked="0"/>
        <c:majorTickMark val="out"/>
        <c:minorTickMark val="none"/>
        <c:tickLblPos val="nextTo"/>
        <c:crossAx val="274643584"/>
        <c:crosses val="autoZero"/>
        <c:crossBetween val="between"/>
      </c:valAx>
    </c:plotArea>
    <c:legend>
      <c:legendPos val="r"/>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616410752781113"/>
          <c:y val="6.3831025861103854E-2"/>
          <c:w val="0.87218518492476316"/>
          <c:h val="0.51896308415993453"/>
        </c:manualLayout>
      </c:layout>
      <c:barChart>
        <c:barDir val="col"/>
        <c:grouping val="clustered"/>
        <c:varyColors val="0"/>
        <c:ser>
          <c:idx val="0"/>
          <c:order val="0"/>
          <c:tx>
            <c:strRef>
              <c:f>[nomis_2015_03_09_133747.xlsx]Data!$J$8</c:f>
              <c:strCache>
                <c:ptCount val="1"/>
                <c:pt idx="0">
                  <c:v>percent</c:v>
                </c:pt>
              </c:strCache>
            </c:strRef>
          </c:tx>
          <c:spPr>
            <a:solidFill>
              <a:srgbClr val="92D050"/>
            </a:solidFill>
          </c:spPr>
          <c:invertIfNegative val="0"/>
          <c:dPt>
            <c:idx val="12"/>
            <c:invertIfNegative val="0"/>
            <c:bubble3D val="0"/>
            <c:spPr>
              <a:solidFill>
                <a:srgbClr val="FF0000"/>
              </a:solidFill>
            </c:spPr>
          </c:dPt>
          <c:cat>
            <c:strRef>
              <c:f>[nomis_2015_03_09_133747.xlsx]Data!$G$9:$G$21</c:f>
              <c:strCache>
                <c:ptCount val="13"/>
                <c:pt idx="0">
                  <c:v>United Kingdom</c:v>
                </c:pt>
                <c:pt idx="1">
                  <c:v>Redbridge</c:v>
                </c:pt>
                <c:pt idx="2">
                  <c:v>Ealing</c:v>
                </c:pt>
                <c:pt idx="3">
                  <c:v>Milton Keynes</c:v>
                </c:pt>
                <c:pt idx="4">
                  <c:v>Hillingdon</c:v>
                </c:pt>
                <c:pt idx="5">
                  <c:v>Outer London</c:v>
                </c:pt>
                <c:pt idx="6">
                  <c:v>Bromley</c:v>
                </c:pt>
                <c:pt idx="7">
                  <c:v>Hounslow</c:v>
                </c:pt>
                <c:pt idx="8">
                  <c:v>Sutton</c:v>
                </c:pt>
                <c:pt idx="9">
                  <c:v>Kingston upon Thames</c:v>
                </c:pt>
                <c:pt idx="10">
                  <c:v>Reading</c:v>
                </c:pt>
                <c:pt idx="11">
                  <c:v>Merton</c:v>
                </c:pt>
                <c:pt idx="12">
                  <c:v>Barnet</c:v>
                </c:pt>
              </c:strCache>
            </c:strRef>
          </c:cat>
          <c:val>
            <c:numRef>
              <c:f>[nomis_2015_03_09_133747.xlsx]Data!$J$9:$J$21</c:f>
              <c:numCache>
                <c:formatCode>#,##0.0</c:formatCode>
                <c:ptCount val="13"/>
                <c:pt idx="0">
                  <c:v>19</c:v>
                </c:pt>
                <c:pt idx="1">
                  <c:v>17.7</c:v>
                </c:pt>
                <c:pt idx="2">
                  <c:v>17.5</c:v>
                </c:pt>
                <c:pt idx="3">
                  <c:v>17.5</c:v>
                </c:pt>
                <c:pt idx="4">
                  <c:v>16.100000000000001</c:v>
                </c:pt>
                <c:pt idx="5">
                  <c:v>16.100000000000001</c:v>
                </c:pt>
                <c:pt idx="6">
                  <c:v>15.1</c:v>
                </c:pt>
                <c:pt idx="7">
                  <c:v>14.6</c:v>
                </c:pt>
                <c:pt idx="8">
                  <c:v>13.9</c:v>
                </c:pt>
                <c:pt idx="9">
                  <c:v>13.2</c:v>
                </c:pt>
                <c:pt idx="10">
                  <c:v>13</c:v>
                </c:pt>
                <c:pt idx="11">
                  <c:v>12.7</c:v>
                </c:pt>
                <c:pt idx="12">
                  <c:v>12.5</c:v>
                </c:pt>
              </c:numCache>
            </c:numRef>
          </c:val>
        </c:ser>
        <c:dLbls>
          <c:showLegendKey val="0"/>
          <c:showVal val="0"/>
          <c:showCatName val="0"/>
          <c:showSerName val="0"/>
          <c:showPercent val="0"/>
          <c:showBubbleSize val="0"/>
        </c:dLbls>
        <c:gapWidth val="150"/>
        <c:axId val="27554560"/>
        <c:axId val="27556096"/>
      </c:barChart>
      <c:catAx>
        <c:axId val="27554560"/>
        <c:scaling>
          <c:orientation val="minMax"/>
        </c:scaling>
        <c:delete val="0"/>
        <c:axPos val="b"/>
        <c:majorTickMark val="out"/>
        <c:minorTickMark val="none"/>
        <c:tickLblPos val="nextTo"/>
        <c:txPr>
          <a:bodyPr rot="-1740000"/>
          <a:lstStyle/>
          <a:p>
            <a:pPr>
              <a:defRPr/>
            </a:pPr>
            <a:endParaRPr lang="en-US"/>
          </a:p>
        </c:txPr>
        <c:crossAx val="27556096"/>
        <c:crosses val="autoZero"/>
        <c:auto val="1"/>
        <c:lblAlgn val="ctr"/>
        <c:lblOffset val="100"/>
        <c:noMultiLvlLbl val="0"/>
      </c:catAx>
      <c:valAx>
        <c:axId val="27556096"/>
        <c:scaling>
          <c:orientation val="minMax"/>
        </c:scaling>
        <c:delete val="0"/>
        <c:axPos val="l"/>
        <c:title>
          <c:tx>
            <c:rich>
              <a:bodyPr rot="-5400000" vert="horz"/>
              <a:lstStyle/>
              <a:p>
                <a:pPr>
                  <a:defRPr/>
                </a:pPr>
                <a:r>
                  <a:rPr lang="en-GB"/>
                  <a:t>% EA</a:t>
                </a:r>
                <a:r>
                  <a:rPr lang="en-GB" baseline="0"/>
                  <a:t> Core or Working-Limiting Disabled</a:t>
                </a:r>
                <a:endParaRPr lang="en-GB"/>
              </a:p>
            </c:rich>
          </c:tx>
          <c:overlay val="0"/>
        </c:title>
        <c:numFmt formatCode="#,##0" sourceLinked="0"/>
        <c:majorTickMark val="out"/>
        <c:minorTickMark val="none"/>
        <c:tickLblPos val="nextTo"/>
        <c:crossAx val="27554560"/>
        <c:crosses val="autoZero"/>
        <c:crossBetween val="between"/>
      </c:valAx>
      <c:spPr>
        <a:noFill/>
        <a:ln w="25400">
          <a:noFill/>
        </a:ln>
      </c:spPr>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HMG10</b:Tag>
    <b:SourceType>Report</b:SourceType>
    <b:Guid>{8713A9E7-1C8E-4F06-98DC-4A01DB4D2D25}</b:Guid>
    <b:Author>
      <b:Author>
        <b:Corporate>HM Government</b:Corporate>
      </b:Author>
    </b:Author>
    <b:Title>Healthy Lives, Healthy People</b:Title>
    <b:Year>2010</b:Year>
    <b:City>London</b:City>
    <b:Publisher>HM Government</b:Publisher>
    <b:RefOrder>2</b:RefOrder>
  </b:Source>
  <b:Source>
    <b:Tag>ONS131</b:Tag>
    <b:SourceType>Report</b:SourceType>
    <b:Guid>{8A809D81-C225-4C30-B4F4-575CEC115455}</b:Guid>
    <b:Author>
      <b:Author>
        <b:Corporate>ONS</b:Corporate>
      </b:Author>
    </b:Author>
    <b:Title>Iternal Migration, England and Wales, Yeard Ending June 2013</b:Title>
    <b:Year>2014</b:Year>
    <b:Publisher>ONS</b:Publisher>
    <b:City>London</b:City>
    <b:RefOrder>1</b:RefOrder>
  </b:Source>
</b:Sources>
</file>

<file path=customXml/itemProps1.xml><?xml version="1.0" encoding="utf-8"?>
<ds:datastoreItem xmlns:ds="http://schemas.openxmlformats.org/officeDocument/2006/customXml" ds:itemID="{D635B8CF-3CC5-4360-8BC4-FFAF6078D9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322</TotalTime>
  <Pages>251</Pages>
  <Words>77337</Words>
  <Characters>440826</Characters>
  <Application>Microsoft Office Word</Application>
  <DocSecurity>0</DocSecurity>
  <Lines>3673</Lines>
  <Paragraphs>1034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517129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Support</dc:creator>
  <cp:lastModifiedBy>Support</cp:lastModifiedBy>
  <cp:revision>31</cp:revision>
  <cp:lastPrinted>2015-08-11T14:22:00Z</cp:lastPrinted>
  <dcterms:created xsi:type="dcterms:W3CDTF">2015-08-19T14:56:00Z</dcterms:created>
  <dcterms:modified xsi:type="dcterms:W3CDTF">2015-09-28T17:10:00Z</dcterms:modified>
</cp:coreProperties>
</file>